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For the month of February 2014</w:t>
      </w:r>
    </w:p>
    <w:p>
      <w:pPr>
        <w:spacing w:after="0" w:line="22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354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p>
      <w:pPr>
        <w:spacing w:after="0" w:line="258" w:lineRule="exact"/>
        <w:rPr>
          <w:sz w:val="24"/>
          <w:szCs w:val="24"/>
          <w:color w:val="auto"/>
        </w:rPr>
      </w:pPr>
    </w:p>
    <w:p>
      <w:pPr>
        <w:ind w:left="1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ind w:left="1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441325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00"/>
          </w:cols>
          <w:pgMar w:left="1440" w:top="472" w:right="959" w:bottom="1440" w:gutter="0" w:footer="0" w:header="0"/>
        </w:sectPr>
      </w:pPr>
    </w:p>
    <w:bookmarkStart w:id="1" w:name="page2"/>
    <w:bookmarkEnd w:id="1"/>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February 06, 2014</w:t>
      </w:r>
    </w:p>
    <w:p>
      <w:pPr>
        <w:spacing w:after="0" w:line="22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By:/s/ Mario Ferrari</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24612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80"/>
          </w:cols>
          <w:pgMar w:left="240" w:top="904" w:right="879" w:bottom="1440" w:gutter="0" w:footer="0" w:header="0"/>
        </w:sectPr>
      </w:pPr>
    </w:p>
    <w:bookmarkStart w:id="2" w:name="page3"/>
    <w:bookmarkEnd w:id="2"/>
    <w:p>
      <w:pPr>
        <w:jc w:val="center"/>
        <w:ind w:left="3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492125</wp:posOffset>
            </wp:positionH>
            <wp:positionV relativeFrom="page">
              <wp:posOffset>243205</wp:posOffset>
            </wp:positionV>
            <wp:extent cx="1483360" cy="7718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483360" cy="7718425"/>
                    </a:xfrm>
                    <a:prstGeom prst="rect">
                      <a:avLst/>
                    </a:prstGeom>
                    <a:noFill/>
                  </pic:spPr>
                </pic:pic>
              </a:graphicData>
            </a:graphic>
          </wp:anchor>
        </w:drawing>
        <w:drawing>
          <wp:anchor simplePos="0" relativeHeight="251657728" behindDoc="1" locked="0" layoutInCell="0" allowOverlap="1">
            <wp:simplePos x="0" y="0"/>
            <wp:positionH relativeFrom="page">
              <wp:posOffset>4385310</wp:posOffset>
            </wp:positionH>
            <wp:positionV relativeFrom="page">
              <wp:posOffset>380365</wp:posOffset>
            </wp:positionV>
            <wp:extent cx="134620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46200" cy="171450"/>
                    </a:xfrm>
                    <a:prstGeom prst="rect">
                      <a:avLst/>
                    </a:prstGeom>
                    <a:noFill/>
                  </pic:spPr>
                </pic:pic>
              </a:graphicData>
            </a:graphic>
          </wp:anchor>
        </w:drawing>
        <w:t>Fourth Quarter and Year End 2013 Results</w:t>
      </w:r>
    </w:p>
    <w:p>
      <w:pPr>
        <w:spacing w:after="0" w:line="225" w:lineRule="exact"/>
        <w:rPr>
          <w:sz w:val="20"/>
          <w:szCs w:val="20"/>
          <w:color w:val="auto"/>
        </w:rPr>
      </w:pPr>
    </w:p>
    <w:p>
      <w:pPr>
        <w:jc w:val="both"/>
        <w:ind w:left="2240"/>
        <w:spacing w:after="0" w:line="266" w:lineRule="auto"/>
        <w:rPr>
          <w:sz w:val="20"/>
          <w:szCs w:val="20"/>
          <w:color w:val="auto"/>
        </w:rPr>
      </w:pPr>
      <w:r>
        <w:rPr>
          <w:rFonts w:ascii="Arial" w:cs="Arial" w:eastAsia="Arial" w:hAnsi="Arial"/>
          <w:sz w:val="18"/>
          <w:szCs w:val="18"/>
          <w:b w:val="1"/>
          <w:bCs w:val="1"/>
          <w:color w:val="auto"/>
        </w:rPr>
        <w:t xml:space="preserve">Lima, Perú, February 05, 2013 - </w:t>
      </w:r>
      <w:r>
        <w:rPr>
          <w:rFonts w:ascii="Arial" w:cs="Arial" w:eastAsia="Arial" w:hAnsi="Arial"/>
          <w:sz w:val="18"/>
          <w:szCs w:val="18"/>
          <w:color w:val="auto"/>
        </w:rPr>
        <w:t>Credicorp (NYSE:BAP) announced today its unaudited results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fourth quarter and year- end of 2013. These results are reported on a consolidated basis in accordance with IFRS in nominal US Dollars.</w:t>
      </w:r>
    </w:p>
    <w:p>
      <w:pPr>
        <w:spacing w:after="0" w:line="17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HIGHLIGHTS</w:t>
      </w:r>
    </w:p>
    <w:p>
      <w:pPr>
        <w:spacing w:after="0" w:line="229" w:lineRule="exact"/>
        <w:rPr>
          <w:sz w:val="20"/>
          <w:szCs w:val="20"/>
          <w:color w:val="auto"/>
        </w:rPr>
      </w:pPr>
    </w:p>
    <w:p>
      <w:pPr>
        <w:jc w:val="both"/>
        <w:ind w:left="2240" w:hanging="2"/>
        <w:spacing w:after="0" w:line="257" w:lineRule="auto"/>
        <w:tabs>
          <w:tab w:leader="none" w:pos="237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Despite good business evolution and a stable exchange rate this 4Q13, reported results were hurt by extraordinary one-off expenses and came in 15.5% lower than the previous Q’s at US$ 152 million. This, in addition to results reported for the first half of the year, which were marked by the strong currency &amp; market volatility and translation losses, resulted in total net income reported by Credicorp for the year 2013 of US$ 567.1 million, 28.1% lower than the previous year’s.</w:t>
      </w:r>
    </w:p>
    <w:p>
      <w:pPr>
        <w:spacing w:after="0" w:line="188" w:lineRule="exact"/>
        <w:rPr>
          <w:rFonts w:ascii="Arial" w:cs="Arial" w:eastAsia="Arial" w:hAnsi="Arial"/>
          <w:sz w:val="18"/>
          <w:szCs w:val="18"/>
          <w:color w:val="auto"/>
        </w:rPr>
      </w:pPr>
    </w:p>
    <w:p>
      <w:pPr>
        <w:jc w:val="both"/>
        <w:ind w:left="2240" w:hanging="2"/>
        <w:spacing w:after="0" w:line="255" w:lineRule="auto"/>
        <w:tabs>
          <w:tab w:leader="none" w:pos="2357" w:val="left"/>
        </w:tabs>
        <w:numPr>
          <w:ilvl w:val="0"/>
          <w:numId w:val="1"/>
        </w:numPr>
        <w:rPr>
          <w:rFonts w:ascii="Arial" w:cs="Arial" w:eastAsia="Arial" w:hAnsi="Arial"/>
          <w:sz w:val="18"/>
          <w:szCs w:val="18"/>
          <w:color w:val="auto"/>
        </w:rPr>
      </w:pPr>
      <w:r>
        <w:rPr>
          <w:rFonts w:ascii="Arial" w:cs="Arial" w:eastAsia="Arial" w:hAnsi="Arial"/>
          <w:sz w:val="18"/>
          <w:szCs w:val="18"/>
          <w:color w:val="auto"/>
        </w:rPr>
        <w:t>However, operational trends and income generation for the 4Q as well as for the year as a whole were significantly better than reported numbers suggest. Net interest income was up 4.7%, but was affected by a newly introduced IFRS valuation for derivatives, that resulted in an adjustment of -US$ 7 million, and led to 3.2% reported growth this 4Q. Non-financial income also showed solid results and was 5.6% higher QoQ reflecting the good business development. Furthermore, even though provisions kept expanding, as a result of the higher PDLs in the SME and Credit Cards portfolios, and increased 5.6% this Q, net interest income after provisions was still up 2% QoQ.</w:t>
      </w:r>
    </w:p>
    <w:p>
      <w:pPr>
        <w:spacing w:after="0" w:line="189" w:lineRule="exact"/>
        <w:rPr>
          <w:rFonts w:ascii="Arial" w:cs="Arial" w:eastAsia="Arial" w:hAnsi="Arial"/>
          <w:sz w:val="18"/>
          <w:szCs w:val="18"/>
          <w:color w:val="auto"/>
        </w:rPr>
      </w:pPr>
    </w:p>
    <w:p>
      <w:pPr>
        <w:jc w:val="both"/>
        <w:ind w:left="2240" w:hanging="2"/>
        <w:spacing w:after="0" w:line="259" w:lineRule="auto"/>
        <w:tabs>
          <w:tab w:leader="none" w:pos="233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Operating results for the year, in reported US Dollar terms, show net interest income after provisions for the year also expanded 11%, despite the portfolio quality issues throughout the year. Non-financial income on the other hand, reflects the lower gains in the sale of securities this period given the drop in fixed income valuations experienced in the year, and grew only 4% YoY.</w:t>
      </w:r>
    </w:p>
    <w:p>
      <w:pPr>
        <w:spacing w:after="0" w:line="186" w:lineRule="exact"/>
        <w:rPr>
          <w:rFonts w:ascii="Arial" w:cs="Arial" w:eastAsia="Arial" w:hAnsi="Arial"/>
          <w:sz w:val="18"/>
          <w:szCs w:val="18"/>
          <w:color w:val="auto"/>
        </w:rPr>
      </w:pPr>
    </w:p>
    <w:p>
      <w:pPr>
        <w:jc w:val="both"/>
        <w:ind w:left="2240" w:hanging="2"/>
        <w:spacing w:after="0" w:line="255" w:lineRule="auto"/>
        <w:tabs>
          <w:tab w:leader="none" w:pos="2330" w:val="left"/>
        </w:tabs>
        <w:numPr>
          <w:ilvl w:val="0"/>
          <w:numId w:val="1"/>
        </w:numPr>
        <w:rPr>
          <w:rFonts w:ascii="Arial" w:cs="Arial" w:eastAsia="Arial" w:hAnsi="Arial"/>
          <w:sz w:val="18"/>
          <w:szCs w:val="18"/>
          <w:color w:val="auto"/>
        </w:rPr>
      </w:pPr>
      <w:r>
        <w:rPr>
          <w:rFonts w:ascii="Arial" w:cs="Arial" w:eastAsia="Arial" w:hAnsi="Arial"/>
          <w:sz w:val="18"/>
          <w:szCs w:val="18"/>
          <w:color w:val="auto"/>
        </w:rPr>
        <w:t>Growth of average daily balances recorded by currency shows that the Nuevos Soles portfolio expanded by a robust 8.9% QoQ, while the US Dollar portfolio reflected growth of only 0.6% as the shift to local currency borrowings gained momentum. This trend was evident in the Wholesale Banking book, which grew 21.2% QoQ in Nuevos Soles denominated loans, and only 0.2% in US Dollar loans, an evolution that shows a further de-dollarization of the Wholesale Banking portfolio. Consolidated portfolio growth reported in US Dollar terms reached 4.5% for the Q.</w:t>
      </w:r>
    </w:p>
    <w:p>
      <w:pPr>
        <w:spacing w:after="0" w:line="193" w:lineRule="exact"/>
        <w:rPr>
          <w:rFonts w:ascii="Arial" w:cs="Arial" w:eastAsia="Arial" w:hAnsi="Arial"/>
          <w:sz w:val="18"/>
          <w:szCs w:val="18"/>
          <w:color w:val="auto"/>
        </w:rPr>
      </w:pPr>
    </w:p>
    <w:p>
      <w:pPr>
        <w:jc w:val="both"/>
        <w:ind w:left="2240" w:hanging="2"/>
        <w:spacing w:after="0" w:line="259" w:lineRule="auto"/>
        <w:tabs>
          <w:tab w:leader="none" w:pos="233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For the year, growth of Nuevos Soles average daily balances was up an impressive 32.7%, with significant growth concentration in the Wholesale Banking book in local currency which grew 64%, whereas the US Dollar average daily balances only expanded 3.1%, resulting in a blended growth rate in constant currencies of about 17% for the year.</w:t>
      </w:r>
    </w:p>
    <w:p>
      <w:pPr>
        <w:spacing w:after="0" w:line="186" w:lineRule="exact"/>
        <w:rPr>
          <w:rFonts w:ascii="Arial" w:cs="Arial" w:eastAsia="Arial" w:hAnsi="Arial"/>
          <w:sz w:val="18"/>
          <w:szCs w:val="18"/>
          <w:color w:val="auto"/>
        </w:rPr>
      </w:pPr>
    </w:p>
    <w:p>
      <w:pPr>
        <w:jc w:val="both"/>
        <w:ind w:left="2240" w:hanging="2"/>
        <w:spacing w:after="0" w:line="257" w:lineRule="auto"/>
        <w:tabs>
          <w:tab w:leader="none" w:pos="2330" w:val="left"/>
        </w:tabs>
        <w:numPr>
          <w:ilvl w:val="0"/>
          <w:numId w:val="1"/>
        </w:numPr>
        <w:rPr>
          <w:rFonts w:ascii="Arial" w:cs="Arial" w:eastAsia="Arial" w:hAnsi="Arial"/>
          <w:sz w:val="18"/>
          <w:szCs w:val="18"/>
          <w:color w:val="auto"/>
        </w:rPr>
      </w:pPr>
      <w:r>
        <w:rPr>
          <w:rFonts w:ascii="Arial" w:cs="Arial" w:eastAsia="Arial" w:hAnsi="Arial"/>
          <w:sz w:val="18"/>
          <w:szCs w:val="18"/>
          <w:color w:val="auto"/>
        </w:rPr>
        <w:t>NIMs improved another 10bps this Q and reached 5.2% for the global NIM on total average Interest Earning Assets (IEA) and up 5bps to 8.4% for NIM on loans. For the year, Credicorp added a total of 24bps to its NIM. This was the result of a re-composition of IEA in favor of higher yielding loans, lower funding costs and the corrections in the models of the Retail Banking book which included a more efficient pricing tool that led to overall price increases.</w:t>
      </w:r>
    </w:p>
    <w:p>
      <w:pPr>
        <w:spacing w:after="0" w:line="188" w:lineRule="exact"/>
        <w:rPr>
          <w:rFonts w:ascii="Arial" w:cs="Arial" w:eastAsia="Arial" w:hAnsi="Arial"/>
          <w:sz w:val="18"/>
          <w:szCs w:val="18"/>
          <w:color w:val="auto"/>
        </w:rPr>
      </w:pPr>
    </w:p>
    <w:p>
      <w:pPr>
        <w:jc w:val="both"/>
        <w:ind w:left="2240" w:hanging="2"/>
        <w:spacing w:after="0" w:line="259" w:lineRule="auto"/>
        <w:tabs>
          <w:tab w:leader="none" w:pos="233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line with the expected maturing cycle of the delinquent portfolio, the PDL ratio deteriorated only another 5 bps to reach 2.3% and complete a deterioration of 50 bps for the whole year. However, provisions related to the deterioration of the portfolio were up 5.6% in 4Q, which contributed to a 20% YoY aggregate increase in provisions, but was well compensated by better margins.</w:t>
      </w:r>
    </w:p>
    <w:p>
      <w:pPr>
        <w:spacing w:after="0" w:line="186" w:lineRule="exact"/>
        <w:rPr>
          <w:rFonts w:ascii="Arial" w:cs="Arial" w:eastAsia="Arial" w:hAnsi="Arial"/>
          <w:sz w:val="18"/>
          <w:szCs w:val="18"/>
          <w:color w:val="auto"/>
        </w:rPr>
      </w:pPr>
    </w:p>
    <w:p>
      <w:pPr>
        <w:jc w:val="both"/>
        <w:ind w:left="2240" w:hanging="2"/>
        <w:spacing w:after="0" w:line="257" w:lineRule="auto"/>
        <w:tabs>
          <w:tab w:leader="none" w:pos="233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performance of the insurance business deteriorated this 4Q reporting technical results 3.1% lower as the business volumes dropped due to the loss of a very profitable business in the Life Insurance segment associated with newly introduced auctions for pension fund related insurance, and a one-off adjustment in new regulatory provisions. This 4Q results, plus the increased claims in the previous Qs led to a 1.3% drop in underwriting results for 2013.</w:t>
      </w:r>
    </w:p>
    <w:p>
      <w:pPr>
        <w:spacing w:after="0" w:line="188" w:lineRule="exact"/>
        <w:rPr>
          <w:rFonts w:ascii="Arial" w:cs="Arial" w:eastAsia="Arial" w:hAnsi="Arial"/>
          <w:sz w:val="18"/>
          <w:szCs w:val="18"/>
          <w:color w:val="auto"/>
        </w:rPr>
      </w:pPr>
    </w:p>
    <w:p>
      <w:pPr>
        <w:jc w:val="both"/>
        <w:ind w:left="2240" w:hanging="2"/>
        <w:spacing w:after="0" w:line="271" w:lineRule="auto"/>
        <w:tabs>
          <w:tab w:leader="none" w:pos="2330" w:val="left"/>
        </w:tabs>
        <w:numPr>
          <w:ilvl w:val="0"/>
          <w:numId w:val="1"/>
        </w:numPr>
        <w:rPr>
          <w:rFonts w:ascii="Arial" w:cs="Arial" w:eastAsia="Arial" w:hAnsi="Arial"/>
          <w:sz w:val="17"/>
          <w:szCs w:val="17"/>
          <w:color w:val="auto"/>
        </w:rPr>
      </w:pPr>
      <w:r>
        <w:rPr>
          <w:rFonts w:ascii="Arial" w:cs="Arial" w:eastAsia="Arial" w:hAnsi="Arial"/>
          <w:sz w:val="17"/>
          <w:szCs w:val="17"/>
          <w:color w:val="auto"/>
        </w:rPr>
        <w:t>Operating expenses were strongly affected by several one-off costs and adjustments booked in the 4Q, which in turn could not escape the seasonal hike of admin-expenses in the last Q of each year, resulting in a 19% increase QoQ, while personnel expenses were down 7% for the Q, leaving an overall moderate increase. However, one-off costs of more than US$ 28.8 million were recorded due to an IFRS impairment related to IM Trust valuation, some social security liabilities for previous years, tax contingencies in Bolivia, and others. For the year, expenses expansion was lower than originally projected but still reached 14.6%. This increase in expenses was larger than income growth in our reporting currency and resulted in a 1.5% deterioration of Credicorp´s efficiency ratio to 43.7%.</w:t>
      </w:r>
    </w:p>
    <w:p>
      <w:pPr>
        <w:spacing w:after="0" w:line="178" w:lineRule="exact"/>
        <w:rPr>
          <w:rFonts w:ascii="Arial" w:cs="Arial" w:eastAsia="Arial" w:hAnsi="Arial"/>
          <w:sz w:val="17"/>
          <w:szCs w:val="17"/>
          <w:color w:val="auto"/>
        </w:rPr>
      </w:pPr>
    </w:p>
    <w:p>
      <w:pPr>
        <w:jc w:val="both"/>
        <w:ind w:left="2240" w:hanging="2"/>
        <w:spacing w:after="0" w:line="293" w:lineRule="auto"/>
        <w:tabs>
          <w:tab w:leader="none" w:pos="2343"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recent one-off expenses added to the higher cost of risk we faced this year, the valuation losses in the fixed income portfolio in 2Q due to the increase in interest rates in the US market, and the higher claims in the insurance business, led to the 2% lower operating income for the year. However, the large losses on our LC equity position associated with the almost 10% devaluation of the local currency against the US Dollar in the course of 2013, amounted to US$ 148.5 million for the whole year, and were the main items responsible for the significant drop in reported profitability to 13.5% ROAE for 2013 vs. 20.9% ROAE in 2012.</w:t>
      </w:r>
    </w:p>
    <w:p>
      <w:pPr>
        <w:sectPr>
          <w:pgSz w:w="11900" w:h="16838" w:orient="portrait"/>
          <w:cols w:equalWidth="0" w:num="1">
            <w:col w:w="10220"/>
          </w:cols>
          <w:pgMar w:left="1440" w:top="1121" w:right="239" w:bottom="0" w:gutter="0" w:footer="0" w:header="0"/>
        </w:sectPr>
      </w:pPr>
    </w:p>
    <w:bookmarkStart w:id="3" w:name="page4"/>
    <w:bookmarkEnd w:id="3"/>
    <w:p>
      <w:pPr>
        <w:jc w:val="both"/>
        <w:ind w:left="2240" w:hanging="2"/>
        <w:spacing w:after="0" w:line="286" w:lineRule="auto"/>
        <w:tabs>
          <w:tab w:leader="none" w:pos="2357" w:val="left"/>
        </w:tabs>
        <w:numPr>
          <w:ilvl w:val="0"/>
          <w:numId w:val="2"/>
        </w:numPr>
        <w:rPr>
          <w:rFonts w:ascii="Arial" w:cs="Arial" w:eastAsia="Arial" w:hAnsi="Arial"/>
          <w:sz w:val="17"/>
          <w:szCs w:val="17"/>
          <w:color w:val="auto"/>
        </w:rPr>
      </w:pPr>
      <w:r>
        <w:rPr>
          <w:rFonts w:ascii="Arial" w:cs="Arial" w:eastAsia="Arial" w:hAnsi="Arial"/>
          <w:sz w:val="17"/>
          <w:szCs w:val="17"/>
          <w:color w:val="auto"/>
        </w:rPr>
        <w:t>Consequently, it is truly noteworthy that after making only the most obvious adjustments and without adjusting for the losses in income due to the exchange rate when converting this to US Dollars, recurring net income for Credicorp would reach roughly US$ 738.3 million in 2013 vs.US$ 733.2 million in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388620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4" w:name="page5"/>
    <w:bookmarkEnd w:id="4"/>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 Credicorp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Despite a stable currency which moved only slightly in 4Q and generated limited translation losses, net earnings reported for 4Q were down 15.5% QoQ and reached only US$ 150.4 million. The aspects responsible for this drop were (i) some one-off expenses related to an impairment in the valuation of IM Trust, Social Security payments on remunerations paid in past years due to a regulatory dispute, provisions for tax contingencies in Bolivia, and others, which in aggregate amounted to US$ 28.8 million, (ii) the cost of approximately US$ 5.4 million due to rule changes that set requirements for additional reserves at Pacifico to cover future administrative expenses (</w:t>
      </w:r>
      <w:r>
        <w:rPr>
          <w:rFonts w:ascii="Arial" w:cs="Arial" w:eastAsia="Arial" w:hAnsi="Arial"/>
          <w:sz w:val="17"/>
          <w:szCs w:val="17"/>
          <w:i w:val="1"/>
          <w:iCs w:val="1"/>
          <w:color w:val="auto"/>
        </w:rPr>
        <w:t>Unallocated loss adjustment expense)</w:t>
      </w:r>
      <w:r>
        <w:rPr>
          <w:rFonts w:ascii="Arial" w:cs="Arial" w:eastAsia="Arial" w:hAnsi="Arial"/>
          <w:sz w:val="17"/>
          <w:szCs w:val="17"/>
          <w:color w:val="auto"/>
        </w:rPr>
        <w:t>; (iii) a series of adjustments of costs for the year which were booked in a cumulative way in 4Q, such as a Credit Value Adjustment of derivatives for 2013 of US$ 7 million and an adjustment in fee income following a regulatory accounting change that generated a deduction in income of US$ 4 million for the year booked in the Q; and (iv) the seasonal increase in administrative expenses, all of which affected operating income, which drops also 14.8% for the Q.</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Compared to the same period of last year, the drop is more dramatic and reached -24.3%. This result, however, was also highly distorted by the large difference in the exchange rates at which earnings are converted to US Dollars. Consequently, ROAE dropped to 14.6% for 4Q from 18% for 3Q and the 20’s levels for the previous year.</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income (NII) expanded 3.2% for the Q, despite the extraordinary adjustment of derivatives valuation throughout the year mentioned above, which reached in aggregate US$ 7 million and was booked in the 4thQ. Excluding this adjustment, real NII growth for 4Q was 4.7%, in line with average daily loan volumes growth. The good evolution of the business and improved pricing also led to higher NIMs (Net Interest Margin), which expanded a few bps to 5.2% for the global NIM and 8.4% for the NIM on the loan book.</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aforementioned portfolio expansion reached a total of 2.7% in Q-end US Dollar terms. However, using BCP’s average daily balances, which are a more pertinent indicator of performance, the expansion reaches a solid 4.5% QoQ and stems from 5.3% growth in average daily balances in the Wholesale Banking book and 3.2% in the Retail Banking book. Furthermore, it is the Nuevo Soles Wholesale Banking portfolio that grew faster at 21.2%, while the Retail Banking portfolio is still in a contained mode and expanded its LC (Local Currency) balances only 4.8%, leading to a total 8.9% loan expansion in LC. In contrast, the FC (Foreign Currency) portfolios posted completely different performance, with a FC Wholesale Banking book that grew 0.4% and a retail FC portfolio that contracted by -0.9%, leading to a total 0.6% expansion for the whole FC denominated book. This is a reflection of a very clear de-dollarization trend and robust activity in the business world.</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Retail Banking book, on the other hand, reflects our conservative approach to risk management, which has kept a lid on growth and resulted in a very modest QoQ Retail Banking book expansion (especially for typically extremely dynamic 4Qs): 2.5% for Pyme, 2.7% for mortgages, which stems from 6.9% in Nuevos Soles and -3.2% in US Dollar, sound 4% expansion in consumer loans and 3.4% in Credit Cards (CC).</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Asset quality showed a moderate 6bps deterioration, which stems from the SME and CC businesses. This is in line with expectations since we have not yet seen the peak in delinquencies for the SME portfolio, and a temporary pick-up in CC delinquencies due to a regulatory change on minimum payments. Consequently, provisions increased 5.6% for the Q.</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Despite a reversion of fees of about US$ 4 million due to a regulatory accounting change, non-financial income was up 5.6% in 4Q, with fee income improving 5% in the Q. A slight decrease was posted in gains on FX transactions (in line with the lower volatility of the currency), which were compensated by an improvement in other income and stable gains on the sale of securities.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insurance business posted 7.7% decrease in premium income this 4Q as the Life Division lost its pension funds insurance business following the introduction of a regulatory auctioning process of this insurance coverage. However, total insurance underwriting results were down only 3.1% following some improvement in commissions (some recoveries for non-use of re-insurance policies) and expenses and despite a one-off US$ 5.4 million adjustment for newly introduced regulatory provisions. However, the medical services business had higher expenses and delivered an underwriting result that was 32% lower.</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spacing w:after="0" w:line="254" w:lineRule="auto"/>
        <w:rPr>
          <w:sz w:val="20"/>
          <w:szCs w:val="20"/>
          <w:color w:val="auto"/>
        </w:rPr>
      </w:pPr>
      <w:r>
        <w:rPr>
          <w:rFonts w:ascii="Arial" w:cs="Arial" w:eastAsia="Arial" w:hAnsi="Arial"/>
          <w:sz w:val="18"/>
          <w:szCs w:val="18"/>
          <w:color w:val="auto"/>
        </w:rPr>
        <w:t>Operating expenses had mixed results, since personnel expenses dropped an important 7% QoQ, but administrative expenses increased almost 19% QoQ resulting in a more moderate growth of total operating expenses. In this 4Q, operating expenses included a significant amount of non-recurring costs as indicated earlier, in addition to the seasonal increase in expenses which was this year still unavoidable. Those non-recurrent expenses included: (i) an IFRS required impairment of about US$ 14.5 million in the valuation of IMTrust, (ii) some Social Security belated payments of US$ 6.8 million related to compensation awarded in previous years due to a claim and dispute with SUNAT (the Peruvian tax authority), (iii) provisions for US$ 2.1 million of tax contingencies in Bolivia related to expected tax increases; and others than sum up to US$ 28.8 million. The aforementioned resulted in a significant increase of operating expenses, which were to a large extent attenuated by lower personnel expenses as we continued controlling headcount and reduced the provisions for 2013 bonuses.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Operating income therefore shows a drop of 14.8%, which led to the 15.5% lower net income reported when adding the Q’s small translation loss.</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Consequently, given the absence of any significant distortions related to devaluation of the Nuevo Sol this 4Q, results converted to US Dollars for reporting purposes reflect the good business expansion and income generation of Credicorp, but nonetheless incorporate the impact of the higher cost of risk for the Q (+5.6%), and mainly, the substantial non-recurrent costs, which ultimately were responsible for the drop in ROE to 14.6% for this 4Q13 vs. 18% in 3Q13 and 19.6% in 4Q12.</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Credicorp Ltd.</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ind w:left="580"/>
              <w:spacing w:after="0"/>
              <w:rPr>
                <w:sz w:val="20"/>
                <w:szCs w:val="20"/>
                <w:color w:val="auto"/>
              </w:rPr>
            </w:pPr>
            <w:r>
              <w:rPr>
                <w:rFonts w:ascii="Arial" w:cs="Arial" w:eastAsia="Arial" w:hAnsi="Arial"/>
                <w:sz w:val="14"/>
                <w:szCs w:val="14"/>
                <w:b w:val="1"/>
                <w:bCs w:val="1"/>
                <w:color w:val="auto"/>
                <w:w w:val="97"/>
              </w:rPr>
              <w:t>% Change</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Year ended</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US$ 000</w:t>
            </w:r>
          </w:p>
        </w:tc>
        <w:tc>
          <w:tcPr>
            <w:tcW w:w="10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4Q13</w:t>
            </w:r>
          </w:p>
        </w:tc>
        <w:tc>
          <w:tcPr>
            <w:tcW w:w="24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3Q13</w:t>
            </w:r>
          </w:p>
        </w:tc>
        <w:tc>
          <w:tcPr>
            <w:tcW w:w="22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4Q12</w:t>
            </w:r>
          </w:p>
        </w:tc>
        <w:tc>
          <w:tcPr>
            <w:tcW w:w="22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FFC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Dec 13</w:t>
            </w:r>
          </w:p>
        </w:tc>
        <w:tc>
          <w:tcPr>
            <w:tcW w:w="24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Dec 12</w:t>
            </w:r>
          </w:p>
        </w:tc>
        <w:tc>
          <w:tcPr>
            <w:tcW w:w="220" w:type="dxa"/>
            <w:vAlign w:val="bottom"/>
            <w:tcBorders>
              <w:bottom w:val="single" w:sz="8" w:color="CCFFCC"/>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Dec 13 / Dec 12</w:t>
            </w:r>
          </w:p>
        </w:tc>
        <w:tc>
          <w:tcPr>
            <w:tcW w:w="140" w:type="dxa"/>
            <w:vAlign w:val="bottom"/>
            <w:tcBorders>
              <w:bottom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8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Net Interest income</w:t>
            </w:r>
          </w:p>
        </w:tc>
        <w:tc>
          <w:tcPr>
            <w:tcW w:w="10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473,160</w:t>
            </w: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458,704</w:t>
            </w:r>
          </w:p>
        </w:tc>
        <w:tc>
          <w:tcPr>
            <w:tcW w:w="22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430,736</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40"/>
              <w:spacing w:after="0" w:line="142" w:lineRule="exact"/>
              <w:rPr>
                <w:sz w:val="20"/>
                <w:szCs w:val="20"/>
                <w:color w:val="auto"/>
              </w:rPr>
            </w:pPr>
            <w:r>
              <w:rPr>
                <w:rFonts w:ascii="Arial" w:cs="Arial" w:eastAsia="Arial" w:hAnsi="Arial"/>
                <w:sz w:val="14"/>
                <w:szCs w:val="14"/>
                <w:color w:val="auto"/>
              </w:rPr>
              <w:t>3.2%</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40"/>
              <w:spacing w:after="0" w:line="142" w:lineRule="exact"/>
              <w:rPr>
                <w:sz w:val="20"/>
                <w:szCs w:val="20"/>
                <w:color w:val="auto"/>
              </w:rPr>
            </w:pPr>
            <w:r>
              <w:rPr>
                <w:rFonts w:ascii="Arial" w:cs="Arial" w:eastAsia="Arial" w:hAnsi="Arial"/>
                <w:sz w:val="14"/>
                <w:szCs w:val="14"/>
                <w:color w:val="auto"/>
              </w:rPr>
              <w:t>9.8%</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1,823,322</w:t>
            </w: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1,612,126</w:t>
            </w: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0"/>
              <w:spacing w:after="0" w:line="142" w:lineRule="exact"/>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Net provisions for loan losses</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(125,162)</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(118,580)</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(102,964)</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21.6%</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(453,562)</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(377,841)</w:t>
            </w: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30"/>
        </w:trPr>
        <w:tc>
          <w:tcPr>
            <w:tcW w:w="318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Net interest income after net provisions for loan</w:t>
            </w: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losses</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347,999</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340,124</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327,772</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2.3%</w:t>
            </w:r>
          </w:p>
        </w:tc>
        <w:tc>
          <w:tcPr>
            <w:tcW w:w="22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3.8%</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1,369,760</w:t>
            </w: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1,234,285</w:t>
            </w:r>
          </w:p>
        </w:tc>
        <w:tc>
          <w:tcPr>
            <w:tcW w:w="22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Non financial income</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285,635</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270,465</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290,576</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1,097,179</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1,054,788</w:t>
            </w:r>
          </w:p>
        </w:tc>
        <w:tc>
          <w:tcPr>
            <w:tcW w:w="220" w:type="dxa"/>
            <w:vAlign w:val="bottom"/>
          </w:tcPr>
          <w:p>
            <w:pPr>
              <w:spacing w:after="0"/>
              <w:rPr>
                <w:sz w:val="12"/>
                <w:szCs w:val="12"/>
                <w:color w:val="auto"/>
              </w:rPr>
            </w:pP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31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Insurance services technical result</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36,879</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38,055</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50,894</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-3.1%</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-27.5%</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141,001</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142,866</w:t>
            </w:r>
          </w:p>
        </w:tc>
        <w:tc>
          <w:tcPr>
            <w:tcW w:w="11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Medical Services Technical Result</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4,656</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6,927</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7,538</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-32.8%</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-38.2%</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23,582</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7,233</w:t>
            </w: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226.0%</w:t>
            </w:r>
          </w:p>
        </w:tc>
        <w:tc>
          <w:tcPr>
            <w:tcW w:w="0" w:type="dxa"/>
            <w:vAlign w:val="bottom"/>
          </w:tcPr>
          <w:p>
            <w:pPr>
              <w:spacing w:after="0"/>
              <w:rPr>
                <w:sz w:val="1"/>
                <w:szCs w:val="1"/>
                <w:color w:val="auto"/>
              </w:rPr>
            </w:pPr>
          </w:p>
        </w:tc>
      </w:tr>
      <w:tr>
        <w:trPr>
          <w:trHeight w:val="149"/>
        </w:trPr>
        <w:tc>
          <w:tcPr>
            <w:tcW w:w="31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Operating expenses (1)</w:t>
            </w: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(452,393)</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(393,974)</w:t>
            </w: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(438,465)</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14.8%</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3.2%</w:t>
            </w: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(1,666,302)</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(1,454,441)</w:t>
            </w:r>
          </w:p>
        </w:tc>
        <w:tc>
          <w:tcPr>
            <w:tcW w:w="11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Operating income (2)</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222,774</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261,597</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238,315</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-14.8%</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-6.5%</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965,220</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984,732</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-2.0%</w:t>
            </w:r>
          </w:p>
        </w:tc>
        <w:tc>
          <w:tcPr>
            <w:tcW w:w="0" w:type="dxa"/>
            <w:vAlign w:val="bottom"/>
          </w:tcPr>
          <w:p>
            <w:pPr>
              <w:spacing w:after="0"/>
              <w:rPr>
                <w:sz w:val="1"/>
                <w:szCs w:val="1"/>
                <w:color w:val="auto"/>
              </w:rPr>
            </w:pPr>
          </w:p>
        </w:tc>
      </w:tr>
      <w:tr>
        <w:trPr>
          <w:trHeight w:val="149"/>
        </w:trPr>
        <w:tc>
          <w:tcPr>
            <w:tcW w:w="3180" w:type="dxa"/>
            <w:vAlign w:val="bottom"/>
            <w:gridSpan w:val="2"/>
            <w:shd w:val="clear" w:color="auto" w:fill="CCFFCC"/>
          </w:tcPr>
          <w:p>
            <w:pPr>
              <w:ind w:left="180"/>
              <w:spacing w:after="0" w:line="149" w:lineRule="exact"/>
              <w:rPr>
                <w:sz w:val="20"/>
                <w:szCs w:val="20"/>
                <w:color w:val="auto"/>
              </w:rPr>
            </w:pPr>
            <w:r>
              <w:rPr>
                <w:rFonts w:ascii="Arial" w:cs="Arial" w:eastAsia="Arial" w:hAnsi="Arial"/>
                <w:sz w:val="14"/>
                <w:szCs w:val="14"/>
                <w:color w:val="auto"/>
              </w:rPr>
              <w:t>Core operating income</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251,531</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261,597</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238,315</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-14.8%</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-6.5%</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1,055,229</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984,732</w:t>
            </w:r>
          </w:p>
        </w:tc>
        <w:tc>
          <w:tcPr>
            <w:tcW w:w="11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31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Non core operating income (expenses) (3)</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(28,757)</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(90,009)</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1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Translation results</w:t>
            </w: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(4,792)</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(3,312)</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30,475</w:t>
            </w:r>
          </w:p>
        </w:tc>
        <w:tc>
          <w:tcPr>
            <w:tcW w:w="10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44.7%</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-115.7%</w:t>
            </w: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(105,291)</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75,079</w:t>
            </w:r>
          </w:p>
        </w:tc>
        <w:tc>
          <w:tcPr>
            <w:tcW w:w="11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-240.2%</w:t>
            </w: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Income taxes</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(67,595)</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(74,757)</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(61,585)</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-9.6%</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9.8%</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(285,760)</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(251,583)</w:t>
            </w: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49"/>
        </w:trPr>
        <w:tc>
          <w:tcPr>
            <w:tcW w:w="31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150,387</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183,528</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207,204</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-18.1%</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-27.4%</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574,169</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808,228</w:t>
            </w: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-29.0%</w:t>
            </w: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Minority Interest</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(1,250)</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4,102</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7,016</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-130.5%</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-117.8%</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7,091</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19,449</w:t>
            </w: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-63.5%</w:t>
            </w:r>
          </w:p>
        </w:tc>
        <w:tc>
          <w:tcPr>
            <w:tcW w:w="0" w:type="dxa"/>
            <w:vAlign w:val="bottom"/>
          </w:tcPr>
          <w:p>
            <w:pPr>
              <w:spacing w:after="0"/>
              <w:rPr>
                <w:sz w:val="1"/>
                <w:szCs w:val="1"/>
                <w:color w:val="auto"/>
              </w:rPr>
            </w:pPr>
          </w:p>
        </w:tc>
      </w:tr>
      <w:tr>
        <w:trPr>
          <w:trHeight w:val="149"/>
        </w:trPr>
        <w:tc>
          <w:tcPr>
            <w:tcW w:w="31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income attributed to Credicorp</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151,637</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179,426</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200,189</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-15.5%</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-24.3%</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567,079</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788,779</w:t>
            </w: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-28.1%</w:t>
            </w:r>
          </w:p>
        </w:tc>
        <w:tc>
          <w:tcPr>
            <w:tcW w:w="0" w:type="dxa"/>
            <w:vAlign w:val="bottom"/>
          </w:tcPr>
          <w:p>
            <w:pPr>
              <w:spacing w:after="0"/>
              <w:rPr>
                <w:sz w:val="1"/>
                <w:szCs w:val="1"/>
                <w:color w:val="auto"/>
              </w:rPr>
            </w:pPr>
          </w:p>
        </w:tc>
      </w:tr>
      <w:tr>
        <w:trPr>
          <w:trHeight w:val="162"/>
        </w:trPr>
        <w:tc>
          <w:tcPr>
            <w:tcW w:w="3180" w:type="dxa"/>
            <w:vAlign w:val="bottom"/>
            <w:gridSpan w:val="2"/>
          </w:tcPr>
          <w:p>
            <w:pPr>
              <w:spacing w:after="0"/>
              <w:rPr>
                <w:sz w:val="20"/>
                <w:szCs w:val="20"/>
                <w:color w:val="auto"/>
              </w:rPr>
            </w:pPr>
            <w:r>
              <w:rPr>
                <w:rFonts w:ascii="Arial" w:cs="Arial" w:eastAsia="Arial" w:hAnsi="Arial"/>
                <w:sz w:val="14"/>
                <w:szCs w:val="14"/>
                <w:color w:val="auto"/>
              </w:rPr>
              <w:t>Net income / share (US$)</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1.90</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2.25</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2.51</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-15.5%</w:t>
            </w:r>
          </w:p>
        </w:tc>
        <w:tc>
          <w:tcPr>
            <w:tcW w:w="2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-24.3%</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7.11</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9.89</w:t>
            </w: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20"/>
        </w:trPr>
        <w:tc>
          <w:tcPr>
            <w:tcW w:w="3180" w:type="dxa"/>
            <w:vAlign w:val="bottom"/>
            <w:gridSpan w:val="2"/>
            <w:vMerge w:val="restart"/>
            <w:shd w:val="clear" w:color="auto" w:fill="CCFFCC"/>
          </w:tcPr>
          <w:p>
            <w:pPr>
              <w:spacing w:after="0"/>
              <w:rPr>
                <w:sz w:val="20"/>
                <w:szCs w:val="20"/>
                <w:color w:val="auto"/>
              </w:rPr>
            </w:pPr>
            <w:r>
              <w:rPr>
                <w:rFonts w:ascii="Arial" w:cs="Arial" w:eastAsia="Arial" w:hAnsi="Arial"/>
                <w:sz w:val="14"/>
                <w:szCs w:val="14"/>
                <w:color w:val="auto"/>
              </w:rPr>
              <w:t>Total loans</w:t>
            </w: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80" w:type="dxa"/>
            <w:vAlign w:val="bottom"/>
            <w:gridSpan w:val="2"/>
            <w:vMerge w:val="continue"/>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23,003,306</w:t>
            </w: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22,414,876</w:t>
            </w:r>
          </w:p>
        </w:tc>
        <w:tc>
          <w:tcPr>
            <w:tcW w:w="220" w:type="dxa"/>
            <w:vAlign w:val="bottom"/>
            <w:vMerge w:val="continue"/>
            <w:shd w:val="clear" w:color="auto" w:fill="CCFFCC"/>
          </w:tcPr>
          <w:p>
            <w:pPr>
              <w:spacing w:after="0"/>
              <w:rPr>
                <w:sz w:val="12"/>
                <w:szCs w:val="12"/>
                <w:color w:val="auto"/>
              </w:rPr>
            </w:pP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21,476,520</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40"/>
              <w:spacing w:after="0" w:line="142" w:lineRule="exact"/>
              <w:rPr>
                <w:sz w:val="20"/>
                <w:szCs w:val="20"/>
                <w:color w:val="auto"/>
              </w:rPr>
            </w:pPr>
            <w:r>
              <w:rPr>
                <w:rFonts w:ascii="Arial" w:cs="Arial" w:eastAsia="Arial" w:hAnsi="Arial"/>
                <w:sz w:val="14"/>
                <w:szCs w:val="14"/>
                <w:color w:val="auto"/>
              </w:rPr>
              <w:t>2.6%</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40"/>
              <w:spacing w:after="0" w:line="142" w:lineRule="exact"/>
              <w:rPr>
                <w:sz w:val="20"/>
                <w:szCs w:val="20"/>
                <w:color w:val="auto"/>
              </w:rPr>
            </w:pPr>
            <w:r>
              <w:rPr>
                <w:rFonts w:ascii="Arial" w:cs="Arial" w:eastAsia="Arial" w:hAnsi="Arial"/>
                <w:sz w:val="14"/>
                <w:szCs w:val="14"/>
                <w:color w:val="auto"/>
              </w:rPr>
              <w:t>7.1%</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23,003,306</w:t>
            </w:r>
          </w:p>
        </w:tc>
        <w:tc>
          <w:tcPr>
            <w:tcW w:w="240" w:type="dxa"/>
            <w:vAlign w:val="bottom"/>
            <w:vMerge w:val="continue"/>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21,476,520</w:t>
            </w: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0"/>
              <w:spacing w:after="0" w:line="142"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Deposits and obligations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24,483,444</w:t>
            </w:r>
          </w:p>
        </w:tc>
        <w:tc>
          <w:tcPr>
            <w:tcW w:w="24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24,028,000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24,050,780</w:t>
            </w:r>
          </w:p>
        </w:tc>
        <w:tc>
          <w:tcPr>
            <w:tcW w:w="22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w:t>
            </w:r>
          </w:p>
        </w:tc>
        <w:tc>
          <w:tcPr>
            <w:tcW w:w="2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24,483,444</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24,050,780</w:t>
            </w:r>
          </w:p>
        </w:tc>
        <w:tc>
          <w:tcPr>
            <w:tcW w:w="220" w:type="dxa"/>
            <w:vAlign w:val="bottom"/>
          </w:tcPr>
          <w:p>
            <w:pPr>
              <w:spacing w:after="0"/>
              <w:rPr>
                <w:sz w:val="12"/>
                <w:szCs w:val="12"/>
                <w:color w:val="auto"/>
              </w:rPr>
            </w:pP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2"/>
        </w:trPr>
        <w:tc>
          <w:tcPr>
            <w:tcW w:w="3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Net shareholders' equity</w:t>
            </w: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4,233,099</w:t>
            </w:r>
          </w:p>
        </w:tc>
        <w:tc>
          <w:tcPr>
            <w:tcW w:w="240" w:type="dxa"/>
            <w:vAlign w:val="bottom"/>
            <w:shd w:val="clear" w:color="auto" w:fill="CCFFCC"/>
          </w:tcPr>
          <w:p>
            <w:pPr>
              <w:spacing w:after="0"/>
              <w:rPr>
                <w:sz w:val="14"/>
                <w:szCs w:val="14"/>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4,089,916</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4,167,968</w:t>
            </w:r>
          </w:p>
        </w:tc>
        <w:tc>
          <w:tcPr>
            <w:tcW w:w="220" w:type="dxa"/>
            <w:vAlign w:val="bottom"/>
            <w:shd w:val="clear" w:color="auto" w:fill="CCFFCC"/>
          </w:tcPr>
          <w:p>
            <w:pPr>
              <w:spacing w:after="0"/>
              <w:rPr>
                <w:sz w:val="14"/>
                <w:szCs w:val="14"/>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3.5%</w:t>
            </w:r>
          </w:p>
        </w:tc>
        <w:tc>
          <w:tcPr>
            <w:tcW w:w="22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1.6%</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4,233,099</w:t>
            </w: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4,167,968</w:t>
            </w:r>
          </w:p>
        </w:tc>
        <w:tc>
          <w:tcPr>
            <w:tcW w:w="22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rPr>
                <w:sz w:val="20"/>
                <w:szCs w:val="20"/>
                <w:color w:val="auto"/>
              </w:rPr>
            </w:pPr>
            <w:r>
              <w:rPr>
                <w:rFonts w:ascii="Arial" w:cs="Arial" w:eastAsia="Arial" w:hAnsi="Arial"/>
                <w:sz w:val="14"/>
                <w:szCs w:val="14"/>
                <w:color w:val="auto"/>
              </w:rPr>
              <w:t>Net interest margin</w:t>
            </w: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80" w:type="dxa"/>
            <w:vAlign w:val="bottom"/>
            <w:gridSpan w:val="2"/>
            <w:vMerge w:val="continue"/>
          </w:tcPr>
          <w:p>
            <w:pPr>
              <w:spacing w:after="0"/>
              <w:rPr>
                <w:sz w:val="12"/>
                <w:szCs w:val="12"/>
                <w:color w:val="auto"/>
              </w:rPr>
            </w:pPr>
          </w:p>
        </w:tc>
        <w:tc>
          <w:tcPr>
            <w:tcW w:w="10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5.20%</w:t>
            </w:r>
          </w:p>
        </w:tc>
        <w:tc>
          <w:tcPr>
            <w:tcW w:w="10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5.13%</w:t>
            </w:r>
          </w:p>
        </w:tc>
        <w:tc>
          <w:tcPr>
            <w:tcW w:w="10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4.96%</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5.00%</w:t>
            </w:r>
          </w:p>
        </w:tc>
        <w:tc>
          <w:tcPr>
            <w:tcW w:w="10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5.08%</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Efficiency ratio</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45.8%</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42.0%</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47.9%</w:t>
            </w: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43.8%</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43.6%</w:t>
            </w:r>
          </w:p>
        </w:tc>
        <w:tc>
          <w:tcPr>
            <w:tcW w:w="9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Return on average shareholders' equity</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14.6%</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18.0%</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19.6%</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13.5%</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20.9%</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PDL ratio</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2.24%</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2.18%</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1.73%</w:t>
            </w: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2.24%</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1.73%</w:t>
            </w:r>
          </w:p>
        </w:tc>
        <w:tc>
          <w:tcPr>
            <w:tcW w:w="9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PDL over 90 days</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1.53%</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1.52%</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1.14%</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1.53%</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1.14%</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NPL ratio (4)</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2.81%</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2.76%</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2.39%</w:t>
            </w: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2.81%</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2.39%</w:t>
            </w:r>
          </w:p>
        </w:tc>
        <w:tc>
          <w:tcPr>
            <w:tcW w:w="9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Coverage of PDLs (%)</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157.5%</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162.6%</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187.7%</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157.5%</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187.7%</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Coverage of NPLs (%)</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125.1%</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128.7%</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136.0%</w:t>
            </w: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125.1%</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136.0%</w:t>
            </w:r>
          </w:p>
        </w:tc>
        <w:tc>
          <w:tcPr>
            <w:tcW w:w="9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180" w:type="dxa"/>
            <w:vAlign w:val="bottom"/>
            <w:gridSpan w:val="2"/>
          </w:tcPr>
          <w:p>
            <w:pPr>
              <w:spacing w:after="0"/>
              <w:rPr>
                <w:sz w:val="20"/>
                <w:szCs w:val="20"/>
                <w:color w:val="auto"/>
              </w:rPr>
            </w:pPr>
            <w:r>
              <w:rPr>
                <w:rFonts w:ascii="Arial" w:cs="Arial" w:eastAsia="Arial" w:hAnsi="Arial"/>
                <w:sz w:val="14"/>
                <w:szCs w:val="14"/>
                <w:color w:val="auto"/>
              </w:rPr>
              <w:t>Employees</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27,638</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27,457</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26,541</w:t>
            </w: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27,638</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26,541</w:t>
            </w: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-8890</wp:posOffset>
            </wp:positionV>
            <wp:extent cx="11404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40460" cy="8890"/>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-8890</wp:posOffset>
            </wp:positionV>
            <wp:extent cx="17837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ind w:left="260" w:hanging="252"/>
        <w:spacing w:after="0"/>
        <w:tabs>
          <w:tab w:leader="none" w:pos="2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Employees' profit sharing is regisered in Salaries and Employees Benefits since 1Q11 due to local regulator's decision.</w:t>
      </w:r>
    </w:p>
    <w:p>
      <w:pPr>
        <w:spacing w:after="0" w:line="7" w:lineRule="exact"/>
        <w:rPr>
          <w:rFonts w:ascii="Arial" w:cs="Arial" w:eastAsia="Arial" w:hAnsi="Arial"/>
          <w:sz w:val="18"/>
          <w:szCs w:val="18"/>
          <w:i w:val="1"/>
          <w:iCs w:val="1"/>
          <w:color w:val="auto"/>
        </w:rPr>
      </w:pPr>
    </w:p>
    <w:p>
      <w:pPr>
        <w:ind w:left="260" w:hanging="252"/>
        <w:spacing w:after="0"/>
        <w:tabs>
          <w:tab w:leader="none" w:pos="2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Income before translation results and income taxes.</w:t>
      </w:r>
    </w:p>
    <w:p>
      <w:pPr>
        <w:spacing w:after="0" w:line="9" w:lineRule="exact"/>
        <w:rPr>
          <w:rFonts w:ascii="Arial" w:cs="Arial" w:eastAsia="Arial" w:hAnsi="Arial"/>
          <w:sz w:val="18"/>
          <w:szCs w:val="18"/>
          <w:i w:val="1"/>
          <w:iCs w:val="1"/>
          <w:color w:val="auto"/>
        </w:rPr>
      </w:pPr>
    </w:p>
    <w:p>
      <w:pPr>
        <w:jc w:val="both"/>
        <w:ind w:right="180" w:firstLine="8"/>
        <w:spacing w:after="0" w:line="281" w:lineRule="auto"/>
        <w:tabs>
          <w:tab w:leader="none" w:pos="255"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Includes non core operating expenses. 4Q13 figure includes non recurring expenses assocated to SUNAT, provision for contingencies from BCP Bolivia, impairment for valuation of IM Trust, and unallocated loss adjustment expenses. 2013 figure includes aforementioned non recurring expenses and expenses incurred from the sale of BCP Colombia to Credicorp Investments, markdown in value of sovereign bonds and loss in the structural forward valuation.</w:t>
      </w:r>
    </w:p>
    <w:p>
      <w:pPr>
        <w:spacing w:after="0" w:line="2" w:lineRule="exact"/>
        <w:rPr>
          <w:rFonts w:ascii="Arial" w:cs="Arial" w:eastAsia="Arial" w:hAnsi="Arial"/>
          <w:sz w:val="16"/>
          <w:szCs w:val="16"/>
          <w:i w:val="1"/>
          <w:iCs w:val="1"/>
          <w:color w:val="auto"/>
        </w:rPr>
      </w:pPr>
    </w:p>
    <w:p>
      <w:pPr>
        <w:ind w:left="260" w:hanging="252"/>
        <w:spacing w:after="0"/>
        <w:tabs>
          <w:tab w:leader="none" w:pos="2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NPLs: Non-performing loans = Past due loans + Refinanced and restructued loans. NPL Ratio = NPLs / Total loans.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Results 2013 vs. 2012</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2013, the exchange rate of the Nuevo Sol against the US Dollar experienced volatility at levels we have not seen in the last 20 years. In this context, the Nuevo Sol devaluated 9.6%. Credicorp’s results reflect this volatility, which disguises a significantly better business’s performance.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reported numbers in its functional currency, Credicorp reported net income after minority interest of US$ 567.1 million in 2013, which represents a 29% decline with regard to 2012’s figure (US$ 808.2 million). This led ROAE to drop from 20.9% in 2012 to 13.5% in 2013. In terms of portfolio quality, the Past-Due-Loan (PDL) ratio rose from 1.73% to 2.24%, which was primarily attributable to higher PDL ratios in the SME and Credit Cards as we will discuss later.</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Nevertheless, it is important to note that despite aspects of doing business that are beyond our control- such as currency volatility- and which distort final results, operating income only fell 2% with regard to 2012’s, showing the strong income generation capacity given that this figure includes the impact of the devaluation on income denominated in LC but reported in US Dollars.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fact, operational trends and income generation are significantly better than reported numbers suggest.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multiple factors that impede a clear view of Credicorp’s performance, which was still robust, and led to an aggregate of losses, extraordinary expenses or charges of US$ 194.4 million, are associated not only with the impact of the devaluation of local currency on our Balance Sheet positions, but also with non-recurring losses due to market issues and non-recurring expenses that complicated transactions this year, and include:</w:t>
      </w:r>
    </w:p>
    <w:p>
      <w:pPr>
        <w:spacing w:after="0" w:line="166" w:lineRule="exact"/>
        <w:rPr>
          <w:sz w:val="20"/>
          <w:szCs w:val="20"/>
          <w:color w:val="auto"/>
        </w:rPr>
      </w:pPr>
    </w:p>
    <w:p>
      <w:pPr>
        <w:ind w:left="1300" w:hanging="401"/>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translation loss for US$ 105 million that is associated with the portion of equity positioned in LC;</w:t>
      </w:r>
    </w:p>
    <w:p>
      <w:pPr>
        <w:spacing w:after="0" w:line="225" w:lineRule="exact"/>
        <w:rPr>
          <w:rFonts w:ascii="Arial" w:cs="Arial" w:eastAsia="Arial" w:hAnsi="Arial"/>
          <w:sz w:val="18"/>
          <w:szCs w:val="18"/>
          <w:color w:val="auto"/>
        </w:rPr>
      </w:pPr>
    </w:p>
    <w:p>
      <w:pPr>
        <w:ind w:left="1300" w:hanging="401"/>
        <w:spacing w:after="0"/>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US$ 43.5 million loss due to the valuation of structural forward contracts, which was also associated with the capital position in LC;</w:t>
      </w:r>
    </w:p>
    <w:p>
      <w:pPr>
        <w:spacing w:after="0" w:line="248" w:lineRule="exact"/>
        <w:rPr>
          <w:rFonts w:ascii="Arial" w:cs="Arial" w:eastAsia="Arial" w:hAnsi="Arial"/>
          <w:sz w:val="16"/>
          <w:szCs w:val="16"/>
          <w:color w:val="auto"/>
        </w:rPr>
      </w:pPr>
    </w:p>
    <w:p>
      <w:pPr>
        <w:ind w:left="1300" w:hanging="401"/>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US$ 11.5 million loss on valuations of investment instruments due to movements in the interest rate relative the US Dollar and BCP’s sovereign bond positions (Peru, Colombia and Brazil);</w:t>
      </w:r>
    </w:p>
    <w:p>
      <w:pPr>
        <w:spacing w:after="0" w:line="170" w:lineRule="exact"/>
        <w:rPr>
          <w:rFonts w:ascii="Arial" w:cs="Arial" w:eastAsia="Arial" w:hAnsi="Arial"/>
          <w:sz w:val="18"/>
          <w:szCs w:val="18"/>
          <w:color w:val="auto"/>
        </w:rPr>
      </w:pPr>
    </w:p>
    <w:p>
      <w:pPr>
        <w:ind w:left="1280" w:hanging="381"/>
        <w:spacing w:after="0" w:line="277" w:lineRule="auto"/>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of approximately US$ 5.4 million due to rule changes that set requirements for additional reserves at Pacifico to cover future administrative expenses (</w:t>
      </w:r>
      <w:r>
        <w:rPr>
          <w:rFonts w:ascii="Arial" w:cs="Arial" w:eastAsia="Arial" w:hAnsi="Arial"/>
          <w:sz w:val="18"/>
          <w:szCs w:val="18"/>
          <w:i w:val="1"/>
          <w:iCs w:val="1"/>
          <w:color w:val="auto"/>
        </w:rPr>
        <w:t>Unallocated loss adjustment expense);</w:t>
      </w:r>
    </w:p>
    <w:p>
      <w:pPr>
        <w:spacing w:after="0" w:line="170" w:lineRule="exact"/>
        <w:rPr>
          <w:rFonts w:ascii="Arial" w:cs="Arial" w:eastAsia="Arial" w:hAnsi="Arial"/>
          <w:sz w:val="18"/>
          <w:szCs w:val="18"/>
          <w:color w:val="auto"/>
        </w:rPr>
      </w:pPr>
    </w:p>
    <w:p>
      <w:pPr>
        <w:jc w:val="both"/>
        <w:ind w:left="1300" w:hanging="401"/>
        <w:spacing w:after="0" w:line="264"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non-recurring expenses for US$ 28.8 million that are associated with payments to SUNAT and ESSALUD for previous periods; contingent charges in Bolivia; de-recognition of assets associated with system development and installations; and an impairment loss after IM Trust was valuated according to NIIF norms.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the first analysis, if we exclude the aforementioned events and the translation gain of 2012, operating income grew 7.1% with respect to 2012’s level (even when 2012’s results included the extraordinary gains generated by sales of securities) and net income also expanded approximately 0.7%. In this scenario, Credicorp’s </w:t>
      </w:r>
      <w:r>
        <w:rPr>
          <w:rFonts w:ascii="Arial" w:cs="Arial" w:eastAsia="Arial" w:hAnsi="Arial"/>
          <w:sz w:val="18"/>
          <w:szCs w:val="18"/>
          <w:b w:val="1"/>
          <w:bCs w:val="1"/>
          <w:color w:val="auto"/>
        </w:rPr>
        <w:t>net recurring income</w:t>
      </w:r>
      <w:r>
        <w:rPr>
          <w:rFonts w:ascii="Arial" w:cs="Arial" w:eastAsia="Arial" w:hAnsi="Arial"/>
          <w:sz w:val="18"/>
          <w:szCs w:val="18"/>
          <w:color w:val="auto"/>
        </w:rPr>
        <w:t xml:space="preserve"> in 2013 was approximately </w:t>
      </w:r>
      <w:r>
        <w:rPr>
          <w:rFonts w:ascii="Arial" w:cs="Arial" w:eastAsia="Arial" w:hAnsi="Arial"/>
          <w:sz w:val="18"/>
          <w:szCs w:val="18"/>
          <w:b w:val="1"/>
          <w:bCs w:val="1"/>
          <w:color w:val="auto"/>
        </w:rPr>
        <w:t>US$ 738.3 million</w:t>
      </w:r>
      <w:r>
        <w:rPr>
          <w:rFonts w:ascii="Arial" w:cs="Arial" w:eastAsia="Arial" w:hAnsi="Arial"/>
          <w:sz w:val="18"/>
          <w:szCs w:val="18"/>
          <w:color w:val="auto"/>
        </w:rPr>
        <w:t>, which compares favorably with 2012’s recurring income (excluding only translation gains after taxes) of US$ 733.2 million.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But it is important to move to the second level of analysis to better appreciate the business’s true performance and eliminate reporting distortions related to moves in the exchange rate. To do this we must look at income and expenses in the currency in which they were generated as indicated in the tables below, which reveal that the evolution was indeed favorable with solid income and good margins.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 w:name="page8"/>
    <w:bookmarkEnd w:id="7"/>
    <w:p>
      <w:pPr>
        <w:spacing w:after="0" w:line="1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center"/>
              <w:ind w:right="368"/>
              <w:spacing w:after="0"/>
              <w:rPr>
                <w:sz w:val="20"/>
                <w:szCs w:val="20"/>
                <w:color w:val="auto"/>
              </w:rPr>
            </w:pPr>
            <w:r>
              <w:rPr>
                <w:rFonts w:ascii="Arial" w:cs="Arial" w:eastAsia="Arial" w:hAnsi="Arial"/>
                <w:sz w:val="14"/>
                <w:szCs w:val="14"/>
                <w:b w:val="1"/>
                <w:bCs w:val="1"/>
                <w:color w:val="auto"/>
              </w:rPr>
              <w:t>% Change LC *</w:t>
            </w:r>
          </w:p>
        </w:tc>
        <w:tc>
          <w:tcPr>
            <w:tcW w:w="1520" w:type="dxa"/>
            <w:vAlign w:val="bottom"/>
            <w:gridSpan w:val="2"/>
          </w:tcPr>
          <w:p>
            <w:pPr>
              <w:jc w:val="center"/>
              <w:ind w:right="368"/>
              <w:spacing w:after="0"/>
              <w:rPr>
                <w:sz w:val="20"/>
                <w:szCs w:val="20"/>
                <w:color w:val="auto"/>
              </w:rPr>
            </w:pPr>
            <w:r>
              <w:rPr>
                <w:rFonts w:ascii="Arial" w:cs="Arial" w:eastAsia="Arial" w:hAnsi="Arial"/>
                <w:sz w:val="14"/>
                <w:szCs w:val="14"/>
                <w:b w:val="1"/>
                <w:bCs w:val="1"/>
                <w:color w:val="auto"/>
                <w:w w:val="97"/>
              </w:rPr>
              <w:t>% Change LC</w:t>
            </w:r>
          </w:p>
        </w:tc>
        <w:tc>
          <w:tcPr>
            <w:tcW w:w="1500" w:type="dxa"/>
            <w:vAlign w:val="bottom"/>
            <w:gridSpan w:val="2"/>
          </w:tcPr>
          <w:p>
            <w:pPr>
              <w:jc w:val="center"/>
              <w:ind w:right="388"/>
              <w:spacing w:after="0"/>
              <w:rPr>
                <w:sz w:val="20"/>
                <w:szCs w:val="20"/>
                <w:color w:val="auto"/>
              </w:rPr>
            </w:pPr>
            <w:r>
              <w:rPr>
                <w:rFonts w:ascii="Arial" w:cs="Arial" w:eastAsia="Arial" w:hAnsi="Arial"/>
                <w:sz w:val="14"/>
                <w:szCs w:val="14"/>
                <w:b w:val="1"/>
                <w:bCs w:val="1"/>
                <w:color w:val="auto"/>
                <w:w w:val="97"/>
              </w:rPr>
              <w:t>% Change FC</w:t>
            </w:r>
          </w:p>
        </w:tc>
        <w:tc>
          <w:tcPr>
            <w:tcW w:w="132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95"/>
              </w:rPr>
              <w:t>% Total Change</w:t>
            </w:r>
          </w:p>
        </w:tc>
        <w:tc>
          <w:tcPr>
            <w:tcW w:w="182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w w:val="94"/>
              </w:rPr>
              <w:t>Combined % Total Change</w:t>
            </w:r>
          </w:p>
        </w:tc>
        <w:tc>
          <w:tcPr>
            <w:tcW w:w="0" w:type="dxa"/>
            <w:vAlign w:val="bottom"/>
          </w:tcPr>
          <w:p>
            <w:pPr>
              <w:spacing w:after="0"/>
              <w:rPr>
                <w:sz w:val="1"/>
                <w:szCs w:val="1"/>
                <w:color w:val="auto"/>
              </w:rPr>
            </w:pPr>
          </w:p>
        </w:tc>
      </w:tr>
      <w:tr>
        <w:trPr>
          <w:trHeight w:val="149"/>
        </w:trPr>
        <w:tc>
          <w:tcPr>
            <w:tcW w:w="3620" w:type="dxa"/>
            <w:vAlign w:val="bottom"/>
            <w:vMerge w:val="restart"/>
          </w:tcPr>
          <w:p>
            <w:pPr>
              <w:spacing w:after="0"/>
              <w:rPr>
                <w:sz w:val="20"/>
                <w:szCs w:val="20"/>
                <w:color w:val="auto"/>
              </w:rPr>
            </w:pPr>
            <w:r>
              <w:rPr>
                <w:rFonts w:ascii="Arial" w:cs="Arial" w:eastAsia="Arial" w:hAnsi="Arial"/>
                <w:sz w:val="14"/>
                <w:szCs w:val="14"/>
                <w:b w:val="1"/>
                <w:bCs w:val="1"/>
                <w:color w:val="auto"/>
              </w:rPr>
              <w:t>BAP</w:t>
            </w:r>
          </w:p>
        </w:tc>
        <w:tc>
          <w:tcPr>
            <w:tcW w:w="1640" w:type="dxa"/>
            <w:vAlign w:val="bottom"/>
            <w:gridSpan w:val="3"/>
          </w:tcPr>
          <w:p>
            <w:pPr>
              <w:jc w:val="center"/>
              <w:ind w:right="288"/>
              <w:spacing w:after="0" w:line="149" w:lineRule="exact"/>
              <w:rPr>
                <w:sz w:val="20"/>
                <w:szCs w:val="20"/>
                <w:color w:val="auto"/>
              </w:rPr>
            </w:pPr>
            <w:r>
              <w:rPr>
                <w:rFonts w:ascii="Arial" w:cs="Arial" w:eastAsia="Arial" w:hAnsi="Arial"/>
                <w:sz w:val="14"/>
                <w:szCs w:val="14"/>
                <w:b w:val="1"/>
                <w:bCs w:val="1"/>
                <w:color w:val="auto"/>
                <w:w w:val="93"/>
              </w:rPr>
              <w:t>Expressed in PEN</w:t>
            </w:r>
          </w:p>
        </w:tc>
        <w:tc>
          <w:tcPr>
            <w:tcW w:w="1520" w:type="dxa"/>
            <w:vAlign w:val="bottom"/>
            <w:gridSpan w:val="2"/>
          </w:tcPr>
          <w:p>
            <w:pPr>
              <w:jc w:val="center"/>
              <w:ind w:right="368"/>
              <w:spacing w:after="0" w:line="149" w:lineRule="exact"/>
              <w:rPr>
                <w:sz w:val="20"/>
                <w:szCs w:val="20"/>
                <w:color w:val="auto"/>
              </w:rPr>
            </w:pPr>
            <w:r>
              <w:rPr>
                <w:rFonts w:ascii="Arial" w:cs="Arial" w:eastAsia="Arial" w:hAnsi="Arial"/>
                <w:sz w:val="14"/>
                <w:szCs w:val="14"/>
                <w:b w:val="1"/>
                <w:bCs w:val="1"/>
                <w:color w:val="auto"/>
                <w:w w:val="91"/>
              </w:rPr>
              <w:t>Expressed in US$</w:t>
            </w:r>
          </w:p>
        </w:tc>
        <w:tc>
          <w:tcPr>
            <w:tcW w:w="1500" w:type="dxa"/>
            <w:vAlign w:val="bottom"/>
            <w:gridSpan w:val="2"/>
          </w:tcPr>
          <w:p>
            <w:pPr>
              <w:jc w:val="center"/>
              <w:ind w:right="348"/>
              <w:spacing w:after="0" w:line="149" w:lineRule="exact"/>
              <w:rPr>
                <w:sz w:val="20"/>
                <w:szCs w:val="20"/>
                <w:color w:val="auto"/>
              </w:rPr>
            </w:pPr>
            <w:r>
              <w:rPr>
                <w:rFonts w:ascii="Arial" w:cs="Arial" w:eastAsia="Arial" w:hAnsi="Arial"/>
                <w:sz w:val="14"/>
                <w:szCs w:val="14"/>
                <w:b w:val="1"/>
                <w:bCs w:val="1"/>
                <w:color w:val="auto"/>
                <w:w w:val="91"/>
              </w:rPr>
              <w:t>Expressed in US$</w:t>
            </w:r>
          </w:p>
        </w:tc>
        <w:tc>
          <w:tcPr>
            <w:tcW w:w="1320" w:type="dxa"/>
            <w:vAlign w:val="bottom"/>
            <w:gridSpan w:val="2"/>
          </w:tcPr>
          <w:p>
            <w:pPr>
              <w:jc w:val="center"/>
              <w:ind w:right="168"/>
              <w:spacing w:after="0" w:line="149" w:lineRule="exact"/>
              <w:rPr>
                <w:sz w:val="20"/>
                <w:szCs w:val="20"/>
                <w:color w:val="auto"/>
              </w:rPr>
            </w:pPr>
            <w:r>
              <w:rPr>
                <w:rFonts w:ascii="Arial" w:cs="Arial" w:eastAsia="Arial" w:hAnsi="Arial"/>
                <w:sz w:val="14"/>
                <w:szCs w:val="14"/>
                <w:b w:val="1"/>
                <w:bCs w:val="1"/>
                <w:color w:val="auto"/>
                <w:w w:val="91"/>
              </w:rPr>
              <w:t>Expressed in US$</w:t>
            </w:r>
          </w:p>
        </w:tc>
        <w:tc>
          <w:tcPr>
            <w:tcW w:w="1820" w:type="dxa"/>
            <w:vAlign w:val="bottom"/>
            <w:gridSpan w:val="2"/>
          </w:tcPr>
          <w:p>
            <w:pPr>
              <w:jc w:val="center"/>
              <w:ind w:right="68"/>
              <w:spacing w:after="0" w:line="149" w:lineRule="exact"/>
              <w:rPr>
                <w:sz w:val="20"/>
                <w:szCs w:val="20"/>
                <w:color w:val="auto"/>
              </w:rPr>
            </w:pPr>
            <w:r>
              <w:rPr>
                <w:rFonts w:ascii="Arial" w:cs="Arial" w:eastAsia="Arial" w:hAnsi="Arial"/>
                <w:sz w:val="14"/>
                <w:szCs w:val="14"/>
                <w:b w:val="1"/>
                <w:bCs w:val="1"/>
                <w:color w:val="auto"/>
                <w:w w:val="91"/>
              </w:rPr>
              <w:t>Expressed in US$</w:t>
            </w:r>
          </w:p>
        </w:tc>
        <w:tc>
          <w:tcPr>
            <w:tcW w:w="0" w:type="dxa"/>
            <w:vAlign w:val="bottom"/>
          </w:tcPr>
          <w:p>
            <w:pPr>
              <w:spacing w:after="0"/>
              <w:rPr>
                <w:sz w:val="1"/>
                <w:szCs w:val="1"/>
                <w:color w:val="auto"/>
              </w:rPr>
            </w:pPr>
          </w:p>
        </w:tc>
      </w:tr>
      <w:tr>
        <w:trPr>
          <w:trHeight w:val="171"/>
        </w:trPr>
        <w:tc>
          <w:tcPr>
            <w:tcW w:w="36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FFCC"/>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 vs. 2012</w:t>
            </w:r>
          </w:p>
        </w:tc>
        <w:tc>
          <w:tcPr>
            <w:tcW w:w="440" w:type="dxa"/>
            <w:vAlign w:val="bottom"/>
            <w:tcBorders>
              <w:bottom w:val="single" w:sz="8" w:color="CCFFC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2013 vs. 2012</w:t>
            </w:r>
          </w:p>
        </w:tc>
        <w:tc>
          <w:tcPr>
            <w:tcW w:w="460" w:type="dxa"/>
            <w:vAlign w:val="bottom"/>
            <w:tcBorders>
              <w:bottom w:val="single" w:sz="8" w:color="CCFFC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2013 vs. 2012</w:t>
            </w:r>
          </w:p>
        </w:tc>
        <w:tc>
          <w:tcPr>
            <w:tcW w:w="440" w:type="dxa"/>
            <w:vAlign w:val="bottom"/>
            <w:tcBorders>
              <w:bottom w:val="single" w:sz="8" w:color="CCFFCC"/>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 vs. 2012</w:t>
            </w:r>
          </w:p>
        </w:tc>
        <w:tc>
          <w:tcPr>
            <w:tcW w:w="240" w:type="dxa"/>
            <w:vAlign w:val="bottom"/>
            <w:tcBorders>
              <w:bottom w:val="single" w:sz="8" w:color="CCFFCC"/>
            </w:tcBorders>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2013 vs. 2012 (4)</w:t>
            </w:r>
          </w:p>
        </w:tc>
        <w:tc>
          <w:tcPr>
            <w:tcW w:w="140" w:type="dxa"/>
            <w:vAlign w:val="bottom"/>
            <w:tcBorders>
              <w:bottom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2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Adjusted interest income (1)</w:t>
            </w:r>
          </w:p>
        </w:tc>
        <w:tc>
          <w:tcPr>
            <w:tcW w:w="80" w:type="dxa"/>
            <w:vAlign w:val="bottom"/>
            <w:shd w:val="clear" w:color="auto" w:fill="CCFFCC"/>
          </w:tcPr>
          <w:p>
            <w:pPr>
              <w:spacing w:after="0"/>
              <w:rPr>
                <w:sz w:val="12"/>
                <w:szCs w:val="12"/>
                <w:color w:val="auto"/>
              </w:rPr>
            </w:pPr>
          </w:p>
        </w:tc>
        <w:tc>
          <w:tcPr>
            <w:tcW w:w="1560" w:type="dxa"/>
            <w:vAlign w:val="bottom"/>
            <w:gridSpan w:val="2"/>
            <w:shd w:val="clear" w:color="auto" w:fill="CCFFCC"/>
          </w:tcPr>
          <w:p>
            <w:pPr>
              <w:ind w:left="860"/>
              <w:spacing w:after="0" w:line="142" w:lineRule="exact"/>
              <w:rPr>
                <w:sz w:val="20"/>
                <w:szCs w:val="20"/>
                <w:color w:val="auto"/>
              </w:rPr>
            </w:pPr>
            <w:r>
              <w:rPr>
                <w:rFonts w:ascii="Arial" w:cs="Arial" w:eastAsia="Arial" w:hAnsi="Arial"/>
                <w:sz w:val="14"/>
                <w:szCs w:val="14"/>
                <w:color w:val="auto"/>
              </w:rPr>
              <w:t>27.8%</w:t>
            </w:r>
          </w:p>
        </w:tc>
        <w:tc>
          <w:tcPr>
            <w:tcW w:w="1520" w:type="dxa"/>
            <w:vAlign w:val="bottom"/>
            <w:gridSpan w:val="2"/>
            <w:shd w:val="clear" w:color="auto" w:fill="CCFFCC"/>
          </w:tcPr>
          <w:p>
            <w:pPr>
              <w:ind w:left="820"/>
              <w:spacing w:after="0" w:line="142" w:lineRule="exact"/>
              <w:rPr>
                <w:sz w:val="20"/>
                <w:szCs w:val="20"/>
                <w:color w:val="auto"/>
              </w:rPr>
            </w:pPr>
            <w:r>
              <w:rPr>
                <w:rFonts w:ascii="Arial" w:cs="Arial" w:eastAsia="Arial" w:hAnsi="Arial"/>
                <w:sz w:val="14"/>
                <w:szCs w:val="14"/>
                <w:color w:val="auto"/>
              </w:rPr>
              <w:t>16.6%</w:t>
            </w:r>
          </w:p>
        </w:tc>
        <w:tc>
          <w:tcPr>
            <w:tcW w:w="1500" w:type="dxa"/>
            <w:vAlign w:val="bottom"/>
            <w:gridSpan w:val="2"/>
            <w:shd w:val="clear" w:color="auto" w:fill="CCFFCC"/>
          </w:tcPr>
          <w:p>
            <w:pPr>
              <w:jc w:val="right"/>
              <w:ind w:right="248"/>
              <w:spacing w:after="0" w:line="142" w:lineRule="exact"/>
              <w:rPr>
                <w:sz w:val="20"/>
                <w:szCs w:val="20"/>
                <w:color w:val="auto"/>
              </w:rPr>
            </w:pPr>
            <w:r>
              <w:rPr>
                <w:rFonts w:ascii="Arial" w:cs="Arial" w:eastAsia="Arial" w:hAnsi="Arial"/>
                <w:sz w:val="14"/>
                <w:szCs w:val="14"/>
                <w:color w:val="auto"/>
              </w:rPr>
              <w:t>7.2%</w:t>
            </w:r>
          </w:p>
        </w:tc>
        <w:tc>
          <w:tcPr>
            <w:tcW w:w="1320" w:type="dxa"/>
            <w:vAlign w:val="bottom"/>
            <w:gridSpan w:val="2"/>
            <w:shd w:val="clear" w:color="auto" w:fill="CCFFCC"/>
          </w:tcPr>
          <w:p>
            <w:pPr>
              <w:ind w:left="820"/>
              <w:spacing w:after="0" w:line="142" w:lineRule="exact"/>
              <w:rPr>
                <w:sz w:val="20"/>
                <w:szCs w:val="20"/>
                <w:color w:val="auto"/>
              </w:rPr>
            </w:pPr>
            <w:r>
              <w:rPr>
                <w:rFonts w:ascii="Arial" w:cs="Arial" w:eastAsia="Arial" w:hAnsi="Arial"/>
                <w:sz w:val="14"/>
                <w:szCs w:val="14"/>
                <w:color w:val="auto"/>
              </w:rPr>
              <w:t>13.7%</w:t>
            </w:r>
          </w:p>
        </w:tc>
        <w:tc>
          <w:tcPr>
            <w:tcW w:w="16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rPr>
                <w:sz w:val="20"/>
                <w:szCs w:val="20"/>
                <w:color w:val="auto"/>
              </w:rPr>
            </w:pPr>
            <w:r>
              <w:rPr>
                <w:rFonts w:ascii="Arial" w:cs="Arial" w:eastAsia="Arial" w:hAnsi="Arial"/>
                <w:sz w:val="14"/>
                <w:szCs w:val="14"/>
                <w:color w:val="auto"/>
              </w:rPr>
              <w:t>Adjusted interest expenses (2)</w:t>
            </w:r>
          </w:p>
        </w:tc>
        <w:tc>
          <w:tcPr>
            <w:tcW w:w="1640" w:type="dxa"/>
            <w:vAlign w:val="bottom"/>
            <w:gridSpan w:val="3"/>
          </w:tcPr>
          <w:p>
            <w:pPr>
              <w:ind w:left="940"/>
              <w:spacing w:after="0"/>
              <w:rPr>
                <w:sz w:val="20"/>
                <w:szCs w:val="20"/>
                <w:color w:val="auto"/>
              </w:rPr>
            </w:pPr>
            <w:r>
              <w:rPr>
                <w:rFonts w:ascii="Arial" w:cs="Arial" w:eastAsia="Arial" w:hAnsi="Arial"/>
                <w:sz w:val="14"/>
                <w:szCs w:val="14"/>
                <w:color w:val="auto"/>
              </w:rPr>
              <w:t>25.0%</w:t>
            </w:r>
          </w:p>
        </w:tc>
        <w:tc>
          <w:tcPr>
            <w:tcW w:w="1520" w:type="dxa"/>
            <w:vAlign w:val="bottom"/>
            <w:gridSpan w:val="2"/>
          </w:tcPr>
          <w:p>
            <w:pPr>
              <w:ind w:left="820"/>
              <w:spacing w:after="0"/>
              <w:rPr>
                <w:sz w:val="20"/>
                <w:szCs w:val="20"/>
                <w:color w:val="auto"/>
              </w:rPr>
            </w:pPr>
            <w:r>
              <w:rPr>
                <w:rFonts w:ascii="Arial" w:cs="Arial" w:eastAsia="Arial" w:hAnsi="Arial"/>
                <w:sz w:val="14"/>
                <w:szCs w:val="14"/>
                <w:color w:val="auto"/>
              </w:rPr>
              <w:t>14.1%</w:t>
            </w:r>
          </w:p>
        </w:tc>
        <w:tc>
          <w:tcPr>
            <w:tcW w:w="1500" w:type="dxa"/>
            <w:vAlign w:val="bottom"/>
            <w:gridSpan w:val="2"/>
          </w:tcPr>
          <w:p>
            <w:pPr>
              <w:jc w:val="right"/>
              <w:ind w:right="248"/>
              <w:spacing w:after="0"/>
              <w:rPr>
                <w:sz w:val="20"/>
                <w:szCs w:val="20"/>
                <w:color w:val="auto"/>
              </w:rPr>
            </w:pPr>
            <w:r>
              <w:rPr>
                <w:rFonts w:ascii="Arial" w:cs="Arial" w:eastAsia="Arial" w:hAnsi="Arial"/>
                <w:sz w:val="14"/>
                <w:szCs w:val="14"/>
                <w:color w:val="auto"/>
              </w:rPr>
              <w:t>11.2%</w:t>
            </w:r>
          </w:p>
        </w:tc>
        <w:tc>
          <w:tcPr>
            <w:tcW w:w="1320" w:type="dxa"/>
            <w:vAlign w:val="bottom"/>
            <w:gridSpan w:val="2"/>
          </w:tcPr>
          <w:p>
            <w:pPr>
              <w:ind w:left="820"/>
              <w:spacing w:after="0"/>
              <w:rPr>
                <w:sz w:val="20"/>
                <w:szCs w:val="20"/>
                <w:color w:val="auto"/>
              </w:rPr>
            </w:pPr>
            <w:r>
              <w:rPr>
                <w:rFonts w:ascii="Arial" w:cs="Arial" w:eastAsia="Arial" w:hAnsi="Arial"/>
                <w:sz w:val="14"/>
                <w:szCs w:val="14"/>
                <w:color w:val="auto"/>
              </w:rPr>
              <w:t>12.3%</w:t>
            </w: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20" w:type="dxa"/>
            <w:vAlign w:val="bottom"/>
            <w:tcBorders>
              <w:top w:val="single" w:sz="8" w:color="CCFFCC"/>
            </w:tcBorders>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Adjusted Net interest income (1)(2)(3)</w:t>
            </w:r>
          </w:p>
        </w:tc>
        <w:tc>
          <w:tcPr>
            <w:tcW w:w="80" w:type="dxa"/>
            <w:vAlign w:val="bottom"/>
            <w:tcBorders>
              <w:top w:val="single" w:sz="8" w:color="CCFFCC"/>
            </w:tcBorders>
            <w:shd w:val="clear" w:color="auto" w:fill="CCFFCC"/>
          </w:tcPr>
          <w:p>
            <w:pPr>
              <w:spacing w:after="0"/>
              <w:rPr>
                <w:sz w:val="12"/>
                <w:szCs w:val="12"/>
                <w:color w:val="auto"/>
              </w:rPr>
            </w:pPr>
          </w:p>
        </w:tc>
        <w:tc>
          <w:tcPr>
            <w:tcW w:w="1120" w:type="dxa"/>
            <w:vAlign w:val="bottom"/>
            <w:tcBorders>
              <w:top w:val="single" w:sz="8" w:color="auto"/>
              <w:bottom w:val="single" w:sz="8" w:color="auto"/>
            </w:tcBorders>
            <w:shd w:val="clear" w:color="auto" w:fill="CCFFCC"/>
          </w:tcPr>
          <w:p>
            <w:pPr>
              <w:ind w:left="860"/>
              <w:spacing w:after="0" w:line="142" w:lineRule="exact"/>
              <w:rPr>
                <w:sz w:val="20"/>
                <w:szCs w:val="20"/>
                <w:color w:val="auto"/>
              </w:rPr>
            </w:pPr>
            <w:r>
              <w:rPr>
                <w:rFonts w:ascii="Arial" w:cs="Arial" w:eastAsia="Arial" w:hAnsi="Arial"/>
                <w:sz w:val="14"/>
                <w:szCs w:val="14"/>
                <w:b w:val="1"/>
                <w:bCs w:val="1"/>
                <w:color w:val="auto"/>
                <w:w w:val="87"/>
              </w:rPr>
              <w:t>28.2</w:t>
            </w:r>
          </w:p>
        </w:tc>
        <w:tc>
          <w:tcPr>
            <w:tcW w:w="440" w:type="dxa"/>
            <w:vAlign w:val="bottom"/>
            <w:tcBorders>
              <w:top w:val="single" w:sz="8" w:color="CCFFCC"/>
            </w:tcBorders>
            <w:shd w:val="clear" w:color="auto" w:fill="CCFFCC"/>
          </w:tcPr>
          <w:p>
            <w:pPr>
              <w:jc w:val="right"/>
              <w:ind w:right="8"/>
              <w:spacing w:after="0" w:line="142" w:lineRule="exact"/>
              <w:rPr>
                <w:sz w:val="20"/>
                <w:szCs w:val="20"/>
                <w:color w:val="auto"/>
              </w:rPr>
            </w:pPr>
            <w:r>
              <w:rPr>
                <w:rFonts w:ascii="Arial" w:cs="Arial" w:eastAsia="Arial" w:hAnsi="Arial"/>
                <w:sz w:val="14"/>
                <w:szCs w:val="14"/>
                <w:b w:val="1"/>
                <w:bCs w:val="1"/>
                <w:color w:val="auto"/>
              </w:rPr>
              <w:t>%  ®</w:t>
            </w:r>
          </w:p>
        </w:tc>
        <w:tc>
          <w:tcPr>
            <w:tcW w:w="1060" w:type="dxa"/>
            <w:vAlign w:val="bottom"/>
            <w:tcBorders>
              <w:top w:val="single" w:sz="8" w:color="auto"/>
              <w:bottom w:val="single" w:sz="8" w:color="auto"/>
            </w:tcBorders>
            <w:shd w:val="clear" w:color="auto" w:fill="CCFFCC"/>
          </w:tcPr>
          <w:p>
            <w:pPr>
              <w:ind w:left="820"/>
              <w:spacing w:after="0" w:line="142" w:lineRule="exact"/>
              <w:rPr>
                <w:sz w:val="20"/>
                <w:szCs w:val="20"/>
                <w:color w:val="auto"/>
              </w:rPr>
            </w:pPr>
            <w:r>
              <w:rPr>
                <w:rFonts w:ascii="Arial" w:cs="Arial" w:eastAsia="Arial" w:hAnsi="Arial"/>
                <w:sz w:val="14"/>
                <w:szCs w:val="14"/>
                <w:b w:val="1"/>
                <w:bCs w:val="1"/>
                <w:color w:val="auto"/>
                <w:w w:val="80"/>
              </w:rPr>
              <w:t>17.0</w:t>
            </w:r>
          </w:p>
        </w:tc>
        <w:tc>
          <w:tcPr>
            <w:tcW w:w="46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rPr>
              <w:t>%  +</w:t>
            </w:r>
          </w:p>
        </w:tc>
        <w:tc>
          <w:tcPr>
            <w:tcW w:w="10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2.6</w:t>
            </w:r>
          </w:p>
        </w:tc>
        <w:tc>
          <w:tcPr>
            <w:tcW w:w="440" w:type="dxa"/>
            <w:vAlign w:val="bottom"/>
            <w:tcBorders>
              <w:top w:val="single" w:sz="8" w:color="CCFFCC"/>
            </w:tcBorders>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rPr>
              <w:t>%  =</w:t>
            </w:r>
          </w:p>
        </w:tc>
        <w:tc>
          <w:tcPr>
            <w:tcW w:w="1080" w:type="dxa"/>
            <w:vAlign w:val="bottom"/>
            <w:tcBorders>
              <w:top w:val="single" w:sz="8" w:color="auto"/>
              <w:bottom w:val="single" w:sz="8" w:color="auto"/>
            </w:tcBorders>
            <w:shd w:val="clear" w:color="auto" w:fill="CCFFCC"/>
          </w:tcPr>
          <w:p>
            <w:pPr>
              <w:ind w:left="820"/>
              <w:spacing w:after="0" w:line="142" w:lineRule="exact"/>
              <w:rPr>
                <w:sz w:val="20"/>
                <w:szCs w:val="20"/>
                <w:color w:val="auto"/>
              </w:rPr>
            </w:pPr>
            <w:r>
              <w:rPr>
                <w:rFonts w:ascii="Arial" w:cs="Arial" w:eastAsia="Arial" w:hAnsi="Arial"/>
                <w:sz w:val="14"/>
                <w:szCs w:val="14"/>
                <w:b w:val="1"/>
                <w:bCs w:val="1"/>
                <w:color w:val="auto"/>
                <w:w w:val="87"/>
              </w:rPr>
              <w:t>14.2</w:t>
            </w:r>
          </w:p>
        </w:tc>
        <w:tc>
          <w:tcPr>
            <w:tcW w:w="240" w:type="dxa"/>
            <w:vAlign w:val="bottom"/>
            <w:tcBorders>
              <w:top w:val="single" w:sz="8" w:color="CCFFCC"/>
            </w:tcBorders>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16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24.1</w:t>
            </w:r>
          </w:p>
        </w:tc>
        <w:tc>
          <w:tcPr>
            <w:tcW w:w="14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57"/>
        </w:trPr>
        <w:tc>
          <w:tcPr>
            <w:tcW w:w="3620" w:type="dxa"/>
            <w:vAlign w:val="bottom"/>
          </w:tcPr>
          <w:p>
            <w:pPr>
              <w:spacing w:after="0" w:line="157" w:lineRule="exact"/>
              <w:rPr>
                <w:sz w:val="20"/>
                <w:szCs w:val="20"/>
                <w:color w:val="auto"/>
              </w:rPr>
            </w:pPr>
            <w:r>
              <w:rPr>
                <w:rFonts w:ascii="Arial" w:cs="Arial" w:eastAsia="Arial" w:hAnsi="Arial"/>
                <w:sz w:val="14"/>
                <w:szCs w:val="14"/>
                <w:b w:val="1"/>
                <w:bCs w:val="1"/>
                <w:color w:val="auto"/>
              </w:rPr>
              <w:t>Reported Net interest income</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20" w:type="dxa"/>
            <w:vAlign w:val="bottom"/>
            <w:gridSpan w:val="2"/>
          </w:tcPr>
          <w:p>
            <w:pPr>
              <w:ind w:left="820"/>
              <w:spacing w:after="0" w:line="157" w:lineRule="exact"/>
              <w:rPr>
                <w:sz w:val="20"/>
                <w:szCs w:val="20"/>
                <w:color w:val="auto"/>
              </w:rPr>
            </w:pPr>
            <w:r>
              <w:rPr>
                <w:rFonts w:ascii="Arial" w:cs="Arial" w:eastAsia="Arial" w:hAnsi="Arial"/>
                <w:sz w:val="14"/>
                <w:szCs w:val="14"/>
                <w:b w:val="1"/>
                <w:bCs w:val="1"/>
                <w:color w:val="auto"/>
              </w:rPr>
              <w:t>13.1%</w:t>
            </w:r>
          </w:p>
        </w:tc>
        <w:tc>
          <w:tcPr>
            <w:tcW w:w="1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5262245</wp:posOffset>
            </wp:positionH>
            <wp:positionV relativeFrom="paragraph">
              <wp:posOffset>-8890</wp:posOffset>
            </wp:positionV>
            <wp:extent cx="6775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 Converted at Nuevos Soles at Q-end exchange rate.</w:t>
      </w:r>
    </w:p>
    <w:p>
      <w:pPr>
        <w:spacing w:after="0" w:line="7"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Interest income reported - Other income. Other income includes the gain on valuation of derivatives generated by the devaluation of the Nuevo Sol.</w:t>
      </w:r>
    </w:p>
    <w:p>
      <w:pPr>
        <w:spacing w:after="0" w:line="20" w:lineRule="exact"/>
        <w:rPr>
          <w:rFonts w:ascii="Arial" w:cs="Arial" w:eastAsia="Arial" w:hAnsi="Arial"/>
          <w:sz w:val="17"/>
          <w:szCs w:val="17"/>
          <w:i w:val="1"/>
          <w:iCs w:val="1"/>
          <w:color w:val="auto"/>
        </w:rPr>
      </w:pPr>
    </w:p>
    <w:p>
      <w:pPr>
        <w:ind w:right="120" w:firstLine="8"/>
        <w:spacing w:after="0" w:line="250" w:lineRule="auto"/>
        <w:tabs>
          <w:tab w:leader="none" w:pos="25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Interest expenses reported - Other expenses. Other expenses includes the loss in valuation of derivatives linked to the loss in structural forward contracts for US$ 32.9 million in 2Q13 and US$ 11.7 million in 1Q13.</w:t>
      </w:r>
    </w:p>
    <w:p>
      <w:pPr>
        <w:ind w:left="260" w:hanging="252"/>
        <w:spacing w:after="0"/>
        <w:tabs>
          <w:tab w:leader="none" w:pos="2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84.1% of adjusted Net interest income is generated in local currency.</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Calculated by adding up the weighted % change of each currency.</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such, the adjusted NII in LC, which represents 84.1% of total NII, grew 28.2% YoY while the adjusted NII denominated in US dollars reported a very modest 2.6% increase. All of the aforementioned was attributable to the excellent evolution of the loan portfolio, which when measured in BCP’s average daily balances, indicates growth of 32.7% in LC and 3.1% in FC.</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this context Credicorp’s NII, without including the distorting effect of devaluation, reported a risk-weighted increase of approximately 24% YoY, which is significantly higher than the 13.1% growth reported in US Dollars. This coincides with the real weighted growth of approximately 17.3% in the loan portfolio (BCP’s portfolio, Credicorp’s main asset) and is further evidence that margins have improved due to the Bank’s focus on growing income rather than the portfolio, and thanks to a migration of funds to the local currency portfolio and interest rate increases.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Moreover, despite the significant increase in provisions in 2013 (+20%), NII after provisions also grew 11%. This is proof that the Bank’s move to correct prices to reflect and compensate for higher risks was effective.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center"/>
              <w:ind w:right="368"/>
              <w:spacing w:after="0"/>
              <w:rPr>
                <w:sz w:val="20"/>
                <w:szCs w:val="20"/>
                <w:color w:val="auto"/>
              </w:rPr>
            </w:pPr>
            <w:r>
              <w:rPr>
                <w:rFonts w:ascii="Arial" w:cs="Arial" w:eastAsia="Arial" w:hAnsi="Arial"/>
                <w:sz w:val="14"/>
                <w:szCs w:val="14"/>
                <w:b w:val="1"/>
                <w:bCs w:val="1"/>
                <w:color w:val="auto"/>
              </w:rPr>
              <w:t>% Change LC *</w:t>
            </w:r>
          </w:p>
        </w:tc>
        <w:tc>
          <w:tcPr>
            <w:tcW w:w="1520" w:type="dxa"/>
            <w:vAlign w:val="bottom"/>
            <w:gridSpan w:val="2"/>
          </w:tcPr>
          <w:p>
            <w:pPr>
              <w:jc w:val="center"/>
              <w:ind w:right="368"/>
              <w:spacing w:after="0"/>
              <w:rPr>
                <w:sz w:val="20"/>
                <w:szCs w:val="20"/>
                <w:color w:val="auto"/>
              </w:rPr>
            </w:pPr>
            <w:r>
              <w:rPr>
                <w:rFonts w:ascii="Arial" w:cs="Arial" w:eastAsia="Arial" w:hAnsi="Arial"/>
                <w:sz w:val="14"/>
                <w:szCs w:val="14"/>
                <w:b w:val="1"/>
                <w:bCs w:val="1"/>
                <w:color w:val="auto"/>
                <w:w w:val="97"/>
              </w:rPr>
              <w:t>% Change LC</w:t>
            </w:r>
          </w:p>
        </w:tc>
        <w:tc>
          <w:tcPr>
            <w:tcW w:w="1500" w:type="dxa"/>
            <w:vAlign w:val="bottom"/>
            <w:gridSpan w:val="2"/>
          </w:tcPr>
          <w:p>
            <w:pPr>
              <w:jc w:val="center"/>
              <w:ind w:right="388"/>
              <w:spacing w:after="0"/>
              <w:rPr>
                <w:sz w:val="20"/>
                <w:szCs w:val="20"/>
                <w:color w:val="auto"/>
              </w:rPr>
            </w:pPr>
            <w:r>
              <w:rPr>
                <w:rFonts w:ascii="Arial" w:cs="Arial" w:eastAsia="Arial" w:hAnsi="Arial"/>
                <w:sz w:val="14"/>
                <w:szCs w:val="14"/>
                <w:b w:val="1"/>
                <w:bCs w:val="1"/>
                <w:color w:val="auto"/>
                <w:w w:val="97"/>
              </w:rPr>
              <w:t>% Change FC</w:t>
            </w:r>
          </w:p>
        </w:tc>
        <w:tc>
          <w:tcPr>
            <w:tcW w:w="132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95"/>
              </w:rPr>
              <w:t>% Total Change</w:t>
            </w:r>
          </w:p>
        </w:tc>
        <w:tc>
          <w:tcPr>
            <w:tcW w:w="182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w w:val="94"/>
              </w:rPr>
              <w:t>Combined % Total Change</w:t>
            </w:r>
          </w:p>
        </w:tc>
        <w:tc>
          <w:tcPr>
            <w:tcW w:w="0" w:type="dxa"/>
            <w:vAlign w:val="bottom"/>
          </w:tcPr>
          <w:p>
            <w:pPr>
              <w:spacing w:after="0"/>
              <w:rPr>
                <w:sz w:val="1"/>
                <w:szCs w:val="1"/>
                <w:color w:val="auto"/>
              </w:rPr>
            </w:pPr>
          </w:p>
        </w:tc>
      </w:tr>
      <w:tr>
        <w:trPr>
          <w:trHeight w:val="149"/>
        </w:trPr>
        <w:tc>
          <w:tcPr>
            <w:tcW w:w="3620" w:type="dxa"/>
            <w:vAlign w:val="bottom"/>
            <w:vMerge w:val="restart"/>
          </w:tcPr>
          <w:p>
            <w:pPr>
              <w:spacing w:after="0"/>
              <w:rPr>
                <w:sz w:val="20"/>
                <w:szCs w:val="20"/>
                <w:color w:val="auto"/>
              </w:rPr>
            </w:pPr>
            <w:r>
              <w:rPr>
                <w:rFonts w:ascii="Arial" w:cs="Arial" w:eastAsia="Arial" w:hAnsi="Arial"/>
                <w:sz w:val="14"/>
                <w:szCs w:val="14"/>
                <w:b w:val="1"/>
                <w:bCs w:val="1"/>
                <w:color w:val="auto"/>
              </w:rPr>
              <w:t>BAP</w:t>
            </w:r>
          </w:p>
        </w:tc>
        <w:tc>
          <w:tcPr>
            <w:tcW w:w="1640" w:type="dxa"/>
            <w:vAlign w:val="bottom"/>
            <w:gridSpan w:val="3"/>
          </w:tcPr>
          <w:p>
            <w:pPr>
              <w:jc w:val="center"/>
              <w:ind w:right="288"/>
              <w:spacing w:after="0" w:line="149" w:lineRule="exact"/>
              <w:rPr>
                <w:sz w:val="20"/>
                <w:szCs w:val="20"/>
                <w:color w:val="auto"/>
              </w:rPr>
            </w:pPr>
            <w:r>
              <w:rPr>
                <w:rFonts w:ascii="Arial" w:cs="Arial" w:eastAsia="Arial" w:hAnsi="Arial"/>
                <w:sz w:val="14"/>
                <w:szCs w:val="14"/>
                <w:b w:val="1"/>
                <w:bCs w:val="1"/>
                <w:color w:val="auto"/>
                <w:w w:val="93"/>
              </w:rPr>
              <w:t>Expressed in PEN</w:t>
            </w:r>
          </w:p>
        </w:tc>
        <w:tc>
          <w:tcPr>
            <w:tcW w:w="1520" w:type="dxa"/>
            <w:vAlign w:val="bottom"/>
            <w:gridSpan w:val="2"/>
          </w:tcPr>
          <w:p>
            <w:pPr>
              <w:jc w:val="center"/>
              <w:ind w:right="368"/>
              <w:spacing w:after="0" w:line="149" w:lineRule="exact"/>
              <w:rPr>
                <w:sz w:val="20"/>
                <w:szCs w:val="20"/>
                <w:color w:val="auto"/>
              </w:rPr>
            </w:pPr>
            <w:r>
              <w:rPr>
                <w:rFonts w:ascii="Arial" w:cs="Arial" w:eastAsia="Arial" w:hAnsi="Arial"/>
                <w:sz w:val="14"/>
                <w:szCs w:val="14"/>
                <w:b w:val="1"/>
                <w:bCs w:val="1"/>
                <w:color w:val="auto"/>
                <w:w w:val="91"/>
              </w:rPr>
              <w:t>Expressed in US$</w:t>
            </w:r>
          </w:p>
        </w:tc>
        <w:tc>
          <w:tcPr>
            <w:tcW w:w="1500" w:type="dxa"/>
            <w:vAlign w:val="bottom"/>
            <w:gridSpan w:val="2"/>
          </w:tcPr>
          <w:p>
            <w:pPr>
              <w:jc w:val="center"/>
              <w:ind w:right="348"/>
              <w:spacing w:after="0" w:line="149" w:lineRule="exact"/>
              <w:rPr>
                <w:sz w:val="20"/>
                <w:szCs w:val="20"/>
                <w:color w:val="auto"/>
              </w:rPr>
            </w:pPr>
            <w:r>
              <w:rPr>
                <w:rFonts w:ascii="Arial" w:cs="Arial" w:eastAsia="Arial" w:hAnsi="Arial"/>
                <w:sz w:val="14"/>
                <w:szCs w:val="14"/>
                <w:b w:val="1"/>
                <w:bCs w:val="1"/>
                <w:color w:val="auto"/>
                <w:w w:val="91"/>
              </w:rPr>
              <w:t>Expressed in US$</w:t>
            </w:r>
          </w:p>
        </w:tc>
        <w:tc>
          <w:tcPr>
            <w:tcW w:w="1320" w:type="dxa"/>
            <w:vAlign w:val="bottom"/>
            <w:gridSpan w:val="2"/>
          </w:tcPr>
          <w:p>
            <w:pPr>
              <w:jc w:val="center"/>
              <w:ind w:right="168"/>
              <w:spacing w:after="0" w:line="149" w:lineRule="exact"/>
              <w:rPr>
                <w:sz w:val="20"/>
                <w:szCs w:val="20"/>
                <w:color w:val="auto"/>
              </w:rPr>
            </w:pPr>
            <w:r>
              <w:rPr>
                <w:rFonts w:ascii="Arial" w:cs="Arial" w:eastAsia="Arial" w:hAnsi="Arial"/>
                <w:sz w:val="14"/>
                <w:szCs w:val="14"/>
                <w:b w:val="1"/>
                <w:bCs w:val="1"/>
                <w:color w:val="auto"/>
                <w:w w:val="91"/>
              </w:rPr>
              <w:t>Expressed in US$</w:t>
            </w:r>
          </w:p>
        </w:tc>
        <w:tc>
          <w:tcPr>
            <w:tcW w:w="1820" w:type="dxa"/>
            <w:vAlign w:val="bottom"/>
            <w:gridSpan w:val="2"/>
          </w:tcPr>
          <w:p>
            <w:pPr>
              <w:jc w:val="center"/>
              <w:ind w:right="68"/>
              <w:spacing w:after="0" w:line="149" w:lineRule="exact"/>
              <w:rPr>
                <w:sz w:val="20"/>
                <w:szCs w:val="20"/>
                <w:color w:val="auto"/>
              </w:rPr>
            </w:pPr>
            <w:r>
              <w:rPr>
                <w:rFonts w:ascii="Arial" w:cs="Arial" w:eastAsia="Arial" w:hAnsi="Arial"/>
                <w:sz w:val="14"/>
                <w:szCs w:val="14"/>
                <w:b w:val="1"/>
                <w:bCs w:val="1"/>
                <w:color w:val="auto"/>
                <w:w w:val="91"/>
              </w:rPr>
              <w:t>Expressed in US$</w:t>
            </w:r>
          </w:p>
        </w:tc>
        <w:tc>
          <w:tcPr>
            <w:tcW w:w="0" w:type="dxa"/>
            <w:vAlign w:val="bottom"/>
          </w:tcPr>
          <w:p>
            <w:pPr>
              <w:spacing w:after="0"/>
              <w:rPr>
                <w:sz w:val="1"/>
                <w:szCs w:val="1"/>
                <w:color w:val="auto"/>
              </w:rPr>
            </w:pPr>
          </w:p>
        </w:tc>
      </w:tr>
      <w:tr>
        <w:trPr>
          <w:trHeight w:val="171"/>
        </w:trPr>
        <w:tc>
          <w:tcPr>
            <w:tcW w:w="36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FFCC"/>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 vs. 2012</w:t>
            </w:r>
          </w:p>
        </w:tc>
        <w:tc>
          <w:tcPr>
            <w:tcW w:w="440" w:type="dxa"/>
            <w:vAlign w:val="bottom"/>
            <w:tcBorders>
              <w:bottom w:val="single" w:sz="8" w:color="CCFFC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2013 vs. 2012</w:t>
            </w:r>
          </w:p>
        </w:tc>
        <w:tc>
          <w:tcPr>
            <w:tcW w:w="460" w:type="dxa"/>
            <w:vAlign w:val="bottom"/>
            <w:tcBorders>
              <w:bottom w:val="single" w:sz="8" w:color="CCFFC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2013 vs. 2012</w:t>
            </w:r>
          </w:p>
        </w:tc>
        <w:tc>
          <w:tcPr>
            <w:tcW w:w="440" w:type="dxa"/>
            <w:vAlign w:val="bottom"/>
            <w:tcBorders>
              <w:bottom w:val="single" w:sz="8" w:color="CCFFCC"/>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 vs. 2012</w:t>
            </w:r>
          </w:p>
        </w:tc>
        <w:tc>
          <w:tcPr>
            <w:tcW w:w="240" w:type="dxa"/>
            <w:vAlign w:val="bottom"/>
            <w:tcBorders>
              <w:bottom w:val="single" w:sz="8" w:color="CCFFCC"/>
            </w:tcBorders>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2013 vs. 2012 (2)</w:t>
            </w:r>
          </w:p>
        </w:tc>
        <w:tc>
          <w:tcPr>
            <w:tcW w:w="140" w:type="dxa"/>
            <w:vAlign w:val="bottom"/>
            <w:tcBorders>
              <w:bottom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2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Fee income</w:t>
            </w:r>
          </w:p>
        </w:tc>
        <w:tc>
          <w:tcPr>
            <w:tcW w:w="80" w:type="dxa"/>
            <w:vAlign w:val="bottom"/>
            <w:shd w:val="clear" w:color="auto" w:fill="CCFFCC"/>
          </w:tcPr>
          <w:p>
            <w:pPr>
              <w:spacing w:after="0"/>
              <w:rPr>
                <w:sz w:val="12"/>
                <w:szCs w:val="12"/>
                <w:color w:val="auto"/>
              </w:rPr>
            </w:pPr>
          </w:p>
        </w:tc>
        <w:tc>
          <w:tcPr>
            <w:tcW w:w="1560" w:type="dxa"/>
            <w:vAlign w:val="bottom"/>
            <w:gridSpan w:val="2"/>
            <w:shd w:val="clear" w:color="auto" w:fill="CCFFCC"/>
          </w:tcPr>
          <w:p>
            <w:pPr>
              <w:ind w:left="860"/>
              <w:spacing w:after="0" w:line="142" w:lineRule="exact"/>
              <w:rPr>
                <w:sz w:val="20"/>
                <w:szCs w:val="20"/>
                <w:color w:val="auto"/>
              </w:rPr>
            </w:pPr>
            <w:r>
              <w:rPr>
                <w:rFonts w:ascii="Arial" w:cs="Arial" w:eastAsia="Arial" w:hAnsi="Arial"/>
                <w:sz w:val="14"/>
                <w:szCs w:val="14"/>
                <w:color w:val="auto"/>
              </w:rPr>
              <w:t>24.4%</w:t>
            </w:r>
          </w:p>
        </w:tc>
        <w:tc>
          <w:tcPr>
            <w:tcW w:w="1520" w:type="dxa"/>
            <w:vAlign w:val="bottom"/>
            <w:gridSpan w:val="2"/>
            <w:shd w:val="clear" w:color="auto" w:fill="CCFFCC"/>
          </w:tcPr>
          <w:p>
            <w:pPr>
              <w:ind w:left="820"/>
              <w:spacing w:after="0" w:line="142" w:lineRule="exact"/>
              <w:rPr>
                <w:sz w:val="20"/>
                <w:szCs w:val="20"/>
                <w:color w:val="auto"/>
              </w:rPr>
            </w:pPr>
            <w:r>
              <w:rPr>
                <w:rFonts w:ascii="Arial" w:cs="Arial" w:eastAsia="Arial" w:hAnsi="Arial"/>
                <w:sz w:val="14"/>
                <w:szCs w:val="14"/>
                <w:color w:val="auto"/>
              </w:rPr>
              <w:t>13.5%</w:t>
            </w:r>
          </w:p>
        </w:tc>
        <w:tc>
          <w:tcPr>
            <w:tcW w:w="1500" w:type="dxa"/>
            <w:vAlign w:val="bottom"/>
            <w:gridSpan w:val="2"/>
            <w:shd w:val="clear" w:color="auto" w:fill="CCFFCC"/>
          </w:tcPr>
          <w:p>
            <w:pPr>
              <w:jc w:val="right"/>
              <w:ind w:right="248"/>
              <w:spacing w:after="0" w:line="142" w:lineRule="exact"/>
              <w:rPr>
                <w:sz w:val="20"/>
                <w:szCs w:val="20"/>
                <w:color w:val="auto"/>
              </w:rPr>
            </w:pPr>
            <w:r>
              <w:rPr>
                <w:rFonts w:ascii="Arial" w:cs="Arial" w:eastAsia="Arial" w:hAnsi="Arial"/>
                <w:sz w:val="14"/>
                <w:szCs w:val="14"/>
                <w:color w:val="auto"/>
              </w:rPr>
              <w:t>11.5%</w:t>
            </w:r>
          </w:p>
        </w:tc>
        <w:tc>
          <w:tcPr>
            <w:tcW w:w="1320" w:type="dxa"/>
            <w:vAlign w:val="bottom"/>
            <w:gridSpan w:val="2"/>
            <w:shd w:val="clear" w:color="auto" w:fill="CCFFCC"/>
          </w:tcPr>
          <w:p>
            <w:pPr>
              <w:ind w:left="820"/>
              <w:spacing w:after="0" w:line="142" w:lineRule="exact"/>
              <w:rPr>
                <w:sz w:val="20"/>
                <w:szCs w:val="20"/>
                <w:color w:val="auto"/>
              </w:rPr>
            </w:pPr>
            <w:r>
              <w:rPr>
                <w:rFonts w:ascii="Arial" w:cs="Arial" w:eastAsia="Arial" w:hAnsi="Arial"/>
                <w:sz w:val="14"/>
                <w:szCs w:val="14"/>
                <w:color w:val="auto"/>
              </w:rPr>
              <w:t>13.0%</w:t>
            </w:r>
          </w:p>
        </w:tc>
        <w:tc>
          <w:tcPr>
            <w:tcW w:w="16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line="149" w:lineRule="exact"/>
              <w:rPr>
                <w:sz w:val="20"/>
                <w:szCs w:val="20"/>
                <w:color w:val="auto"/>
              </w:rPr>
            </w:pPr>
            <w:r>
              <w:rPr>
                <w:rFonts w:ascii="Arial" w:cs="Arial" w:eastAsia="Arial" w:hAnsi="Arial"/>
                <w:sz w:val="14"/>
                <w:szCs w:val="14"/>
                <w:color w:val="auto"/>
              </w:rPr>
              <w:t>Net gain on foreign exchange transaction</w:t>
            </w:r>
          </w:p>
        </w:tc>
        <w:tc>
          <w:tcPr>
            <w:tcW w:w="1640" w:type="dxa"/>
            <w:vAlign w:val="bottom"/>
            <w:gridSpan w:val="3"/>
          </w:tcPr>
          <w:p>
            <w:pPr>
              <w:ind w:left="940"/>
              <w:spacing w:after="0" w:line="149" w:lineRule="exact"/>
              <w:rPr>
                <w:sz w:val="20"/>
                <w:szCs w:val="20"/>
                <w:color w:val="auto"/>
              </w:rPr>
            </w:pPr>
            <w:r>
              <w:rPr>
                <w:rFonts w:ascii="Arial" w:cs="Arial" w:eastAsia="Arial" w:hAnsi="Arial"/>
                <w:sz w:val="14"/>
                <w:szCs w:val="14"/>
                <w:color w:val="auto"/>
              </w:rPr>
              <w:t>24.0%</w:t>
            </w:r>
          </w:p>
        </w:tc>
        <w:tc>
          <w:tcPr>
            <w:tcW w:w="1520" w:type="dxa"/>
            <w:vAlign w:val="bottom"/>
            <w:gridSpan w:val="2"/>
          </w:tcPr>
          <w:p>
            <w:pPr>
              <w:ind w:left="820"/>
              <w:spacing w:after="0" w:line="149" w:lineRule="exact"/>
              <w:rPr>
                <w:sz w:val="20"/>
                <w:szCs w:val="20"/>
                <w:color w:val="auto"/>
              </w:rPr>
            </w:pPr>
            <w:r>
              <w:rPr>
                <w:rFonts w:ascii="Arial" w:cs="Arial" w:eastAsia="Arial" w:hAnsi="Arial"/>
                <w:sz w:val="14"/>
                <w:szCs w:val="14"/>
                <w:color w:val="auto"/>
              </w:rPr>
              <w:t>13.1%</w:t>
            </w:r>
          </w:p>
        </w:tc>
        <w:tc>
          <w:tcPr>
            <w:tcW w:w="150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1.8%</w:t>
            </w:r>
          </w:p>
        </w:tc>
        <w:tc>
          <w:tcPr>
            <w:tcW w:w="1320" w:type="dxa"/>
            <w:vAlign w:val="bottom"/>
            <w:gridSpan w:val="2"/>
          </w:tcPr>
          <w:p>
            <w:pPr>
              <w:ind w:left="820"/>
              <w:spacing w:after="0" w:line="149" w:lineRule="exact"/>
              <w:rPr>
                <w:sz w:val="20"/>
                <w:szCs w:val="20"/>
                <w:color w:val="auto"/>
              </w:rPr>
            </w:pPr>
            <w:r>
              <w:rPr>
                <w:rFonts w:ascii="Arial" w:cs="Arial" w:eastAsia="Arial" w:hAnsi="Arial"/>
                <w:sz w:val="14"/>
                <w:szCs w:val="14"/>
                <w:color w:val="auto"/>
              </w:rPr>
              <w:t>11.0%</w:t>
            </w: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FFCC"/>
          </w:tcPr>
          <w:p>
            <w:pPr>
              <w:spacing w:after="0"/>
              <w:rPr>
                <w:sz w:val="20"/>
                <w:szCs w:val="20"/>
                <w:color w:val="auto"/>
              </w:rPr>
            </w:pPr>
            <w:r>
              <w:rPr>
                <w:rFonts w:ascii="Arial" w:cs="Arial" w:eastAsia="Arial" w:hAnsi="Arial"/>
                <w:sz w:val="14"/>
                <w:szCs w:val="14"/>
                <w:color w:val="auto"/>
              </w:rPr>
              <w:t>Net premiuns earned</w:t>
            </w:r>
          </w:p>
        </w:tc>
        <w:tc>
          <w:tcPr>
            <w:tcW w:w="1640" w:type="dxa"/>
            <w:vAlign w:val="bottom"/>
            <w:gridSpan w:val="3"/>
            <w:shd w:val="clear" w:color="auto" w:fill="CCFFCC"/>
          </w:tcPr>
          <w:p>
            <w:pPr>
              <w:ind w:left="940"/>
              <w:spacing w:after="0"/>
              <w:rPr>
                <w:sz w:val="20"/>
                <w:szCs w:val="20"/>
                <w:color w:val="auto"/>
              </w:rPr>
            </w:pPr>
            <w:r>
              <w:rPr>
                <w:rFonts w:ascii="Arial" w:cs="Arial" w:eastAsia="Arial" w:hAnsi="Arial"/>
                <w:sz w:val="14"/>
                <w:szCs w:val="14"/>
                <w:color w:val="auto"/>
              </w:rPr>
              <w:t>24.9%  ®</w:t>
            </w:r>
          </w:p>
        </w:tc>
        <w:tc>
          <w:tcPr>
            <w:tcW w:w="1520" w:type="dxa"/>
            <w:vAlign w:val="bottom"/>
            <w:gridSpan w:val="2"/>
            <w:shd w:val="clear" w:color="auto" w:fill="CCFFCC"/>
          </w:tcPr>
          <w:p>
            <w:pPr>
              <w:ind w:left="820"/>
              <w:spacing w:after="0"/>
              <w:rPr>
                <w:sz w:val="20"/>
                <w:szCs w:val="20"/>
                <w:color w:val="auto"/>
              </w:rPr>
            </w:pPr>
            <w:r>
              <w:rPr>
                <w:rFonts w:ascii="Arial" w:cs="Arial" w:eastAsia="Arial" w:hAnsi="Arial"/>
                <w:sz w:val="14"/>
                <w:szCs w:val="14"/>
                <w:color w:val="auto"/>
              </w:rPr>
              <w:t xml:space="preserve">13.9%  </w:t>
            </w:r>
            <w:r>
              <w:rPr>
                <w:rFonts w:ascii="Arial" w:cs="Arial" w:eastAsia="Arial" w:hAnsi="Arial"/>
                <w:sz w:val="18"/>
                <w:szCs w:val="18"/>
                <w:color w:val="auto"/>
              </w:rPr>
              <w:t>+</w:t>
            </w:r>
          </w:p>
        </w:tc>
        <w:tc>
          <w:tcPr>
            <w:tcW w:w="1500" w:type="dxa"/>
            <w:vAlign w:val="bottom"/>
            <w:gridSpan w:val="2"/>
            <w:shd w:val="clear" w:color="auto" w:fill="CCFFCC"/>
          </w:tcPr>
          <w:p>
            <w:pPr>
              <w:jc w:val="right"/>
              <w:ind w:right="8"/>
              <w:spacing w:after="0"/>
              <w:rPr>
                <w:sz w:val="20"/>
                <w:szCs w:val="20"/>
                <w:color w:val="auto"/>
              </w:rPr>
            </w:pPr>
            <w:r>
              <w:rPr>
                <w:rFonts w:ascii="Arial" w:cs="Arial" w:eastAsia="Arial" w:hAnsi="Arial"/>
                <w:sz w:val="14"/>
                <w:szCs w:val="14"/>
                <w:color w:val="auto"/>
              </w:rPr>
              <w:t>7.1%  =</w:t>
            </w:r>
          </w:p>
        </w:tc>
        <w:tc>
          <w:tcPr>
            <w:tcW w:w="1320" w:type="dxa"/>
            <w:vAlign w:val="bottom"/>
            <w:gridSpan w:val="2"/>
            <w:shd w:val="clear" w:color="auto" w:fill="CCFFCC"/>
          </w:tcPr>
          <w:p>
            <w:pPr>
              <w:ind w:left="820"/>
              <w:spacing w:after="0"/>
              <w:rPr>
                <w:sz w:val="20"/>
                <w:szCs w:val="20"/>
                <w:color w:val="auto"/>
              </w:rPr>
            </w:pPr>
            <w:r>
              <w:rPr>
                <w:rFonts w:ascii="Arial" w:cs="Arial" w:eastAsia="Arial" w:hAnsi="Arial"/>
                <w:sz w:val="14"/>
                <w:szCs w:val="14"/>
                <w:color w:val="auto"/>
              </w:rPr>
              <w:t>11.5%</w:t>
            </w:r>
          </w:p>
        </w:tc>
        <w:tc>
          <w:tcPr>
            <w:tcW w:w="16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3620" w:type="dxa"/>
            <w:vAlign w:val="bottom"/>
          </w:tcPr>
          <w:p>
            <w:pPr>
              <w:spacing w:after="0" w:line="157" w:lineRule="exact"/>
              <w:rPr>
                <w:sz w:val="20"/>
                <w:szCs w:val="20"/>
                <w:color w:val="auto"/>
              </w:rPr>
            </w:pPr>
            <w:r>
              <w:rPr>
                <w:rFonts w:ascii="Arial" w:cs="Arial" w:eastAsia="Arial" w:hAnsi="Arial"/>
                <w:sz w:val="14"/>
                <w:szCs w:val="14"/>
                <w:b w:val="1"/>
                <w:bCs w:val="1"/>
                <w:color w:val="auto"/>
              </w:rPr>
              <w:t>Total non financial income (1)</w:t>
            </w:r>
          </w:p>
        </w:tc>
        <w:tc>
          <w:tcPr>
            <w:tcW w:w="80" w:type="dxa"/>
            <w:vAlign w:val="bottom"/>
          </w:tcPr>
          <w:p>
            <w:pPr>
              <w:spacing w:after="0"/>
              <w:rPr>
                <w:sz w:val="13"/>
                <w:szCs w:val="13"/>
                <w:color w:val="auto"/>
              </w:rPr>
            </w:pPr>
          </w:p>
        </w:tc>
        <w:tc>
          <w:tcPr>
            <w:tcW w:w="1120" w:type="dxa"/>
            <w:vAlign w:val="bottom"/>
            <w:tcBorders>
              <w:top w:val="single" w:sz="8" w:color="auto"/>
            </w:tcBorders>
          </w:tcPr>
          <w:p>
            <w:pPr>
              <w:ind w:left="860"/>
              <w:spacing w:after="0" w:line="157" w:lineRule="exact"/>
              <w:rPr>
                <w:sz w:val="20"/>
                <w:szCs w:val="20"/>
                <w:color w:val="auto"/>
              </w:rPr>
            </w:pPr>
            <w:r>
              <w:rPr>
                <w:rFonts w:ascii="Arial" w:cs="Arial" w:eastAsia="Arial" w:hAnsi="Arial"/>
                <w:sz w:val="14"/>
                <w:szCs w:val="14"/>
                <w:b w:val="1"/>
                <w:bCs w:val="1"/>
                <w:color w:val="auto"/>
                <w:w w:val="87"/>
              </w:rPr>
              <w:t>24.5</w:t>
            </w:r>
          </w:p>
        </w:tc>
        <w:tc>
          <w:tcPr>
            <w:tcW w:w="440" w:type="dxa"/>
            <w:vAlign w:val="bottom"/>
          </w:tcPr>
          <w:p>
            <w:pPr>
              <w:jc w:val="right"/>
              <w:ind w:right="228"/>
              <w:spacing w:after="0" w:line="157" w:lineRule="exact"/>
              <w:rPr>
                <w:sz w:val="20"/>
                <w:szCs w:val="20"/>
                <w:color w:val="auto"/>
              </w:rPr>
            </w:pPr>
            <w:r>
              <w:rPr>
                <w:rFonts w:ascii="Arial" w:cs="Arial" w:eastAsia="Arial" w:hAnsi="Arial"/>
                <w:sz w:val="14"/>
                <w:szCs w:val="14"/>
                <w:b w:val="1"/>
                <w:bCs w:val="1"/>
                <w:color w:val="auto"/>
                <w:w w:val="96"/>
              </w:rPr>
              <w:t>%</w:t>
            </w:r>
          </w:p>
        </w:tc>
        <w:tc>
          <w:tcPr>
            <w:tcW w:w="1060" w:type="dxa"/>
            <w:vAlign w:val="bottom"/>
            <w:tcBorders>
              <w:top w:val="single" w:sz="8" w:color="auto"/>
            </w:tcBorders>
          </w:tcPr>
          <w:p>
            <w:pPr>
              <w:ind w:left="820"/>
              <w:spacing w:after="0" w:line="157" w:lineRule="exact"/>
              <w:rPr>
                <w:sz w:val="20"/>
                <w:szCs w:val="20"/>
                <w:color w:val="auto"/>
              </w:rPr>
            </w:pPr>
            <w:r>
              <w:rPr>
                <w:rFonts w:ascii="Arial" w:cs="Arial" w:eastAsia="Arial" w:hAnsi="Arial"/>
                <w:sz w:val="14"/>
                <w:szCs w:val="14"/>
                <w:b w:val="1"/>
                <w:bCs w:val="1"/>
                <w:color w:val="auto"/>
                <w:w w:val="80"/>
              </w:rPr>
              <w:t>13.6</w:t>
            </w:r>
          </w:p>
        </w:tc>
        <w:tc>
          <w:tcPr>
            <w:tcW w:w="460" w:type="dxa"/>
            <w:vAlign w:val="bottom"/>
          </w:tcPr>
          <w:p>
            <w:pPr>
              <w:jc w:val="right"/>
              <w:ind w:right="228"/>
              <w:spacing w:after="0" w:line="157" w:lineRule="exact"/>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8.5</w:t>
            </w:r>
          </w:p>
        </w:tc>
        <w:tc>
          <w:tcPr>
            <w:tcW w:w="440" w:type="dxa"/>
            <w:vAlign w:val="bottom"/>
          </w:tcPr>
          <w:p>
            <w:pPr>
              <w:jc w:val="right"/>
              <w:ind w:right="228"/>
              <w:spacing w:after="0" w:line="157" w:lineRule="exact"/>
              <w:rPr>
                <w:sz w:val="20"/>
                <w:szCs w:val="20"/>
                <w:color w:val="auto"/>
              </w:rPr>
            </w:pPr>
            <w:r>
              <w:rPr>
                <w:rFonts w:ascii="Arial" w:cs="Arial" w:eastAsia="Arial" w:hAnsi="Arial"/>
                <w:sz w:val="14"/>
                <w:szCs w:val="14"/>
                <w:b w:val="1"/>
                <w:bCs w:val="1"/>
                <w:color w:val="auto"/>
                <w:w w:val="96"/>
              </w:rPr>
              <w:t>%</w:t>
            </w:r>
          </w:p>
        </w:tc>
        <w:tc>
          <w:tcPr>
            <w:tcW w:w="1080" w:type="dxa"/>
            <w:vAlign w:val="bottom"/>
            <w:tcBorders>
              <w:top w:val="single" w:sz="8" w:color="auto"/>
            </w:tcBorders>
          </w:tcPr>
          <w:p>
            <w:pPr>
              <w:ind w:left="820"/>
              <w:spacing w:after="0" w:line="157" w:lineRule="exact"/>
              <w:rPr>
                <w:sz w:val="20"/>
                <w:szCs w:val="20"/>
                <w:color w:val="auto"/>
              </w:rPr>
            </w:pPr>
            <w:r>
              <w:rPr>
                <w:rFonts w:ascii="Arial" w:cs="Arial" w:eastAsia="Arial" w:hAnsi="Arial"/>
                <w:sz w:val="14"/>
                <w:szCs w:val="14"/>
                <w:b w:val="1"/>
                <w:bCs w:val="1"/>
                <w:color w:val="auto"/>
                <w:w w:val="87"/>
              </w:rPr>
              <w:t>12.1</w:t>
            </w:r>
          </w:p>
        </w:tc>
        <w:tc>
          <w:tcPr>
            <w:tcW w:w="240" w:type="dxa"/>
            <w:vAlign w:val="bottom"/>
          </w:tcPr>
          <w:p>
            <w:pPr>
              <w:jc w:val="right"/>
              <w:ind w:right="28"/>
              <w:spacing w:after="0" w:line="157" w:lineRule="exact"/>
              <w:rPr>
                <w:sz w:val="20"/>
                <w:szCs w:val="20"/>
                <w:color w:val="auto"/>
              </w:rPr>
            </w:pPr>
            <w:r>
              <w:rPr>
                <w:rFonts w:ascii="Arial" w:cs="Arial" w:eastAsia="Arial" w:hAnsi="Arial"/>
                <w:sz w:val="14"/>
                <w:szCs w:val="14"/>
                <w:b w:val="1"/>
                <w:bCs w:val="1"/>
                <w:color w:val="auto"/>
                <w:w w:val="96"/>
              </w:rPr>
              <w:t>%</w:t>
            </w:r>
          </w:p>
        </w:tc>
        <w:tc>
          <w:tcPr>
            <w:tcW w:w="16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19.9</w:t>
            </w:r>
          </w:p>
        </w:tc>
        <w:tc>
          <w:tcPr>
            <w:tcW w:w="140" w:type="dxa"/>
            <w:vAlign w:val="bottom"/>
          </w:tcPr>
          <w:p>
            <w:pPr>
              <w:jc w:val="right"/>
              <w:spacing w:after="0" w:line="157"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-8890</wp:posOffset>
            </wp:positionV>
            <wp:extent cx="48025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80250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 Converted at Nuevos Soles at Q-end exchange rate.</w:t>
      </w:r>
    </w:p>
    <w:p>
      <w:pPr>
        <w:spacing w:after="0" w:line="7"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71.2% of Total non financial income is generated in local currency.</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Calculated by adding up the weighted % change of each currency.</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terms of fee income (banking and pension funds), the gains on foreign exchange transactions and net earned premiums, which represent Credicorp’s core non-interest earning income, reported excellent growth of more than 24% of its component denominated in LC for the three items. The FC component grew 11.5% in terms of fee income, 1.8% in FX gains and 7.1% in net earned premiums with regard to last year’s figures given that business growth in loans, premiums and transactions was principally in LC. This led to total weighted growth for these income components of approximately 20%, which compares favorably with the 12.1% reported in our results expressed in US Dollars.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stupendous evolution of income allowed it to easily absorb the level of operating expenses and total provisions for loan losses.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indicated before, total provisions for loan losses grew +20% in 2013. This was due primarily to problems in the SME segment and to a lesser extent to the increase seen in the loss ratio for Credit Cards at year-end. The latter was due to a regulatory change in the way the minimum payment is calculated. In this context, the Bank expects that it will take customers a few months to adjust to the new level of debt service.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480" w:type="dxa"/>
            <w:vAlign w:val="bottom"/>
            <w:gridSpan w:val="2"/>
          </w:tcPr>
          <w:p>
            <w:pPr>
              <w:jc w:val="center"/>
              <w:ind w:right="288"/>
              <w:spacing w:after="0"/>
              <w:rPr>
                <w:sz w:val="20"/>
                <w:szCs w:val="20"/>
                <w:color w:val="auto"/>
              </w:rPr>
            </w:pPr>
            <w:r>
              <w:rPr>
                <w:rFonts w:ascii="Arial" w:cs="Arial" w:eastAsia="Arial" w:hAnsi="Arial"/>
                <w:sz w:val="14"/>
                <w:szCs w:val="14"/>
                <w:b w:val="1"/>
                <w:bCs w:val="1"/>
                <w:color w:val="auto"/>
              </w:rPr>
              <w:t>% Change LC *</w:t>
            </w:r>
          </w:p>
        </w:tc>
        <w:tc>
          <w:tcPr>
            <w:tcW w:w="40" w:type="dxa"/>
            <w:vAlign w:val="bottom"/>
          </w:tcPr>
          <w:p>
            <w:pPr>
              <w:spacing w:after="0"/>
              <w:rPr>
                <w:sz w:val="14"/>
                <w:szCs w:val="14"/>
                <w:color w:val="auto"/>
              </w:rPr>
            </w:pPr>
          </w:p>
        </w:tc>
        <w:tc>
          <w:tcPr>
            <w:tcW w:w="1440" w:type="dxa"/>
            <w:vAlign w:val="bottom"/>
            <w:gridSpan w:val="2"/>
          </w:tcPr>
          <w:p>
            <w:pPr>
              <w:jc w:val="center"/>
              <w:ind w:right="288"/>
              <w:spacing w:after="0"/>
              <w:rPr>
                <w:sz w:val="20"/>
                <w:szCs w:val="20"/>
                <w:color w:val="auto"/>
              </w:rPr>
            </w:pPr>
            <w:r>
              <w:rPr>
                <w:rFonts w:ascii="Arial" w:cs="Arial" w:eastAsia="Arial" w:hAnsi="Arial"/>
                <w:sz w:val="14"/>
                <w:szCs w:val="14"/>
                <w:b w:val="1"/>
                <w:bCs w:val="1"/>
                <w:color w:val="auto"/>
                <w:w w:val="97"/>
              </w:rPr>
              <w:t>% Change LC</w:t>
            </w:r>
          </w:p>
        </w:tc>
        <w:tc>
          <w:tcPr>
            <w:tcW w:w="40" w:type="dxa"/>
            <w:vAlign w:val="bottom"/>
          </w:tcPr>
          <w:p>
            <w:pPr>
              <w:spacing w:after="0"/>
              <w:rPr>
                <w:sz w:val="14"/>
                <w:szCs w:val="14"/>
                <w:color w:val="auto"/>
              </w:rPr>
            </w:pPr>
          </w:p>
        </w:tc>
        <w:tc>
          <w:tcPr>
            <w:tcW w:w="1480" w:type="dxa"/>
            <w:vAlign w:val="bottom"/>
            <w:gridSpan w:val="2"/>
          </w:tcPr>
          <w:p>
            <w:pPr>
              <w:jc w:val="center"/>
              <w:ind w:right="328"/>
              <w:spacing w:after="0"/>
              <w:rPr>
                <w:sz w:val="20"/>
                <w:szCs w:val="20"/>
                <w:color w:val="auto"/>
              </w:rPr>
            </w:pPr>
            <w:r>
              <w:rPr>
                <w:rFonts w:ascii="Arial" w:cs="Arial" w:eastAsia="Arial" w:hAnsi="Arial"/>
                <w:sz w:val="14"/>
                <w:szCs w:val="14"/>
                <w:b w:val="1"/>
                <w:bCs w:val="1"/>
                <w:color w:val="auto"/>
                <w:w w:val="97"/>
              </w:rPr>
              <w:t>% Change FC</w:t>
            </w:r>
          </w:p>
        </w:tc>
        <w:tc>
          <w:tcPr>
            <w:tcW w:w="128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95"/>
              </w:rPr>
              <w:t>% Total Change</w:t>
            </w:r>
          </w:p>
        </w:tc>
        <w:tc>
          <w:tcPr>
            <w:tcW w:w="182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w w:val="94"/>
              </w:rPr>
              <w:t>Combined % Total Change</w:t>
            </w:r>
          </w:p>
        </w:tc>
        <w:tc>
          <w:tcPr>
            <w:tcW w:w="0" w:type="dxa"/>
            <w:vAlign w:val="bottom"/>
          </w:tcPr>
          <w:p>
            <w:pPr>
              <w:spacing w:after="0"/>
              <w:rPr>
                <w:sz w:val="1"/>
                <w:szCs w:val="1"/>
                <w:color w:val="auto"/>
              </w:rPr>
            </w:pPr>
          </w:p>
        </w:tc>
      </w:tr>
      <w:tr>
        <w:trPr>
          <w:trHeight w:val="149"/>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BAP</w:t>
            </w:r>
          </w:p>
        </w:tc>
        <w:tc>
          <w:tcPr>
            <w:tcW w:w="1480" w:type="dxa"/>
            <w:vAlign w:val="bottom"/>
            <w:gridSpan w:val="2"/>
          </w:tcPr>
          <w:p>
            <w:pPr>
              <w:jc w:val="center"/>
              <w:ind w:right="288"/>
              <w:spacing w:after="0" w:line="149" w:lineRule="exact"/>
              <w:rPr>
                <w:sz w:val="20"/>
                <w:szCs w:val="20"/>
                <w:color w:val="auto"/>
              </w:rPr>
            </w:pPr>
            <w:r>
              <w:rPr>
                <w:rFonts w:ascii="Arial" w:cs="Arial" w:eastAsia="Arial" w:hAnsi="Arial"/>
                <w:sz w:val="14"/>
                <w:szCs w:val="14"/>
                <w:b w:val="1"/>
                <w:bCs w:val="1"/>
                <w:color w:val="auto"/>
                <w:w w:val="93"/>
              </w:rPr>
              <w:t>Expressed in PEN</w:t>
            </w:r>
          </w:p>
        </w:tc>
        <w:tc>
          <w:tcPr>
            <w:tcW w:w="1480" w:type="dxa"/>
            <w:vAlign w:val="bottom"/>
            <w:gridSpan w:val="3"/>
          </w:tcPr>
          <w:p>
            <w:pPr>
              <w:jc w:val="center"/>
              <w:ind w:right="248"/>
              <w:spacing w:after="0" w:line="149" w:lineRule="exact"/>
              <w:rPr>
                <w:sz w:val="20"/>
                <w:szCs w:val="20"/>
                <w:color w:val="auto"/>
              </w:rPr>
            </w:pPr>
            <w:r>
              <w:rPr>
                <w:rFonts w:ascii="Arial" w:cs="Arial" w:eastAsia="Arial" w:hAnsi="Arial"/>
                <w:sz w:val="14"/>
                <w:szCs w:val="14"/>
                <w:b w:val="1"/>
                <w:bCs w:val="1"/>
                <w:color w:val="auto"/>
                <w:w w:val="91"/>
              </w:rPr>
              <w:t>Expressed in US$</w:t>
            </w:r>
          </w:p>
        </w:tc>
        <w:tc>
          <w:tcPr>
            <w:tcW w:w="1520" w:type="dxa"/>
            <w:vAlign w:val="bottom"/>
            <w:gridSpan w:val="3"/>
          </w:tcPr>
          <w:p>
            <w:pPr>
              <w:jc w:val="center"/>
              <w:ind w:right="288"/>
              <w:spacing w:after="0" w:line="149" w:lineRule="exact"/>
              <w:rPr>
                <w:sz w:val="20"/>
                <w:szCs w:val="20"/>
                <w:color w:val="auto"/>
              </w:rPr>
            </w:pPr>
            <w:r>
              <w:rPr>
                <w:rFonts w:ascii="Arial" w:cs="Arial" w:eastAsia="Arial" w:hAnsi="Arial"/>
                <w:sz w:val="14"/>
                <w:szCs w:val="14"/>
                <w:b w:val="1"/>
                <w:bCs w:val="1"/>
                <w:color w:val="auto"/>
                <w:w w:val="91"/>
              </w:rPr>
              <w:t>Expressed in US$</w:t>
            </w:r>
          </w:p>
        </w:tc>
        <w:tc>
          <w:tcPr>
            <w:tcW w:w="1280" w:type="dxa"/>
            <w:vAlign w:val="bottom"/>
            <w:gridSpan w:val="2"/>
          </w:tcPr>
          <w:p>
            <w:pPr>
              <w:jc w:val="center"/>
              <w:ind w:right="128"/>
              <w:spacing w:after="0" w:line="149" w:lineRule="exact"/>
              <w:rPr>
                <w:sz w:val="20"/>
                <w:szCs w:val="20"/>
                <w:color w:val="auto"/>
              </w:rPr>
            </w:pPr>
            <w:r>
              <w:rPr>
                <w:rFonts w:ascii="Arial" w:cs="Arial" w:eastAsia="Arial" w:hAnsi="Arial"/>
                <w:sz w:val="14"/>
                <w:szCs w:val="14"/>
                <w:b w:val="1"/>
                <w:bCs w:val="1"/>
                <w:color w:val="auto"/>
                <w:w w:val="91"/>
              </w:rPr>
              <w:t>Expressed in US$</w:t>
            </w:r>
          </w:p>
        </w:tc>
        <w:tc>
          <w:tcPr>
            <w:tcW w:w="1820" w:type="dxa"/>
            <w:vAlign w:val="bottom"/>
            <w:gridSpan w:val="2"/>
          </w:tcPr>
          <w:p>
            <w:pPr>
              <w:jc w:val="center"/>
              <w:ind w:right="68"/>
              <w:spacing w:after="0" w:line="149" w:lineRule="exact"/>
              <w:rPr>
                <w:sz w:val="20"/>
                <w:szCs w:val="20"/>
                <w:color w:val="auto"/>
              </w:rPr>
            </w:pPr>
            <w:r>
              <w:rPr>
                <w:rFonts w:ascii="Arial" w:cs="Arial" w:eastAsia="Arial" w:hAnsi="Arial"/>
                <w:sz w:val="14"/>
                <w:szCs w:val="14"/>
                <w:b w:val="1"/>
                <w:bCs w:val="1"/>
                <w:color w:val="auto"/>
                <w:w w:val="91"/>
              </w:rPr>
              <w:t>Expressed in US$</w:t>
            </w:r>
          </w:p>
        </w:tc>
        <w:tc>
          <w:tcPr>
            <w:tcW w:w="0" w:type="dxa"/>
            <w:vAlign w:val="bottom"/>
          </w:tcPr>
          <w:p>
            <w:pPr>
              <w:spacing w:after="0"/>
              <w:rPr>
                <w:sz w:val="1"/>
                <w:szCs w:val="1"/>
                <w:color w:val="auto"/>
              </w:rPr>
            </w:pPr>
          </w:p>
        </w:tc>
      </w:tr>
      <w:tr>
        <w:trPr>
          <w:trHeight w:val="171"/>
        </w:trPr>
        <w:tc>
          <w:tcPr>
            <w:tcW w:w="3840" w:type="dxa"/>
            <w:vAlign w:val="bottom"/>
            <w:vMerge w:val="continue"/>
          </w:tcPr>
          <w:p>
            <w:pPr>
              <w:spacing w:after="0"/>
              <w:rPr>
                <w:sz w:val="14"/>
                <w:szCs w:val="14"/>
                <w:color w:val="auto"/>
              </w:rPr>
            </w:pPr>
          </w:p>
        </w:tc>
        <w:tc>
          <w:tcPr>
            <w:tcW w:w="1480" w:type="dxa"/>
            <w:vAlign w:val="bottom"/>
            <w:gridSpan w:val="2"/>
          </w:tcPr>
          <w:p>
            <w:pPr>
              <w:jc w:val="center"/>
              <w:ind w:right="288"/>
              <w:spacing w:after="0"/>
              <w:rPr>
                <w:sz w:val="20"/>
                <w:szCs w:val="20"/>
                <w:color w:val="auto"/>
              </w:rPr>
            </w:pPr>
            <w:r>
              <w:rPr>
                <w:rFonts w:ascii="Arial" w:cs="Arial" w:eastAsia="Arial" w:hAnsi="Arial"/>
                <w:sz w:val="14"/>
                <w:szCs w:val="14"/>
                <w:b w:val="1"/>
                <w:bCs w:val="1"/>
                <w:color w:val="auto"/>
                <w:w w:val="89"/>
              </w:rPr>
              <w:t>2013 vs. 2012</w:t>
            </w:r>
          </w:p>
        </w:tc>
        <w:tc>
          <w:tcPr>
            <w:tcW w:w="40" w:type="dxa"/>
            <w:vAlign w:val="bottom"/>
          </w:tcPr>
          <w:p>
            <w:pPr>
              <w:spacing w:after="0"/>
              <w:rPr>
                <w:sz w:val="14"/>
                <w:szCs w:val="14"/>
                <w:color w:val="auto"/>
              </w:rPr>
            </w:pPr>
          </w:p>
        </w:tc>
        <w:tc>
          <w:tcPr>
            <w:tcW w:w="1440" w:type="dxa"/>
            <w:vAlign w:val="bottom"/>
            <w:gridSpan w:val="2"/>
          </w:tcPr>
          <w:p>
            <w:pPr>
              <w:jc w:val="center"/>
              <w:ind w:right="288"/>
              <w:spacing w:after="0"/>
              <w:rPr>
                <w:sz w:val="20"/>
                <w:szCs w:val="20"/>
                <w:color w:val="auto"/>
              </w:rPr>
            </w:pPr>
            <w:r>
              <w:rPr>
                <w:rFonts w:ascii="Arial" w:cs="Arial" w:eastAsia="Arial" w:hAnsi="Arial"/>
                <w:sz w:val="14"/>
                <w:szCs w:val="14"/>
                <w:b w:val="1"/>
                <w:bCs w:val="1"/>
                <w:color w:val="auto"/>
                <w:w w:val="89"/>
              </w:rPr>
              <w:t>2013 vs. 2012</w:t>
            </w:r>
          </w:p>
        </w:tc>
        <w:tc>
          <w:tcPr>
            <w:tcW w:w="40" w:type="dxa"/>
            <w:vAlign w:val="bottom"/>
          </w:tcPr>
          <w:p>
            <w:pPr>
              <w:spacing w:after="0"/>
              <w:rPr>
                <w:sz w:val="14"/>
                <w:szCs w:val="14"/>
                <w:color w:val="auto"/>
              </w:rPr>
            </w:pPr>
          </w:p>
        </w:tc>
        <w:tc>
          <w:tcPr>
            <w:tcW w:w="1480" w:type="dxa"/>
            <w:vAlign w:val="bottom"/>
            <w:gridSpan w:val="2"/>
          </w:tcPr>
          <w:p>
            <w:pPr>
              <w:jc w:val="center"/>
              <w:ind w:right="348"/>
              <w:spacing w:after="0"/>
              <w:rPr>
                <w:sz w:val="20"/>
                <w:szCs w:val="20"/>
                <w:color w:val="auto"/>
              </w:rPr>
            </w:pPr>
            <w:r>
              <w:rPr>
                <w:rFonts w:ascii="Arial" w:cs="Arial" w:eastAsia="Arial" w:hAnsi="Arial"/>
                <w:sz w:val="14"/>
                <w:szCs w:val="14"/>
                <w:b w:val="1"/>
                <w:bCs w:val="1"/>
                <w:color w:val="auto"/>
                <w:w w:val="91"/>
              </w:rPr>
              <w:t>2013 vs. 2012</w:t>
            </w:r>
          </w:p>
        </w:tc>
        <w:tc>
          <w:tcPr>
            <w:tcW w:w="128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91"/>
              </w:rPr>
              <w:t>2013 vs. 2012</w:t>
            </w:r>
          </w:p>
        </w:tc>
        <w:tc>
          <w:tcPr>
            <w:tcW w:w="1820" w:type="dxa"/>
            <w:vAlign w:val="bottom"/>
            <w:gridSpan w:val="2"/>
          </w:tcPr>
          <w:p>
            <w:pPr>
              <w:jc w:val="center"/>
              <w:ind w:right="88"/>
              <w:spacing w:after="0"/>
              <w:rPr>
                <w:sz w:val="20"/>
                <w:szCs w:val="20"/>
                <w:color w:val="auto"/>
              </w:rPr>
            </w:pPr>
            <w:r>
              <w:rPr>
                <w:rFonts w:ascii="Arial" w:cs="Arial" w:eastAsia="Arial" w:hAnsi="Arial"/>
                <w:sz w:val="14"/>
                <w:szCs w:val="14"/>
                <w:b w:val="1"/>
                <w:bCs w:val="1"/>
                <w:color w:val="auto"/>
                <w:w w:val="92"/>
              </w:rPr>
              <w:t>2013 vs. 2012 (3)</w:t>
            </w:r>
          </w:p>
        </w:tc>
        <w:tc>
          <w:tcPr>
            <w:tcW w:w="0" w:type="dxa"/>
            <w:vAlign w:val="bottom"/>
          </w:tcPr>
          <w:p>
            <w:pPr>
              <w:spacing w:after="0"/>
              <w:rPr>
                <w:sz w:val="1"/>
                <w:szCs w:val="1"/>
                <w:color w:val="auto"/>
              </w:rPr>
            </w:pPr>
          </w:p>
        </w:tc>
      </w:tr>
      <w:tr>
        <w:trPr>
          <w:trHeight w:val="162"/>
        </w:trPr>
        <w:tc>
          <w:tcPr>
            <w:tcW w:w="3840" w:type="dxa"/>
            <w:vAlign w:val="bottom"/>
            <w:shd w:val="clear" w:color="auto" w:fill="CCFFCC"/>
          </w:tcPr>
          <w:p>
            <w:pPr>
              <w:spacing w:after="0"/>
              <w:rPr>
                <w:sz w:val="20"/>
                <w:szCs w:val="20"/>
                <w:color w:val="auto"/>
              </w:rPr>
            </w:pPr>
            <w:r>
              <w:rPr>
                <w:rFonts w:ascii="Arial" w:cs="Arial" w:eastAsia="Arial" w:hAnsi="Arial"/>
                <w:sz w:val="14"/>
                <w:szCs w:val="14"/>
                <w:color w:val="auto"/>
              </w:rPr>
              <w:t>Operating expenses (1)</w:t>
            </w:r>
          </w:p>
        </w:tc>
        <w:tc>
          <w:tcPr>
            <w:tcW w:w="1480" w:type="dxa"/>
            <w:vAlign w:val="bottom"/>
            <w:gridSpan w:val="2"/>
            <w:shd w:val="clear" w:color="auto" w:fill="CCFFCC"/>
          </w:tcPr>
          <w:p>
            <w:pPr>
              <w:ind w:left="860"/>
              <w:spacing w:after="0"/>
              <w:rPr>
                <w:sz w:val="20"/>
                <w:szCs w:val="20"/>
                <w:color w:val="auto"/>
              </w:rPr>
            </w:pPr>
            <w:r>
              <w:rPr>
                <w:rFonts w:ascii="Arial" w:cs="Arial" w:eastAsia="Arial" w:hAnsi="Arial"/>
                <w:sz w:val="14"/>
                <w:szCs w:val="14"/>
                <w:color w:val="auto"/>
              </w:rPr>
              <w:t>19.1%</w:t>
            </w:r>
          </w:p>
        </w:tc>
        <w:tc>
          <w:tcPr>
            <w:tcW w:w="1480" w:type="dxa"/>
            <w:vAlign w:val="bottom"/>
            <w:gridSpan w:val="3"/>
            <w:shd w:val="clear" w:color="auto" w:fill="CCFFCC"/>
          </w:tcPr>
          <w:p>
            <w:pPr>
              <w:ind w:left="940"/>
              <w:spacing w:after="0"/>
              <w:rPr>
                <w:sz w:val="20"/>
                <w:szCs w:val="20"/>
                <w:color w:val="auto"/>
              </w:rPr>
            </w:pPr>
            <w:r>
              <w:rPr>
                <w:rFonts w:ascii="Arial" w:cs="Arial" w:eastAsia="Arial" w:hAnsi="Arial"/>
                <w:sz w:val="14"/>
                <w:szCs w:val="14"/>
                <w:color w:val="auto"/>
              </w:rPr>
              <w:t>8.7%</w:t>
            </w:r>
          </w:p>
        </w:tc>
        <w:tc>
          <w:tcPr>
            <w:tcW w:w="1520" w:type="dxa"/>
            <w:vAlign w:val="bottom"/>
            <w:gridSpan w:val="3"/>
            <w:shd w:val="clear" w:color="auto" w:fill="CCFFCC"/>
          </w:tcPr>
          <w:p>
            <w:pPr>
              <w:ind w:left="860"/>
              <w:spacing w:after="0"/>
              <w:rPr>
                <w:sz w:val="20"/>
                <w:szCs w:val="20"/>
                <w:color w:val="auto"/>
              </w:rPr>
            </w:pPr>
            <w:r>
              <w:rPr>
                <w:rFonts w:ascii="Arial" w:cs="Arial" w:eastAsia="Arial" w:hAnsi="Arial"/>
                <w:sz w:val="14"/>
                <w:szCs w:val="14"/>
                <w:color w:val="auto"/>
              </w:rPr>
              <w:t>30.7%</w:t>
            </w:r>
          </w:p>
        </w:tc>
        <w:tc>
          <w:tcPr>
            <w:tcW w:w="1280" w:type="dxa"/>
            <w:vAlign w:val="bottom"/>
            <w:gridSpan w:val="2"/>
            <w:shd w:val="clear" w:color="auto" w:fill="CCFFCC"/>
          </w:tcPr>
          <w:p>
            <w:pPr>
              <w:jc w:val="right"/>
              <w:ind w:right="28"/>
              <w:spacing w:after="0"/>
              <w:rPr>
                <w:sz w:val="20"/>
                <w:szCs w:val="20"/>
                <w:color w:val="auto"/>
              </w:rPr>
            </w:pPr>
            <w:r>
              <w:rPr>
                <w:rFonts w:ascii="Arial" w:cs="Arial" w:eastAsia="Arial" w:hAnsi="Arial"/>
                <w:sz w:val="14"/>
                <w:szCs w:val="14"/>
                <w:color w:val="auto"/>
              </w:rPr>
              <w:t>14.6%</w:t>
            </w:r>
          </w:p>
        </w:tc>
        <w:tc>
          <w:tcPr>
            <w:tcW w:w="1820" w:type="dxa"/>
            <w:vAlign w:val="bottom"/>
            <w:gridSpan w:val="2"/>
            <w:shd w:val="clear" w:color="auto" w:fill="CCFFCC"/>
          </w:tcPr>
          <w:p>
            <w:pPr>
              <w:jc w:val="right"/>
              <w:spacing w:after="0"/>
              <w:rPr>
                <w:sz w:val="20"/>
                <w:szCs w:val="20"/>
                <w:color w:val="auto"/>
              </w:rPr>
            </w:pPr>
            <w:r>
              <w:rPr>
                <w:rFonts w:ascii="Arial" w:cs="Arial" w:eastAsia="Arial" w:hAnsi="Arial"/>
                <w:sz w:val="14"/>
                <w:szCs w:val="14"/>
                <w:b w:val="1"/>
                <w:bCs w:val="1"/>
                <w:color w:val="auto"/>
              </w:rPr>
              <w:t>22.6%</w:t>
            </w:r>
          </w:p>
        </w:tc>
        <w:tc>
          <w:tcPr>
            <w:tcW w:w="0" w:type="dxa"/>
            <w:vAlign w:val="bottom"/>
          </w:tcPr>
          <w:p>
            <w:pPr>
              <w:spacing w:after="0"/>
              <w:rPr>
                <w:sz w:val="1"/>
                <w:szCs w:val="1"/>
                <w:color w:val="auto"/>
              </w:rPr>
            </w:pPr>
          </w:p>
        </w:tc>
      </w:tr>
      <w:tr>
        <w:trPr>
          <w:trHeight w:val="157"/>
        </w:trPr>
        <w:tc>
          <w:tcPr>
            <w:tcW w:w="3840" w:type="dxa"/>
            <w:vAlign w:val="bottom"/>
          </w:tcPr>
          <w:p>
            <w:pPr>
              <w:spacing w:after="0" w:line="157" w:lineRule="exact"/>
              <w:rPr>
                <w:sz w:val="20"/>
                <w:szCs w:val="20"/>
                <w:color w:val="auto"/>
              </w:rPr>
            </w:pPr>
            <w:r>
              <w:rPr>
                <w:rFonts w:ascii="Arial" w:cs="Arial" w:eastAsia="Arial" w:hAnsi="Arial"/>
                <w:sz w:val="14"/>
                <w:szCs w:val="14"/>
                <w:color w:val="auto"/>
              </w:rPr>
              <w:t>Adjusted Operating expenses (2)</w:t>
            </w:r>
          </w:p>
        </w:tc>
        <w:tc>
          <w:tcPr>
            <w:tcW w:w="1120" w:type="dxa"/>
            <w:vAlign w:val="bottom"/>
            <w:tcBorders>
              <w:top w:val="single" w:sz="8" w:color="auto"/>
            </w:tcBorders>
          </w:tcPr>
          <w:p>
            <w:pPr>
              <w:ind w:left="860"/>
              <w:spacing w:after="0" w:line="157" w:lineRule="exact"/>
              <w:rPr>
                <w:sz w:val="20"/>
                <w:szCs w:val="20"/>
                <w:color w:val="auto"/>
              </w:rPr>
            </w:pPr>
            <w:r>
              <w:rPr>
                <w:rFonts w:ascii="Arial" w:cs="Arial" w:eastAsia="Arial" w:hAnsi="Arial"/>
                <w:sz w:val="14"/>
                <w:szCs w:val="14"/>
                <w:color w:val="auto"/>
                <w:w w:val="87"/>
              </w:rPr>
              <w:t>18.4</w:t>
            </w:r>
          </w:p>
        </w:tc>
        <w:tc>
          <w:tcPr>
            <w:tcW w:w="360" w:type="dxa"/>
            <w:vAlign w:val="bottom"/>
          </w:tcPr>
          <w:p>
            <w:pPr>
              <w:jc w:val="right"/>
              <w:spacing w:after="0" w:line="157" w:lineRule="exact"/>
              <w:rPr>
                <w:sz w:val="20"/>
                <w:szCs w:val="20"/>
                <w:color w:val="auto"/>
              </w:rPr>
            </w:pPr>
            <w:r>
              <w:rPr>
                <w:rFonts w:ascii="Arial" w:cs="Arial" w:eastAsia="Arial" w:hAnsi="Arial"/>
                <w:sz w:val="14"/>
                <w:szCs w:val="14"/>
                <w:color w:val="auto"/>
              </w:rPr>
              <w:t>% ®</w:t>
            </w:r>
          </w:p>
        </w:tc>
        <w:tc>
          <w:tcPr>
            <w:tcW w:w="40" w:type="dxa"/>
            <w:vAlign w:val="bottom"/>
          </w:tcPr>
          <w:p>
            <w:pPr>
              <w:spacing w:after="0"/>
              <w:rPr>
                <w:sz w:val="13"/>
                <w:szCs w:val="13"/>
                <w:color w:val="auto"/>
              </w:rPr>
            </w:pPr>
          </w:p>
        </w:tc>
        <w:tc>
          <w:tcPr>
            <w:tcW w:w="1080" w:type="dxa"/>
            <w:vAlign w:val="bottom"/>
            <w:tcBorders>
              <w:top w:val="single" w:sz="8" w:color="auto"/>
            </w:tcBorders>
          </w:tcPr>
          <w:p>
            <w:pPr>
              <w:ind w:left="900"/>
              <w:spacing w:after="0" w:line="157" w:lineRule="exact"/>
              <w:rPr>
                <w:sz w:val="20"/>
                <w:szCs w:val="20"/>
                <w:color w:val="auto"/>
              </w:rPr>
            </w:pPr>
            <w:r>
              <w:rPr>
                <w:rFonts w:ascii="Arial" w:cs="Arial" w:eastAsia="Arial" w:hAnsi="Arial"/>
                <w:sz w:val="14"/>
                <w:szCs w:val="14"/>
                <w:color w:val="auto"/>
                <w:w w:val="81"/>
              </w:rPr>
              <w:t>8.0</w:t>
            </w:r>
          </w:p>
        </w:tc>
        <w:tc>
          <w:tcPr>
            <w:tcW w:w="360" w:type="dxa"/>
            <w:vAlign w:val="bottom"/>
          </w:tcPr>
          <w:p>
            <w:pPr>
              <w:jc w:val="right"/>
              <w:spacing w:after="0" w:line="157" w:lineRule="exact"/>
              <w:rPr>
                <w:sz w:val="20"/>
                <w:szCs w:val="20"/>
                <w:color w:val="auto"/>
              </w:rPr>
            </w:pPr>
            <w:r>
              <w:rPr>
                <w:rFonts w:ascii="Arial" w:cs="Arial" w:eastAsia="Arial" w:hAnsi="Arial"/>
                <w:sz w:val="14"/>
                <w:szCs w:val="14"/>
                <w:color w:val="auto"/>
                <w:w w:val="98"/>
              </w:rPr>
              <w:t>%  +</w:t>
            </w:r>
          </w:p>
        </w:tc>
        <w:tc>
          <w:tcPr>
            <w:tcW w:w="40" w:type="dxa"/>
            <w:vAlign w:val="bottom"/>
          </w:tcPr>
          <w:p>
            <w:pPr>
              <w:spacing w:after="0"/>
              <w:rPr>
                <w:sz w:val="13"/>
                <w:szCs w:val="13"/>
                <w:color w:val="auto"/>
              </w:rPr>
            </w:pPr>
          </w:p>
        </w:tc>
        <w:tc>
          <w:tcPr>
            <w:tcW w:w="1060" w:type="dxa"/>
            <w:vAlign w:val="bottom"/>
            <w:tcBorders>
              <w:top w:val="single" w:sz="8" w:color="auto"/>
            </w:tcBorders>
          </w:tcPr>
          <w:p>
            <w:pPr>
              <w:ind w:left="820"/>
              <w:spacing w:after="0" w:line="157" w:lineRule="exact"/>
              <w:rPr>
                <w:sz w:val="20"/>
                <w:szCs w:val="20"/>
                <w:color w:val="auto"/>
              </w:rPr>
            </w:pPr>
            <w:r>
              <w:rPr>
                <w:rFonts w:ascii="Arial" w:cs="Arial" w:eastAsia="Arial" w:hAnsi="Arial"/>
                <w:sz w:val="14"/>
                <w:szCs w:val="14"/>
                <w:color w:val="auto"/>
                <w:w w:val="80"/>
              </w:rPr>
              <w:t>25.0</w:t>
            </w:r>
          </w:p>
        </w:tc>
        <w:tc>
          <w:tcPr>
            <w:tcW w:w="4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  =</w:t>
            </w:r>
          </w:p>
        </w:tc>
        <w:tc>
          <w:tcPr>
            <w:tcW w:w="106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13.6</w:t>
            </w:r>
          </w:p>
        </w:tc>
        <w:tc>
          <w:tcPr>
            <w:tcW w:w="220" w:type="dxa"/>
            <w:vAlign w:val="bottom"/>
          </w:tcPr>
          <w:p>
            <w:pPr>
              <w:jc w:val="right"/>
              <w:ind w:right="28"/>
              <w:spacing w:after="0" w:line="157" w:lineRule="exact"/>
              <w:rPr>
                <w:sz w:val="20"/>
                <w:szCs w:val="20"/>
                <w:color w:val="auto"/>
              </w:rPr>
            </w:pPr>
            <w:r>
              <w:rPr>
                <w:rFonts w:ascii="Arial" w:cs="Arial" w:eastAsia="Arial" w:hAnsi="Arial"/>
                <w:sz w:val="14"/>
                <w:szCs w:val="14"/>
                <w:color w:val="auto"/>
                <w:w w:val="79"/>
              </w:rPr>
              <w:t>%</w:t>
            </w:r>
          </w:p>
        </w:tc>
        <w:tc>
          <w:tcPr>
            <w:tcW w:w="16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20.4</w:t>
            </w:r>
          </w:p>
        </w:tc>
        <w:tc>
          <w:tcPr>
            <w:tcW w:w="140" w:type="dxa"/>
            <w:vAlign w:val="bottom"/>
          </w:tcPr>
          <w:p>
            <w:pPr>
              <w:jc w:val="right"/>
              <w:spacing w:after="0" w:line="157"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-8890</wp:posOffset>
            </wp:positionV>
            <wp:extent cx="47167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i w:val="1"/>
          <w:iCs w:val="1"/>
          <w:color w:val="auto"/>
        </w:rPr>
        <w:t>* Converted at Nuevos Soles at Q-end exchange rate.</w:t>
      </w:r>
    </w:p>
    <w:p>
      <w:pPr>
        <w:spacing w:after="0" w:line="7"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69.4% of Operating expenses are generated in local curency.</w:t>
      </w:r>
    </w:p>
    <w:p>
      <w:pPr>
        <w:spacing w:after="0" w:line="9" w:lineRule="exact"/>
        <w:rPr>
          <w:rFonts w:ascii="Arial" w:cs="Arial" w:eastAsia="Arial" w:hAnsi="Arial"/>
          <w:sz w:val="18"/>
          <w:szCs w:val="18"/>
          <w:i w:val="1"/>
          <w:iCs w:val="1"/>
          <w:color w:val="auto"/>
        </w:rPr>
      </w:pPr>
    </w:p>
    <w:p>
      <w:pPr>
        <w:ind w:right="480" w:firstLine="8"/>
        <w:spacing w:after="0" w:line="250" w:lineRule="auto"/>
        <w:tabs>
          <w:tab w:leader="none" w:pos="25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70.0% of adjusted Operating expenses are generated in local currency. Adjusted Operating expenses excludes expenses associated with SUNAT and ESSALUD for previous periods; contingent charges in Bolivia; de-recognition of assets associated with system development and installations; and an impairment loss after IM Trust was valuated according to NIIF norms.</w:t>
      </w:r>
    </w:p>
    <w:p>
      <w:pPr>
        <w:spacing w:after="0" w:line="1" w:lineRule="exact"/>
        <w:rPr>
          <w:rFonts w:ascii="Arial" w:cs="Arial" w:eastAsia="Arial" w:hAnsi="Arial"/>
          <w:sz w:val="18"/>
          <w:szCs w:val="18"/>
          <w:i w:val="1"/>
          <w:iCs w:val="1"/>
          <w:color w:val="auto"/>
        </w:rPr>
      </w:pPr>
    </w:p>
    <w:p>
      <w:pPr>
        <w:ind w:left="260" w:hanging="252"/>
        <w:spacing w:after="0"/>
        <w:tabs>
          <w:tab w:leader="none" w:pos="2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Calculated by adding up the weighted % change of each currency.</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terms of operating expenses, although the LC component was positively affected by devaluation when the same is expressed in US Dollars, the weighted increase by currency type was 22% as opposed to 14.6% (reported) when we eliminate the positive effect of the devaluation of expenses in LC versus the 14.6% reported. This figure drops to 20.4% when eliminate non-recurring expenses (vs. 13.6% in reported figures).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8" w:name="page9"/>
    <w:bookmarkEnd w:id="8"/>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3"/>
              </w:rPr>
              <w:t>Local Currency *</w:t>
            </w:r>
          </w:p>
        </w:tc>
        <w:tc>
          <w:tcPr>
            <w:tcW w:w="292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1"/>
              </w:rPr>
              <w:t>Foreign Curreny</w:t>
            </w:r>
          </w:p>
        </w:tc>
      </w:tr>
      <w:tr>
        <w:trPr>
          <w:trHeight w:val="230"/>
        </w:trPr>
        <w:tc>
          <w:tcPr>
            <w:tcW w:w="5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8"/>
              </w:rPr>
              <w:t>2013 vs. 2012</w:t>
            </w:r>
          </w:p>
        </w:tc>
        <w:tc>
          <w:tcPr>
            <w:tcW w:w="292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6"/>
              </w:rPr>
              <w:t>2013 vs. 2012</w:t>
            </w:r>
          </w:p>
        </w:tc>
      </w:tr>
      <w:tr>
        <w:trPr>
          <w:trHeight w:val="234"/>
        </w:trPr>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BAP</w:t>
            </w:r>
          </w:p>
        </w:tc>
        <w:tc>
          <w:tcPr>
            <w:tcW w:w="1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 Change</w:t>
            </w:r>
          </w:p>
        </w:tc>
        <w:tc>
          <w:tcPr>
            <w:tcW w:w="28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 Participation</w:t>
            </w:r>
          </w:p>
        </w:tc>
        <w:tc>
          <w:tcPr>
            <w:tcW w:w="26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 Change</w:t>
            </w:r>
          </w:p>
        </w:tc>
        <w:tc>
          <w:tcPr>
            <w:tcW w:w="28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 Participation</w:t>
            </w:r>
          </w:p>
        </w:tc>
        <w:tc>
          <w:tcPr>
            <w:tcW w:w="160" w:type="dxa"/>
            <w:vAlign w:val="bottom"/>
            <w:tcBorders>
              <w:bottom w:val="single" w:sz="8" w:color="CCFFCC"/>
            </w:tcBorders>
          </w:tcPr>
          <w:p>
            <w:pPr>
              <w:spacing w:after="0"/>
              <w:rPr>
                <w:sz w:val="20"/>
                <w:szCs w:val="20"/>
                <w:color w:val="auto"/>
              </w:rPr>
            </w:pPr>
          </w:p>
        </w:tc>
      </w:tr>
      <w:tr>
        <w:trPr>
          <w:trHeight w:val="210"/>
        </w:trPr>
        <w:tc>
          <w:tcPr>
            <w:tcW w:w="5360" w:type="dxa"/>
            <w:vAlign w:val="bottom"/>
            <w:shd w:val="clear" w:color="auto" w:fill="CCFFCC"/>
          </w:tcPr>
          <w:p>
            <w:pPr>
              <w:spacing w:after="0"/>
              <w:rPr>
                <w:sz w:val="20"/>
                <w:szCs w:val="20"/>
                <w:color w:val="auto"/>
              </w:rPr>
            </w:pPr>
            <w:r>
              <w:rPr>
                <w:rFonts w:ascii="Arial" w:cs="Arial" w:eastAsia="Arial" w:hAnsi="Arial"/>
                <w:sz w:val="18"/>
                <w:szCs w:val="18"/>
                <w:color w:val="auto"/>
              </w:rPr>
              <w:t>Total Loans</w:t>
            </w:r>
          </w:p>
        </w:tc>
        <w:tc>
          <w:tcPr>
            <w:tcW w:w="12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30.4%</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47.2%</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52.8%</w:t>
            </w: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i w:val="1"/>
                <w:iCs w:val="1"/>
                <w:color w:val="auto"/>
              </w:rPr>
              <w:t>* Converted at Nuevos Soles at Q-end exchange rate.</w:t>
            </w: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terms of loans, it is important to note the excellent growth of 30.4% in loan balances denominated in LC, which represented 47.2% of the loan balance at the end of 2013; during the same period, the FC loan balance fell -1.6%. The aforementioned, after excluding the effect of devaluation, represents a +13.5% increase in account balances. This result is much higher than the reported 6.5%.</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analysis of daily average balances is, however, a better indicator of business evolution. In this case, average daily balances are calculated only for BCP, which nonetheless represents 97% of Credicorp’s portfolio. These balances posted an increase of +22.7% in Retail Banking and +39.5% at Edyficar. The portfolio denominated in FC, which only grew 3.1%, reflects a slight increase in Wholesale Banking (+2.1%) and a -10.4% decrease in FC loans at Edyficar while Retail Banking maintained the same level registered last year. The average daily balances, without including devaluation, expanded +17.3% with regard to the level obtained in 2012 and reflect the excellent growth of our business.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analysis is meant to demonstrate the Credicorp’s business has in fact remained very solid. It has maintained good levels of growth, utilized adequate risk management approaches, and leveraged the large growth potential identified in years past. All of this is hidden behind the distortions created by the nature our banking system, which works in two currencies; the process of change and de-dollarization that we are undergoing; the evolution of the international markets and the regulatory changes that tend to arise in developing economies such as ours.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 w:name="page10"/>
    <w:bookmarkEnd w:id="9"/>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Credicorp – The Sum of Its Parts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most noteworthy events for BCP in 4Q13 were:</w:t>
      </w:r>
    </w:p>
    <w:p>
      <w:pPr>
        <w:spacing w:after="0" w:line="225" w:lineRule="exact"/>
        <w:rPr>
          <w:sz w:val="20"/>
          <w:szCs w:val="20"/>
          <w:color w:val="auto"/>
        </w:rPr>
      </w:pPr>
    </w:p>
    <w:p>
      <w:pPr>
        <w:ind w:left="1280" w:hanging="381"/>
        <w:spacing w:after="0" w:line="277" w:lineRule="auto"/>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on-going de-dollarization of our economy and our loan portfolio, which greatly benefits our results given that it implies lower funding costs and more profitable assets.</w:t>
      </w:r>
    </w:p>
    <w:p>
      <w:pPr>
        <w:spacing w:after="0" w:line="170" w:lineRule="exact"/>
        <w:rPr>
          <w:rFonts w:ascii="Arial" w:cs="Arial" w:eastAsia="Arial" w:hAnsi="Arial"/>
          <w:sz w:val="18"/>
          <w:szCs w:val="18"/>
          <w:color w:val="auto"/>
        </w:rPr>
      </w:pPr>
    </w:p>
    <w:p>
      <w:pPr>
        <w:ind w:left="1280" w:hanging="381"/>
        <w:spacing w:after="0"/>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On-going improvements in our margins, guided by the improved pricing tools that were introduced in our scoring models</w:t>
      </w:r>
    </w:p>
    <w:p>
      <w:pPr>
        <w:spacing w:after="0" w:line="225" w:lineRule="exact"/>
        <w:rPr>
          <w:rFonts w:ascii="Arial" w:cs="Arial" w:eastAsia="Arial" w:hAnsi="Arial"/>
          <w:sz w:val="18"/>
          <w:szCs w:val="18"/>
          <w:color w:val="auto"/>
        </w:rPr>
      </w:pPr>
    </w:p>
    <w:p>
      <w:pPr>
        <w:ind w:left="1280" w:hanging="381"/>
        <w:spacing w:after="0"/>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On-going improvements in retail products and a redistribution of funds denominated in Nuevos Soles to more profitable assets.</w:t>
      </w:r>
    </w:p>
    <w:p>
      <w:pPr>
        <w:spacing w:after="0" w:line="225" w:lineRule="exact"/>
        <w:rPr>
          <w:rFonts w:ascii="Arial" w:cs="Arial" w:eastAsia="Arial" w:hAnsi="Arial"/>
          <w:sz w:val="18"/>
          <w:szCs w:val="18"/>
          <w:color w:val="auto"/>
        </w:rPr>
      </w:pPr>
    </w:p>
    <w:p>
      <w:pPr>
        <w:ind w:left="1280" w:right="20" w:hanging="381"/>
        <w:spacing w:after="0" w:line="277" w:lineRule="auto"/>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Good signs persist that indicate lower costs for risk in the future given that the past due ratio has begun to decelerate in SMEs although we have seen a temporary increase in the exchange rate due to regulatory changes.</w:t>
      </w:r>
    </w:p>
    <w:p>
      <w:pPr>
        <w:spacing w:after="0" w:line="170" w:lineRule="exact"/>
        <w:rPr>
          <w:rFonts w:ascii="Arial" w:cs="Arial" w:eastAsia="Arial" w:hAnsi="Arial"/>
          <w:sz w:val="18"/>
          <w:szCs w:val="18"/>
          <w:color w:val="auto"/>
        </w:rPr>
      </w:pPr>
    </w:p>
    <w:p>
      <w:pPr>
        <w:ind w:left="1280" w:hanging="381"/>
        <w:spacing w:after="0" w:line="277" w:lineRule="auto"/>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advent of some non-recurring extraordinary costs that adversely affect operating results and a related to taxes, insurance reserves, investment valuations and others described later in this report.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aforementioned explain BCP’s results this 4Q. At the end of this period, net income totaled US$ 144.3 million and the contribution to Credicorp was US$ 140.8 million. BCP’s operating results were very satisfactory despite a seasonal increase in year-end expenses. Nevertheless, extraordinary non-recurring expenses pushed earnings down and led to a ROE of 19.9%, which fell below expectations.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Earnings contribution to Credicorp</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Quarter</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ind w:left="600"/>
              <w:spacing w:after="0"/>
              <w:rPr>
                <w:sz w:val="20"/>
                <w:szCs w:val="20"/>
                <w:color w:val="auto"/>
              </w:rPr>
            </w:pPr>
            <w:r>
              <w:rPr>
                <w:rFonts w:ascii="Arial" w:cs="Arial" w:eastAsia="Arial" w:hAnsi="Arial"/>
                <w:sz w:val="14"/>
                <w:szCs w:val="14"/>
                <w:b w:val="1"/>
                <w:bCs w:val="1"/>
                <w:color w:val="auto"/>
                <w:w w:val="97"/>
              </w:rPr>
              <w:t>Change %</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Year ended</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Change</w:t>
            </w:r>
          </w:p>
        </w:tc>
      </w:tr>
      <w:tr>
        <w:trPr>
          <w:trHeight w:val="171"/>
        </w:trPr>
        <w:tc>
          <w:tcPr>
            <w:tcW w:w="3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US$ 000</w:t>
            </w:r>
          </w:p>
        </w:tc>
        <w:tc>
          <w:tcPr>
            <w:tcW w:w="10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4Q13</w:t>
            </w:r>
          </w:p>
        </w:tc>
        <w:tc>
          <w:tcPr>
            <w:tcW w:w="20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3Q13</w:t>
            </w:r>
          </w:p>
        </w:tc>
        <w:tc>
          <w:tcPr>
            <w:tcW w:w="20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4Q12</w:t>
            </w:r>
          </w:p>
        </w:tc>
        <w:tc>
          <w:tcPr>
            <w:tcW w:w="20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FFC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24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Dec 13</w:t>
            </w:r>
          </w:p>
        </w:tc>
        <w:tc>
          <w:tcPr>
            <w:tcW w:w="20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Dec 12</w:t>
            </w:r>
          </w:p>
        </w:tc>
        <w:tc>
          <w:tcPr>
            <w:tcW w:w="220" w:type="dxa"/>
            <w:vAlign w:val="bottom"/>
            <w:tcBorders>
              <w:bottom w:val="single" w:sz="8" w:color="CCFFCC"/>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Dec 13 / Dec 12</w:t>
            </w:r>
          </w:p>
        </w:tc>
        <w:tc>
          <w:tcPr>
            <w:tcW w:w="140" w:type="dxa"/>
            <w:vAlign w:val="bottom"/>
            <w:tcBorders>
              <w:bottom w:val="single" w:sz="8" w:color="CCFFCC"/>
            </w:tcBorders>
          </w:tcPr>
          <w:p>
            <w:pPr>
              <w:spacing w:after="0"/>
              <w:rPr>
                <w:sz w:val="14"/>
                <w:szCs w:val="14"/>
                <w:color w:val="auto"/>
              </w:rPr>
            </w:pPr>
          </w:p>
        </w:tc>
      </w:tr>
      <w:tr>
        <w:trPr>
          <w:trHeight w:val="142"/>
        </w:trPr>
        <w:tc>
          <w:tcPr>
            <w:tcW w:w="314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Banco de Crédito BCP (1)</w:t>
            </w:r>
          </w:p>
        </w:tc>
        <w:tc>
          <w:tcPr>
            <w:tcW w:w="10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140,818</w:t>
            </w: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146,677</w:t>
            </w: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166,701</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-4%</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-16%</w:t>
            </w: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458,325</w:t>
            </w:r>
          </w:p>
        </w:tc>
        <w:tc>
          <w:tcPr>
            <w:tcW w:w="20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645,750</w:t>
            </w: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0"/>
              <w:spacing w:after="0" w:line="142" w:lineRule="exact"/>
              <w:rPr>
                <w:sz w:val="20"/>
                <w:szCs w:val="20"/>
                <w:color w:val="auto"/>
              </w:rPr>
            </w:pPr>
            <w:r>
              <w:rPr>
                <w:rFonts w:ascii="Arial" w:cs="Arial" w:eastAsia="Arial" w:hAnsi="Arial"/>
                <w:sz w:val="14"/>
                <w:szCs w:val="14"/>
                <w:color w:val="auto"/>
              </w:rPr>
              <w:t>-29.0%</w:t>
            </w:r>
          </w:p>
        </w:tc>
      </w:tr>
      <w:tr>
        <w:trPr>
          <w:trHeight w:val="149"/>
        </w:trPr>
        <w:tc>
          <w:tcPr>
            <w:tcW w:w="3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BCB (2)</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4,498</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3,921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3,904</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17,144</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20,082</w:t>
            </w: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-14.6%</w:t>
            </w:r>
          </w:p>
        </w:tc>
      </w:tr>
      <w:tr>
        <w:trPr>
          <w:trHeight w:val="149"/>
        </w:trPr>
        <w:tc>
          <w:tcPr>
            <w:tcW w:w="3240" w:type="dxa"/>
            <w:vAlign w:val="bottom"/>
            <w:gridSpan w:val="2"/>
            <w:shd w:val="clear" w:color="auto" w:fill="CCFFCC"/>
          </w:tcPr>
          <w:p>
            <w:pPr>
              <w:ind w:left="140"/>
              <w:spacing w:after="0" w:line="149" w:lineRule="exact"/>
              <w:rPr>
                <w:sz w:val="20"/>
                <w:szCs w:val="20"/>
                <w:color w:val="auto"/>
              </w:rPr>
            </w:pPr>
            <w:r>
              <w:rPr>
                <w:rFonts w:ascii="Arial" w:cs="Arial" w:eastAsia="Arial" w:hAnsi="Arial"/>
                <w:sz w:val="14"/>
                <w:szCs w:val="14"/>
                <w:color w:val="auto"/>
              </w:rPr>
              <w:t>Edyficar</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9,969</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11,330</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10,942</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-12%</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-9%</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34,513</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35,546</w:t>
            </w:r>
          </w:p>
        </w:tc>
        <w:tc>
          <w:tcPr>
            <w:tcW w:w="11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-2.9%</w:t>
            </w:r>
          </w:p>
        </w:tc>
      </w:tr>
      <w:tr>
        <w:trPr>
          <w:trHeight w:val="149"/>
        </w:trPr>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Pacifico Grupo Asegurador</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4,723</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18,458</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16,895</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-74%</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-72%</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39,899</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65,998</w:t>
            </w: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-39.5%</w:t>
            </w:r>
          </w:p>
        </w:tc>
      </w:tr>
      <w:tr>
        <w:trPr>
          <w:trHeight w:val="149"/>
        </w:trPr>
        <w:tc>
          <w:tcPr>
            <w:tcW w:w="3240" w:type="dxa"/>
            <w:vAlign w:val="bottom"/>
            <w:gridSpan w:val="2"/>
            <w:shd w:val="clear" w:color="auto" w:fill="CCFFCC"/>
          </w:tcPr>
          <w:p>
            <w:pPr>
              <w:ind w:left="140"/>
              <w:spacing w:after="0" w:line="149" w:lineRule="exact"/>
              <w:rPr>
                <w:sz w:val="20"/>
                <w:szCs w:val="20"/>
                <w:color w:val="auto"/>
              </w:rPr>
            </w:pPr>
            <w:r>
              <w:rPr>
                <w:rFonts w:ascii="Arial" w:cs="Arial" w:eastAsia="Arial" w:hAnsi="Arial"/>
                <w:sz w:val="14"/>
                <w:szCs w:val="14"/>
                <w:color w:val="auto"/>
              </w:rPr>
              <w:t>Elimination (3)</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(5,985)</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(5,985)</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r>
      <w:tr>
        <w:trPr>
          <w:trHeight w:val="149"/>
        </w:trPr>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Atlantic Security Bank</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11,972</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9,781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13,706</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50,681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48,402</w:t>
            </w: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4.7%</w:t>
            </w:r>
          </w:p>
        </w:tc>
      </w:tr>
      <w:tr>
        <w:trPr>
          <w:trHeight w:val="149"/>
        </w:trPr>
        <w:tc>
          <w:tcPr>
            <w:tcW w:w="32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Prima</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12,267</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12,541</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8,123</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51%</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50,798</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38,183</w:t>
            </w:r>
          </w:p>
        </w:tc>
        <w:tc>
          <w:tcPr>
            <w:tcW w:w="11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33.0%</w:t>
            </w:r>
          </w:p>
        </w:tc>
      </w:tr>
      <w:tr>
        <w:trPr>
          <w:trHeight w:val="149"/>
        </w:trPr>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Credicorp Capital (4)</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(11,608)</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886</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6,396</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-1411%</w:t>
            </w:r>
          </w:p>
        </w:tc>
        <w:tc>
          <w:tcPr>
            <w:tcW w:w="24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(2,820)</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6,396</w:t>
            </w: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w:t>
            </w:r>
          </w:p>
        </w:tc>
      </w:tr>
      <w:tr>
        <w:trPr>
          <w:trHeight w:val="149"/>
        </w:trPr>
        <w:tc>
          <w:tcPr>
            <w:tcW w:w="3240" w:type="dxa"/>
            <w:vAlign w:val="bottom"/>
            <w:gridSpan w:val="2"/>
            <w:shd w:val="clear" w:color="auto" w:fill="CCFFCC"/>
          </w:tcPr>
          <w:p>
            <w:pPr>
              <w:ind w:left="140"/>
              <w:spacing w:after="0" w:line="149" w:lineRule="exact"/>
              <w:rPr>
                <w:sz w:val="20"/>
                <w:szCs w:val="20"/>
                <w:color w:val="auto"/>
              </w:rPr>
            </w:pPr>
            <w:r>
              <w:rPr>
                <w:rFonts w:ascii="Arial" w:cs="Arial" w:eastAsia="Arial" w:hAnsi="Arial"/>
                <w:sz w:val="14"/>
                <w:szCs w:val="14"/>
                <w:color w:val="auto"/>
              </w:rPr>
              <w:t>Credicorp. Inv (5)</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(13,427)</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991</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3,337</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-1454%</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(6,150)</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3,337</w:t>
            </w:r>
          </w:p>
        </w:tc>
        <w:tc>
          <w:tcPr>
            <w:tcW w:w="11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w:t>
            </w:r>
          </w:p>
        </w:tc>
      </w:tr>
      <w:tr>
        <w:trPr>
          <w:trHeight w:val="149"/>
        </w:trPr>
        <w:tc>
          <w:tcPr>
            <w:tcW w:w="3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BCP Capital (6)</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1,819</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(106)</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3,059</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1821%</w:t>
            </w:r>
          </w:p>
        </w:tc>
        <w:tc>
          <w:tcPr>
            <w:tcW w:w="24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3,330</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3,059</w:t>
            </w: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w:t>
            </w:r>
          </w:p>
        </w:tc>
      </w:tr>
      <w:tr>
        <w:trPr>
          <w:trHeight w:val="149"/>
        </w:trPr>
        <w:tc>
          <w:tcPr>
            <w:tcW w:w="32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Credicorp Ltd. (7)</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1,934</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(5,659)</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(5,681)</w:t>
            </w:r>
          </w:p>
        </w:tc>
        <w:tc>
          <w:tcPr>
            <w:tcW w:w="10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134%</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134%</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(14,760)</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(10,285)</w:t>
            </w:r>
          </w:p>
        </w:tc>
        <w:tc>
          <w:tcPr>
            <w:tcW w:w="11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-44%</w:t>
            </w:r>
          </w:p>
        </w:tc>
      </w:tr>
      <w:tr>
        <w:trPr>
          <w:trHeight w:val="149"/>
        </w:trPr>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Others (8)</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(2,485)</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(3,259)</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(5,951)</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w:t>
            </w:r>
          </w:p>
        </w:tc>
        <w:tc>
          <w:tcPr>
            <w:tcW w:w="2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(9,060)</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(5,666)</w:t>
            </w: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-556%</w:t>
            </w:r>
          </w:p>
        </w:tc>
      </w:tr>
      <w:tr>
        <w:trPr>
          <w:trHeight w:val="162"/>
        </w:trPr>
        <w:tc>
          <w:tcPr>
            <w:tcW w:w="3240" w:type="dxa"/>
            <w:vAlign w:val="bottom"/>
            <w:gridSpan w:val="2"/>
            <w:shd w:val="clear" w:color="auto" w:fill="CCFFCC"/>
          </w:tcPr>
          <w:p>
            <w:pPr>
              <w:spacing w:after="0"/>
              <w:rPr>
                <w:sz w:val="20"/>
                <w:szCs w:val="20"/>
                <w:color w:val="auto"/>
              </w:rPr>
            </w:pPr>
            <w:r>
              <w:rPr>
                <w:rFonts w:ascii="Arial" w:cs="Arial" w:eastAsia="Arial" w:hAnsi="Arial"/>
                <w:sz w:val="14"/>
                <w:szCs w:val="14"/>
                <w:b w:val="1"/>
                <w:bCs w:val="1"/>
                <w:color w:val="auto"/>
              </w:rPr>
              <w:t>Net income attributable to Credicorp</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151,636</w:t>
            </w:r>
          </w:p>
        </w:tc>
        <w:tc>
          <w:tcPr>
            <w:tcW w:w="20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179,425</w:t>
            </w:r>
          </w:p>
        </w:tc>
        <w:tc>
          <w:tcPr>
            <w:tcW w:w="200" w:type="dxa"/>
            <w:vAlign w:val="bottom"/>
            <w:shd w:val="clear" w:color="auto" w:fill="CCFFCC"/>
          </w:tcPr>
          <w:p>
            <w:pPr>
              <w:spacing w:after="0"/>
              <w:rPr>
                <w:sz w:val="14"/>
                <w:szCs w:val="14"/>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200,189</w:t>
            </w:r>
          </w:p>
        </w:tc>
        <w:tc>
          <w:tcPr>
            <w:tcW w:w="200" w:type="dxa"/>
            <w:vAlign w:val="bottom"/>
            <w:shd w:val="clear" w:color="auto" w:fill="CCFFCC"/>
          </w:tcPr>
          <w:p>
            <w:pPr>
              <w:spacing w:after="0"/>
              <w:rPr>
                <w:sz w:val="14"/>
                <w:szCs w:val="14"/>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b w:val="1"/>
                <w:bCs w:val="1"/>
                <w:color w:val="auto"/>
              </w:rPr>
              <w:t>-15%</w:t>
            </w:r>
          </w:p>
        </w:tc>
        <w:tc>
          <w:tcPr>
            <w:tcW w:w="24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b w:val="1"/>
                <w:bCs w:val="1"/>
                <w:color w:val="auto"/>
              </w:rPr>
              <w:t>-24%</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b w:val="1"/>
                <w:bCs w:val="1"/>
                <w:color w:val="auto"/>
              </w:rPr>
              <w:t>567,078</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b w:val="1"/>
                <w:bCs w:val="1"/>
                <w:color w:val="auto"/>
              </w:rPr>
              <w:t>788,779</w:t>
            </w: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4"/>
                <w:szCs w:val="14"/>
                <w:b w:val="1"/>
                <w:bCs w:val="1"/>
                <w:color w:val="auto"/>
              </w:rPr>
              <w:t>-28%</w:t>
            </w: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(1) Includes Banco de Crédito de Bolivia and Edyficar.</w:t>
      </w:r>
    </w:p>
    <w:p>
      <w:pPr>
        <w:spacing w:after="0" w:line="9" w:lineRule="exact"/>
        <w:rPr>
          <w:sz w:val="20"/>
          <w:szCs w:val="20"/>
          <w:color w:val="auto"/>
        </w:rPr>
      </w:pPr>
    </w:p>
    <w:p>
      <w:pPr>
        <w:ind w:right="660"/>
        <w:spacing w:after="0" w:line="250" w:lineRule="auto"/>
        <w:rPr>
          <w:sz w:val="20"/>
          <w:szCs w:val="20"/>
          <w:color w:val="auto"/>
        </w:rPr>
      </w:pPr>
      <w:r>
        <w:rPr>
          <w:rFonts w:ascii="Arial" w:cs="Arial" w:eastAsia="Arial" w:hAnsi="Arial"/>
          <w:sz w:val="18"/>
          <w:szCs w:val="18"/>
          <w:i w:val="1"/>
          <w:iCs w:val="1"/>
          <w:color w:val="auto"/>
        </w:rPr>
        <w:t>(2)The figure is lower than the net income of BCB because Credicorp owns 97.7% of BCB (directly and inderectly). 4Q13 figure includes Inversiones Credicorp Bolivia's contribution of US$0.6 millions.</w:t>
      </w:r>
    </w:p>
    <w:p>
      <w:pPr>
        <w:spacing w:after="0" w:line="1"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Includes the elimination related to the income obtained by Pacífico from the sale of a stake of Inv. Centenario to Credicorp.</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Figures Proforma - Unaudited, according to IFRS. Not yet consolidated but for purposes of this report is the sum of Credicorp Inv. and BCP Capital.</w:t>
      </w:r>
    </w:p>
    <w:p>
      <w:pPr>
        <w:spacing w:after="0" w:line="20" w:lineRule="exact"/>
        <w:rPr>
          <w:rFonts w:ascii="Arial" w:cs="Arial" w:eastAsia="Arial" w:hAnsi="Arial"/>
          <w:sz w:val="17"/>
          <w:szCs w:val="17"/>
          <w:i w:val="1"/>
          <w:iCs w:val="1"/>
          <w:color w:val="auto"/>
        </w:rPr>
      </w:pPr>
    </w:p>
    <w:p>
      <w:pPr>
        <w:ind w:left="260" w:hanging="252"/>
        <w:spacing w:after="0"/>
        <w:tabs>
          <w:tab w:leader="none" w:pos="2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Includes BCP Chile, IMT, Credicorp Inv, CSI, BCP Colombia and Correval.</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Includes Credifondo, Credibolsa, Credítitulos.</w:t>
      </w:r>
    </w:p>
    <w:p>
      <w:pPr>
        <w:spacing w:after="0" w:line="9" w:lineRule="exact"/>
        <w:rPr>
          <w:rFonts w:ascii="Arial" w:cs="Arial" w:eastAsia="Arial" w:hAnsi="Arial"/>
          <w:sz w:val="18"/>
          <w:szCs w:val="18"/>
          <w:i w:val="1"/>
          <w:iCs w:val="1"/>
          <w:color w:val="auto"/>
        </w:rPr>
      </w:pPr>
    </w:p>
    <w:p>
      <w:pPr>
        <w:ind w:right="80" w:firstLine="8"/>
        <w:spacing w:after="0" w:line="250" w:lineRule="auto"/>
        <w:tabs>
          <w:tab w:leader="none" w:pos="25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Includes taxes on BCP's and PPS's dividends, and other expenses at the holding company level. Also includes the elimination related to the adquisition of a stake of Inv. Centenario.</w:t>
      </w:r>
    </w:p>
    <w:p>
      <w:pPr>
        <w:ind w:right="20" w:firstLine="8"/>
        <w:spacing w:after="0" w:line="261" w:lineRule="auto"/>
        <w:tabs>
          <w:tab w:leader="none" w:pos="25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Includes Grupo Crédito excluding Prima (Servicorp and Emisiones BCP Latam), others of Atlantic Security Holding Corporation and others of Credicorp Ltd. Includes in 4Q12 a elimination related to the sale of a property from Prima AFP to Pacífico Grupo Asegurador.</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BCP Bolivia, despite regulatory changes in Bolivia, performed positively in 2013 and closed the year with a bottom line result of US$ 16.9 million. Growth in the Bank’s indicators is reflected in the good performance of net interest income (+14.5%), non-financial income (+8.6%) and the coverage ratio (299.7%) as well as a significant increase in loans (+18.3%); all of this was accomplished by keeping the past due ratio under control (1.34%). The positive evolution of these indicators shows that BCP Bolivia is one of the best performers in the Bolivian financial system, where the Bank enjoys a reputation of being one of the most stable and reliable entities on the scene. In this context, BCP Bolivia posted a very respectable and consistent market share of 10.9% in loans and 11.1% in deposits.</w:t>
      </w:r>
    </w:p>
    <w:p>
      <w:pPr>
        <w:spacing w:after="0" w:line="19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Edyficar continued to perform extraordinarily well, which coincides with local economic development in the SME sector in particular. This led to improvements in: (i) the loan level and portfolio profile; this portfolio totaled US$ 938 million at year-end (+23.4%), (ii) net interest income (+38.2%) and</w:t>
      </w:r>
    </w:p>
    <w:p>
      <w:pPr>
        <w:ind w:right="20" w:firstLine="8"/>
        <w:spacing w:after="0" w:line="261" w:lineRule="auto"/>
        <w:tabs>
          <w:tab w:leader="none" w:pos="319"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non-financial income (+14.3%). These results generated net earnings of US$ 35.4 million and ROAE of 21.6%. To accompany this growth and be closer to its clients, Edyficar opened new branches to bring the total number of locales to 190 at the end of 2013.</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 w:name="page11"/>
    <w:bookmarkEnd w:id="10"/>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spacing w:after="0" w:line="257" w:lineRule="auto"/>
        <w:rPr>
          <w:sz w:val="20"/>
          <w:szCs w:val="20"/>
          <w:color w:val="auto"/>
        </w:rPr>
      </w:pPr>
      <w:r>
        <w:rPr>
          <w:rFonts w:ascii="Arial" w:cs="Arial" w:eastAsia="Arial" w:hAnsi="Arial"/>
          <w:sz w:val="18"/>
          <w:szCs w:val="18"/>
          <w:color w:val="auto"/>
        </w:rPr>
        <w:t>Atlantic Security Bank (ASB) grew its Assets under Management business in 4Q and also increased its contribution to Credicorp, closing the year with US$ 50.7 million (+4.7% higher than the figure reported in 2012) and ROAE of 26.5%. This result was possible thanks to the trust that clients have placed in our equity management services and ASB’s excellent management capacities, which focus on maintaining strict control and follow-up on diversification strategies and the limits set for each type of investment to obtain an optimum balance between the proprietary portfolio, the level of credit quality and investment performance.</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Pacifico Insurance Group (PGA) reported net income after minority interest of US$ 4.2 million. This figure, although lower than last quarter’s result, was affected by external factors that have a direct impact on the underwriting result: (i) changes in regulation in the insurance market, whose impact was reflected in the last quarter of the year, (ii) a change in the rules for obligatory insurance in the Life business, which led to the culmination of the contract with Prima AFP, and (iii) higher expenses due to reserve adjustments given that SBS has established new regulatory requirements to cover administrative costs for claims services if the insurer ceases operations. In accumulated terms, the contribution to Credicorp was US$ 39.8 million at the end of 2013.</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we analyze results in each of PGA’s businesses, it is evident that the same trend is in play as described above: i) PPS reported a result of US$ 2.56 million (-67.2% QoQ) due to an increase in the loss ratio for the car line due to an increase in reserves (IBNR and ULAE)); ii) Pacifico Vida reported a total of US$ 7.7 million due primarily to a decline in income following the culmination of the contract with AFP Prima, iii) EPS reported a loss of -US$ 0.2 million (-117.8% QoQ) due to a seasonal increase in the loss ratio (winter) and SCTR (insurance for high risk occupations), which increase the cost of services and</w:t>
      </w:r>
    </w:p>
    <w:p>
      <w:pPr>
        <w:spacing w:after="0" w:line="2" w:lineRule="exact"/>
        <w:rPr>
          <w:sz w:val="20"/>
          <w:szCs w:val="20"/>
          <w:color w:val="auto"/>
        </w:rPr>
      </w:pPr>
    </w:p>
    <w:p>
      <w:pPr>
        <w:jc w:val="both"/>
        <w:ind w:firstLine="8"/>
        <w:spacing w:after="0" w:line="277" w:lineRule="auto"/>
        <w:tabs>
          <w:tab w:leader="none" w:pos="3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Medical Subsidiaries reported a negative result of –US$ 3.5 million (+456%), mainly due to an increase in provisions and accounting adjustments stemming from a reorganization of operation following the acquisition of the medical subsidiaries. Regarding this point, it is important to mention that we expect results to improve next Q due to an increase in out-patient and hospital services and the launching of a new medical center.</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Prima AFP reported better results than those obtained in 2012. This improvement is evident in the increases posted for fee income (+16.1%) and in the bottom line result with year-end net earnings of US$ 50.7 million (+33.0%) and a ROAE of 31.4%. These advances were possible mainly thanks to growth in the client portfolio during the affiliation period that ran between October 2012 and May 2013 (200,000 new affiliates); natural growth in the income base due to the Peruvian economy’s dynamism (Prima’s client portfolio includes some of the system’s top earners); and the 9.6% (approx.) devaluation of local currency (due to the translation result, which increased +584.3%). The international economic juncture and its effects on the Lima Stock Exchange affected the annual yields of funds under management. Nonetheless, a long-term analysis, which begins with the system’s creation, indicates that the yield was 7.6% in real terms. To address this situation, the Peruvian Central Bank raised the limits placed on the AFPs ability to make foreign investments from 36% to 40%. This change will take place gradually at intervals of 0.5% a month.</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investment banking business, which is run through Credicorp Capital, continued to effectively position itself as its clients’ best option. Proof of this is that each of Credicorp Capital’s subsidiaries leads the secondary fixed income market (BCP Capital 46.9%, Correval 22.5% and IM Trust 27.7%). The accounting loss incurred by BCP Chile, due to the impairment generated by an accounting adjustment that was made to the valuation of IM Trust, which were below the book value, masked the real business result. If this adjustment had not been made, the bottom line result would have been positive. Lastly, the experience of Credicorp Capital’s staff, as well as the trust that the clients place in its decisions, are reflected in the transactions that were completed and the volume of assets under management, which totaled US$ 7,224 million at year-end.</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Credicorp Ltd.’s line mainly includes income tax provisions for dividends for BCP and PPS and other expenses at the holding level. In 4Q13, the results were positive and the contribution to Credicorp totaled US$ 1.9 million. In accumulated terms in 2013, the results were negative (-US$ 14.7 million) and include a write-off for Pacifico Insurance Group’s acquisition of a portion of Inversiones Centenario.</w:t>
      </w:r>
    </w:p>
    <w:p>
      <w:pPr>
        <w:spacing w:after="0" w:line="397"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 w:name="page12"/>
    <w:bookmarkEnd w:id="11"/>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spacing w:after="0" w:line="259" w:lineRule="auto"/>
        <w:rPr>
          <w:sz w:val="20"/>
          <w:szCs w:val="20"/>
          <w:color w:val="auto"/>
        </w:rPr>
      </w:pPr>
      <w:r>
        <w:rPr>
          <w:rFonts w:ascii="Arial" w:cs="Arial" w:eastAsia="Arial" w:hAnsi="Arial"/>
          <w:sz w:val="18"/>
          <w:szCs w:val="18"/>
          <w:color w:val="auto"/>
        </w:rPr>
        <w:t>The others account is mainly composed of the results of Grupo Crédito, which manages a number of efforts including Tarjeta Naranja (still in the red and responsible for the majority of the losses reported) and the fiduciary business. In 4Q13, the results improved but still registered losses for -US$ 2.4 million, which include a write off for Prima AFP’s move to sell a property to Pacifico Insurance Group. In annual terms in 2013, the results remained negative (-US$ 9.0 million).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60" w:type="dxa"/>
            <w:vAlign w:val="bottom"/>
            <w:gridSpan w:val="3"/>
          </w:tcPr>
          <w:p>
            <w:pPr>
              <w:spacing w:after="0"/>
              <w:rPr>
                <w:sz w:val="20"/>
                <w:szCs w:val="20"/>
                <w:color w:val="auto"/>
              </w:rPr>
            </w:pPr>
            <w:r>
              <w:rPr>
                <w:rFonts w:ascii="Arial" w:cs="Arial" w:eastAsia="Arial" w:hAnsi="Arial"/>
                <w:sz w:val="14"/>
                <w:szCs w:val="14"/>
                <w:b w:val="1"/>
                <w:bCs w:val="1"/>
                <w:color w:val="auto"/>
              </w:rPr>
              <w:t>Regulatory Capital and Capital Adequacy Ratios</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Balance as of</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4"/>
          </w:tcPr>
          <w:p>
            <w:pPr>
              <w:jc w:val="right"/>
              <w:ind w:right="8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6160" w:type="dxa"/>
            <w:vAlign w:val="bottom"/>
            <w:gridSpan w:val="3"/>
          </w:tcPr>
          <w:p>
            <w:pPr>
              <w:spacing w:after="0"/>
              <w:rPr>
                <w:sz w:val="20"/>
                <w:szCs w:val="20"/>
                <w:color w:val="auto"/>
              </w:rPr>
            </w:pPr>
            <w:r>
              <w:rPr>
                <w:rFonts w:ascii="Arial" w:cs="Arial" w:eastAsia="Arial" w:hAnsi="Arial"/>
                <w:sz w:val="14"/>
                <w:szCs w:val="14"/>
                <w:color w:val="auto"/>
              </w:rPr>
              <w:t>US$ (000)</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Dec 13</w:t>
            </w:r>
          </w:p>
        </w:tc>
        <w:tc>
          <w:tcPr>
            <w:tcW w:w="10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Sep 13</w:t>
            </w: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Dec 12</w:t>
            </w:r>
          </w:p>
        </w:tc>
        <w:tc>
          <w:tcPr>
            <w:tcW w:w="126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w w:val="98"/>
              </w:rPr>
              <w:t>Dec 13 / Sep 12</w:t>
            </w:r>
          </w:p>
        </w:tc>
        <w:tc>
          <w:tcPr>
            <w:tcW w:w="110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w w:val="90"/>
              </w:rPr>
              <w:t>Dec 13 / Dec 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FFCC"/>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FFCC"/>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Capital Stock</w:t>
            </w:r>
          </w:p>
        </w:tc>
        <w:tc>
          <w:tcPr>
            <w:tcW w:w="120" w:type="dxa"/>
            <w:vAlign w:val="bottom"/>
            <w:vMerge w:val="continue"/>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496,041</w:t>
            </w:r>
          </w:p>
        </w:tc>
        <w:tc>
          <w:tcPr>
            <w:tcW w:w="120" w:type="dxa"/>
            <w:vAlign w:val="bottom"/>
            <w:vMerge w:val="continue"/>
            <w:shd w:val="clear" w:color="auto" w:fill="CCFFCC"/>
          </w:tcPr>
          <w:p>
            <w:pPr>
              <w:spacing w:after="0"/>
              <w:rPr>
                <w:sz w:val="12"/>
                <w:szCs w:val="12"/>
                <w:color w:val="auto"/>
              </w:rPr>
            </w:pPr>
          </w:p>
        </w:tc>
        <w:tc>
          <w:tcPr>
            <w:tcW w:w="100" w:type="dxa"/>
            <w:vAlign w:val="bottom"/>
            <w:vMerge w:val="continue"/>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496,041</w:t>
            </w:r>
          </w:p>
        </w:tc>
        <w:tc>
          <w:tcPr>
            <w:tcW w:w="220" w:type="dxa"/>
            <w:vAlign w:val="bottom"/>
            <w:vMerge w:val="continue"/>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505,164</w:t>
            </w:r>
          </w:p>
        </w:tc>
        <w:tc>
          <w:tcPr>
            <w:tcW w:w="120" w:type="dxa"/>
            <w:vAlign w:val="bottom"/>
            <w:vMerge w:val="continue"/>
            <w:shd w:val="clear" w:color="auto" w:fill="CCFFCC"/>
          </w:tcPr>
          <w:p>
            <w:pPr>
              <w:spacing w:after="0"/>
              <w:rPr>
                <w:sz w:val="12"/>
                <w:szCs w:val="12"/>
                <w:color w:val="auto"/>
              </w:rPr>
            </w:pPr>
          </w:p>
        </w:tc>
        <w:tc>
          <w:tcPr>
            <w:tcW w:w="100" w:type="dxa"/>
            <w:vAlign w:val="bottom"/>
            <w:vMerge w:val="continue"/>
            <w:shd w:val="clear" w:color="auto" w:fill="CCFFCC"/>
          </w:tcPr>
          <w:p>
            <w:pPr>
              <w:spacing w:after="0"/>
              <w:rPr>
                <w:sz w:val="12"/>
                <w:szCs w:val="12"/>
                <w:color w:val="auto"/>
              </w:rPr>
            </w:pPr>
          </w:p>
        </w:tc>
        <w:tc>
          <w:tcPr>
            <w:tcW w:w="116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0.0%</w:t>
            </w:r>
          </w:p>
        </w:tc>
        <w:tc>
          <w:tcPr>
            <w:tcW w:w="110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tcPr>
          <w:p>
            <w:pPr>
              <w:spacing w:after="0" w:line="149" w:lineRule="exact"/>
              <w:rPr>
                <w:sz w:val="20"/>
                <w:szCs w:val="20"/>
                <w:color w:val="auto"/>
              </w:rPr>
            </w:pPr>
            <w:r>
              <w:rPr>
                <w:rFonts w:ascii="Arial" w:cs="Arial" w:eastAsia="Arial" w:hAnsi="Arial"/>
                <w:sz w:val="14"/>
                <w:szCs w:val="14"/>
                <w:color w:val="auto"/>
              </w:rPr>
              <w:t>Legal and Other capital reserves (1)</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2,903,509</w:t>
            </w:r>
          </w:p>
        </w:tc>
        <w:tc>
          <w:tcPr>
            <w:tcW w:w="12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2,898,793</w:t>
            </w:r>
          </w:p>
        </w:tc>
        <w:tc>
          <w:tcPr>
            <w:tcW w:w="2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2,306,561</w:t>
            </w:r>
          </w:p>
        </w:tc>
        <w:tc>
          <w:tcPr>
            <w:tcW w:w="126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0.2%</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Minority interest (2)</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106,797</w:t>
            </w:r>
          </w:p>
        </w:tc>
        <w:tc>
          <w:tcPr>
            <w:tcW w:w="110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102,463</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95,450</w:t>
            </w:r>
          </w:p>
        </w:tc>
        <w:tc>
          <w:tcPr>
            <w:tcW w:w="1260" w:type="dxa"/>
            <w:vAlign w:val="bottom"/>
            <w:gridSpan w:val="3"/>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4.2%</w:t>
            </w: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tcPr>
          <w:p>
            <w:pPr>
              <w:spacing w:after="0" w:line="149" w:lineRule="exact"/>
              <w:rPr>
                <w:sz w:val="20"/>
                <w:szCs w:val="20"/>
                <w:color w:val="auto"/>
              </w:rPr>
            </w:pPr>
            <w:r>
              <w:rPr>
                <w:rFonts w:ascii="Arial" w:cs="Arial" w:eastAsia="Arial" w:hAnsi="Arial"/>
                <w:sz w:val="14"/>
                <w:szCs w:val="14"/>
                <w:color w:val="auto"/>
              </w:rPr>
              <w:t>Loan loss reserves (3)</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323,435</w:t>
            </w:r>
          </w:p>
        </w:tc>
        <w:tc>
          <w:tcPr>
            <w:tcW w:w="11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310,084</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297,825</w:t>
            </w:r>
          </w:p>
        </w:tc>
        <w:tc>
          <w:tcPr>
            <w:tcW w:w="126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4.3%</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Perpetual subordinated debt</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227,500</w:t>
            </w:r>
          </w:p>
        </w:tc>
        <w:tc>
          <w:tcPr>
            <w:tcW w:w="110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227,500</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227,500</w:t>
            </w:r>
          </w:p>
        </w:tc>
        <w:tc>
          <w:tcPr>
            <w:tcW w:w="1260" w:type="dxa"/>
            <w:vAlign w:val="bottom"/>
            <w:gridSpan w:val="3"/>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0.0%</w:t>
            </w: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tcPr>
          <w:p>
            <w:pPr>
              <w:spacing w:after="0" w:line="149" w:lineRule="exact"/>
              <w:rPr>
                <w:sz w:val="20"/>
                <w:szCs w:val="20"/>
                <w:color w:val="auto"/>
              </w:rPr>
            </w:pPr>
            <w:r>
              <w:rPr>
                <w:rFonts w:ascii="Arial" w:cs="Arial" w:eastAsia="Arial" w:hAnsi="Arial"/>
                <w:sz w:val="14"/>
                <w:szCs w:val="14"/>
                <w:color w:val="auto"/>
              </w:rPr>
              <w:t>Subordinated Debt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1,279,765</w:t>
            </w:r>
          </w:p>
        </w:tc>
        <w:tc>
          <w:tcPr>
            <w:tcW w:w="12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1,282,284</w:t>
            </w:r>
          </w:p>
        </w:tc>
        <w:tc>
          <w:tcPr>
            <w:tcW w:w="2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1,154,816</w:t>
            </w:r>
          </w:p>
        </w:tc>
        <w:tc>
          <w:tcPr>
            <w:tcW w:w="126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-0.2%</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Investments in equity and subordinated debt of financial and insurance companies</w:t>
            </w:r>
          </w:p>
        </w:tc>
        <w:tc>
          <w:tcPr>
            <w:tcW w:w="9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(179,152)</w:t>
            </w:r>
          </w:p>
        </w:tc>
        <w:tc>
          <w:tcPr>
            <w:tcW w:w="1100" w:type="dxa"/>
            <w:vAlign w:val="bottom"/>
            <w:gridSpan w:val="3"/>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(167,392)</w:t>
            </w:r>
          </w:p>
        </w:tc>
        <w:tc>
          <w:tcPr>
            <w:tcW w:w="9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(198,756)</w:t>
            </w:r>
          </w:p>
        </w:tc>
        <w:tc>
          <w:tcPr>
            <w:tcW w:w="1260" w:type="dxa"/>
            <w:vAlign w:val="bottom"/>
            <w:gridSpan w:val="3"/>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7.0%</w:t>
            </w: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tcPr>
          <w:p>
            <w:pPr>
              <w:spacing w:after="0" w:line="149" w:lineRule="exact"/>
              <w:rPr>
                <w:sz w:val="20"/>
                <w:szCs w:val="20"/>
                <w:color w:val="auto"/>
              </w:rPr>
            </w:pPr>
            <w:r>
              <w:rPr>
                <w:rFonts w:ascii="Arial" w:cs="Arial" w:eastAsia="Arial" w:hAnsi="Arial"/>
                <w:sz w:val="14"/>
                <w:szCs w:val="14"/>
                <w:color w:val="auto"/>
              </w:rPr>
              <w:t>Goodwill</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(329,495)</w:t>
            </w:r>
          </w:p>
        </w:tc>
        <w:tc>
          <w:tcPr>
            <w:tcW w:w="11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(361,769)</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(392,097)</w:t>
            </w:r>
          </w:p>
        </w:tc>
        <w:tc>
          <w:tcPr>
            <w:tcW w:w="126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-8.9%</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Deduction for subordinated debt limit (50% of Tier I excluding deductions) (4)</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(20,847)</w:t>
            </w:r>
          </w:p>
        </w:tc>
        <w:tc>
          <w:tcPr>
            <w:tcW w:w="10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gridSpan w:val="2"/>
          </w:tcPr>
          <w:p>
            <w:pPr>
              <w:spacing w:after="0"/>
              <w:rPr>
                <w:sz w:val="20"/>
                <w:szCs w:val="20"/>
                <w:color w:val="auto"/>
              </w:rPr>
            </w:pPr>
            <w:r>
              <w:rPr>
                <w:rFonts w:ascii="Arial" w:cs="Arial" w:eastAsia="Arial" w:hAnsi="Arial"/>
                <w:sz w:val="14"/>
                <w:szCs w:val="14"/>
                <w:color w:val="auto"/>
              </w:rPr>
              <w:t>Deduction for Tier I Limit (50% of Regulatory capital) (4)</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Borders>
              <w:top w:val="single" w:sz="8" w:color="CCFFCC"/>
            </w:tcBorders>
            <w:gridSpan w:val="2"/>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Total Regulatory Capital (A)</w:t>
            </w: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4,828,401</w:t>
            </w:r>
          </w:p>
        </w:tc>
        <w:tc>
          <w:tcPr>
            <w:tcW w:w="1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4,788,004</w:t>
            </w:r>
          </w:p>
        </w:tc>
        <w:tc>
          <w:tcPr>
            <w:tcW w:w="22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3,975,616</w:t>
            </w:r>
          </w:p>
        </w:tc>
        <w:tc>
          <w:tcPr>
            <w:tcW w:w="1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0.8</w:t>
            </w:r>
          </w:p>
        </w:tc>
        <w:tc>
          <w:tcPr>
            <w:tcW w:w="260" w:type="dxa"/>
            <w:vAlign w:val="bottom"/>
            <w:tcBorders>
              <w:top w:val="single" w:sz="8" w:color="CCFFCC"/>
            </w:tcBorders>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21.5</w:t>
            </w:r>
          </w:p>
        </w:tc>
        <w:tc>
          <w:tcPr>
            <w:tcW w:w="14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Tier I (5)</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2,868,517</w:t>
            </w:r>
          </w:p>
        </w:tc>
        <w:tc>
          <w:tcPr>
            <w:tcW w:w="12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2,837,758</w:t>
            </w:r>
          </w:p>
        </w:tc>
        <w:tc>
          <w:tcPr>
            <w:tcW w:w="2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2,168,561</w:t>
            </w:r>
          </w:p>
        </w:tc>
        <w:tc>
          <w:tcPr>
            <w:tcW w:w="1260" w:type="dxa"/>
            <w:vAlign w:val="bottom"/>
            <w:gridSpan w:val="3"/>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1.1%</w:t>
            </w: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gridSpan w:val="2"/>
          </w:tcPr>
          <w:p>
            <w:pPr>
              <w:spacing w:after="0"/>
              <w:rPr>
                <w:sz w:val="20"/>
                <w:szCs w:val="20"/>
                <w:color w:val="auto"/>
              </w:rPr>
            </w:pPr>
            <w:r>
              <w:rPr>
                <w:rFonts w:ascii="Arial" w:cs="Arial" w:eastAsia="Arial" w:hAnsi="Arial"/>
                <w:sz w:val="14"/>
                <w:szCs w:val="14"/>
                <w:color w:val="auto"/>
              </w:rPr>
              <w:t>Tier II (6) + Tier III (7)</w:t>
            </w:r>
          </w:p>
        </w:tc>
        <w:tc>
          <w:tcPr>
            <w:tcW w:w="780" w:type="dxa"/>
            <w:vAlign w:val="bottom"/>
          </w:tcPr>
          <w:p>
            <w:pPr>
              <w:jc w:val="right"/>
              <w:spacing w:after="0"/>
              <w:rPr>
                <w:sz w:val="20"/>
                <w:szCs w:val="20"/>
                <w:color w:val="auto"/>
              </w:rPr>
            </w:pPr>
            <w:r>
              <w:rPr>
                <w:rFonts w:ascii="Arial" w:cs="Arial" w:eastAsia="Arial" w:hAnsi="Arial"/>
                <w:sz w:val="14"/>
                <w:szCs w:val="14"/>
                <w:color w:val="auto"/>
              </w:rPr>
              <w:t>1,959,884</w:t>
            </w:r>
          </w:p>
        </w:tc>
        <w:tc>
          <w:tcPr>
            <w:tcW w:w="1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1,950,246</w:t>
            </w:r>
          </w:p>
        </w:tc>
        <w:tc>
          <w:tcPr>
            <w:tcW w:w="2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1,807,055</w:t>
            </w:r>
          </w:p>
        </w:tc>
        <w:tc>
          <w:tcPr>
            <w:tcW w:w="1260" w:type="dxa"/>
            <w:vAlign w:val="bottom"/>
            <w:gridSpan w:val="3"/>
          </w:tcPr>
          <w:p>
            <w:pPr>
              <w:jc w:val="right"/>
              <w:ind w:right="68"/>
              <w:spacing w:after="0"/>
              <w:rPr>
                <w:sz w:val="20"/>
                <w:szCs w:val="20"/>
                <w:color w:val="auto"/>
              </w:rPr>
            </w:pPr>
            <w:r>
              <w:rPr>
                <w:rFonts w:ascii="Arial" w:cs="Arial" w:eastAsia="Arial" w:hAnsi="Arial"/>
                <w:sz w:val="14"/>
                <w:szCs w:val="14"/>
                <w:color w:val="auto"/>
              </w:rPr>
              <w:t>0.5%</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2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960" w:type="dxa"/>
            <w:vAlign w:val="bottom"/>
            <w:tcBorders>
              <w:top w:val="single" w:sz="8" w:color="auto"/>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40" w:type="dxa"/>
            <w:vAlign w:val="bottom"/>
            <w:gridSpan w:val="2"/>
          </w:tcPr>
          <w:p>
            <w:pPr>
              <w:spacing w:after="0" w:line="149" w:lineRule="exact"/>
              <w:rPr>
                <w:sz w:val="20"/>
                <w:szCs w:val="20"/>
                <w:color w:val="auto"/>
              </w:rPr>
            </w:pPr>
            <w:r>
              <w:rPr>
                <w:rFonts w:ascii="Arial" w:cs="Arial" w:eastAsia="Arial" w:hAnsi="Arial"/>
                <w:sz w:val="14"/>
                <w:szCs w:val="14"/>
                <w:color w:val="auto"/>
              </w:rPr>
              <w:t>Financial Consolidated Group (FCG) Regulatory Capital Requirements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3,808,485</w:t>
            </w:r>
          </w:p>
        </w:tc>
        <w:tc>
          <w:tcPr>
            <w:tcW w:w="12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3,746,082</w:t>
            </w:r>
          </w:p>
        </w:tc>
        <w:tc>
          <w:tcPr>
            <w:tcW w:w="2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3,367,681</w:t>
            </w:r>
          </w:p>
        </w:tc>
        <w:tc>
          <w:tcPr>
            <w:tcW w:w="126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1.7%</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Insurance Consolidated Group (ICG) Capital Requirements</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321,056</w:t>
            </w:r>
          </w:p>
        </w:tc>
        <w:tc>
          <w:tcPr>
            <w:tcW w:w="110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317,887</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274,620</w:t>
            </w:r>
          </w:p>
        </w:tc>
        <w:tc>
          <w:tcPr>
            <w:tcW w:w="1260" w:type="dxa"/>
            <w:vAlign w:val="bottom"/>
            <w:gridSpan w:val="3"/>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1.0%</w:t>
            </w: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tcPr>
          <w:p>
            <w:pPr>
              <w:spacing w:after="0" w:line="149" w:lineRule="exact"/>
              <w:rPr>
                <w:sz w:val="20"/>
                <w:szCs w:val="20"/>
                <w:color w:val="auto"/>
              </w:rPr>
            </w:pPr>
            <w:r>
              <w:rPr>
                <w:rFonts w:ascii="Arial" w:cs="Arial" w:eastAsia="Arial" w:hAnsi="Arial"/>
                <w:sz w:val="14"/>
                <w:szCs w:val="14"/>
                <w:color w:val="auto"/>
              </w:rPr>
              <w:t>FCG Capital Requirements related to operations with ICG (8)</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(60,494)</w:t>
            </w:r>
          </w:p>
        </w:tc>
        <w:tc>
          <w:tcPr>
            <w:tcW w:w="11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(53,879)</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(24,179)</w:t>
            </w:r>
          </w:p>
        </w:tc>
        <w:tc>
          <w:tcPr>
            <w:tcW w:w="126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12.3%</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ICG Capital Requirements related to operations with FCG (9)</w:t>
            </w: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4"/>
                <w:szCs w:val="14"/>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Borders>
              <w:bottom w:val="single" w:sz="8" w:color="CCFFCC"/>
            </w:tcBorders>
            <w:gridSpan w:val="2"/>
          </w:tcPr>
          <w:p>
            <w:pPr>
              <w:spacing w:after="0" w:line="142" w:lineRule="exact"/>
              <w:rPr>
                <w:sz w:val="20"/>
                <w:szCs w:val="20"/>
                <w:color w:val="auto"/>
              </w:rPr>
            </w:pPr>
            <w:r>
              <w:rPr>
                <w:rFonts w:ascii="Arial" w:cs="Arial" w:eastAsia="Arial" w:hAnsi="Arial"/>
                <w:sz w:val="14"/>
                <w:szCs w:val="14"/>
                <w:b w:val="1"/>
                <w:bCs w:val="1"/>
                <w:color w:val="auto"/>
              </w:rPr>
              <w:t>Total Regulatory Capital Requirements (B)</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4,069,047</w:t>
            </w:r>
          </w:p>
        </w:tc>
        <w:tc>
          <w:tcPr>
            <w:tcW w:w="120" w:type="dxa"/>
            <w:vAlign w:val="bottom"/>
            <w:tcBorders>
              <w:bottom w:val="single" w:sz="8" w:color="CCFFCC"/>
            </w:tcBorders>
          </w:tcPr>
          <w:p>
            <w:pPr>
              <w:spacing w:after="0"/>
              <w:rPr>
                <w:sz w:val="12"/>
                <w:szCs w:val="12"/>
                <w:color w:val="auto"/>
              </w:rPr>
            </w:pPr>
          </w:p>
        </w:tc>
        <w:tc>
          <w:tcPr>
            <w:tcW w:w="100" w:type="dxa"/>
            <w:vAlign w:val="bottom"/>
            <w:tcBorders>
              <w:bottom w:val="single" w:sz="8" w:color="CCFFC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4,010,089</w:t>
            </w:r>
          </w:p>
        </w:tc>
        <w:tc>
          <w:tcPr>
            <w:tcW w:w="220" w:type="dxa"/>
            <w:vAlign w:val="bottom"/>
            <w:tcBorders>
              <w:bottom w:val="single" w:sz="8" w:color="CCFFC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3,618,122</w:t>
            </w:r>
          </w:p>
        </w:tc>
        <w:tc>
          <w:tcPr>
            <w:tcW w:w="120" w:type="dxa"/>
            <w:vAlign w:val="bottom"/>
            <w:tcBorders>
              <w:bottom w:val="single" w:sz="8" w:color="CCFFCC"/>
            </w:tcBorders>
          </w:tcPr>
          <w:p>
            <w:pPr>
              <w:spacing w:after="0"/>
              <w:rPr>
                <w:sz w:val="12"/>
                <w:szCs w:val="12"/>
                <w:color w:val="auto"/>
              </w:rPr>
            </w:pPr>
          </w:p>
        </w:tc>
        <w:tc>
          <w:tcPr>
            <w:tcW w:w="100" w:type="dxa"/>
            <w:vAlign w:val="bottom"/>
            <w:tcBorders>
              <w:bottom w:val="single" w:sz="8" w:color="CCFFCC"/>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1.5</w:t>
            </w:r>
          </w:p>
        </w:tc>
        <w:tc>
          <w:tcPr>
            <w:tcW w:w="260" w:type="dxa"/>
            <w:vAlign w:val="bottom"/>
            <w:tcBorders>
              <w:bottom w:val="single" w:sz="8" w:color="CCFFCC"/>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12.5</w:t>
            </w:r>
          </w:p>
        </w:tc>
        <w:tc>
          <w:tcPr>
            <w:tcW w:w="140" w:type="dxa"/>
            <w:vAlign w:val="bottom"/>
            <w:tcBorders>
              <w:bottom w:val="single" w:sz="8" w:color="CCFFCC"/>
            </w:tcBorders>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Regulatory Capital Ratio (A) / (B)</w:t>
            </w:r>
          </w:p>
        </w:tc>
        <w:tc>
          <w:tcPr>
            <w:tcW w:w="7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1.19</w:t>
            </w: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7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1.19</w:t>
            </w:r>
          </w:p>
        </w:tc>
        <w:tc>
          <w:tcPr>
            <w:tcW w:w="220" w:type="dxa"/>
            <w:vAlign w:val="bottom"/>
            <w:shd w:val="clear" w:color="auto" w:fill="CCFFCC"/>
          </w:tcPr>
          <w:p>
            <w:pPr>
              <w:spacing w:after="0"/>
              <w:rPr>
                <w:sz w:val="12"/>
                <w:szCs w:val="12"/>
                <w:color w:val="auto"/>
              </w:rPr>
            </w:pPr>
          </w:p>
        </w:tc>
        <w:tc>
          <w:tcPr>
            <w:tcW w:w="7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1.10</w:t>
            </w: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0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-0.6</w:t>
            </w:r>
          </w:p>
        </w:tc>
        <w:tc>
          <w:tcPr>
            <w:tcW w:w="260" w:type="dxa"/>
            <w:vAlign w:val="bottom"/>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8.0</w:t>
            </w:r>
          </w:p>
        </w:tc>
        <w:tc>
          <w:tcPr>
            <w:tcW w:w="1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gridSpan w:val="2"/>
          </w:tcPr>
          <w:p>
            <w:pPr>
              <w:spacing w:after="0"/>
              <w:rPr>
                <w:sz w:val="20"/>
                <w:szCs w:val="20"/>
                <w:color w:val="auto"/>
              </w:rPr>
            </w:pPr>
            <w:r>
              <w:rPr>
                <w:rFonts w:ascii="Arial" w:cs="Arial" w:eastAsia="Arial" w:hAnsi="Arial"/>
                <w:sz w:val="14"/>
                <w:szCs w:val="14"/>
                <w:b w:val="1"/>
                <w:bCs w:val="1"/>
                <w:color w:val="auto"/>
              </w:rPr>
              <w:t>Required Regulatory Capital Ratio (10)</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-8890</wp:posOffset>
            </wp:positionV>
            <wp:extent cx="17665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Legal and Other capital reserves include restricted capital reserves (US$ 2,458 MM) and optional capital reserves ( US$441 MM).</w:t>
      </w:r>
    </w:p>
    <w:p>
      <w:pPr>
        <w:spacing w:after="0" w:line="7" w:lineRule="exact"/>
        <w:rPr>
          <w:rFonts w:ascii="Arial" w:cs="Arial" w:eastAsia="Arial" w:hAnsi="Arial"/>
          <w:sz w:val="18"/>
          <w:szCs w:val="18"/>
          <w:i w:val="1"/>
          <w:iCs w:val="1"/>
          <w:color w:val="auto"/>
        </w:rPr>
      </w:pPr>
    </w:p>
    <w:p>
      <w:pPr>
        <w:ind w:right="340" w:firstLine="8"/>
        <w:spacing w:after="0" w:line="250" w:lineRule="auto"/>
        <w:tabs>
          <w:tab w:leader="none" w:pos="25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Minority Interest includes USD106.0 MM from minority interest Tier I capital stock and reserves and USD0.8MM from minority interest tier II capital stock and reserves</w:t>
      </w:r>
    </w:p>
    <w:p>
      <w:pPr>
        <w:ind w:right="40" w:firstLine="8"/>
        <w:spacing w:after="0" w:line="250" w:lineRule="auto"/>
        <w:tabs>
          <w:tab w:leader="none" w:pos="25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Up to 1.25% of total risk-weighted assets of Banco de Crédito del Perú, Solución Empresa Administradora Hipotecaria, Financiera Edyficar and Atlantic Security Bank.</w:t>
      </w: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Tier II + Tier III can not be more than 50% of total regulatory capital.</w:t>
      </w:r>
    </w:p>
    <w:p>
      <w:pPr>
        <w:spacing w:after="0" w:line="9" w:lineRule="exact"/>
        <w:rPr>
          <w:rFonts w:ascii="Arial" w:cs="Arial" w:eastAsia="Arial" w:hAnsi="Arial"/>
          <w:sz w:val="18"/>
          <w:szCs w:val="18"/>
          <w:i w:val="1"/>
          <w:iCs w:val="1"/>
          <w:color w:val="auto"/>
        </w:rPr>
      </w:pPr>
    </w:p>
    <w:p>
      <w:pPr>
        <w:ind w:right="600" w:firstLine="8"/>
        <w:spacing w:after="0" w:line="250" w:lineRule="auto"/>
        <w:tabs>
          <w:tab w:leader="none" w:pos="25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Tier II = Capital + Restricted capital Reserves + tier I capital stock and reserves from minority interest Goodwill - (0.5 x Investment in equity and subordinated debt of financial and insurance companies) + Perpetual subordinated debt.</w:t>
      </w:r>
    </w:p>
    <w:p>
      <w:pPr>
        <w:ind w:right="140" w:firstLine="8"/>
        <w:spacing w:after="0" w:line="250" w:lineRule="auto"/>
        <w:tabs>
          <w:tab w:leader="none" w:pos="25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Tier II = Subordinated debt + minority interest tier II capital stock and reserves + Loan loss reserves - (0.5 x Investment in equity and subordinated debt of financial and insurance companies).</w:t>
      </w: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Tier III = Subordinated debt covering market risk only.</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regulatory capital requirements of the financial consolidated group.</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regulatory capital requirements of the insurance consolidated group.</w:t>
      </w:r>
    </w:p>
    <w:p>
      <w:pPr>
        <w:spacing w:after="0" w:line="9" w:lineRule="exact"/>
        <w:rPr>
          <w:rFonts w:ascii="Arial" w:cs="Arial" w:eastAsia="Arial" w:hAnsi="Arial"/>
          <w:sz w:val="18"/>
          <w:szCs w:val="18"/>
          <w:i w:val="1"/>
          <w:iCs w:val="1"/>
          <w:color w:val="auto"/>
        </w:rPr>
      </w:pPr>
    </w:p>
    <w:p>
      <w:pPr>
        <w:ind w:left="360" w:hanging="352"/>
        <w:spacing w:after="0"/>
        <w:tabs>
          <w:tab w:leader="none" w:pos="3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Regulatory Capital / Total Regulatory Capital Requirements (legal minimum = 1.00).</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Credicorp has maintained a comfortable capitalization level as a holding, which at the end of December 2013 represents 1.19 times the capital required by Peru’s regulatory entity. This ratio remains stable regarding the figure reported at the end of 3Q13, mainly because: (i) Total Regulatory Capital grew +1.3% QoQ, due to a lower deduction of Goodwill (related mainly to the impairment from BCP Chile) and an increase in Loan loss reserves; and (ii) Regulatory Capital requirements grew +1.5% QoQ, mainly as a result of higher requirement from Financial Consolidated Group, which in turn is related to the expansion of the loan portfolio (credit risk).</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Year over year, Credicorp increased its capitalization level from 1.10 times in December 2012 to 1.19 times at the end of 2013 (times the capital required by Peru´s regulatory entity). This is mainly due to a strong increase in Legal and Other capital reserves, and an increase in subordinated debt.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It is also important to note the Tier 1 increased its share of Credicorp’s total regulatory capital, increasing from 59.3% in 3Q13 to 59.6% at the end of 4Q13.</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shows that the majority of the group’s capital requirement (93.6%) is associated with its financial business, 73.6% of total regulatory capital requirement is concentrated in BCP.</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Credicorp’s income generation, coupled with the corporation’s policies on retained earnings, dividend payments, capitalization of earnings and reserve building, has allowed Credicorp to build a comfortable capital reserve to support its business expansion.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addition, Credicorp holds approximately US$ 600 million in liquid investments that can be used at any time to strengthen its regulatory capital.</w:t>
      </w:r>
    </w:p>
    <w:p>
      <w:pPr>
        <w:spacing w:after="0" w:line="200" w:lineRule="exact"/>
        <w:rPr>
          <w:sz w:val="20"/>
          <w:szCs w:val="20"/>
          <w:color w:val="auto"/>
        </w:rPr>
      </w:pPr>
    </w:p>
    <w:p>
      <w:pPr>
        <w:spacing w:after="0" w:line="253"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2" w:name="page13"/>
    <w:bookmarkEnd w:id="12"/>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II. Banco de Crédito del Perú Consolidated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4Q13, BCP reported net income of US$ 144.3 million, which represented a ROAE of 19.9%. Although this result is slightly lower (-4.3%) than last quarter’s, core income evolved favorably. This helped significantly offset the seasonal expenses, the advent of some non-recurring expenses and growth in total provisions for loan losses, as we will explain in more detail later in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excellent performance of business was reflected primarily in:</w:t>
      </w:r>
    </w:p>
    <w:p>
      <w:pPr>
        <w:spacing w:after="0" w:line="225" w:lineRule="exact"/>
        <w:rPr>
          <w:sz w:val="20"/>
          <w:szCs w:val="20"/>
          <w:color w:val="auto"/>
        </w:rPr>
      </w:pPr>
    </w:p>
    <w:p>
      <w:pPr>
        <w:jc w:val="both"/>
        <w:ind w:left="1280" w:hanging="381"/>
        <w:spacing w:after="0" w:line="257" w:lineRule="auto"/>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NII, which grew +3.6% QoQ due to significant expansion in interest on loans, which was in line with growth in average daily balances of loans (+4.5% QoQ); and lower funding costs (-2.9% QoQ) due to an increase in the share that deposits holds within total funding (69.3% en el 3T13 vs. 71.8% en el 4T13). In this context, NIM increased from 5.27% to 5.37%. It is important to consider that NII of 4Q13 included a deduction of US$ 7 million as part of the adequacy to IFRS13 related to derivatives valuation, thus real growth of NII was 5.3% QoQ.</w:t>
      </w:r>
    </w:p>
    <w:p>
      <w:pPr>
        <w:spacing w:after="0" w:line="188" w:lineRule="exact"/>
        <w:rPr>
          <w:rFonts w:ascii="Arial" w:cs="Arial" w:eastAsia="Arial" w:hAnsi="Arial"/>
          <w:sz w:val="18"/>
          <w:szCs w:val="18"/>
          <w:color w:val="auto"/>
        </w:rPr>
      </w:pPr>
    </w:p>
    <w:p>
      <w:pPr>
        <w:jc w:val="both"/>
        <w:ind w:left="1280" w:hanging="381"/>
        <w:spacing w:after="0" w:line="259" w:lineRule="auto"/>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Non-financial income expanded +6.9% QoQ. This was mainly attributable to growth in fee income (+5.1%), which along with a slight gain on sales of securities and other, offset the drop in gains on foreign exchange transactions (-6.3% QoQ). It is noteworthy that in 4Q fee income incorporated a reversal of US$ 4 million after aligning to IFRS (deferred income), which hide fee income’s real growth of 7.5% QoQ.</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attenuated:</w:t>
      </w:r>
    </w:p>
    <w:p>
      <w:pPr>
        <w:spacing w:after="0" w:line="225" w:lineRule="exact"/>
        <w:rPr>
          <w:sz w:val="20"/>
          <w:szCs w:val="20"/>
          <w:color w:val="auto"/>
        </w:rPr>
      </w:pPr>
    </w:p>
    <w:p>
      <w:pPr>
        <w:jc w:val="both"/>
        <w:ind w:left="1280" w:hanging="381"/>
        <w:spacing w:after="0" w:line="259" w:lineRule="auto"/>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+5.4% increase in loan provisions, which represented 28.5% of net interest income (vs. 28.4% in 3Q13) and 2.25% of loans (vs. 2.19% in 3Q13). This increase reflects the maturing cycle of the SME PDL portfolio as well as a slight increase in PDL of the Credit Cards segment that was due, in part, to a regulatory change made to the methodology for calculating minimum payments. It will take some time for clients to adjust to the new level of debt service.</w:t>
      </w:r>
    </w:p>
    <w:p>
      <w:pPr>
        <w:spacing w:after="0" w:line="186" w:lineRule="exact"/>
        <w:rPr>
          <w:rFonts w:ascii="Arial" w:cs="Arial" w:eastAsia="Arial" w:hAnsi="Arial"/>
          <w:sz w:val="18"/>
          <w:szCs w:val="18"/>
          <w:color w:val="auto"/>
        </w:rPr>
      </w:pPr>
    </w:p>
    <w:p>
      <w:pPr>
        <w:jc w:val="both"/>
        <w:ind w:left="1280" w:hanging="381"/>
        <w:spacing w:after="0" w:line="264" w:lineRule="auto"/>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+8.3% increase in operating expenses, which was in turn attributable to the seasonality seen every 4Q, as well as non-recurring expenses, as we will explain later in the report. If we exclude extraordinary expenses, operating expenses only increase +5.3%, which reflects the Bank’s real commitment to achieving improvements in operating efficiency.</w:t>
      </w:r>
    </w:p>
    <w:p>
      <w:pPr>
        <w:spacing w:after="0" w:line="181" w:lineRule="exact"/>
        <w:rPr>
          <w:rFonts w:ascii="Arial" w:cs="Arial" w:eastAsia="Arial" w:hAnsi="Arial"/>
          <w:sz w:val="18"/>
          <w:szCs w:val="18"/>
          <w:color w:val="auto"/>
        </w:rPr>
      </w:pPr>
    </w:p>
    <w:p>
      <w:pPr>
        <w:ind w:left="1280" w:hanging="381"/>
        <w:spacing w:after="0"/>
        <w:tabs>
          <w:tab w:leader="none" w:pos="12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translation loss of 5 million and higher provisions for taxes due to an increase in taxable earnings reported in local accounting.</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terms of assets, there is once again a shift toward more profitable assets such as loans, which expanded +2.7% QoQ. Average daily balances grew +4.5% QoQ with noteworthy evolution in the Wholesale Banking Portfolio (+5.3% QoQ), which was due to the good performance of Corporate Banking (+5.5% QoQ) and Middle Market Banking (+4.9% QoQ). Retail Banking loans increased +3.2% QoQ, led by the evolution of the Mortgage segment (+2.7% QoQ), followed by Consumer loans (+4% QoQ), SME (+ 2.5% QoQ), Businesses (+4.9% QoQ) and Credit Cards (+ 3.4% QoQ). During the same period, Edyficar maintained solid growth of +9.1% QoQ.</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analysis of NIM on loans reveals a 5bps increase QoQ, going from 8.35% to 8.40% at the end of 4Q13. The aforementioned is clear evidence of the positive impact on margins that adequate pricing in the Retail Banking business, which is now aligned with the risk profile of each segment, and lower funding costs (2% vs. 2.14% in the previous quarter) have had.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terms of portfolio quality, the PDL ratio increased only 5bps to situate at 2.30% at quarter-end (vs. 2.25% at the end of 3Q13), which indicates that growth in the PDL portfolio has slowed down. Delinquency in the over 90-day PDL portfolio only increased 1bp to situate at 1.53%. This Q’s higher PDL ratio was attributable primarily to the SME and Credit Card segments, which posted ratios of 8.24% and 5.84%, respectively at quarter-end (vs. 8.03% and 5.08% at the end of 3Q13).</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3" w:name="page14"/>
    <w:bookmarkEnd w:id="13"/>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Banco de Credito and Subsidiaries *</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ind w:left="580"/>
              <w:spacing w:after="0"/>
              <w:rPr>
                <w:sz w:val="20"/>
                <w:szCs w:val="20"/>
                <w:color w:val="auto"/>
              </w:rPr>
            </w:pPr>
            <w:r>
              <w:rPr>
                <w:rFonts w:ascii="Arial" w:cs="Arial" w:eastAsia="Arial" w:hAnsi="Arial"/>
                <w:sz w:val="14"/>
                <w:szCs w:val="14"/>
                <w:b w:val="1"/>
                <w:bCs w:val="1"/>
                <w:color w:val="auto"/>
                <w:w w:val="97"/>
              </w:rPr>
              <w:t>% Change</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Year ended</w:t>
            </w:r>
          </w:p>
        </w:tc>
        <w:tc>
          <w:tcPr>
            <w:tcW w:w="110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US$ 000</w:t>
            </w:r>
          </w:p>
        </w:tc>
        <w:tc>
          <w:tcPr>
            <w:tcW w:w="10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4Q13</w:t>
            </w:r>
          </w:p>
        </w:tc>
        <w:tc>
          <w:tcPr>
            <w:tcW w:w="22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3Q13</w:t>
            </w:r>
          </w:p>
        </w:tc>
        <w:tc>
          <w:tcPr>
            <w:tcW w:w="240" w:type="dxa"/>
            <w:vAlign w:val="bottom"/>
            <w:tcBorders>
              <w:bottom w:val="single" w:sz="8" w:color="CCFFC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4Q12</w:t>
            </w:r>
          </w:p>
        </w:tc>
        <w:tc>
          <w:tcPr>
            <w:tcW w:w="22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FFC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Dec 13</w:t>
            </w:r>
          </w:p>
        </w:tc>
        <w:tc>
          <w:tcPr>
            <w:tcW w:w="24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Dec 12</w:t>
            </w:r>
          </w:p>
        </w:tc>
        <w:tc>
          <w:tcPr>
            <w:tcW w:w="220" w:type="dxa"/>
            <w:vAlign w:val="bottom"/>
            <w:tcBorders>
              <w:bottom w:val="single" w:sz="8" w:color="CCFFCC"/>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Dec 13 / Dec 12</w:t>
            </w:r>
          </w:p>
        </w:tc>
        <w:tc>
          <w:tcPr>
            <w:tcW w:w="140" w:type="dxa"/>
            <w:vAlign w:val="bottom"/>
            <w:tcBorders>
              <w:bottom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Net financial income</w:t>
            </w:r>
          </w:p>
        </w:tc>
        <w:tc>
          <w:tcPr>
            <w:tcW w:w="10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440,636</w:t>
            </w: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425,215</w:t>
            </w:r>
          </w:p>
        </w:tc>
        <w:tc>
          <w:tcPr>
            <w:tcW w:w="24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402,835</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3.6%</w:t>
            </w:r>
          </w:p>
        </w:tc>
        <w:tc>
          <w:tcPr>
            <w:tcW w:w="2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9.4%</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1,683,147</w:t>
            </w: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1,487,726</w:t>
            </w: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Total provisions for loan loasses</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(125,395)</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(119,019)</w:t>
            </w:r>
          </w:p>
        </w:tc>
        <w:tc>
          <w:tcPr>
            <w:tcW w:w="10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(103,083)</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5.4%</w:t>
            </w:r>
          </w:p>
        </w:tc>
        <w:tc>
          <w:tcPr>
            <w:tcW w:w="22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21.6%</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(454,375)</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(378,620)</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30"/>
        </w:trPr>
        <w:tc>
          <w:tcPr>
            <w:tcW w:w="320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Net interest income after net provisions for loan</w:t>
            </w:r>
          </w:p>
        </w:tc>
        <w:tc>
          <w:tcPr>
            <w:tcW w:w="8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losses</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315,241</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306,196</w:t>
            </w:r>
          </w:p>
        </w:tc>
        <w:tc>
          <w:tcPr>
            <w:tcW w:w="1000" w:type="dxa"/>
            <w:vAlign w:val="bottom"/>
            <w:gridSpan w:val="3"/>
            <w:shd w:val="clear" w:color="auto" w:fill="CCFFCC"/>
          </w:tcPr>
          <w:p>
            <w:pPr>
              <w:jc w:val="right"/>
              <w:ind w:right="220"/>
              <w:spacing w:after="0"/>
              <w:rPr>
                <w:sz w:val="20"/>
                <w:szCs w:val="20"/>
                <w:color w:val="auto"/>
              </w:rPr>
            </w:pPr>
            <w:r>
              <w:rPr>
                <w:rFonts w:ascii="Arial" w:cs="Arial" w:eastAsia="Arial" w:hAnsi="Arial"/>
                <w:sz w:val="14"/>
                <w:szCs w:val="14"/>
                <w:color w:val="auto"/>
              </w:rPr>
              <w:t>299,752</w:t>
            </w:r>
          </w:p>
        </w:tc>
        <w:tc>
          <w:tcPr>
            <w:tcW w:w="104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3.0%</w:t>
            </w:r>
          </w:p>
        </w:tc>
        <w:tc>
          <w:tcPr>
            <w:tcW w:w="22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2.1%</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1,228,772</w:t>
            </w: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1,109,106</w:t>
            </w:r>
          </w:p>
        </w:tc>
        <w:tc>
          <w:tcPr>
            <w:tcW w:w="22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Non financial income</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226,209</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211,659</w:t>
            </w:r>
          </w:p>
        </w:tc>
        <w:tc>
          <w:tcPr>
            <w:tcW w:w="10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232,830</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6.9%</w:t>
            </w:r>
          </w:p>
        </w:tc>
        <w:tc>
          <w:tcPr>
            <w:tcW w:w="22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-2.8%</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841,582</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861,266</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Operating expenses (1)</w:t>
            </w: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(328,507)</w:t>
            </w: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(303,434)</w:t>
            </w:r>
          </w:p>
        </w:tc>
        <w:tc>
          <w:tcPr>
            <w:tcW w:w="1000" w:type="dxa"/>
            <w:vAlign w:val="bottom"/>
            <w:gridSpan w:val="3"/>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(337,886)</w:t>
            </w: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8.3%</w:t>
            </w:r>
          </w:p>
        </w:tc>
        <w:tc>
          <w:tcPr>
            <w:tcW w:w="2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-2.8%</w:t>
            </w: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(1,270,214)</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(1,162,506)</w:t>
            </w: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Operating income (2)</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212,943</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214,421</w:t>
            </w:r>
          </w:p>
        </w:tc>
        <w:tc>
          <w:tcPr>
            <w:tcW w:w="100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194,696</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-0.7%</w:t>
            </w:r>
          </w:p>
        </w:tc>
        <w:tc>
          <w:tcPr>
            <w:tcW w:w="22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9.4%</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800,140</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807,866</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FFCC"/>
          </w:tcPr>
          <w:p>
            <w:pPr>
              <w:ind w:left="180"/>
              <w:spacing w:after="0" w:line="149" w:lineRule="exact"/>
              <w:rPr>
                <w:sz w:val="20"/>
                <w:szCs w:val="20"/>
                <w:color w:val="auto"/>
              </w:rPr>
            </w:pPr>
            <w:r>
              <w:rPr>
                <w:rFonts w:ascii="Arial" w:cs="Arial" w:eastAsia="Arial" w:hAnsi="Arial"/>
                <w:sz w:val="14"/>
                <w:szCs w:val="14"/>
                <w:color w:val="auto"/>
              </w:rPr>
              <w:t>Core operating income</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212,943</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214,421</w:t>
            </w:r>
          </w:p>
        </w:tc>
        <w:tc>
          <w:tcPr>
            <w:tcW w:w="100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194,696</w:t>
            </w: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-0.7%</w:t>
            </w:r>
          </w:p>
        </w:tc>
        <w:tc>
          <w:tcPr>
            <w:tcW w:w="2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9.4%</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800,140</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807,866</w:t>
            </w: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32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Non core operating income (expenses) (3)</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(8,857)</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0.0%</w:t>
            </w:r>
          </w:p>
        </w:tc>
        <w:tc>
          <w:tcPr>
            <w:tcW w:w="22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0.0%</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(14,442)</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Translation results</w:t>
            </w: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(5,000)</w:t>
            </w: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(2,877)</w:t>
            </w:r>
          </w:p>
        </w:tc>
        <w:tc>
          <w:tcPr>
            <w:tcW w:w="100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25,734</w:t>
            </w: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73.8%</w:t>
            </w:r>
          </w:p>
        </w:tc>
        <w:tc>
          <w:tcPr>
            <w:tcW w:w="2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-119.4%</w:t>
            </w: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(87,025)</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63,105</w:t>
            </w: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-237.9%</w:t>
            </w: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Income taxes</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(63,443)</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(60,529)</w:t>
            </w:r>
          </w:p>
        </w:tc>
        <w:tc>
          <w:tcPr>
            <w:tcW w:w="10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(49,496)</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4.8%</w:t>
            </w:r>
          </w:p>
        </w:tc>
        <w:tc>
          <w:tcPr>
            <w:tcW w:w="22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28.2%</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(248,788)</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(208,714)</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62"/>
        </w:trPr>
        <w:tc>
          <w:tcPr>
            <w:tcW w:w="3200" w:type="dxa"/>
            <w:vAlign w:val="bottom"/>
            <w:gridSpan w:val="2"/>
            <w:shd w:val="clear" w:color="auto" w:fill="CCFFCC"/>
          </w:tcPr>
          <w:p>
            <w:pPr>
              <w:spacing w:after="0"/>
              <w:rPr>
                <w:sz w:val="20"/>
                <w:szCs w:val="20"/>
                <w:color w:val="auto"/>
              </w:rPr>
            </w:pPr>
            <w:r>
              <w:rPr>
                <w:rFonts w:ascii="Arial" w:cs="Arial" w:eastAsia="Arial" w:hAnsi="Arial"/>
                <w:sz w:val="14"/>
                <w:szCs w:val="14"/>
                <w:b w:val="1"/>
                <w:bCs w:val="1"/>
                <w:color w:val="auto"/>
              </w:rPr>
              <w:t>Net income</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144,287</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b w:val="1"/>
                <w:bCs w:val="1"/>
                <w:color w:val="auto"/>
              </w:rPr>
              <w:t>150,826</w:t>
            </w:r>
          </w:p>
        </w:tc>
        <w:tc>
          <w:tcPr>
            <w:tcW w:w="1000" w:type="dxa"/>
            <w:vAlign w:val="bottom"/>
            <w:gridSpan w:val="3"/>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170,958</w:t>
            </w:r>
          </w:p>
        </w:tc>
        <w:tc>
          <w:tcPr>
            <w:tcW w:w="104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b w:val="1"/>
                <w:bCs w:val="1"/>
                <w:color w:val="auto"/>
              </w:rPr>
              <w:t>-4.3%</w:t>
            </w:r>
          </w:p>
        </w:tc>
        <w:tc>
          <w:tcPr>
            <w:tcW w:w="22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b w:val="1"/>
                <w:bCs w:val="1"/>
                <w:color w:val="auto"/>
              </w:rPr>
              <w:t>-15.6%</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b w:val="1"/>
                <w:bCs w:val="1"/>
                <w:color w:val="auto"/>
              </w:rPr>
              <w:t>463,532</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661,358</w:t>
            </w: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4"/>
                <w:szCs w:val="14"/>
                <w:b w:val="1"/>
                <w:bCs w:val="1"/>
                <w:color w:val="auto"/>
              </w:rPr>
              <w:t>-29.9%</w:t>
            </w:r>
          </w:p>
        </w:tc>
        <w:tc>
          <w:tcPr>
            <w:tcW w:w="0" w:type="dxa"/>
            <w:vAlign w:val="bottom"/>
          </w:tcPr>
          <w:p>
            <w:pPr>
              <w:spacing w:after="0"/>
              <w:rPr>
                <w:sz w:val="1"/>
                <w:szCs w:val="1"/>
                <w:color w:val="auto"/>
              </w:rPr>
            </w:pPr>
          </w:p>
        </w:tc>
      </w:tr>
      <w:tr>
        <w:trPr>
          <w:trHeight w:val="142"/>
        </w:trPr>
        <w:tc>
          <w:tcPr>
            <w:tcW w:w="3200" w:type="dxa"/>
            <w:vAlign w:val="bottom"/>
            <w:tcBorders>
              <w:bottom w:val="single" w:sz="8" w:color="CCFFCC"/>
            </w:tcBorders>
            <w:gridSpan w:val="2"/>
          </w:tcPr>
          <w:p>
            <w:pPr>
              <w:spacing w:after="0" w:line="142" w:lineRule="exact"/>
              <w:rPr>
                <w:sz w:val="20"/>
                <w:szCs w:val="20"/>
                <w:color w:val="auto"/>
              </w:rPr>
            </w:pPr>
            <w:r>
              <w:rPr>
                <w:rFonts w:ascii="Arial" w:cs="Arial" w:eastAsia="Arial" w:hAnsi="Arial"/>
                <w:sz w:val="14"/>
                <w:szCs w:val="14"/>
                <w:color w:val="auto"/>
              </w:rPr>
              <w:t>Net income / share (US$)</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0.047</w:t>
            </w:r>
          </w:p>
        </w:tc>
        <w:tc>
          <w:tcPr>
            <w:tcW w:w="220" w:type="dxa"/>
            <w:vAlign w:val="bottom"/>
            <w:tcBorders>
              <w:bottom w:val="single" w:sz="8" w:color="CCFFC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0.049</w:t>
            </w:r>
          </w:p>
        </w:tc>
        <w:tc>
          <w:tcPr>
            <w:tcW w:w="240" w:type="dxa"/>
            <w:vAlign w:val="bottom"/>
            <w:tcBorders>
              <w:bottom w:val="single" w:sz="8" w:color="CCFFCC"/>
            </w:tcBorders>
          </w:tcPr>
          <w:p>
            <w:pPr>
              <w:spacing w:after="0"/>
              <w:rPr>
                <w:sz w:val="12"/>
                <w:szCs w:val="12"/>
                <w:color w:val="auto"/>
              </w:rPr>
            </w:pPr>
          </w:p>
        </w:tc>
        <w:tc>
          <w:tcPr>
            <w:tcW w:w="100" w:type="dxa"/>
            <w:vAlign w:val="bottom"/>
            <w:tcBorders>
              <w:bottom w:val="single" w:sz="8" w:color="CCFFCC"/>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0.055</w:t>
            </w:r>
          </w:p>
        </w:tc>
        <w:tc>
          <w:tcPr>
            <w:tcW w:w="220" w:type="dxa"/>
            <w:vAlign w:val="bottom"/>
            <w:tcBorders>
              <w:bottom w:val="single" w:sz="8" w:color="CCFFC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w:t>
            </w:r>
          </w:p>
        </w:tc>
        <w:tc>
          <w:tcPr>
            <w:tcW w:w="260" w:type="dxa"/>
            <w:vAlign w:val="bottom"/>
            <w:tcBorders>
              <w:bottom w:val="single" w:sz="8" w:color="CCFFCC"/>
            </w:tcBorders>
          </w:tcPr>
          <w:p>
            <w:pPr>
              <w:jc w:val="right"/>
              <w:ind w:right="68"/>
              <w:spacing w:after="0" w:line="142" w:lineRule="exact"/>
              <w:rPr>
                <w:sz w:val="20"/>
                <w:szCs w:val="20"/>
                <w:color w:val="auto"/>
              </w:rPr>
            </w:pPr>
            <w:r>
              <w:rPr>
                <w:rFonts w:ascii="Arial" w:cs="Arial" w:eastAsia="Arial" w:hAnsi="Arial"/>
                <w:sz w:val="14"/>
                <w:szCs w:val="14"/>
                <w:color w:val="auto"/>
                <w:w w:val="79"/>
              </w:rPr>
              <w:t>%</w:t>
            </w:r>
          </w:p>
        </w:tc>
        <w:tc>
          <w:tcPr>
            <w:tcW w:w="2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-15.6</w:t>
            </w:r>
          </w:p>
        </w:tc>
        <w:tc>
          <w:tcPr>
            <w:tcW w:w="260" w:type="dxa"/>
            <w:vAlign w:val="bottom"/>
            <w:tcBorders>
              <w:bottom w:val="single" w:sz="8" w:color="CCFFCC"/>
            </w:tcBorders>
          </w:tcPr>
          <w:p>
            <w:pPr>
              <w:jc w:val="right"/>
              <w:ind w:right="68"/>
              <w:spacing w:after="0" w:line="142"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0.149</w:t>
            </w:r>
          </w:p>
        </w:tc>
        <w:tc>
          <w:tcPr>
            <w:tcW w:w="240" w:type="dxa"/>
            <w:vAlign w:val="bottom"/>
            <w:tcBorders>
              <w:bottom w:val="single" w:sz="8" w:color="CCFFC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0.213</w:t>
            </w:r>
          </w:p>
        </w:tc>
        <w:tc>
          <w:tcPr>
            <w:tcW w:w="220" w:type="dxa"/>
            <w:vAlign w:val="bottom"/>
            <w:tcBorders>
              <w:bottom w:val="single" w:sz="8" w:color="CCFFCC"/>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-29.9</w:t>
            </w:r>
          </w:p>
        </w:tc>
        <w:tc>
          <w:tcPr>
            <w:tcW w:w="140" w:type="dxa"/>
            <w:vAlign w:val="bottom"/>
            <w:tcBorders>
              <w:bottom w:val="single" w:sz="8" w:color="CCFFCC"/>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320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color w:val="auto"/>
              </w:rPr>
              <w:t>Total loans</w:t>
            </w: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22,308,659</w:t>
            </w: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21,715,317</w:t>
            </w:r>
          </w:p>
        </w:tc>
        <w:tc>
          <w:tcPr>
            <w:tcW w:w="2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w w:val="94"/>
              </w:rPr>
              <w:t>20,754,941</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2.7%</w:t>
            </w:r>
          </w:p>
        </w:tc>
        <w:tc>
          <w:tcPr>
            <w:tcW w:w="2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7.5%</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22,308,659</w:t>
            </w: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20,754,941</w:t>
            </w: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Deposits and obligations</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23,174,089</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22,784,081</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22,835,451</w:t>
            </w:r>
          </w:p>
        </w:tc>
        <w:tc>
          <w:tcPr>
            <w:tcW w:w="220" w:type="dxa"/>
            <w:vAlign w:val="bottom"/>
          </w:tcPr>
          <w:p>
            <w:pPr>
              <w:spacing w:after="0"/>
              <w:rPr>
                <w:sz w:val="12"/>
                <w:szCs w:val="12"/>
                <w:color w:val="auto"/>
              </w:rPr>
            </w:pP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1.7%</w:t>
            </w:r>
          </w:p>
        </w:tc>
        <w:tc>
          <w:tcPr>
            <w:tcW w:w="22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1.5%</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23,174,089</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22,835,451</w:t>
            </w:r>
          </w:p>
        </w:tc>
        <w:tc>
          <w:tcPr>
            <w:tcW w:w="22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2"/>
        </w:trPr>
        <w:tc>
          <w:tcPr>
            <w:tcW w:w="32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Net shareholders' equity</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2,972,064</w:t>
            </w:r>
          </w:p>
        </w:tc>
        <w:tc>
          <w:tcPr>
            <w:tcW w:w="220" w:type="dxa"/>
            <w:vAlign w:val="bottom"/>
            <w:shd w:val="clear" w:color="auto" w:fill="CCFFCC"/>
          </w:tcPr>
          <w:p>
            <w:pPr>
              <w:spacing w:after="0"/>
              <w:rPr>
                <w:sz w:val="14"/>
                <w:szCs w:val="14"/>
                <w:color w:val="auto"/>
              </w:rPr>
            </w:pP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2,843,292</w:t>
            </w:r>
          </w:p>
        </w:tc>
        <w:tc>
          <w:tcPr>
            <w:tcW w:w="78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2,775,351</w:t>
            </w:r>
          </w:p>
        </w:tc>
        <w:tc>
          <w:tcPr>
            <w:tcW w:w="220" w:type="dxa"/>
            <w:vAlign w:val="bottom"/>
            <w:shd w:val="clear" w:color="auto" w:fill="CCFFCC"/>
          </w:tcPr>
          <w:p>
            <w:pPr>
              <w:spacing w:after="0"/>
              <w:rPr>
                <w:sz w:val="14"/>
                <w:szCs w:val="14"/>
                <w:color w:val="auto"/>
              </w:rPr>
            </w:pPr>
          </w:p>
        </w:tc>
        <w:tc>
          <w:tcPr>
            <w:tcW w:w="104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4.5%</w:t>
            </w:r>
          </w:p>
        </w:tc>
        <w:tc>
          <w:tcPr>
            <w:tcW w:w="22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7.1%</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2,972,064</w:t>
            </w: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2,775,351</w:t>
            </w:r>
          </w:p>
        </w:tc>
        <w:tc>
          <w:tcPr>
            <w:tcW w:w="22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4"/>
                <w:szCs w:val="14"/>
                <w:color w:val="auto"/>
              </w:rPr>
              <w:t>Net financial margin</w:t>
            </w: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00" w:type="dxa"/>
            <w:vAlign w:val="bottom"/>
            <w:gridSpan w:val="2"/>
            <w:vMerge w:val="continue"/>
          </w:tcPr>
          <w:p>
            <w:pPr>
              <w:spacing w:after="0"/>
              <w:rPr>
                <w:sz w:val="12"/>
                <w:szCs w:val="12"/>
                <w:color w:val="auto"/>
              </w:rPr>
            </w:pPr>
          </w:p>
        </w:tc>
        <w:tc>
          <w:tcPr>
            <w:tcW w:w="10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5.37%</w:t>
            </w:r>
          </w:p>
        </w:tc>
        <w:tc>
          <w:tcPr>
            <w:tcW w:w="10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5.27%</w:t>
            </w:r>
          </w:p>
        </w:tc>
        <w:tc>
          <w:tcPr>
            <w:tcW w:w="100" w:type="dxa"/>
            <w:vAlign w:val="bottom"/>
            <w:vMerge w:val="continue"/>
          </w:tcPr>
          <w:p>
            <w:pPr>
              <w:spacing w:after="0"/>
              <w:rPr>
                <w:sz w:val="12"/>
                <w:szCs w:val="12"/>
                <w:color w:val="auto"/>
              </w:rPr>
            </w:pPr>
          </w:p>
        </w:tc>
        <w:tc>
          <w:tcPr>
            <w:tcW w:w="9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5.22%</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5.14%</w:t>
            </w:r>
          </w:p>
        </w:tc>
        <w:tc>
          <w:tcPr>
            <w:tcW w:w="10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5.21%</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Efficiency ratio</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46.9%</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46.1%</w:t>
            </w:r>
          </w:p>
        </w:tc>
        <w:tc>
          <w:tcPr>
            <w:tcW w:w="100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52.3%</w:t>
            </w: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47.7%</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49.2%</w:t>
            </w:r>
          </w:p>
        </w:tc>
        <w:tc>
          <w:tcPr>
            <w:tcW w:w="9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Return on average equity</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19.9%</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21.9%</w:t>
            </w:r>
          </w:p>
        </w:tc>
        <w:tc>
          <w:tcPr>
            <w:tcW w:w="10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25.2%</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16.1%</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25.9%</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PDL ratio</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2.30%</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2.25%</w:t>
            </w:r>
          </w:p>
        </w:tc>
        <w:tc>
          <w:tcPr>
            <w:tcW w:w="100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1.78%</w:t>
            </w: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2.30%</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1.78%</w:t>
            </w:r>
          </w:p>
        </w:tc>
        <w:tc>
          <w:tcPr>
            <w:tcW w:w="9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NPL ratio (4)</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2.90%</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2.84%</w:t>
            </w:r>
          </w:p>
        </w:tc>
        <w:tc>
          <w:tcPr>
            <w:tcW w:w="10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2.47%</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2.90%</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2.47%</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Coverage of PDLs</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157.6%</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162.7%</w:t>
            </w:r>
          </w:p>
        </w:tc>
        <w:tc>
          <w:tcPr>
            <w:tcW w:w="100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188.6%</w:t>
            </w: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157.6%</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188.6%</w:t>
            </w:r>
          </w:p>
        </w:tc>
        <w:tc>
          <w:tcPr>
            <w:tcW w:w="9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Coverage of NPLs</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125.2%</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128.7%</w:t>
            </w:r>
          </w:p>
        </w:tc>
        <w:tc>
          <w:tcPr>
            <w:tcW w:w="10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136.4%</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125.2%</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136.4%</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BIS ratio</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14.46%</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14.12%</w:t>
            </w:r>
          </w:p>
        </w:tc>
        <w:tc>
          <w:tcPr>
            <w:tcW w:w="100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14.72%</w:t>
            </w: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14.5%</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14.7%</w:t>
            </w:r>
          </w:p>
        </w:tc>
        <w:tc>
          <w:tcPr>
            <w:tcW w:w="9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Branches</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401</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387</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365</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401</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365</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Agentes BCP</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5,820</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5,385</w:t>
            </w:r>
          </w:p>
        </w:tc>
        <w:tc>
          <w:tcPr>
            <w:tcW w:w="100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5,713</w:t>
            </w: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5,820</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5,713</w:t>
            </w:r>
          </w:p>
        </w:tc>
        <w:tc>
          <w:tcPr>
            <w:tcW w:w="9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ATMs</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2,091</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2,039</w:t>
            </w:r>
          </w:p>
        </w:tc>
        <w:tc>
          <w:tcPr>
            <w:tcW w:w="10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1,844</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2,091</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1,844</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Employees (5)</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22,657</w:t>
            </w:r>
          </w:p>
        </w:tc>
        <w:tc>
          <w:tcPr>
            <w:tcW w:w="220" w:type="dxa"/>
            <w:vAlign w:val="bottom"/>
            <w:shd w:val="clear" w:color="auto" w:fill="CCFFCC"/>
          </w:tcPr>
          <w:p>
            <w:pPr>
              <w:spacing w:after="0"/>
              <w:rPr>
                <w:sz w:val="14"/>
                <w:szCs w:val="14"/>
                <w:color w:val="auto"/>
              </w:rPr>
            </w:pP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22,403</w:t>
            </w:r>
          </w:p>
        </w:tc>
        <w:tc>
          <w:tcPr>
            <w:tcW w:w="1000" w:type="dxa"/>
            <w:vAlign w:val="bottom"/>
            <w:gridSpan w:val="3"/>
            <w:shd w:val="clear" w:color="auto" w:fill="CCFFCC"/>
          </w:tcPr>
          <w:p>
            <w:pPr>
              <w:jc w:val="right"/>
              <w:ind w:right="220"/>
              <w:spacing w:after="0"/>
              <w:rPr>
                <w:sz w:val="20"/>
                <w:szCs w:val="20"/>
                <w:color w:val="auto"/>
              </w:rPr>
            </w:pPr>
            <w:r>
              <w:rPr>
                <w:rFonts w:ascii="Arial" w:cs="Arial" w:eastAsia="Arial" w:hAnsi="Arial"/>
                <w:sz w:val="14"/>
                <w:szCs w:val="14"/>
                <w:color w:val="auto"/>
              </w:rPr>
              <w:t>21,798</w:t>
            </w:r>
          </w:p>
        </w:tc>
        <w:tc>
          <w:tcPr>
            <w:tcW w:w="78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54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22,657</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21,798</w:t>
            </w:r>
          </w:p>
        </w:tc>
        <w:tc>
          <w:tcPr>
            <w:tcW w:w="96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 See notes in BCP and Subsidiaries income statement and balance sheet.</w:t>
      </w:r>
    </w:p>
    <w:p>
      <w:pPr>
        <w:spacing w:after="0" w:line="9"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Employees' profit sharing is registered in Salaries and Employees Benefits since 1Q11 due to local regulator's decision.</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Income before translation results and income taxes.</w:t>
      </w:r>
    </w:p>
    <w:p>
      <w:pPr>
        <w:spacing w:after="0" w:line="9" w:lineRule="exact"/>
        <w:rPr>
          <w:rFonts w:ascii="Arial" w:cs="Arial" w:eastAsia="Arial" w:hAnsi="Arial"/>
          <w:sz w:val="18"/>
          <w:szCs w:val="18"/>
          <w:i w:val="1"/>
          <w:iCs w:val="1"/>
          <w:color w:val="auto"/>
        </w:rPr>
      </w:pPr>
    </w:p>
    <w:p>
      <w:pPr>
        <w:ind w:right="500" w:firstLine="8"/>
        <w:spacing w:after="0" w:line="281" w:lineRule="auto"/>
        <w:tabs>
          <w:tab w:leader="none" w:pos="255"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Includes non core operating expenses. 4Q13 figure includes non recurring expenses assocated to SUNAT and provision for contingencies from BCP Bolivia. 2013 figure includes aforementioned non recurring expenses and expenses incurred from the sale of BCP Colombia to Credicorp Investments.</w:t>
      </w:r>
    </w:p>
    <w:p>
      <w:pPr>
        <w:spacing w:after="0" w:line="1" w:lineRule="exact"/>
        <w:rPr>
          <w:rFonts w:ascii="Arial" w:cs="Arial" w:eastAsia="Arial" w:hAnsi="Arial"/>
          <w:sz w:val="16"/>
          <w:szCs w:val="16"/>
          <w:i w:val="1"/>
          <w:iCs w:val="1"/>
          <w:color w:val="auto"/>
        </w:rPr>
      </w:pPr>
    </w:p>
    <w:p>
      <w:pPr>
        <w:ind w:left="260" w:hanging="252"/>
        <w:spacing w:after="0"/>
        <w:tabs>
          <w:tab w:leader="none" w:pos="2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NPLs: Non-performing lons = Past due loans + Refinanced and restructured loans. NPL Ratio = NPLs / Total loans.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Excludes employees from BCP Colombia and BCP Chile.</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Liabilities at the end of 4Q13 increased +2.5% QoQ. This was primarily attributable to growth in total deposits (+1.7% QoQ) and expansion in due to Banks and Correspondents (+12.9% QoQ). The new funding structure lowered the cost of funding, which went from 2.14% to 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Core income</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Quarter</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Change %</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Year ended</w:t>
            </w:r>
          </w:p>
        </w:tc>
        <w:tc>
          <w:tcPr>
            <w:tcW w:w="110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 Change</w:t>
            </w:r>
          </w:p>
        </w:tc>
      </w:tr>
      <w:tr>
        <w:trPr>
          <w:trHeight w:val="171"/>
        </w:trPr>
        <w:tc>
          <w:tcPr>
            <w:tcW w:w="3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US$ 000</w:t>
            </w:r>
          </w:p>
        </w:tc>
        <w:tc>
          <w:tcPr>
            <w:tcW w:w="10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4Q13</w:t>
            </w:r>
          </w:p>
        </w:tc>
        <w:tc>
          <w:tcPr>
            <w:tcW w:w="20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3Q13</w:t>
            </w:r>
          </w:p>
        </w:tc>
        <w:tc>
          <w:tcPr>
            <w:tcW w:w="20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4Q12</w:t>
            </w:r>
          </w:p>
        </w:tc>
        <w:tc>
          <w:tcPr>
            <w:tcW w:w="200" w:type="dxa"/>
            <w:vAlign w:val="bottom"/>
            <w:tcBorders>
              <w:bottom w:val="single" w:sz="8" w:color="CCFFCC"/>
            </w:tcBorders>
          </w:tcPr>
          <w:p>
            <w:pPr>
              <w:spacing w:after="0"/>
              <w:rPr>
                <w:sz w:val="14"/>
                <w:szCs w:val="14"/>
                <w:color w:val="auto"/>
              </w:rPr>
            </w:pPr>
          </w:p>
        </w:tc>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w w:val="92"/>
              </w:rPr>
              <w:t>QoQ</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CCFFCC"/>
            </w:tcBorders>
          </w:tcPr>
          <w:p>
            <w:pPr>
              <w:spacing w:after="0"/>
              <w:rPr>
                <w:sz w:val="14"/>
                <w:szCs w:val="14"/>
                <w:color w:val="auto"/>
              </w:rPr>
            </w:pP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w w:val="95"/>
              </w:rPr>
              <w:t>YoY</w:t>
            </w: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Dec 13</w:t>
            </w:r>
          </w:p>
        </w:tc>
        <w:tc>
          <w:tcPr>
            <w:tcW w:w="20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Dec 12</w:t>
            </w:r>
          </w:p>
        </w:tc>
        <w:tc>
          <w:tcPr>
            <w:tcW w:w="220" w:type="dxa"/>
            <w:vAlign w:val="bottom"/>
            <w:tcBorders>
              <w:bottom w:val="single" w:sz="8" w:color="CCFFCC"/>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Dec 13 / Dec 12</w:t>
            </w:r>
          </w:p>
        </w:tc>
        <w:tc>
          <w:tcPr>
            <w:tcW w:w="140" w:type="dxa"/>
            <w:vAlign w:val="bottom"/>
            <w:tcBorders>
              <w:bottom w:val="single" w:sz="8" w:color="CCFFCC"/>
            </w:tcBorders>
          </w:tcPr>
          <w:p>
            <w:pPr>
              <w:spacing w:after="0"/>
              <w:rPr>
                <w:sz w:val="14"/>
                <w:szCs w:val="14"/>
                <w:color w:val="auto"/>
              </w:rPr>
            </w:pPr>
          </w:p>
        </w:tc>
      </w:tr>
      <w:tr>
        <w:trPr>
          <w:trHeight w:val="142"/>
        </w:trPr>
        <w:tc>
          <w:tcPr>
            <w:tcW w:w="314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Net interest income</w:t>
            </w:r>
          </w:p>
        </w:tc>
        <w:tc>
          <w:tcPr>
            <w:tcW w:w="10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440,636</w:t>
            </w: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425,215</w:t>
            </w: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402,835</w:t>
            </w:r>
          </w:p>
        </w:tc>
        <w:tc>
          <w:tcPr>
            <w:tcW w:w="20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48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3.6%</w:t>
            </w:r>
          </w:p>
        </w:tc>
        <w:tc>
          <w:tcPr>
            <w:tcW w:w="540" w:type="dxa"/>
            <w:vAlign w:val="bottom"/>
            <w:shd w:val="clear" w:color="auto" w:fill="CCFFCC"/>
          </w:tcPr>
          <w:p>
            <w:pPr>
              <w:spacing w:after="0"/>
              <w:rPr>
                <w:sz w:val="12"/>
                <w:szCs w:val="12"/>
                <w:color w:val="auto"/>
              </w:rPr>
            </w:pPr>
          </w:p>
        </w:tc>
        <w:tc>
          <w:tcPr>
            <w:tcW w:w="50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9.4%</w:t>
            </w: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1,683,147</w:t>
            </w:r>
          </w:p>
        </w:tc>
        <w:tc>
          <w:tcPr>
            <w:tcW w:w="20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1,487,726</w:t>
            </w: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13.1%</w:t>
            </w:r>
          </w:p>
        </w:tc>
      </w:tr>
      <w:tr>
        <w:trPr>
          <w:trHeight w:val="149"/>
        </w:trPr>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Fee income</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170,992</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162,715</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172,495</w:t>
            </w:r>
          </w:p>
        </w:tc>
        <w:tc>
          <w:tcPr>
            <w:tcW w:w="560" w:type="dxa"/>
            <w:vAlign w:val="bottom"/>
          </w:tcPr>
          <w:p>
            <w:pPr>
              <w:spacing w:after="0"/>
              <w:rPr>
                <w:sz w:val="12"/>
                <w:szCs w:val="12"/>
                <w:color w:val="auto"/>
              </w:rPr>
            </w:pPr>
          </w:p>
        </w:tc>
        <w:tc>
          <w:tcPr>
            <w:tcW w:w="4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5.1%</w:t>
            </w:r>
          </w:p>
        </w:tc>
        <w:tc>
          <w:tcPr>
            <w:tcW w:w="540" w:type="dxa"/>
            <w:vAlign w:val="bottom"/>
          </w:tcPr>
          <w:p>
            <w:pPr>
              <w:spacing w:after="0"/>
              <w:rPr>
                <w:sz w:val="12"/>
                <w:szCs w:val="12"/>
                <w:color w:val="auto"/>
              </w:rPr>
            </w:pPr>
          </w:p>
        </w:tc>
        <w:tc>
          <w:tcPr>
            <w:tcW w:w="5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w w:val="98"/>
              </w:rPr>
              <w:t>-0.9%</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648,774</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620,058</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w:t>
            </w:r>
          </w:p>
        </w:tc>
      </w:tr>
      <w:tr>
        <w:trPr>
          <w:trHeight w:val="162"/>
        </w:trPr>
        <w:tc>
          <w:tcPr>
            <w:tcW w:w="32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Net gain on foreign exchange transactions</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44,490</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47,487</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47,996</w:t>
            </w:r>
          </w:p>
        </w:tc>
        <w:tc>
          <w:tcPr>
            <w:tcW w:w="560" w:type="dxa"/>
            <w:vAlign w:val="bottom"/>
            <w:shd w:val="clear" w:color="auto" w:fill="CCFFCC"/>
          </w:tcPr>
          <w:p>
            <w:pPr>
              <w:spacing w:after="0"/>
              <w:rPr>
                <w:sz w:val="14"/>
                <w:szCs w:val="14"/>
                <w:color w:val="auto"/>
              </w:rPr>
            </w:pPr>
          </w:p>
        </w:tc>
        <w:tc>
          <w:tcPr>
            <w:tcW w:w="48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w w:val="92"/>
              </w:rPr>
              <w:t>-6.3%</w:t>
            </w:r>
          </w:p>
        </w:tc>
        <w:tc>
          <w:tcPr>
            <w:tcW w:w="540" w:type="dxa"/>
            <w:vAlign w:val="bottom"/>
            <w:shd w:val="clear" w:color="auto" w:fill="CCFFCC"/>
          </w:tcPr>
          <w:p>
            <w:pPr>
              <w:spacing w:after="0"/>
              <w:rPr>
                <w:sz w:val="14"/>
                <w:szCs w:val="14"/>
                <w:color w:val="auto"/>
              </w:rPr>
            </w:pPr>
          </w:p>
        </w:tc>
        <w:tc>
          <w:tcPr>
            <w:tcW w:w="50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w w:val="98"/>
              </w:rPr>
              <w:t>-7.3%</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190,763</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174,049</w:t>
            </w: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9.6%</w:t>
            </w:r>
          </w:p>
        </w:tc>
      </w:tr>
      <w:tr>
        <w:trPr>
          <w:trHeight w:val="157"/>
        </w:trPr>
        <w:tc>
          <w:tcPr>
            <w:tcW w:w="324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Core income</w:t>
            </w:r>
          </w:p>
        </w:tc>
        <w:tc>
          <w:tcPr>
            <w:tcW w:w="8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656,118</w:t>
            </w:r>
          </w:p>
        </w:tc>
        <w:tc>
          <w:tcPr>
            <w:tcW w:w="200" w:type="dxa"/>
            <w:vAlign w:val="bottom"/>
          </w:tcPr>
          <w:p>
            <w:pPr>
              <w:spacing w:after="0"/>
              <w:rPr>
                <w:sz w:val="13"/>
                <w:szCs w:val="13"/>
                <w:color w:val="auto"/>
              </w:rPr>
            </w:pPr>
          </w:p>
        </w:tc>
        <w:tc>
          <w:tcPr>
            <w:tcW w:w="8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635,417</w:t>
            </w:r>
          </w:p>
        </w:tc>
        <w:tc>
          <w:tcPr>
            <w:tcW w:w="200" w:type="dxa"/>
            <w:vAlign w:val="bottom"/>
          </w:tcPr>
          <w:p>
            <w:pPr>
              <w:spacing w:after="0"/>
              <w:rPr>
                <w:sz w:val="13"/>
                <w:szCs w:val="13"/>
                <w:color w:val="auto"/>
              </w:rPr>
            </w:pPr>
          </w:p>
        </w:tc>
        <w:tc>
          <w:tcPr>
            <w:tcW w:w="8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623,326</w:t>
            </w:r>
          </w:p>
        </w:tc>
        <w:tc>
          <w:tcPr>
            <w:tcW w:w="2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3.3</w:t>
            </w:r>
          </w:p>
        </w:tc>
        <w:tc>
          <w:tcPr>
            <w:tcW w:w="240" w:type="dxa"/>
            <w:vAlign w:val="bottom"/>
          </w:tcPr>
          <w:p>
            <w:pPr>
              <w:jc w:val="right"/>
              <w:ind w:right="28"/>
              <w:spacing w:after="0" w:line="157" w:lineRule="exact"/>
              <w:rPr>
                <w:sz w:val="20"/>
                <w:szCs w:val="20"/>
                <w:color w:val="auto"/>
              </w:rPr>
            </w:pPr>
            <w:r>
              <w:rPr>
                <w:rFonts w:ascii="Arial" w:cs="Arial" w:eastAsia="Arial" w:hAnsi="Arial"/>
                <w:sz w:val="14"/>
                <w:szCs w:val="14"/>
                <w:b w:val="1"/>
                <w:bCs w:val="1"/>
                <w:color w:val="auto"/>
                <w:w w:val="96"/>
              </w:rPr>
              <w:t>%</w:t>
            </w:r>
          </w:p>
        </w:tc>
        <w:tc>
          <w:tcPr>
            <w:tcW w:w="5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5.3</w:t>
            </w:r>
          </w:p>
        </w:tc>
        <w:tc>
          <w:tcPr>
            <w:tcW w:w="240" w:type="dxa"/>
            <w:vAlign w:val="bottom"/>
          </w:tcPr>
          <w:p>
            <w:pPr>
              <w:jc w:val="right"/>
              <w:ind w:right="28"/>
              <w:spacing w:after="0" w:line="157" w:lineRule="exact"/>
              <w:rPr>
                <w:sz w:val="20"/>
                <w:szCs w:val="20"/>
                <w:color w:val="auto"/>
              </w:rPr>
            </w:pPr>
            <w:r>
              <w:rPr>
                <w:rFonts w:ascii="Arial" w:cs="Arial" w:eastAsia="Arial" w:hAnsi="Arial"/>
                <w:sz w:val="14"/>
                <w:szCs w:val="14"/>
                <w:b w:val="1"/>
                <w:bCs w:val="1"/>
                <w:color w:val="auto"/>
                <w:w w:val="96"/>
              </w:rPr>
              <w:t>%</w:t>
            </w:r>
          </w:p>
        </w:tc>
        <w:tc>
          <w:tcPr>
            <w:tcW w:w="8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2,522,684</w:t>
            </w:r>
          </w:p>
        </w:tc>
        <w:tc>
          <w:tcPr>
            <w:tcW w:w="200" w:type="dxa"/>
            <w:vAlign w:val="bottom"/>
          </w:tcPr>
          <w:p>
            <w:pPr>
              <w:spacing w:after="0"/>
              <w:rPr>
                <w:sz w:val="13"/>
                <w:szCs w:val="13"/>
                <w:color w:val="auto"/>
              </w:rPr>
            </w:pPr>
          </w:p>
        </w:tc>
        <w:tc>
          <w:tcPr>
            <w:tcW w:w="7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2,281,833</w:t>
            </w:r>
          </w:p>
        </w:tc>
        <w:tc>
          <w:tcPr>
            <w:tcW w:w="220" w:type="dxa"/>
            <w:vAlign w:val="bottom"/>
          </w:tcPr>
          <w:p>
            <w:pPr>
              <w:spacing w:after="0"/>
              <w:rPr>
                <w:sz w:val="13"/>
                <w:szCs w:val="13"/>
                <w:color w:val="auto"/>
              </w:rPr>
            </w:pPr>
          </w:p>
        </w:tc>
        <w:tc>
          <w:tcPr>
            <w:tcW w:w="96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10.6</w:t>
            </w:r>
          </w:p>
        </w:tc>
        <w:tc>
          <w:tcPr>
            <w:tcW w:w="140" w:type="dxa"/>
            <w:vAlign w:val="bottom"/>
          </w:tcPr>
          <w:p>
            <w:pPr>
              <w:jc w:val="right"/>
              <w:spacing w:after="0" w:line="157" w:lineRule="exact"/>
              <w:rPr>
                <w:sz w:val="20"/>
                <w:szCs w:val="20"/>
                <w:color w:val="auto"/>
              </w:rPr>
            </w:pPr>
            <w:r>
              <w:rPr>
                <w:rFonts w:ascii="Arial" w:cs="Arial" w:eastAsia="Arial" w:hAnsi="Arial"/>
                <w:sz w:val="14"/>
                <w:szCs w:val="14"/>
                <w:b w:val="1"/>
                <w:bCs w:val="1"/>
                <w:color w:val="auto"/>
                <w:w w:val="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-8890</wp:posOffset>
            </wp:positionV>
            <wp:extent cx="50939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0939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 See note in BCP and Subsidiaries income statement.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Finally, core income increased +3.3% QoQ due to the excellent evolution of NII and fee income.</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4" w:name="page15"/>
    <w:bookmarkEnd w:id="14"/>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Results 2013 vs. 2012</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in the analysis of Credicorp’s results for 2013, an analysis of BCP reflects the effects of the strong volatility of the Nuevo Sol with regard to the US Dollar. This masks the fact that the Bank’s performance was truly excellent. The analysis we will present in the paragraphs that follow will eliminate distortions and isolate the non-recurring elements to fully appreciate the real performance of our banking business.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Q in IFRS, BCP reported net income after minority interest of US$ 463.5 million in 2013, which is 29.9% lower than the figure obtained in 2012 (US$ 661.4 million). The aforementioned led ROAE to drop from 26.4% in 2012 to 16.6% in 2013. Additionally, despite the net result obtained, the efficiency ratio fell from 49.2% to 47.7% in 2013 due to the Bank’s efforts to control expenses since the beginning of the second half of the year. In terms of portfolio quality, the PDL ratio increased from 1.78% to 2.30%. This was due primarily to an increase in the PDL ratios of the SME and Credit Card segments of 1.78% a 2.30% respectively, which will be discussed in further detail later on in the report.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Nevertheless, it is important to note that despite the impact that factors outside of our control had on business performance, operating income only fell 1% with regard to 2012’s figure. This figure indicates a satisfactory evolution if we consider that it incorporates the effect of the devaluation of income denominated in LC.</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external factors that hide business’s real performance represented a total of US$ 172 million, stemming from losses due to market issues and non-recurring expenses such as:</w:t>
      </w:r>
    </w:p>
    <w:p>
      <w:pPr>
        <w:spacing w:after="0" w:line="170" w:lineRule="exact"/>
        <w:rPr>
          <w:sz w:val="20"/>
          <w:szCs w:val="20"/>
          <w:color w:val="auto"/>
        </w:rPr>
      </w:pPr>
    </w:p>
    <w:p>
      <w:pPr>
        <w:ind w:left="1300" w:hanging="401"/>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translation loss of US$ 87 million associated with the capital position in LC;</w:t>
      </w:r>
    </w:p>
    <w:p>
      <w:pPr>
        <w:spacing w:after="0" w:line="225" w:lineRule="exact"/>
        <w:rPr>
          <w:rFonts w:ascii="Arial" w:cs="Arial" w:eastAsia="Arial" w:hAnsi="Arial"/>
          <w:sz w:val="18"/>
          <w:szCs w:val="18"/>
          <w:color w:val="auto"/>
        </w:rPr>
      </w:pPr>
    </w:p>
    <w:p>
      <w:pPr>
        <w:ind w:left="1300" w:hanging="401"/>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loss of US$ 43.5 million due to the valuation of forward contracts, which were also associated with the capital position in LC;</w:t>
      </w:r>
    </w:p>
    <w:p>
      <w:pPr>
        <w:spacing w:after="0" w:line="236" w:lineRule="exact"/>
        <w:rPr>
          <w:rFonts w:ascii="Arial" w:cs="Arial" w:eastAsia="Arial" w:hAnsi="Arial"/>
          <w:sz w:val="17"/>
          <w:szCs w:val="17"/>
          <w:color w:val="auto"/>
        </w:rPr>
      </w:pPr>
    </w:p>
    <w:p>
      <w:pPr>
        <w:ind w:left="1300" w:right="20" w:hanging="401"/>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loss of US$ 27 million that was generated by a shift in interest rates on the US Dollar and the position of BCP’s sovereign bonds (Peru, Colombia and Brasil); and</w:t>
      </w:r>
    </w:p>
    <w:p>
      <w:pPr>
        <w:spacing w:after="0" w:line="170" w:lineRule="exact"/>
        <w:rPr>
          <w:rFonts w:ascii="Arial" w:cs="Arial" w:eastAsia="Arial" w:hAnsi="Arial"/>
          <w:sz w:val="18"/>
          <w:szCs w:val="18"/>
          <w:color w:val="auto"/>
        </w:rPr>
      </w:pPr>
    </w:p>
    <w:p>
      <w:pPr>
        <w:ind w:left="1300" w:hanging="401"/>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non-recurring expenses for US$ 14.5 million stemming from payments to SUNAT for previous periods, contingencies in Bolivia and a loss of the sale of BCP Colombia to Correval.</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this first analysis, if we exclude the aforementioned elements, operating income grew 9.6% with regard to 2012’s level (despite that 2012’s results included gains on sales of securities for US$ 43.3 million). In this context and after we deduct part of the translation gains posted in 2012, net income remains almost flat (-0.2% YoY).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second level of analysis, the business’s real performance is even more evident given that it considers income and expenses in the currency in which they were originated, as is evident in the tables below. From this perspective, the Bank’s evolution has been healthy and indicates that both income and margins are solid.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328"/>
              <w:spacing w:after="0"/>
              <w:rPr>
                <w:sz w:val="20"/>
                <w:szCs w:val="20"/>
                <w:color w:val="auto"/>
              </w:rPr>
            </w:pPr>
            <w:r>
              <w:rPr>
                <w:rFonts w:ascii="Arial" w:cs="Arial" w:eastAsia="Arial" w:hAnsi="Arial"/>
                <w:sz w:val="14"/>
                <w:szCs w:val="14"/>
                <w:b w:val="1"/>
                <w:bCs w:val="1"/>
                <w:color w:val="auto"/>
                <w:w w:val="99"/>
              </w:rPr>
              <w:t>% Change LC</w:t>
            </w:r>
          </w:p>
        </w:tc>
        <w:tc>
          <w:tcPr>
            <w:tcW w:w="20" w:type="dxa"/>
            <w:vAlign w:val="bottom"/>
          </w:tcPr>
          <w:p>
            <w:pPr>
              <w:spacing w:after="0"/>
              <w:rPr>
                <w:sz w:val="14"/>
                <w:szCs w:val="14"/>
                <w:color w:val="auto"/>
              </w:rPr>
            </w:pPr>
          </w:p>
        </w:tc>
        <w:tc>
          <w:tcPr>
            <w:tcW w:w="1440" w:type="dxa"/>
            <w:vAlign w:val="bottom"/>
            <w:gridSpan w:val="2"/>
          </w:tcPr>
          <w:p>
            <w:pPr>
              <w:jc w:val="center"/>
              <w:ind w:right="288"/>
              <w:spacing w:after="0"/>
              <w:rPr>
                <w:sz w:val="20"/>
                <w:szCs w:val="20"/>
                <w:color w:val="auto"/>
              </w:rPr>
            </w:pPr>
            <w:r>
              <w:rPr>
                <w:rFonts w:ascii="Arial" w:cs="Arial" w:eastAsia="Arial" w:hAnsi="Arial"/>
                <w:sz w:val="14"/>
                <w:szCs w:val="14"/>
                <w:b w:val="1"/>
                <w:bCs w:val="1"/>
                <w:color w:val="auto"/>
              </w:rPr>
              <w:t>% Change LC *</w:t>
            </w:r>
          </w:p>
        </w:tc>
        <w:tc>
          <w:tcPr>
            <w:tcW w:w="40" w:type="dxa"/>
            <w:vAlign w:val="bottom"/>
          </w:tcPr>
          <w:p>
            <w:pPr>
              <w:spacing w:after="0"/>
              <w:rPr>
                <w:sz w:val="14"/>
                <w:szCs w:val="14"/>
                <w:color w:val="auto"/>
              </w:rPr>
            </w:pPr>
          </w:p>
        </w:tc>
        <w:tc>
          <w:tcPr>
            <w:tcW w:w="1460" w:type="dxa"/>
            <w:vAlign w:val="bottom"/>
            <w:gridSpan w:val="2"/>
          </w:tcPr>
          <w:p>
            <w:pPr>
              <w:jc w:val="center"/>
              <w:ind w:right="348"/>
              <w:spacing w:after="0"/>
              <w:rPr>
                <w:sz w:val="20"/>
                <w:szCs w:val="20"/>
                <w:color w:val="auto"/>
              </w:rPr>
            </w:pPr>
            <w:r>
              <w:rPr>
                <w:rFonts w:ascii="Arial" w:cs="Arial" w:eastAsia="Arial" w:hAnsi="Arial"/>
                <w:sz w:val="14"/>
                <w:szCs w:val="14"/>
                <w:b w:val="1"/>
                <w:bCs w:val="1"/>
                <w:color w:val="auto"/>
                <w:w w:val="97"/>
              </w:rPr>
              <w:t>% Change FC</w:t>
            </w:r>
          </w:p>
        </w:tc>
        <w:tc>
          <w:tcPr>
            <w:tcW w:w="132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95"/>
              </w:rPr>
              <w:t>% Total Change</w:t>
            </w:r>
          </w:p>
        </w:tc>
        <w:tc>
          <w:tcPr>
            <w:tcW w:w="182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w w:val="94"/>
              </w:rPr>
              <w:t>Combined % Total Change</w:t>
            </w:r>
          </w:p>
        </w:tc>
        <w:tc>
          <w:tcPr>
            <w:tcW w:w="0" w:type="dxa"/>
            <w:vAlign w:val="bottom"/>
          </w:tcPr>
          <w:p>
            <w:pPr>
              <w:spacing w:after="0"/>
              <w:rPr>
                <w:sz w:val="1"/>
                <w:szCs w:val="1"/>
                <w:color w:val="auto"/>
              </w:rPr>
            </w:pPr>
          </w:p>
        </w:tc>
      </w:tr>
      <w:tr>
        <w:trPr>
          <w:trHeight w:val="149"/>
        </w:trPr>
        <w:tc>
          <w:tcPr>
            <w:tcW w:w="3720" w:type="dxa"/>
            <w:vAlign w:val="bottom"/>
            <w:vMerge w:val="restart"/>
          </w:tcPr>
          <w:p>
            <w:pPr>
              <w:spacing w:after="0"/>
              <w:rPr>
                <w:sz w:val="20"/>
                <w:szCs w:val="20"/>
                <w:color w:val="auto"/>
              </w:rPr>
            </w:pPr>
            <w:r>
              <w:rPr>
                <w:rFonts w:ascii="Arial" w:cs="Arial" w:eastAsia="Arial" w:hAnsi="Arial"/>
                <w:sz w:val="14"/>
                <w:szCs w:val="14"/>
                <w:b w:val="1"/>
                <w:bCs w:val="1"/>
                <w:color w:val="auto"/>
              </w:rPr>
              <w:t>BCP</w:t>
            </w:r>
          </w:p>
        </w:tc>
        <w:tc>
          <w:tcPr>
            <w:tcW w:w="100" w:type="dxa"/>
            <w:vAlign w:val="bottom"/>
            <w:vMerge w:val="restart"/>
          </w:tcPr>
          <w:p>
            <w:pPr>
              <w:spacing w:after="0"/>
              <w:rPr>
                <w:sz w:val="12"/>
                <w:szCs w:val="12"/>
                <w:color w:val="auto"/>
              </w:rPr>
            </w:pPr>
          </w:p>
        </w:tc>
        <w:tc>
          <w:tcPr>
            <w:tcW w:w="1500" w:type="dxa"/>
            <w:vAlign w:val="bottom"/>
            <w:gridSpan w:val="2"/>
          </w:tcPr>
          <w:p>
            <w:pPr>
              <w:jc w:val="center"/>
              <w:ind w:right="328"/>
              <w:spacing w:after="0" w:line="149" w:lineRule="exact"/>
              <w:rPr>
                <w:sz w:val="20"/>
                <w:szCs w:val="20"/>
                <w:color w:val="auto"/>
              </w:rPr>
            </w:pPr>
            <w:r>
              <w:rPr>
                <w:rFonts w:ascii="Arial" w:cs="Arial" w:eastAsia="Arial" w:hAnsi="Arial"/>
                <w:sz w:val="14"/>
                <w:szCs w:val="14"/>
                <w:b w:val="1"/>
                <w:bCs w:val="1"/>
                <w:color w:val="auto"/>
                <w:w w:val="91"/>
              </w:rPr>
              <w:t>Expressed in PEN</w:t>
            </w:r>
          </w:p>
        </w:tc>
        <w:tc>
          <w:tcPr>
            <w:tcW w:w="1460" w:type="dxa"/>
            <w:vAlign w:val="bottom"/>
            <w:gridSpan w:val="3"/>
          </w:tcPr>
          <w:p>
            <w:pPr>
              <w:jc w:val="center"/>
              <w:ind w:right="268"/>
              <w:spacing w:after="0" w:line="149" w:lineRule="exact"/>
              <w:rPr>
                <w:sz w:val="20"/>
                <w:szCs w:val="20"/>
                <w:color w:val="auto"/>
              </w:rPr>
            </w:pPr>
            <w:r>
              <w:rPr>
                <w:rFonts w:ascii="Arial" w:cs="Arial" w:eastAsia="Arial" w:hAnsi="Arial"/>
                <w:sz w:val="14"/>
                <w:szCs w:val="14"/>
                <w:b w:val="1"/>
                <w:bCs w:val="1"/>
                <w:color w:val="auto"/>
                <w:w w:val="91"/>
              </w:rPr>
              <w:t>Expressed in US$</w:t>
            </w:r>
          </w:p>
        </w:tc>
        <w:tc>
          <w:tcPr>
            <w:tcW w:w="1500" w:type="dxa"/>
            <w:vAlign w:val="bottom"/>
            <w:gridSpan w:val="3"/>
          </w:tcPr>
          <w:p>
            <w:pPr>
              <w:jc w:val="center"/>
              <w:ind w:right="268"/>
              <w:spacing w:after="0" w:line="149" w:lineRule="exact"/>
              <w:rPr>
                <w:sz w:val="20"/>
                <w:szCs w:val="20"/>
                <w:color w:val="auto"/>
              </w:rPr>
            </w:pPr>
            <w:r>
              <w:rPr>
                <w:rFonts w:ascii="Arial" w:cs="Arial" w:eastAsia="Arial" w:hAnsi="Arial"/>
                <w:sz w:val="14"/>
                <w:szCs w:val="14"/>
                <w:b w:val="1"/>
                <w:bCs w:val="1"/>
                <w:color w:val="auto"/>
                <w:w w:val="91"/>
              </w:rPr>
              <w:t>Expressed in US$</w:t>
            </w:r>
          </w:p>
        </w:tc>
        <w:tc>
          <w:tcPr>
            <w:tcW w:w="1320" w:type="dxa"/>
            <w:vAlign w:val="bottom"/>
            <w:gridSpan w:val="2"/>
          </w:tcPr>
          <w:p>
            <w:pPr>
              <w:jc w:val="center"/>
              <w:ind w:right="168"/>
              <w:spacing w:after="0" w:line="149" w:lineRule="exact"/>
              <w:rPr>
                <w:sz w:val="20"/>
                <w:szCs w:val="20"/>
                <w:color w:val="auto"/>
              </w:rPr>
            </w:pPr>
            <w:r>
              <w:rPr>
                <w:rFonts w:ascii="Arial" w:cs="Arial" w:eastAsia="Arial" w:hAnsi="Arial"/>
                <w:sz w:val="14"/>
                <w:szCs w:val="14"/>
                <w:b w:val="1"/>
                <w:bCs w:val="1"/>
                <w:color w:val="auto"/>
                <w:w w:val="91"/>
              </w:rPr>
              <w:t>Expressed in US$</w:t>
            </w:r>
          </w:p>
        </w:tc>
        <w:tc>
          <w:tcPr>
            <w:tcW w:w="1820" w:type="dxa"/>
            <w:vAlign w:val="bottom"/>
            <w:gridSpan w:val="2"/>
          </w:tcPr>
          <w:p>
            <w:pPr>
              <w:jc w:val="center"/>
              <w:ind w:right="68"/>
              <w:spacing w:after="0" w:line="149" w:lineRule="exact"/>
              <w:rPr>
                <w:sz w:val="20"/>
                <w:szCs w:val="20"/>
                <w:color w:val="auto"/>
              </w:rPr>
            </w:pPr>
            <w:r>
              <w:rPr>
                <w:rFonts w:ascii="Arial" w:cs="Arial" w:eastAsia="Arial" w:hAnsi="Arial"/>
                <w:sz w:val="14"/>
                <w:szCs w:val="14"/>
                <w:b w:val="1"/>
                <w:bCs w:val="1"/>
                <w:color w:val="auto"/>
                <w:w w:val="91"/>
              </w:rPr>
              <w:t>Expressed in US$</w:t>
            </w:r>
          </w:p>
        </w:tc>
        <w:tc>
          <w:tcPr>
            <w:tcW w:w="0" w:type="dxa"/>
            <w:vAlign w:val="bottom"/>
          </w:tcPr>
          <w:p>
            <w:pPr>
              <w:spacing w:after="0"/>
              <w:rPr>
                <w:sz w:val="1"/>
                <w:szCs w:val="1"/>
                <w:color w:val="auto"/>
              </w:rPr>
            </w:pPr>
          </w:p>
        </w:tc>
      </w:tr>
      <w:tr>
        <w:trPr>
          <w:trHeight w:val="171"/>
        </w:trPr>
        <w:tc>
          <w:tcPr>
            <w:tcW w:w="3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FFCC"/>
            </w:tcBorders>
            <w:vMerge w:val="continue"/>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2013 vs. 2012</w:t>
            </w:r>
          </w:p>
        </w:tc>
        <w:tc>
          <w:tcPr>
            <w:tcW w:w="400" w:type="dxa"/>
            <w:vAlign w:val="bottom"/>
            <w:tcBorders>
              <w:bottom w:val="single" w:sz="8" w:color="CCFFCC"/>
            </w:tcBorders>
          </w:tcPr>
          <w:p>
            <w:pPr>
              <w:spacing w:after="0"/>
              <w:rPr>
                <w:sz w:val="14"/>
                <w:szCs w:val="14"/>
                <w:color w:val="auto"/>
              </w:rPr>
            </w:pPr>
          </w:p>
        </w:tc>
        <w:tc>
          <w:tcPr>
            <w:tcW w:w="20" w:type="dxa"/>
            <w:vAlign w:val="bottom"/>
            <w:tcBorders>
              <w:bottom w:val="single" w:sz="8" w:color="CCFFC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 vs. 2012</w:t>
            </w:r>
          </w:p>
        </w:tc>
        <w:tc>
          <w:tcPr>
            <w:tcW w:w="380" w:type="dxa"/>
            <w:vAlign w:val="bottom"/>
            <w:tcBorders>
              <w:bottom w:val="single" w:sz="8" w:color="CCFFCC"/>
            </w:tcBorders>
          </w:tcPr>
          <w:p>
            <w:pPr>
              <w:spacing w:after="0"/>
              <w:rPr>
                <w:sz w:val="14"/>
                <w:szCs w:val="14"/>
                <w:color w:val="auto"/>
              </w:rPr>
            </w:pPr>
          </w:p>
        </w:tc>
        <w:tc>
          <w:tcPr>
            <w:tcW w:w="40" w:type="dxa"/>
            <w:vAlign w:val="bottom"/>
            <w:tcBorders>
              <w:bottom w:val="single" w:sz="8" w:color="CCFFC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2013 vs. 2012</w:t>
            </w:r>
          </w:p>
        </w:tc>
        <w:tc>
          <w:tcPr>
            <w:tcW w:w="400" w:type="dxa"/>
            <w:vAlign w:val="bottom"/>
            <w:tcBorders>
              <w:bottom w:val="single" w:sz="8" w:color="CCFFCC"/>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 vs. 2012</w:t>
            </w:r>
          </w:p>
        </w:tc>
        <w:tc>
          <w:tcPr>
            <w:tcW w:w="240" w:type="dxa"/>
            <w:vAlign w:val="bottom"/>
            <w:tcBorders>
              <w:bottom w:val="single" w:sz="8" w:color="CCFFCC"/>
            </w:tcBorders>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2013 vs. 2012 (4)</w:t>
            </w:r>
          </w:p>
        </w:tc>
        <w:tc>
          <w:tcPr>
            <w:tcW w:w="140" w:type="dxa"/>
            <w:vAlign w:val="bottom"/>
            <w:tcBorders>
              <w:bottom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2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Adjusted interest income (1)</w:t>
            </w:r>
          </w:p>
        </w:tc>
        <w:tc>
          <w:tcPr>
            <w:tcW w:w="100" w:type="dxa"/>
            <w:vAlign w:val="bottom"/>
            <w:shd w:val="clear" w:color="auto" w:fill="CCFFCC"/>
          </w:tcPr>
          <w:p>
            <w:pPr>
              <w:spacing w:after="0"/>
              <w:rPr>
                <w:sz w:val="12"/>
                <w:szCs w:val="12"/>
                <w:color w:val="auto"/>
              </w:rPr>
            </w:pPr>
          </w:p>
        </w:tc>
        <w:tc>
          <w:tcPr>
            <w:tcW w:w="1500" w:type="dxa"/>
            <w:vAlign w:val="bottom"/>
            <w:gridSpan w:val="2"/>
            <w:shd w:val="clear" w:color="auto" w:fill="CCFFCC"/>
          </w:tcPr>
          <w:p>
            <w:pPr>
              <w:jc w:val="right"/>
              <w:ind w:right="208"/>
              <w:spacing w:after="0" w:line="142" w:lineRule="exact"/>
              <w:rPr>
                <w:sz w:val="20"/>
                <w:szCs w:val="20"/>
                <w:color w:val="auto"/>
              </w:rPr>
            </w:pPr>
            <w:r>
              <w:rPr>
                <w:rFonts w:ascii="Arial" w:cs="Arial" w:eastAsia="Arial" w:hAnsi="Arial"/>
                <w:sz w:val="14"/>
                <w:szCs w:val="14"/>
                <w:color w:val="auto"/>
              </w:rPr>
              <w:t>10.6%</w:t>
            </w:r>
          </w:p>
        </w:tc>
        <w:tc>
          <w:tcPr>
            <w:tcW w:w="20" w:type="dxa"/>
            <w:vAlign w:val="bottom"/>
            <w:shd w:val="clear" w:color="auto" w:fill="CCFFCC"/>
          </w:tcPr>
          <w:p>
            <w:pPr>
              <w:spacing w:after="0"/>
              <w:rPr>
                <w:sz w:val="12"/>
                <w:szCs w:val="12"/>
                <w:color w:val="auto"/>
              </w:rPr>
            </w:pPr>
          </w:p>
        </w:tc>
        <w:tc>
          <w:tcPr>
            <w:tcW w:w="1440" w:type="dxa"/>
            <w:vAlign w:val="bottom"/>
            <w:gridSpan w:val="2"/>
            <w:shd w:val="clear" w:color="auto" w:fill="CCFFCC"/>
          </w:tcPr>
          <w:p>
            <w:pPr>
              <w:jc w:val="right"/>
              <w:ind w:right="188"/>
              <w:spacing w:after="0" w:line="142" w:lineRule="exact"/>
              <w:rPr>
                <w:sz w:val="20"/>
                <w:szCs w:val="20"/>
                <w:color w:val="auto"/>
              </w:rPr>
            </w:pPr>
            <w:r>
              <w:rPr>
                <w:rFonts w:ascii="Arial" w:cs="Arial" w:eastAsia="Arial" w:hAnsi="Arial"/>
                <w:sz w:val="14"/>
                <w:szCs w:val="14"/>
                <w:color w:val="auto"/>
              </w:rPr>
              <w:t>0.9%</w:t>
            </w:r>
          </w:p>
        </w:tc>
        <w:tc>
          <w:tcPr>
            <w:tcW w:w="40" w:type="dxa"/>
            <w:vAlign w:val="bottom"/>
            <w:shd w:val="clear" w:color="auto" w:fill="CCFFCC"/>
          </w:tcPr>
          <w:p>
            <w:pPr>
              <w:spacing w:after="0"/>
              <w:rPr>
                <w:sz w:val="12"/>
                <w:szCs w:val="12"/>
                <w:color w:val="auto"/>
              </w:rPr>
            </w:pPr>
          </w:p>
        </w:tc>
        <w:tc>
          <w:tcPr>
            <w:tcW w:w="1460" w:type="dxa"/>
            <w:vAlign w:val="bottom"/>
            <w:gridSpan w:val="2"/>
            <w:shd w:val="clear" w:color="auto" w:fill="CCFFCC"/>
          </w:tcPr>
          <w:p>
            <w:pPr>
              <w:ind w:left="800"/>
              <w:spacing w:after="0" w:line="142" w:lineRule="exact"/>
              <w:rPr>
                <w:sz w:val="20"/>
                <w:szCs w:val="20"/>
                <w:color w:val="auto"/>
              </w:rPr>
            </w:pPr>
            <w:r>
              <w:rPr>
                <w:rFonts w:ascii="Arial" w:cs="Arial" w:eastAsia="Arial" w:hAnsi="Arial"/>
                <w:sz w:val="14"/>
                <w:szCs w:val="14"/>
                <w:color w:val="auto"/>
              </w:rPr>
              <w:t>30.6%</w:t>
            </w:r>
          </w:p>
        </w:tc>
        <w:tc>
          <w:tcPr>
            <w:tcW w:w="1320" w:type="dxa"/>
            <w:vAlign w:val="bottom"/>
            <w:gridSpan w:val="2"/>
            <w:shd w:val="clear" w:color="auto" w:fill="CCFFCC"/>
          </w:tcPr>
          <w:p>
            <w:pPr>
              <w:ind w:left="820"/>
              <w:spacing w:after="0" w:line="142" w:lineRule="exact"/>
              <w:rPr>
                <w:sz w:val="20"/>
                <w:szCs w:val="20"/>
                <w:color w:val="auto"/>
              </w:rPr>
            </w:pPr>
            <w:r>
              <w:rPr>
                <w:rFonts w:ascii="Arial" w:cs="Arial" w:eastAsia="Arial" w:hAnsi="Arial"/>
                <w:sz w:val="14"/>
                <w:szCs w:val="14"/>
                <w:color w:val="auto"/>
              </w:rPr>
              <w:t>14.4%</w:t>
            </w:r>
          </w:p>
        </w:tc>
        <w:tc>
          <w:tcPr>
            <w:tcW w:w="16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20" w:type="dxa"/>
            <w:vAlign w:val="bottom"/>
            <w:gridSpan w:val="2"/>
          </w:tcPr>
          <w:p>
            <w:pPr>
              <w:spacing w:after="0"/>
              <w:rPr>
                <w:sz w:val="20"/>
                <w:szCs w:val="20"/>
                <w:color w:val="auto"/>
              </w:rPr>
            </w:pPr>
            <w:r>
              <w:rPr>
                <w:rFonts w:ascii="Arial" w:cs="Arial" w:eastAsia="Arial" w:hAnsi="Arial"/>
                <w:sz w:val="14"/>
                <w:szCs w:val="14"/>
                <w:color w:val="auto"/>
              </w:rPr>
              <w:t>Adjusted interest expenses (2)</w:t>
            </w:r>
          </w:p>
        </w:tc>
        <w:tc>
          <w:tcPr>
            <w:tcW w:w="1500" w:type="dxa"/>
            <w:vAlign w:val="bottom"/>
            <w:gridSpan w:val="2"/>
          </w:tcPr>
          <w:p>
            <w:pPr>
              <w:jc w:val="right"/>
              <w:ind w:right="208"/>
              <w:spacing w:after="0"/>
              <w:rPr>
                <w:sz w:val="20"/>
                <w:szCs w:val="20"/>
                <w:color w:val="auto"/>
              </w:rPr>
            </w:pPr>
            <w:r>
              <w:rPr>
                <w:rFonts w:ascii="Arial" w:cs="Arial" w:eastAsia="Arial" w:hAnsi="Arial"/>
                <w:sz w:val="14"/>
                <w:szCs w:val="14"/>
                <w:color w:val="auto"/>
              </w:rPr>
              <w:t>19.4%</w:t>
            </w:r>
          </w:p>
        </w:tc>
        <w:tc>
          <w:tcPr>
            <w:tcW w:w="1460" w:type="dxa"/>
            <w:vAlign w:val="bottom"/>
            <w:gridSpan w:val="3"/>
          </w:tcPr>
          <w:p>
            <w:pPr>
              <w:jc w:val="right"/>
              <w:ind w:right="188"/>
              <w:spacing w:after="0"/>
              <w:rPr>
                <w:sz w:val="20"/>
                <w:szCs w:val="20"/>
                <w:color w:val="auto"/>
              </w:rPr>
            </w:pPr>
            <w:r>
              <w:rPr>
                <w:rFonts w:ascii="Arial" w:cs="Arial" w:eastAsia="Arial" w:hAnsi="Arial"/>
                <w:sz w:val="14"/>
                <w:szCs w:val="14"/>
                <w:color w:val="auto"/>
              </w:rPr>
              <w:t>8.9%</w:t>
            </w:r>
          </w:p>
        </w:tc>
        <w:tc>
          <w:tcPr>
            <w:tcW w:w="1500" w:type="dxa"/>
            <w:vAlign w:val="bottom"/>
            <w:gridSpan w:val="3"/>
          </w:tcPr>
          <w:p>
            <w:pPr>
              <w:ind w:left="840"/>
              <w:spacing w:after="0"/>
              <w:rPr>
                <w:sz w:val="20"/>
                <w:szCs w:val="20"/>
                <w:color w:val="auto"/>
              </w:rPr>
            </w:pPr>
            <w:r>
              <w:rPr>
                <w:rFonts w:ascii="Arial" w:cs="Arial" w:eastAsia="Arial" w:hAnsi="Arial"/>
                <w:sz w:val="14"/>
                <w:szCs w:val="14"/>
                <w:color w:val="auto"/>
              </w:rPr>
              <w:t>10.3%</w:t>
            </w:r>
          </w:p>
        </w:tc>
        <w:tc>
          <w:tcPr>
            <w:tcW w:w="1320" w:type="dxa"/>
            <w:vAlign w:val="bottom"/>
            <w:gridSpan w:val="2"/>
          </w:tcPr>
          <w:p>
            <w:pPr>
              <w:ind w:left="820"/>
              <w:spacing w:after="0"/>
              <w:rPr>
                <w:sz w:val="20"/>
                <w:szCs w:val="20"/>
                <w:color w:val="auto"/>
              </w:rPr>
            </w:pPr>
            <w:r>
              <w:rPr>
                <w:rFonts w:ascii="Arial" w:cs="Arial" w:eastAsia="Arial" w:hAnsi="Arial"/>
                <w:sz w:val="14"/>
                <w:szCs w:val="14"/>
                <w:color w:val="auto"/>
              </w:rPr>
              <w:t>10.6%</w:t>
            </w: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20" w:type="dxa"/>
            <w:vAlign w:val="bottom"/>
            <w:tcBorders>
              <w:top w:val="single" w:sz="8" w:color="CCFFCC"/>
            </w:tcBorders>
            <w:gridSpan w:val="2"/>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Adjusted Net interest income (1)(2)(3)</w:t>
            </w:r>
          </w:p>
        </w:tc>
        <w:tc>
          <w:tcPr>
            <w:tcW w:w="11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8.6</w:t>
            </w:r>
          </w:p>
        </w:tc>
        <w:tc>
          <w:tcPr>
            <w:tcW w:w="40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  ®</w:t>
            </w:r>
          </w:p>
        </w:tc>
        <w:tc>
          <w:tcPr>
            <w:tcW w:w="20" w:type="dxa"/>
            <w:vAlign w:val="bottom"/>
            <w:tcBorders>
              <w:top w:val="single" w:sz="8" w:color="CCFFCC"/>
            </w:tcBorders>
            <w:shd w:val="clear" w:color="auto" w:fill="CCFFCC"/>
          </w:tcPr>
          <w:p>
            <w:pPr>
              <w:spacing w:after="0"/>
              <w:rPr>
                <w:sz w:val="12"/>
                <w:szCs w:val="12"/>
                <w:color w:val="auto"/>
              </w:rPr>
            </w:pPr>
          </w:p>
        </w:tc>
        <w:tc>
          <w:tcPr>
            <w:tcW w:w="10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-0.9</w:t>
            </w:r>
          </w:p>
        </w:tc>
        <w:tc>
          <w:tcPr>
            <w:tcW w:w="38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 +</w:t>
            </w:r>
          </w:p>
        </w:tc>
        <w:tc>
          <w:tcPr>
            <w:tcW w:w="40" w:type="dxa"/>
            <w:vAlign w:val="bottom"/>
            <w:tcBorders>
              <w:top w:val="single" w:sz="8" w:color="CCFFCC"/>
            </w:tcBorders>
            <w:shd w:val="clear" w:color="auto" w:fill="CCFFCC"/>
          </w:tcPr>
          <w:p>
            <w:pPr>
              <w:spacing w:after="0"/>
              <w:rPr>
                <w:sz w:val="12"/>
                <w:szCs w:val="12"/>
                <w:color w:val="auto"/>
              </w:rPr>
            </w:pPr>
          </w:p>
        </w:tc>
        <w:tc>
          <w:tcPr>
            <w:tcW w:w="1060" w:type="dxa"/>
            <w:vAlign w:val="bottom"/>
            <w:tcBorders>
              <w:top w:val="single" w:sz="8" w:color="auto"/>
              <w:bottom w:val="single" w:sz="8" w:color="auto"/>
            </w:tcBorders>
            <w:shd w:val="clear" w:color="auto" w:fill="CCFFCC"/>
          </w:tcPr>
          <w:p>
            <w:pPr>
              <w:ind w:left="800"/>
              <w:spacing w:after="0" w:line="142" w:lineRule="exact"/>
              <w:rPr>
                <w:sz w:val="20"/>
                <w:szCs w:val="20"/>
                <w:color w:val="auto"/>
              </w:rPr>
            </w:pPr>
            <w:r>
              <w:rPr>
                <w:rFonts w:ascii="Arial" w:cs="Arial" w:eastAsia="Arial" w:hAnsi="Arial"/>
                <w:sz w:val="14"/>
                <w:szCs w:val="14"/>
                <w:b w:val="1"/>
                <w:bCs w:val="1"/>
                <w:color w:val="auto"/>
                <w:w w:val="87"/>
              </w:rPr>
              <w:t>52.7</w:t>
            </w:r>
          </w:p>
        </w:tc>
        <w:tc>
          <w:tcPr>
            <w:tcW w:w="400" w:type="dxa"/>
            <w:vAlign w:val="bottom"/>
            <w:tcBorders>
              <w:top w:val="single" w:sz="8" w:color="CCFFCC"/>
            </w:tcBorders>
            <w:shd w:val="clear" w:color="auto" w:fill="CCFFCC"/>
          </w:tcPr>
          <w:p>
            <w:pPr>
              <w:jc w:val="right"/>
              <w:ind w:right="8"/>
              <w:spacing w:after="0" w:line="142" w:lineRule="exact"/>
              <w:rPr>
                <w:sz w:val="20"/>
                <w:szCs w:val="20"/>
                <w:color w:val="auto"/>
              </w:rPr>
            </w:pPr>
            <w:r>
              <w:rPr>
                <w:rFonts w:ascii="Arial" w:cs="Arial" w:eastAsia="Arial" w:hAnsi="Arial"/>
                <w:sz w:val="14"/>
                <w:szCs w:val="14"/>
                <w:b w:val="1"/>
                <w:bCs w:val="1"/>
                <w:color w:val="auto"/>
              </w:rPr>
              <w:t>% =</w:t>
            </w:r>
          </w:p>
        </w:tc>
        <w:tc>
          <w:tcPr>
            <w:tcW w:w="1080" w:type="dxa"/>
            <w:vAlign w:val="bottom"/>
            <w:tcBorders>
              <w:top w:val="single" w:sz="8" w:color="auto"/>
              <w:bottom w:val="single" w:sz="8" w:color="auto"/>
            </w:tcBorders>
            <w:shd w:val="clear" w:color="auto" w:fill="CCFFCC"/>
          </w:tcPr>
          <w:p>
            <w:pPr>
              <w:ind w:left="820"/>
              <w:spacing w:after="0" w:line="142" w:lineRule="exact"/>
              <w:rPr>
                <w:sz w:val="20"/>
                <w:szCs w:val="20"/>
                <w:color w:val="auto"/>
              </w:rPr>
            </w:pPr>
            <w:r>
              <w:rPr>
                <w:rFonts w:ascii="Arial" w:cs="Arial" w:eastAsia="Arial" w:hAnsi="Arial"/>
                <w:sz w:val="14"/>
                <w:szCs w:val="14"/>
                <w:b w:val="1"/>
                <w:bCs w:val="1"/>
                <w:color w:val="auto"/>
                <w:w w:val="87"/>
              </w:rPr>
              <w:t>15.9</w:t>
            </w:r>
          </w:p>
        </w:tc>
        <w:tc>
          <w:tcPr>
            <w:tcW w:w="240" w:type="dxa"/>
            <w:vAlign w:val="bottom"/>
            <w:tcBorders>
              <w:top w:val="single" w:sz="8" w:color="CCFFCC"/>
            </w:tcBorders>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16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20.1</w:t>
            </w:r>
          </w:p>
        </w:tc>
        <w:tc>
          <w:tcPr>
            <w:tcW w:w="14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71"/>
        </w:trPr>
        <w:tc>
          <w:tcPr>
            <w:tcW w:w="3820" w:type="dxa"/>
            <w:vAlign w:val="bottom"/>
            <w:gridSpan w:val="2"/>
          </w:tcPr>
          <w:p>
            <w:pPr>
              <w:spacing w:after="0"/>
              <w:rPr>
                <w:sz w:val="20"/>
                <w:szCs w:val="20"/>
                <w:color w:val="auto"/>
              </w:rPr>
            </w:pPr>
            <w:r>
              <w:rPr>
                <w:rFonts w:ascii="Arial" w:cs="Arial" w:eastAsia="Arial" w:hAnsi="Arial"/>
                <w:sz w:val="14"/>
                <w:szCs w:val="14"/>
                <w:b w:val="1"/>
                <w:bCs w:val="1"/>
                <w:color w:val="auto"/>
              </w:rPr>
              <w:t>Reported Net interest income</w:t>
            </w: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ind w:left="820"/>
              <w:spacing w:after="0"/>
              <w:rPr>
                <w:sz w:val="20"/>
                <w:szCs w:val="20"/>
                <w:color w:val="auto"/>
              </w:rPr>
            </w:pPr>
            <w:r>
              <w:rPr>
                <w:rFonts w:ascii="Arial" w:cs="Arial" w:eastAsia="Arial" w:hAnsi="Arial"/>
                <w:sz w:val="14"/>
                <w:szCs w:val="14"/>
                <w:b w:val="1"/>
                <w:bCs w:val="1"/>
                <w:color w:val="auto"/>
                <w:w w:val="87"/>
              </w:rPr>
              <w:t>13.1</w:t>
            </w:r>
          </w:p>
        </w:tc>
        <w:tc>
          <w:tcPr>
            <w:tcW w:w="240" w:type="dxa"/>
            <w:vAlign w:val="bottom"/>
          </w:tcPr>
          <w:p>
            <w:pPr>
              <w:jc w:val="right"/>
              <w:ind w:right="28"/>
              <w:spacing w:after="0"/>
              <w:rPr>
                <w:sz w:val="20"/>
                <w:szCs w:val="20"/>
                <w:color w:val="auto"/>
              </w:rPr>
            </w:pPr>
            <w:r>
              <w:rPr>
                <w:rFonts w:ascii="Arial" w:cs="Arial" w:eastAsia="Arial" w:hAnsi="Arial"/>
                <w:sz w:val="14"/>
                <w:szCs w:val="14"/>
                <w:b w:val="1"/>
                <w:bCs w:val="1"/>
                <w:color w:val="auto"/>
                <w:w w:val="96"/>
              </w:rPr>
              <w:t>%</w:t>
            </w: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5262245</wp:posOffset>
            </wp:positionH>
            <wp:positionV relativeFrom="paragraph">
              <wp:posOffset>-8890</wp:posOffset>
            </wp:positionV>
            <wp:extent cx="6775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 Converted at USDollars at Q-end exchange rate.</w:t>
      </w:r>
    </w:p>
    <w:p>
      <w:pPr>
        <w:spacing w:after="0" w:line="7"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Interest income reported - Other income. Other income includes the gain on valuation of derivatives generated by the devaluation of the Nuevo Sol.</w:t>
      </w:r>
    </w:p>
    <w:p>
      <w:pPr>
        <w:spacing w:after="0" w:line="20" w:lineRule="exact"/>
        <w:rPr>
          <w:rFonts w:ascii="Arial" w:cs="Arial" w:eastAsia="Arial" w:hAnsi="Arial"/>
          <w:sz w:val="17"/>
          <w:szCs w:val="17"/>
          <w:i w:val="1"/>
          <w:iCs w:val="1"/>
          <w:color w:val="auto"/>
        </w:rPr>
      </w:pPr>
    </w:p>
    <w:p>
      <w:pPr>
        <w:ind w:right="120" w:firstLine="8"/>
        <w:spacing w:after="0" w:line="250" w:lineRule="auto"/>
        <w:tabs>
          <w:tab w:leader="none" w:pos="255"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Interest expenses reported - Other expenses. Other expenses includes the loss in valuation of derivatives linked to the loss in structural forward contracts for US$ 32.9 million in 2Q13 and US$ 11.7 million in 1Q13.</w:t>
      </w:r>
    </w:p>
    <w:p>
      <w:pPr>
        <w:ind w:left="260" w:hanging="252"/>
        <w:spacing w:after="0"/>
        <w:tabs>
          <w:tab w:leader="none" w:pos="2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74.0% of adjusted Net interest income is generated in local currency.</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Calculated by adding up the weighted % change of each currency.</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adjusted NII in LC, which represents 74% of the total, grew 8.6% with regard to 2012’s while the adjusted NII in FC reported a significant increase of 52.7%. All of this was the result of the excellent evolution of the loan portfolio, which when measured in average daily balances, reflects growth of 32.7% in LC and 3.1% in FC.</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5" w:name="page16"/>
    <w:bookmarkEnd w:id="15"/>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line="277" w:lineRule="auto"/>
        <w:rPr>
          <w:sz w:val="20"/>
          <w:szCs w:val="20"/>
          <w:color w:val="auto"/>
        </w:rPr>
      </w:pPr>
      <w:r>
        <w:rPr>
          <w:rFonts w:ascii="Arial" w:cs="Arial" w:eastAsia="Arial" w:hAnsi="Arial"/>
          <w:sz w:val="18"/>
          <w:szCs w:val="18"/>
          <w:color w:val="auto"/>
        </w:rPr>
        <w:t>As such NII, if we isolate the distortion generated by devaluation, reported an increase of approximately 20.1% in comparison with 2012’s figure following real portfolio growth of approximately 17.3%.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328"/>
              <w:spacing w:after="0"/>
              <w:rPr>
                <w:sz w:val="20"/>
                <w:szCs w:val="20"/>
                <w:color w:val="auto"/>
              </w:rPr>
            </w:pPr>
            <w:r>
              <w:rPr>
                <w:rFonts w:ascii="Arial" w:cs="Arial" w:eastAsia="Arial" w:hAnsi="Arial"/>
                <w:sz w:val="14"/>
                <w:szCs w:val="14"/>
                <w:b w:val="1"/>
                <w:bCs w:val="1"/>
                <w:color w:val="auto"/>
                <w:w w:val="99"/>
              </w:rPr>
              <w:t>% Change LC</w:t>
            </w:r>
          </w:p>
        </w:tc>
        <w:tc>
          <w:tcPr>
            <w:tcW w:w="20" w:type="dxa"/>
            <w:vAlign w:val="bottom"/>
          </w:tcPr>
          <w:p>
            <w:pPr>
              <w:spacing w:after="0"/>
              <w:rPr>
                <w:sz w:val="14"/>
                <w:szCs w:val="14"/>
                <w:color w:val="auto"/>
              </w:rPr>
            </w:pPr>
          </w:p>
        </w:tc>
        <w:tc>
          <w:tcPr>
            <w:tcW w:w="1440" w:type="dxa"/>
            <w:vAlign w:val="bottom"/>
            <w:gridSpan w:val="2"/>
          </w:tcPr>
          <w:p>
            <w:pPr>
              <w:jc w:val="center"/>
              <w:ind w:right="288"/>
              <w:spacing w:after="0"/>
              <w:rPr>
                <w:sz w:val="20"/>
                <w:szCs w:val="20"/>
                <w:color w:val="auto"/>
              </w:rPr>
            </w:pPr>
            <w:r>
              <w:rPr>
                <w:rFonts w:ascii="Arial" w:cs="Arial" w:eastAsia="Arial" w:hAnsi="Arial"/>
                <w:sz w:val="14"/>
                <w:szCs w:val="14"/>
                <w:b w:val="1"/>
                <w:bCs w:val="1"/>
                <w:color w:val="auto"/>
              </w:rPr>
              <w:t>% Change LC *</w:t>
            </w:r>
          </w:p>
        </w:tc>
        <w:tc>
          <w:tcPr>
            <w:tcW w:w="40" w:type="dxa"/>
            <w:vAlign w:val="bottom"/>
          </w:tcPr>
          <w:p>
            <w:pPr>
              <w:spacing w:after="0"/>
              <w:rPr>
                <w:sz w:val="14"/>
                <w:szCs w:val="14"/>
                <w:color w:val="auto"/>
              </w:rPr>
            </w:pPr>
          </w:p>
        </w:tc>
        <w:tc>
          <w:tcPr>
            <w:tcW w:w="1460" w:type="dxa"/>
            <w:vAlign w:val="bottom"/>
            <w:gridSpan w:val="2"/>
          </w:tcPr>
          <w:p>
            <w:pPr>
              <w:jc w:val="center"/>
              <w:ind w:right="348"/>
              <w:spacing w:after="0"/>
              <w:rPr>
                <w:sz w:val="20"/>
                <w:szCs w:val="20"/>
                <w:color w:val="auto"/>
              </w:rPr>
            </w:pPr>
            <w:r>
              <w:rPr>
                <w:rFonts w:ascii="Arial" w:cs="Arial" w:eastAsia="Arial" w:hAnsi="Arial"/>
                <w:sz w:val="14"/>
                <w:szCs w:val="14"/>
                <w:b w:val="1"/>
                <w:bCs w:val="1"/>
                <w:color w:val="auto"/>
                <w:w w:val="97"/>
              </w:rPr>
              <w:t>% Change FC</w:t>
            </w:r>
          </w:p>
        </w:tc>
        <w:tc>
          <w:tcPr>
            <w:tcW w:w="132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95"/>
              </w:rPr>
              <w:t>% Total Change</w:t>
            </w:r>
          </w:p>
        </w:tc>
        <w:tc>
          <w:tcPr>
            <w:tcW w:w="182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w w:val="94"/>
              </w:rPr>
              <w:t>Combined % Total Change</w:t>
            </w:r>
          </w:p>
        </w:tc>
        <w:tc>
          <w:tcPr>
            <w:tcW w:w="0" w:type="dxa"/>
            <w:vAlign w:val="bottom"/>
          </w:tcPr>
          <w:p>
            <w:pPr>
              <w:spacing w:after="0"/>
              <w:rPr>
                <w:sz w:val="1"/>
                <w:szCs w:val="1"/>
                <w:color w:val="auto"/>
              </w:rPr>
            </w:pPr>
          </w:p>
        </w:tc>
      </w:tr>
      <w:tr>
        <w:trPr>
          <w:trHeight w:val="149"/>
        </w:trPr>
        <w:tc>
          <w:tcPr>
            <w:tcW w:w="3720" w:type="dxa"/>
            <w:vAlign w:val="bottom"/>
            <w:vMerge w:val="restart"/>
          </w:tcPr>
          <w:p>
            <w:pPr>
              <w:spacing w:after="0"/>
              <w:rPr>
                <w:sz w:val="20"/>
                <w:szCs w:val="20"/>
                <w:color w:val="auto"/>
              </w:rPr>
            </w:pPr>
            <w:r>
              <w:rPr>
                <w:rFonts w:ascii="Arial" w:cs="Arial" w:eastAsia="Arial" w:hAnsi="Arial"/>
                <w:sz w:val="14"/>
                <w:szCs w:val="14"/>
                <w:b w:val="1"/>
                <w:bCs w:val="1"/>
                <w:color w:val="auto"/>
              </w:rPr>
              <w:t>BCP</w:t>
            </w:r>
          </w:p>
        </w:tc>
        <w:tc>
          <w:tcPr>
            <w:tcW w:w="100" w:type="dxa"/>
            <w:vAlign w:val="bottom"/>
            <w:vMerge w:val="restart"/>
          </w:tcPr>
          <w:p>
            <w:pPr>
              <w:spacing w:after="0"/>
              <w:rPr>
                <w:sz w:val="12"/>
                <w:szCs w:val="12"/>
                <w:color w:val="auto"/>
              </w:rPr>
            </w:pPr>
          </w:p>
        </w:tc>
        <w:tc>
          <w:tcPr>
            <w:tcW w:w="1500" w:type="dxa"/>
            <w:vAlign w:val="bottom"/>
            <w:gridSpan w:val="2"/>
          </w:tcPr>
          <w:p>
            <w:pPr>
              <w:jc w:val="center"/>
              <w:ind w:right="328"/>
              <w:spacing w:after="0" w:line="149" w:lineRule="exact"/>
              <w:rPr>
                <w:sz w:val="20"/>
                <w:szCs w:val="20"/>
                <w:color w:val="auto"/>
              </w:rPr>
            </w:pPr>
            <w:r>
              <w:rPr>
                <w:rFonts w:ascii="Arial" w:cs="Arial" w:eastAsia="Arial" w:hAnsi="Arial"/>
                <w:sz w:val="14"/>
                <w:szCs w:val="14"/>
                <w:b w:val="1"/>
                <w:bCs w:val="1"/>
                <w:color w:val="auto"/>
                <w:w w:val="91"/>
              </w:rPr>
              <w:t>Expressed in PEN</w:t>
            </w:r>
          </w:p>
        </w:tc>
        <w:tc>
          <w:tcPr>
            <w:tcW w:w="1460" w:type="dxa"/>
            <w:vAlign w:val="bottom"/>
            <w:gridSpan w:val="3"/>
          </w:tcPr>
          <w:p>
            <w:pPr>
              <w:jc w:val="center"/>
              <w:ind w:right="268"/>
              <w:spacing w:after="0" w:line="149" w:lineRule="exact"/>
              <w:rPr>
                <w:sz w:val="20"/>
                <w:szCs w:val="20"/>
                <w:color w:val="auto"/>
              </w:rPr>
            </w:pPr>
            <w:r>
              <w:rPr>
                <w:rFonts w:ascii="Arial" w:cs="Arial" w:eastAsia="Arial" w:hAnsi="Arial"/>
                <w:sz w:val="14"/>
                <w:szCs w:val="14"/>
                <w:b w:val="1"/>
                <w:bCs w:val="1"/>
                <w:color w:val="auto"/>
                <w:w w:val="91"/>
              </w:rPr>
              <w:t>Expressed in US$</w:t>
            </w:r>
          </w:p>
        </w:tc>
        <w:tc>
          <w:tcPr>
            <w:tcW w:w="1500" w:type="dxa"/>
            <w:vAlign w:val="bottom"/>
            <w:gridSpan w:val="3"/>
          </w:tcPr>
          <w:p>
            <w:pPr>
              <w:jc w:val="center"/>
              <w:ind w:right="268"/>
              <w:spacing w:after="0" w:line="149" w:lineRule="exact"/>
              <w:rPr>
                <w:sz w:val="20"/>
                <w:szCs w:val="20"/>
                <w:color w:val="auto"/>
              </w:rPr>
            </w:pPr>
            <w:r>
              <w:rPr>
                <w:rFonts w:ascii="Arial" w:cs="Arial" w:eastAsia="Arial" w:hAnsi="Arial"/>
                <w:sz w:val="14"/>
                <w:szCs w:val="14"/>
                <w:b w:val="1"/>
                <w:bCs w:val="1"/>
                <w:color w:val="auto"/>
                <w:w w:val="91"/>
              </w:rPr>
              <w:t>Expressed in US$</w:t>
            </w:r>
          </w:p>
        </w:tc>
        <w:tc>
          <w:tcPr>
            <w:tcW w:w="1320" w:type="dxa"/>
            <w:vAlign w:val="bottom"/>
            <w:gridSpan w:val="2"/>
          </w:tcPr>
          <w:p>
            <w:pPr>
              <w:jc w:val="center"/>
              <w:ind w:right="168"/>
              <w:spacing w:after="0" w:line="149" w:lineRule="exact"/>
              <w:rPr>
                <w:sz w:val="20"/>
                <w:szCs w:val="20"/>
                <w:color w:val="auto"/>
              </w:rPr>
            </w:pPr>
            <w:r>
              <w:rPr>
                <w:rFonts w:ascii="Arial" w:cs="Arial" w:eastAsia="Arial" w:hAnsi="Arial"/>
                <w:sz w:val="14"/>
                <w:szCs w:val="14"/>
                <w:b w:val="1"/>
                <w:bCs w:val="1"/>
                <w:color w:val="auto"/>
                <w:w w:val="91"/>
              </w:rPr>
              <w:t>Expressed in US$</w:t>
            </w:r>
          </w:p>
        </w:tc>
        <w:tc>
          <w:tcPr>
            <w:tcW w:w="1820" w:type="dxa"/>
            <w:vAlign w:val="bottom"/>
            <w:gridSpan w:val="2"/>
          </w:tcPr>
          <w:p>
            <w:pPr>
              <w:jc w:val="center"/>
              <w:ind w:right="108"/>
              <w:spacing w:after="0" w:line="149" w:lineRule="exact"/>
              <w:rPr>
                <w:sz w:val="20"/>
                <w:szCs w:val="20"/>
                <w:color w:val="auto"/>
              </w:rPr>
            </w:pPr>
            <w:r>
              <w:rPr>
                <w:rFonts w:ascii="Arial" w:cs="Arial" w:eastAsia="Arial" w:hAnsi="Arial"/>
                <w:sz w:val="14"/>
                <w:szCs w:val="14"/>
                <w:b w:val="1"/>
                <w:bCs w:val="1"/>
                <w:color w:val="auto"/>
                <w:w w:val="91"/>
              </w:rPr>
              <w:t>Expressed in US$</w:t>
            </w:r>
          </w:p>
        </w:tc>
        <w:tc>
          <w:tcPr>
            <w:tcW w:w="0" w:type="dxa"/>
            <w:vAlign w:val="bottom"/>
          </w:tcPr>
          <w:p>
            <w:pPr>
              <w:spacing w:after="0"/>
              <w:rPr>
                <w:sz w:val="1"/>
                <w:szCs w:val="1"/>
                <w:color w:val="auto"/>
              </w:rPr>
            </w:pPr>
          </w:p>
        </w:tc>
      </w:tr>
      <w:tr>
        <w:trPr>
          <w:trHeight w:val="171"/>
        </w:trPr>
        <w:tc>
          <w:tcPr>
            <w:tcW w:w="3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FFCC"/>
            </w:tcBorders>
            <w:vMerge w:val="continue"/>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2013 vs. 2012</w:t>
            </w:r>
          </w:p>
        </w:tc>
        <w:tc>
          <w:tcPr>
            <w:tcW w:w="400" w:type="dxa"/>
            <w:vAlign w:val="bottom"/>
            <w:tcBorders>
              <w:bottom w:val="single" w:sz="8" w:color="CCFFCC"/>
            </w:tcBorders>
          </w:tcPr>
          <w:p>
            <w:pPr>
              <w:spacing w:after="0"/>
              <w:rPr>
                <w:sz w:val="14"/>
                <w:szCs w:val="14"/>
                <w:color w:val="auto"/>
              </w:rPr>
            </w:pPr>
          </w:p>
        </w:tc>
        <w:tc>
          <w:tcPr>
            <w:tcW w:w="20" w:type="dxa"/>
            <w:vAlign w:val="bottom"/>
            <w:tcBorders>
              <w:bottom w:val="single" w:sz="8" w:color="CCFFC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 vs. 2012</w:t>
            </w:r>
          </w:p>
        </w:tc>
        <w:tc>
          <w:tcPr>
            <w:tcW w:w="380" w:type="dxa"/>
            <w:vAlign w:val="bottom"/>
            <w:tcBorders>
              <w:bottom w:val="single" w:sz="8" w:color="CCFFCC"/>
            </w:tcBorders>
          </w:tcPr>
          <w:p>
            <w:pPr>
              <w:spacing w:after="0"/>
              <w:rPr>
                <w:sz w:val="14"/>
                <w:szCs w:val="14"/>
                <w:color w:val="auto"/>
              </w:rPr>
            </w:pPr>
          </w:p>
        </w:tc>
        <w:tc>
          <w:tcPr>
            <w:tcW w:w="40" w:type="dxa"/>
            <w:vAlign w:val="bottom"/>
            <w:tcBorders>
              <w:bottom w:val="single" w:sz="8" w:color="CCFFC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2013 vs. 2012</w:t>
            </w:r>
          </w:p>
        </w:tc>
        <w:tc>
          <w:tcPr>
            <w:tcW w:w="400" w:type="dxa"/>
            <w:vAlign w:val="bottom"/>
            <w:tcBorders>
              <w:bottom w:val="single" w:sz="8" w:color="CCFFCC"/>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 vs. 2012</w:t>
            </w:r>
          </w:p>
        </w:tc>
        <w:tc>
          <w:tcPr>
            <w:tcW w:w="240" w:type="dxa"/>
            <w:vAlign w:val="bottom"/>
            <w:tcBorders>
              <w:bottom w:val="single" w:sz="8" w:color="CCFFCC"/>
            </w:tcBorders>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2013 vs. 2012 (3)</w:t>
            </w:r>
          </w:p>
        </w:tc>
        <w:tc>
          <w:tcPr>
            <w:tcW w:w="140" w:type="dxa"/>
            <w:vAlign w:val="bottom"/>
            <w:tcBorders>
              <w:bottom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2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Fee income</w:t>
            </w:r>
          </w:p>
        </w:tc>
        <w:tc>
          <w:tcPr>
            <w:tcW w:w="100" w:type="dxa"/>
            <w:vAlign w:val="bottom"/>
            <w:shd w:val="clear" w:color="auto" w:fill="CCFFCC"/>
          </w:tcPr>
          <w:p>
            <w:pPr>
              <w:spacing w:after="0"/>
              <w:rPr>
                <w:sz w:val="12"/>
                <w:szCs w:val="12"/>
                <w:color w:val="auto"/>
              </w:rPr>
            </w:pPr>
          </w:p>
        </w:tc>
        <w:tc>
          <w:tcPr>
            <w:tcW w:w="1500" w:type="dxa"/>
            <w:vAlign w:val="bottom"/>
            <w:gridSpan w:val="2"/>
            <w:shd w:val="clear" w:color="auto" w:fill="CCFFCC"/>
          </w:tcPr>
          <w:p>
            <w:pPr>
              <w:ind w:left="860"/>
              <w:spacing w:after="0" w:line="142" w:lineRule="exact"/>
              <w:rPr>
                <w:sz w:val="20"/>
                <w:szCs w:val="20"/>
                <w:color w:val="auto"/>
              </w:rPr>
            </w:pPr>
            <w:r>
              <w:rPr>
                <w:rFonts w:ascii="Arial" w:cs="Arial" w:eastAsia="Arial" w:hAnsi="Arial"/>
                <w:sz w:val="14"/>
                <w:szCs w:val="14"/>
                <w:color w:val="auto"/>
              </w:rPr>
              <w:t>13.3%</w:t>
            </w:r>
          </w:p>
        </w:tc>
        <w:tc>
          <w:tcPr>
            <w:tcW w:w="20" w:type="dxa"/>
            <w:vAlign w:val="bottom"/>
            <w:shd w:val="clear" w:color="auto" w:fill="CCFFCC"/>
          </w:tcPr>
          <w:p>
            <w:pPr>
              <w:spacing w:after="0"/>
              <w:rPr>
                <w:sz w:val="12"/>
                <w:szCs w:val="12"/>
                <w:color w:val="auto"/>
              </w:rPr>
            </w:pPr>
          </w:p>
        </w:tc>
        <w:tc>
          <w:tcPr>
            <w:tcW w:w="1440" w:type="dxa"/>
            <w:vAlign w:val="bottom"/>
            <w:gridSpan w:val="2"/>
            <w:shd w:val="clear" w:color="auto" w:fill="CCFFCC"/>
          </w:tcPr>
          <w:p>
            <w:pPr>
              <w:ind w:left="880"/>
              <w:spacing w:after="0" w:line="142" w:lineRule="exact"/>
              <w:rPr>
                <w:sz w:val="20"/>
                <w:szCs w:val="20"/>
                <w:color w:val="auto"/>
              </w:rPr>
            </w:pPr>
            <w:r>
              <w:rPr>
                <w:rFonts w:ascii="Arial" w:cs="Arial" w:eastAsia="Arial" w:hAnsi="Arial"/>
                <w:sz w:val="14"/>
                <w:szCs w:val="14"/>
                <w:color w:val="auto"/>
              </w:rPr>
              <w:t>3.3%</w:t>
            </w:r>
          </w:p>
        </w:tc>
        <w:tc>
          <w:tcPr>
            <w:tcW w:w="40" w:type="dxa"/>
            <w:vAlign w:val="bottom"/>
            <w:shd w:val="clear" w:color="auto" w:fill="CCFFCC"/>
          </w:tcPr>
          <w:p>
            <w:pPr>
              <w:spacing w:after="0"/>
              <w:rPr>
                <w:sz w:val="12"/>
                <w:szCs w:val="12"/>
                <w:color w:val="auto"/>
              </w:rPr>
            </w:pPr>
          </w:p>
        </w:tc>
        <w:tc>
          <w:tcPr>
            <w:tcW w:w="1460" w:type="dxa"/>
            <w:vAlign w:val="bottom"/>
            <w:gridSpan w:val="2"/>
            <w:shd w:val="clear" w:color="auto" w:fill="CCFFCC"/>
          </w:tcPr>
          <w:p>
            <w:pPr>
              <w:ind w:left="840"/>
              <w:spacing w:after="0" w:line="142" w:lineRule="exact"/>
              <w:rPr>
                <w:sz w:val="20"/>
                <w:szCs w:val="20"/>
                <w:color w:val="auto"/>
              </w:rPr>
            </w:pPr>
            <w:r>
              <w:rPr>
                <w:rFonts w:ascii="Arial" w:cs="Arial" w:eastAsia="Arial" w:hAnsi="Arial"/>
                <w:sz w:val="14"/>
                <w:szCs w:val="14"/>
                <w:color w:val="auto"/>
              </w:rPr>
              <w:t>-8.1%</w:t>
            </w:r>
          </w:p>
        </w:tc>
        <w:tc>
          <w:tcPr>
            <w:tcW w:w="1320" w:type="dxa"/>
            <w:vAlign w:val="bottom"/>
            <w:gridSpan w:val="2"/>
            <w:shd w:val="clear" w:color="auto" w:fill="CCFFCC"/>
          </w:tcPr>
          <w:p>
            <w:pPr>
              <w:ind w:left="900"/>
              <w:spacing w:after="0" w:line="142" w:lineRule="exact"/>
              <w:rPr>
                <w:sz w:val="20"/>
                <w:szCs w:val="20"/>
                <w:color w:val="auto"/>
              </w:rPr>
            </w:pPr>
            <w:r>
              <w:rPr>
                <w:rFonts w:ascii="Arial" w:cs="Arial" w:eastAsia="Arial" w:hAnsi="Arial"/>
                <w:sz w:val="14"/>
                <w:szCs w:val="14"/>
                <w:color w:val="auto"/>
              </w:rPr>
              <w:t>4.6%</w:t>
            </w:r>
          </w:p>
        </w:tc>
        <w:tc>
          <w:tcPr>
            <w:tcW w:w="16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20" w:type="dxa"/>
            <w:vAlign w:val="bottom"/>
            <w:gridSpan w:val="2"/>
          </w:tcPr>
          <w:p>
            <w:pPr>
              <w:spacing w:after="0"/>
              <w:rPr>
                <w:sz w:val="20"/>
                <w:szCs w:val="20"/>
                <w:color w:val="auto"/>
              </w:rPr>
            </w:pPr>
            <w:r>
              <w:rPr>
                <w:rFonts w:ascii="Arial" w:cs="Arial" w:eastAsia="Arial" w:hAnsi="Arial"/>
                <w:sz w:val="14"/>
                <w:szCs w:val="14"/>
                <w:color w:val="auto"/>
              </w:rPr>
              <w:t>Net gain on foreign exchange transaction</w:t>
            </w:r>
          </w:p>
        </w:tc>
        <w:tc>
          <w:tcPr>
            <w:tcW w:w="1500" w:type="dxa"/>
            <w:vAlign w:val="bottom"/>
            <w:gridSpan w:val="2"/>
          </w:tcPr>
          <w:p>
            <w:pPr>
              <w:ind w:left="860"/>
              <w:spacing w:after="0"/>
              <w:rPr>
                <w:sz w:val="20"/>
                <w:szCs w:val="20"/>
                <w:color w:val="auto"/>
              </w:rPr>
            </w:pPr>
            <w:r>
              <w:rPr>
                <w:rFonts w:ascii="Arial" w:cs="Arial" w:eastAsia="Arial" w:hAnsi="Arial"/>
                <w:sz w:val="14"/>
                <w:szCs w:val="14"/>
                <w:color w:val="auto"/>
              </w:rPr>
              <w:t>16.6%  ®</w:t>
            </w:r>
          </w:p>
        </w:tc>
        <w:tc>
          <w:tcPr>
            <w:tcW w:w="1460" w:type="dxa"/>
            <w:vAlign w:val="bottom"/>
            <w:gridSpan w:val="3"/>
          </w:tcPr>
          <w:p>
            <w:pPr>
              <w:ind w:left="900"/>
              <w:spacing w:after="0"/>
              <w:rPr>
                <w:sz w:val="20"/>
                <w:szCs w:val="20"/>
                <w:color w:val="auto"/>
              </w:rPr>
            </w:pPr>
            <w:r>
              <w:rPr>
                <w:rFonts w:ascii="Arial" w:cs="Arial" w:eastAsia="Arial" w:hAnsi="Arial"/>
                <w:sz w:val="14"/>
                <w:szCs w:val="14"/>
                <w:color w:val="auto"/>
              </w:rPr>
              <w:t>6.3%  +</w:t>
            </w:r>
          </w:p>
        </w:tc>
        <w:tc>
          <w:tcPr>
            <w:tcW w:w="1500" w:type="dxa"/>
            <w:vAlign w:val="bottom"/>
            <w:gridSpan w:val="3"/>
          </w:tcPr>
          <w:p>
            <w:pPr>
              <w:ind w:left="880"/>
              <w:spacing w:after="0"/>
              <w:rPr>
                <w:sz w:val="20"/>
                <w:szCs w:val="20"/>
                <w:color w:val="auto"/>
              </w:rPr>
            </w:pPr>
            <w:r>
              <w:rPr>
                <w:rFonts w:ascii="Arial" w:cs="Arial" w:eastAsia="Arial" w:hAnsi="Arial"/>
                <w:sz w:val="14"/>
                <w:szCs w:val="14"/>
                <w:color w:val="auto"/>
              </w:rPr>
              <w:t>-9.8%  =</w:t>
            </w:r>
          </w:p>
        </w:tc>
        <w:tc>
          <w:tcPr>
            <w:tcW w:w="1320" w:type="dxa"/>
            <w:vAlign w:val="bottom"/>
            <w:gridSpan w:val="2"/>
          </w:tcPr>
          <w:p>
            <w:pPr>
              <w:ind w:left="900"/>
              <w:spacing w:after="0"/>
              <w:rPr>
                <w:sz w:val="20"/>
                <w:szCs w:val="20"/>
                <w:color w:val="auto"/>
              </w:rPr>
            </w:pPr>
            <w:r>
              <w:rPr>
                <w:rFonts w:ascii="Arial" w:cs="Arial" w:eastAsia="Arial" w:hAnsi="Arial"/>
                <w:sz w:val="14"/>
                <w:szCs w:val="14"/>
                <w:color w:val="auto"/>
              </w:rPr>
              <w:t>9.6%</w:t>
            </w: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20" w:type="dxa"/>
            <w:vAlign w:val="bottom"/>
            <w:tcBorders>
              <w:top w:val="single" w:sz="8" w:color="CCFFCC"/>
            </w:tcBorders>
            <w:gridSpan w:val="2"/>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Adjusted non financial income (1)(2)</w:t>
            </w:r>
          </w:p>
        </w:tc>
        <w:tc>
          <w:tcPr>
            <w:tcW w:w="1100" w:type="dxa"/>
            <w:vAlign w:val="bottom"/>
            <w:tcBorders>
              <w:top w:val="single" w:sz="8" w:color="auto"/>
              <w:bottom w:val="single" w:sz="8" w:color="auto"/>
            </w:tcBorders>
            <w:shd w:val="clear" w:color="auto" w:fill="CCFFCC"/>
          </w:tcPr>
          <w:p>
            <w:pPr>
              <w:ind w:left="860"/>
              <w:spacing w:after="0" w:line="142" w:lineRule="exact"/>
              <w:rPr>
                <w:sz w:val="20"/>
                <w:szCs w:val="20"/>
                <w:color w:val="auto"/>
              </w:rPr>
            </w:pPr>
            <w:r>
              <w:rPr>
                <w:rFonts w:ascii="Arial" w:cs="Arial" w:eastAsia="Arial" w:hAnsi="Arial"/>
                <w:sz w:val="14"/>
                <w:szCs w:val="14"/>
                <w:b w:val="1"/>
                <w:bCs w:val="1"/>
                <w:color w:val="auto"/>
                <w:w w:val="80"/>
              </w:rPr>
              <w:t>14.1</w:t>
            </w:r>
          </w:p>
        </w:tc>
        <w:tc>
          <w:tcPr>
            <w:tcW w:w="400" w:type="dxa"/>
            <w:vAlign w:val="bottom"/>
            <w:tcBorders>
              <w:top w:val="single" w:sz="8" w:color="CCFFCC"/>
            </w:tcBorders>
            <w:shd w:val="clear" w:color="auto" w:fill="CCFFCC"/>
          </w:tcPr>
          <w:p>
            <w:pPr>
              <w:jc w:val="right"/>
              <w:ind w:right="188"/>
              <w:spacing w:after="0" w:line="142" w:lineRule="exact"/>
              <w:rPr>
                <w:sz w:val="20"/>
                <w:szCs w:val="20"/>
                <w:color w:val="auto"/>
              </w:rPr>
            </w:pPr>
            <w:r>
              <w:rPr>
                <w:rFonts w:ascii="Arial" w:cs="Arial" w:eastAsia="Arial" w:hAnsi="Arial"/>
                <w:sz w:val="14"/>
                <w:szCs w:val="14"/>
                <w:b w:val="1"/>
                <w:bCs w:val="1"/>
                <w:color w:val="auto"/>
                <w:w w:val="96"/>
              </w:rPr>
              <w:t>%</w:t>
            </w:r>
          </w:p>
        </w:tc>
        <w:tc>
          <w:tcPr>
            <w:tcW w:w="20" w:type="dxa"/>
            <w:vAlign w:val="bottom"/>
            <w:tcBorders>
              <w:top w:val="single" w:sz="8" w:color="CCFFCC"/>
            </w:tcBorders>
            <w:shd w:val="clear" w:color="auto" w:fill="CCFFCC"/>
          </w:tcPr>
          <w:p>
            <w:pPr>
              <w:spacing w:after="0"/>
              <w:rPr>
                <w:sz w:val="12"/>
                <w:szCs w:val="12"/>
                <w:color w:val="auto"/>
              </w:rPr>
            </w:pPr>
          </w:p>
        </w:tc>
        <w:tc>
          <w:tcPr>
            <w:tcW w:w="1060" w:type="dxa"/>
            <w:vAlign w:val="bottom"/>
            <w:tcBorders>
              <w:top w:val="single" w:sz="8" w:color="auto"/>
              <w:bottom w:val="single" w:sz="8" w:color="auto"/>
            </w:tcBorders>
            <w:shd w:val="clear" w:color="auto" w:fill="CCFFCC"/>
          </w:tcPr>
          <w:p>
            <w:pPr>
              <w:ind w:left="880"/>
              <w:spacing w:after="0" w:line="142" w:lineRule="exact"/>
              <w:rPr>
                <w:sz w:val="20"/>
                <w:szCs w:val="20"/>
                <w:color w:val="auto"/>
              </w:rPr>
            </w:pPr>
            <w:r>
              <w:rPr>
                <w:rFonts w:ascii="Arial" w:cs="Arial" w:eastAsia="Arial" w:hAnsi="Arial"/>
                <w:sz w:val="14"/>
                <w:szCs w:val="14"/>
                <w:b w:val="1"/>
                <w:bCs w:val="1"/>
                <w:color w:val="auto"/>
                <w:w w:val="81"/>
              </w:rPr>
              <w:t>4.1</w:t>
            </w:r>
          </w:p>
        </w:tc>
        <w:tc>
          <w:tcPr>
            <w:tcW w:w="380" w:type="dxa"/>
            <w:vAlign w:val="bottom"/>
            <w:tcBorders>
              <w:top w:val="single" w:sz="8" w:color="CCFFCC"/>
            </w:tcBorders>
            <w:shd w:val="clear" w:color="auto" w:fill="CCFFCC"/>
          </w:tcPr>
          <w:p>
            <w:pPr>
              <w:jc w:val="right"/>
              <w:ind w:right="148"/>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CCFFCC"/>
            </w:tcBorders>
            <w:shd w:val="clear" w:color="auto" w:fill="CCFFCC"/>
          </w:tcPr>
          <w:p>
            <w:pPr>
              <w:spacing w:after="0"/>
              <w:rPr>
                <w:sz w:val="12"/>
                <w:szCs w:val="12"/>
                <w:color w:val="auto"/>
              </w:rPr>
            </w:pPr>
          </w:p>
        </w:tc>
        <w:tc>
          <w:tcPr>
            <w:tcW w:w="1060" w:type="dxa"/>
            <w:vAlign w:val="bottom"/>
            <w:tcBorders>
              <w:top w:val="single" w:sz="8" w:color="auto"/>
              <w:bottom w:val="single" w:sz="8" w:color="auto"/>
            </w:tcBorders>
            <w:shd w:val="clear" w:color="auto" w:fill="CCFFCC"/>
          </w:tcPr>
          <w:p>
            <w:pPr>
              <w:ind w:left="840"/>
              <w:spacing w:after="0" w:line="142" w:lineRule="exact"/>
              <w:rPr>
                <w:sz w:val="20"/>
                <w:szCs w:val="20"/>
                <w:color w:val="auto"/>
              </w:rPr>
            </w:pPr>
            <w:r>
              <w:rPr>
                <w:rFonts w:ascii="Arial" w:cs="Arial" w:eastAsia="Arial" w:hAnsi="Arial"/>
                <w:sz w:val="14"/>
                <w:szCs w:val="14"/>
                <w:b w:val="1"/>
                <w:bCs w:val="1"/>
                <w:color w:val="auto"/>
                <w:w w:val="82"/>
              </w:rPr>
              <w:t>-8.3</w:t>
            </w:r>
          </w:p>
        </w:tc>
        <w:tc>
          <w:tcPr>
            <w:tcW w:w="400" w:type="dxa"/>
            <w:vAlign w:val="bottom"/>
            <w:tcBorders>
              <w:top w:val="single" w:sz="8" w:color="CCFFCC"/>
            </w:tcBorders>
            <w:shd w:val="clear" w:color="auto" w:fill="CCFFCC"/>
          </w:tcPr>
          <w:p>
            <w:pPr>
              <w:jc w:val="right"/>
              <w:ind w:right="188"/>
              <w:spacing w:after="0" w:line="142" w:lineRule="exact"/>
              <w:rPr>
                <w:sz w:val="20"/>
                <w:szCs w:val="20"/>
                <w:color w:val="auto"/>
              </w:rPr>
            </w:pPr>
            <w:r>
              <w:rPr>
                <w:rFonts w:ascii="Arial" w:cs="Arial" w:eastAsia="Arial" w:hAnsi="Arial"/>
                <w:sz w:val="14"/>
                <w:szCs w:val="14"/>
                <w:b w:val="1"/>
                <w:bCs w:val="1"/>
                <w:color w:val="auto"/>
                <w:w w:val="96"/>
              </w:rPr>
              <w:t>%</w:t>
            </w:r>
          </w:p>
        </w:tc>
        <w:tc>
          <w:tcPr>
            <w:tcW w:w="1080" w:type="dxa"/>
            <w:vAlign w:val="bottom"/>
            <w:tcBorders>
              <w:top w:val="single" w:sz="8" w:color="auto"/>
              <w:bottom w:val="single" w:sz="8" w:color="auto"/>
            </w:tcBorders>
            <w:shd w:val="clear" w:color="auto" w:fill="CCFFCC"/>
          </w:tcPr>
          <w:p>
            <w:pPr>
              <w:ind w:left="900"/>
              <w:spacing w:after="0" w:line="142" w:lineRule="exact"/>
              <w:rPr>
                <w:sz w:val="20"/>
                <w:szCs w:val="20"/>
                <w:color w:val="auto"/>
              </w:rPr>
            </w:pPr>
            <w:r>
              <w:rPr>
                <w:rFonts w:ascii="Arial" w:cs="Arial" w:eastAsia="Arial" w:hAnsi="Arial"/>
                <w:sz w:val="14"/>
                <w:szCs w:val="14"/>
                <w:b w:val="1"/>
                <w:bCs w:val="1"/>
                <w:color w:val="auto"/>
                <w:w w:val="81"/>
              </w:rPr>
              <w:t>5.7</w:t>
            </w:r>
          </w:p>
        </w:tc>
        <w:tc>
          <w:tcPr>
            <w:tcW w:w="240" w:type="dxa"/>
            <w:vAlign w:val="bottom"/>
            <w:tcBorders>
              <w:top w:val="single" w:sz="8" w:color="CCFFCC"/>
            </w:tcBorders>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16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8.6</w:t>
            </w:r>
          </w:p>
        </w:tc>
        <w:tc>
          <w:tcPr>
            <w:tcW w:w="14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 Converted at USDollars at Q-end exchange rate.</w:t>
      </w:r>
    </w:p>
    <w:p>
      <w:pPr>
        <w:spacing w:after="0" w:line="9"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Excludes Net gain on sales of securities and other income.</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75.1% of Total non financial income is generated in local currency.</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Calculated by adding up the weighted % change of each currency.</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Fee income and gains on foreign exchange transactions, which compose BCP’s core income along with NII, posted excellent growth of 13.3% and 16.6%, respectively, in the component denominated in LC. The component denominated in FC for both items fell -8.1% and -9.8% in 2013, respectively, given that business growth in loans and transactions was seen primarily in LC.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stupendous evolution of BCP’s income allowed it to easily absorb operating expenses and total provisions for loan losses.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provisions for loan losses increased +20%, which was primarily due to problems that have been identified in the SME segment and, to a lesser degree, due to the increase seen at year-end in the PDL ratio of the Credit Card segment. The latter was due to a regulatory change in the way the minimum payment is calculated. We expect that clients will need a few months more to adjust to the new level of debt service.</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terms of operating expenses, although the LC component was positively affected by devaluation when expressed in US Dollars, growth, if we consider the currency of origin, was significantly lower (+7%) than that reported in previous years due to the Bank’s efforts in the second half of the year to control spending and achieve more operating efficiency. Growth in expenses denominated in FC (+24.9%) incorporates the effect of non-recurring expense. As such, operating expenses grew 12.3% if we consider the impact of devaluation but the rate falls to 11% if we exclude non-recurring expenses.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w w:val="97"/>
              </w:rPr>
              <w:t>% Change LC</w:t>
            </w:r>
          </w:p>
        </w:tc>
        <w:tc>
          <w:tcPr>
            <w:tcW w:w="40" w:type="dxa"/>
            <w:vAlign w:val="bottom"/>
          </w:tcPr>
          <w:p>
            <w:pPr>
              <w:spacing w:after="0"/>
              <w:rPr>
                <w:sz w:val="14"/>
                <w:szCs w:val="14"/>
                <w:color w:val="auto"/>
              </w:rPr>
            </w:pPr>
          </w:p>
        </w:tc>
        <w:tc>
          <w:tcPr>
            <w:tcW w:w="1400" w:type="dxa"/>
            <w:vAlign w:val="bottom"/>
            <w:gridSpan w:val="2"/>
          </w:tcPr>
          <w:p>
            <w:pPr>
              <w:jc w:val="center"/>
              <w:ind w:right="248"/>
              <w:spacing w:after="0"/>
              <w:rPr>
                <w:sz w:val="20"/>
                <w:szCs w:val="20"/>
                <w:color w:val="auto"/>
              </w:rPr>
            </w:pPr>
            <w:r>
              <w:rPr>
                <w:rFonts w:ascii="Arial" w:cs="Arial" w:eastAsia="Arial" w:hAnsi="Arial"/>
                <w:sz w:val="14"/>
                <w:szCs w:val="14"/>
                <w:b w:val="1"/>
                <w:bCs w:val="1"/>
                <w:color w:val="auto"/>
              </w:rPr>
              <w:t>% Change LC *</w:t>
            </w:r>
          </w:p>
        </w:tc>
        <w:tc>
          <w:tcPr>
            <w:tcW w:w="40" w:type="dxa"/>
            <w:vAlign w:val="bottom"/>
          </w:tcPr>
          <w:p>
            <w:pPr>
              <w:spacing w:after="0"/>
              <w:rPr>
                <w:sz w:val="14"/>
                <w:szCs w:val="14"/>
                <w:color w:val="auto"/>
              </w:rPr>
            </w:pPr>
          </w:p>
        </w:tc>
        <w:tc>
          <w:tcPr>
            <w:tcW w:w="146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w w:val="97"/>
              </w:rPr>
              <w:t>% Change FC</w:t>
            </w:r>
          </w:p>
        </w:tc>
        <w:tc>
          <w:tcPr>
            <w:tcW w:w="128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w w:val="95"/>
              </w:rPr>
              <w:t>% Total Change</w:t>
            </w:r>
          </w:p>
        </w:tc>
        <w:tc>
          <w:tcPr>
            <w:tcW w:w="182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w w:val="94"/>
              </w:rPr>
              <w:t>Combined % Total Change</w:t>
            </w:r>
          </w:p>
        </w:tc>
        <w:tc>
          <w:tcPr>
            <w:tcW w:w="0" w:type="dxa"/>
            <w:vAlign w:val="bottom"/>
          </w:tcPr>
          <w:p>
            <w:pPr>
              <w:spacing w:after="0"/>
              <w:rPr>
                <w:sz w:val="1"/>
                <w:szCs w:val="1"/>
                <w:color w:val="auto"/>
              </w:rPr>
            </w:pPr>
          </w:p>
        </w:tc>
      </w:tr>
      <w:tr>
        <w:trPr>
          <w:trHeight w:val="149"/>
        </w:trPr>
        <w:tc>
          <w:tcPr>
            <w:tcW w:w="3820" w:type="dxa"/>
            <w:vAlign w:val="bottom"/>
            <w:vMerge w:val="restart"/>
          </w:tcPr>
          <w:p>
            <w:pPr>
              <w:spacing w:after="0"/>
              <w:rPr>
                <w:sz w:val="20"/>
                <w:szCs w:val="20"/>
                <w:color w:val="auto"/>
              </w:rPr>
            </w:pPr>
            <w:r>
              <w:rPr>
                <w:rFonts w:ascii="Arial" w:cs="Arial" w:eastAsia="Arial" w:hAnsi="Arial"/>
                <w:sz w:val="14"/>
                <w:szCs w:val="14"/>
                <w:b w:val="1"/>
                <w:bCs w:val="1"/>
                <w:color w:val="auto"/>
              </w:rPr>
              <w:t>BCP</w:t>
            </w:r>
          </w:p>
        </w:tc>
        <w:tc>
          <w:tcPr>
            <w:tcW w:w="1560" w:type="dxa"/>
            <w:vAlign w:val="bottom"/>
            <w:gridSpan w:val="3"/>
          </w:tcPr>
          <w:p>
            <w:pPr>
              <w:jc w:val="center"/>
              <w:ind w:right="188"/>
              <w:spacing w:after="0" w:line="149" w:lineRule="exact"/>
              <w:rPr>
                <w:sz w:val="20"/>
                <w:szCs w:val="20"/>
                <w:color w:val="auto"/>
              </w:rPr>
            </w:pPr>
            <w:r>
              <w:rPr>
                <w:rFonts w:ascii="Arial" w:cs="Arial" w:eastAsia="Arial" w:hAnsi="Arial"/>
                <w:sz w:val="14"/>
                <w:szCs w:val="14"/>
                <w:b w:val="1"/>
                <w:bCs w:val="1"/>
                <w:color w:val="auto"/>
                <w:w w:val="91"/>
              </w:rPr>
              <w:t>Expressed in PEN</w:t>
            </w:r>
          </w:p>
        </w:tc>
        <w:tc>
          <w:tcPr>
            <w:tcW w:w="1440" w:type="dxa"/>
            <w:vAlign w:val="bottom"/>
            <w:gridSpan w:val="3"/>
          </w:tcPr>
          <w:p>
            <w:pPr>
              <w:jc w:val="center"/>
              <w:ind w:right="208"/>
              <w:spacing w:after="0" w:line="149" w:lineRule="exact"/>
              <w:rPr>
                <w:sz w:val="20"/>
                <w:szCs w:val="20"/>
                <w:color w:val="auto"/>
              </w:rPr>
            </w:pPr>
            <w:r>
              <w:rPr>
                <w:rFonts w:ascii="Arial" w:cs="Arial" w:eastAsia="Arial" w:hAnsi="Arial"/>
                <w:sz w:val="14"/>
                <w:szCs w:val="14"/>
                <w:b w:val="1"/>
                <w:bCs w:val="1"/>
                <w:color w:val="auto"/>
                <w:w w:val="91"/>
              </w:rPr>
              <w:t>Expressed in US$</w:t>
            </w:r>
          </w:p>
        </w:tc>
        <w:tc>
          <w:tcPr>
            <w:tcW w:w="1500" w:type="dxa"/>
            <w:vAlign w:val="bottom"/>
            <w:gridSpan w:val="3"/>
          </w:tcPr>
          <w:p>
            <w:pPr>
              <w:jc w:val="center"/>
              <w:ind w:right="268"/>
              <w:spacing w:after="0" w:line="149" w:lineRule="exact"/>
              <w:rPr>
                <w:sz w:val="20"/>
                <w:szCs w:val="20"/>
                <w:color w:val="auto"/>
              </w:rPr>
            </w:pPr>
            <w:r>
              <w:rPr>
                <w:rFonts w:ascii="Arial" w:cs="Arial" w:eastAsia="Arial" w:hAnsi="Arial"/>
                <w:sz w:val="14"/>
                <w:szCs w:val="14"/>
                <w:b w:val="1"/>
                <w:bCs w:val="1"/>
                <w:color w:val="auto"/>
                <w:w w:val="91"/>
              </w:rPr>
              <w:t>Expressed in US$</w:t>
            </w:r>
          </w:p>
        </w:tc>
        <w:tc>
          <w:tcPr>
            <w:tcW w:w="1280" w:type="dxa"/>
            <w:vAlign w:val="bottom"/>
            <w:gridSpan w:val="2"/>
          </w:tcPr>
          <w:p>
            <w:pPr>
              <w:jc w:val="center"/>
              <w:ind w:right="128"/>
              <w:spacing w:after="0" w:line="149" w:lineRule="exact"/>
              <w:rPr>
                <w:sz w:val="20"/>
                <w:szCs w:val="20"/>
                <w:color w:val="auto"/>
              </w:rPr>
            </w:pPr>
            <w:r>
              <w:rPr>
                <w:rFonts w:ascii="Arial" w:cs="Arial" w:eastAsia="Arial" w:hAnsi="Arial"/>
                <w:sz w:val="14"/>
                <w:szCs w:val="14"/>
                <w:b w:val="1"/>
                <w:bCs w:val="1"/>
                <w:color w:val="auto"/>
                <w:w w:val="91"/>
              </w:rPr>
              <w:t>Expressed in US$</w:t>
            </w:r>
          </w:p>
        </w:tc>
        <w:tc>
          <w:tcPr>
            <w:tcW w:w="1820" w:type="dxa"/>
            <w:vAlign w:val="bottom"/>
            <w:gridSpan w:val="2"/>
          </w:tcPr>
          <w:p>
            <w:pPr>
              <w:jc w:val="center"/>
              <w:ind w:right="68"/>
              <w:spacing w:after="0" w:line="149" w:lineRule="exact"/>
              <w:rPr>
                <w:sz w:val="20"/>
                <w:szCs w:val="20"/>
                <w:color w:val="auto"/>
              </w:rPr>
            </w:pPr>
            <w:r>
              <w:rPr>
                <w:rFonts w:ascii="Arial" w:cs="Arial" w:eastAsia="Arial" w:hAnsi="Arial"/>
                <w:sz w:val="14"/>
                <w:szCs w:val="14"/>
                <w:b w:val="1"/>
                <w:bCs w:val="1"/>
                <w:color w:val="auto"/>
                <w:w w:val="91"/>
              </w:rPr>
              <w:t>Expressed in US$</w:t>
            </w:r>
          </w:p>
        </w:tc>
        <w:tc>
          <w:tcPr>
            <w:tcW w:w="0" w:type="dxa"/>
            <w:vAlign w:val="bottom"/>
          </w:tcPr>
          <w:p>
            <w:pPr>
              <w:spacing w:after="0"/>
              <w:rPr>
                <w:sz w:val="1"/>
                <w:szCs w:val="1"/>
                <w:color w:val="auto"/>
              </w:rPr>
            </w:pPr>
          </w:p>
        </w:tc>
      </w:tr>
      <w:tr>
        <w:trPr>
          <w:trHeight w:val="171"/>
        </w:trPr>
        <w:tc>
          <w:tcPr>
            <w:tcW w:w="3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288"/>
              <w:spacing w:after="0"/>
              <w:rPr>
                <w:sz w:val="20"/>
                <w:szCs w:val="20"/>
                <w:color w:val="auto"/>
              </w:rPr>
            </w:pPr>
            <w:r>
              <w:rPr>
                <w:rFonts w:ascii="Arial" w:cs="Arial" w:eastAsia="Arial" w:hAnsi="Arial"/>
                <w:sz w:val="14"/>
                <w:szCs w:val="14"/>
                <w:b w:val="1"/>
                <w:bCs w:val="1"/>
                <w:color w:val="auto"/>
                <w:w w:val="91"/>
              </w:rPr>
              <w:t>2013 vs. 2012</w:t>
            </w:r>
          </w:p>
        </w:tc>
        <w:tc>
          <w:tcPr>
            <w:tcW w:w="40" w:type="dxa"/>
            <w:vAlign w:val="bottom"/>
          </w:tcPr>
          <w:p>
            <w:pPr>
              <w:spacing w:after="0"/>
              <w:rPr>
                <w:sz w:val="14"/>
                <w:szCs w:val="14"/>
                <w:color w:val="auto"/>
              </w:rPr>
            </w:pPr>
          </w:p>
        </w:tc>
        <w:tc>
          <w:tcPr>
            <w:tcW w:w="1400" w:type="dxa"/>
            <w:vAlign w:val="bottom"/>
            <w:gridSpan w:val="2"/>
          </w:tcPr>
          <w:p>
            <w:pPr>
              <w:jc w:val="center"/>
              <w:ind w:right="248"/>
              <w:spacing w:after="0"/>
              <w:rPr>
                <w:sz w:val="20"/>
                <w:szCs w:val="20"/>
                <w:color w:val="auto"/>
              </w:rPr>
            </w:pPr>
            <w:r>
              <w:rPr>
                <w:rFonts w:ascii="Arial" w:cs="Arial" w:eastAsia="Arial" w:hAnsi="Arial"/>
                <w:sz w:val="14"/>
                <w:szCs w:val="14"/>
                <w:b w:val="1"/>
                <w:bCs w:val="1"/>
                <w:color w:val="auto"/>
                <w:w w:val="89"/>
              </w:rPr>
              <w:t>2013 vs. 2012</w:t>
            </w:r>
          </w:p>
        </w:tc>
        <w:tc>
          <w:tcPr>
            <w:tcW w:w="40" w:type="dxa"/>
            <w:vAlign w:val="bottom"/>
          </w:tcPr>
          <w:p>
            <w:pPr>
              <w:spacing w:after="0"/>
              <w:rPr>
                <w:sz w:val="14"/>
                <w:szCs w:val="14"/>
                <w:color w:val="auto"/>
              </w:rPr>
            </w:pPr>
          </w:p>
        </w:tc>
        <w:tc>
          <w:tcPr>
            <w:tcW w:w="146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w w:val="89"/>
              </w:rPr>
              <w:t>2013 vs. 2012</w:t>
            </w:r>
          </w:p>
        </w:tc>
        <w:tc>
          <w:tcPr>
            <w:tcW w:w="128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91"/>
              </w:rPr>
              <w:t>2013 vs. 2012</w:t>
            </w:r>
          </w:p>
        </w:tc>
        <w:tc>
          <w:tcPr>
            <w:tcW w:w="1820" w:type="dxa"/>
            <w:vAlign w:val="bottom"/>
            <w:gridSpan w:val="2"/>
          </w:tcPr>
          <w:p>
            <w:pPr>
              <w:jc w:val="center"/>
              <w:ind w:right="88"/>
              <w:spacing w:after="0"/>
              <w:rPr>
                <w:sz w:val="20"/>
                <w:szCs w:val="20"/>
                <w:color w:val="auto"/>
              </w:rPr>
            </w:pPr>
            <w:r>
              <w:rPr>
                <w:rFonts w:ascii="Arial" w:cs="Arial" w:eastAsia="Arial" w:hAnsi="Arial"/>
                <w:sz w:val="14"/>
                <w:szCs w:val="14"/>
                <w:b w:val="1"/>
                <w:bCs w:val="1"/>
                <w:color w:val="auto"/>
                <w:w w:val="92"/>
              </w:rPr>
              <w:t>2013 vs. 2012 (2)</w:t>
            </w:r>
          </w:p>
        </w:tc>
        <w:tc>
          <w:tcPr>
            <w:tcW w:w="0" w:type="dxa"/>
            <w:vAlign w:val="bottom"/>
          </w:tcPr>
          <w:p>
            <w:pPr>
              <w:spacing w:after="0"/>
              <w:rPr>
                <w:sz w:val="1"/>
                <w:szCs w:val="1"/>
                <w:color w:val="auto"/>
              </w:rPr>
            </w:pPr>
          </w:p>
        </w:tc>
      </w:tr>
      <w:tr>
        <w:trPr>
          <w:trHeight w:val="156"/>
        </w:trPr>
        <w:tc>
          <w:tcPr>
            <w:tcW w:w="3820" w:type="dxa"/>
            <w:vAlign w:val="bottom"/>
            <w:tcBorders>
              <w:top w:val="single" w:sz="8" w:color="auto"/>
            </w:tcBorders>
            <w:shd w:val="clear" w:color="auto" w:fill="CCFFCC"/>
          </w:tcPr>
          <w:p>
            <w:pPr>
              <w:spacing w:after="0" w:line="155" w:lineRule="exact"/>
              <w:rPr>
                <w:sz w:val="20"/>
                <w:szCs w:val="20"/>
                <w:color w:val="auto"/>
              </w:rPr>
            </w:pPr>
            <w:r>
              <w:rPr>
                <w:rFonts w:ascii="Arial" w:cs="Arial" w:eastAsia="Arial" w:hAnsi="Arial"/>
                <w:sz w:val="14"/>
                <w:szCs w:val="14"/>
                <w:color w:val="auto"/>
              </w:rPr>
              <w:t>Operating expenses (1)</w:t>
            </w:r>
          </w:p>
        </w:tc>
        <w:tc>
          <w:tcPr>
            <w:tcW w:w="100" w:type="dxa"/>
            <w:vAlign w:val="bottom"/>
            <w:tcBorders>
              <w:top w:val="single" w:sz="8" w:color="CCFFCC"/>
            </w:tcBorders>
            <w:shd w:val="clear" w:color="auto" w:fill="CCFFCC"/>
          </w:tcPr>
          <w:p>
            <w:pPr>
              <w:spacing w:after="0"/>
              <w:rPr>
                <w:sz w:val="13"/>
                <w:szCs w:val="13"/>
                <w:color w:val="auto"/>
              </w:rPr>
            </w:pPr>
          </w:p>
        </w:tc>
        <w:tc>
          <w:tcPr>
            <w:tcW w:w="110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rPr>
              <w:t>7.0</w:t>
            </w:r>
          </w:p>
        </w:tc>
        <w:tc>
          <w:tcPr>
            <w:tcW w:w="360" w:type="dxa"/>
            <w:vAlign w:val="bottom"/>
            <w:tcBorders>
              <w:top w:val="single" w:sz="8" w:color="CCFFCC"/>
            </w:tcBorders>
            <w:shd w:val="clear" w:color="auto" w:fill="CCFFCC"/>
          </w:tcPr>
          <w:p>
            <w:pPr>
              <w:jc w:val="right"/>
              <w:spacing w:after="0" w:line="155" w:lineRule="exact"/>
              <w:rPr>
                <w:sz w:val="20"/>
                <w:szCs w:val="20"/>
                <w:color w:val="auto"/>
              </w:rPr>
            </w:pPr>
            <w:r>
              <w:rPr>
                <w:rFonts w:ascii="Arial" w:cs="Arial" w:eastAsia="Arial" w:hAnsi="Arial"/>
                <w:sz w:val="14"/>
                <w:szCs w:val="14"/>
                <w:color w:val="auto"/>
              </w:rPr>
              <w:t>%  ®</w:t>
            </w:r>
          </w:p>
        </w:tc>
        <w:tc>
          <w:tcPr>
            <w:tcW w:w="40" w:type="dxa"/>
            <w:vAlign w:val="bottom"/>
            <w:tcBorders>
              <w:top w:val="single" w:sz="8" w:color="CCFFCC"/>
            </w:tcBorders>
            <w:shd w:val="clear" w:color="auto" w:fill="CCFFCC"/>
          </w:tcPr>
          <w:p>
            <w:pPr>
              <w:spacing w:after="0"/>
              <w:rPr>
                <w:sz w:val="13"/>
                <w:szCs w:val="13"/>
                <w:color w:val="auto"/>
              </w:rPr>
            </w:pPr>
          </w:p>
        </w:tc>
        <w:tc>
          <w:tcPr>
            <w:tcW w:w="108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rPr>
              <w:t>-2.4</w:t>
            </w:r>
          </w:p>
        </w:tc>
        <w:tc>
          <w:tcPr>
            <w:tcW w:w="320" w:type="dxa"/>
            <w:vAlign w:val="bottom"/>
            <w:tcBorders>
              <w:top w:val="single" w:sz="8" w:color="CCFFCC"/>
            </w:tcBorders>
            <w:shd w:val="clear" w:color="auto" w:fill="CCFFCC"/>
          </w:tcPr>
          <w:p>
            <w:pPr>
              <w:jc w:val="right"/>
              <w:spacing w:after="0" w:line="155" w:lineRule="exact"/>
              <w:rPr>
                <w:sz w:val="20"/>
                <w:szCs w:val="20"/>
                <w:color w:val="auto"/>
              </w:rPr>
            </w:pPr>
            <w:r>
              <w:rPr>
                <w:rFonts w:ascii="Arial" w:cs="Arial" w:eastAsia="Arial" w:hAnsi="Arial"/>
                <w:sz w:val="14"/>
                <w:szCs w:val="14"/>
                <w:color w:val="auto"/>
              </w:rPr>
              <w:t>% +</w:t>
            </w:r>
          </w:p>
        </w:tc>
        <w:tc>
          <w:tcPr>
            <w:tcW w:w="40" w:type="dxa"/>
            <w:vAlign w:val="bottom"/>
            <w:tcBorders>
              <w:top w:val="single" w:sz="8" w:color="CCFFCC"/>
            </w:tcBorders>
            <w:shd w:val="clear" w:color="auto" w:fill="CCFFCC"/>
          </w:tcPr>
          <w:p>
            <w:pPr>
              <w:spacing w:after="0"/>
              <w:rPr>
                <w:sz w:val="13"/>
                <w:szCs w:val="13"/>
                <w:color w:val="auto"/>
              </w:rPr>
            </w:pPr>
          </w:p>
        </w:tc>
        <w:tc>
          <w:tcPr>
            <w:tcW w:w="108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rPr>
              <w:t>24.9</w:t>
            </w:r>
          </w:p>
        </w:tc>
        <w:tc>
          <w:tcPr>
            <w:tcW w:w="380" w:type="dxa"/>
            <w:vAlign w:val="bottom"/>
            <w:tcBorders>
              <w:top w:val="single" w:sz="8" w:color="CCFFCC"/>
            </w:tcBorders>
            <w:shd w:val="clear" w:color="auto" w:fill="CCFFCC"/>
          </w:tcPr>
          <w:p>
            <w:pPr>
              <w:jc w:val="right"/>
              <w:ind w:right="28"/>
              <w:spacing w:after="0" w:line="155" w:lineRule="exact"/>
              <w:rPr>
                <w:sz w:val="20"/>
                <w:szCs w:val="20"/>
                <w:color w:val="auto"/>
              </w:rPr>
            </w:pPr>
            <w:r>
              <w:rPr>
                <w:rFonts w:ascii="Arial" w:cs="Arial" w:eastAsia="Arial" w:hAnsi="Arial"/>
                <w:sz w:val="14"/>
                <w:szCs w:val="14"/>
                <w:color w:val="auto"/>
              </w:rPr>
              <w:t>% =</w:t>
            </w:r>
          </w:p>
        </w:tc>
        <w:tc>
          <w:tcPr>
            <w:tcW w:w="106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color w:val="auto"/>
              </w:rPr>
              <w:t>9.3</w:t>
            </w:r>
          </w:p>
        </w:tc>
        <w:tc>
          <w:tcPr>
            <w:tcW w:w="220" w:type="dxa"/>
            <w:vAlign w:val="bottom"/>
            <w:tcBorders>
              <w:top w:val="single" w:sz="8" w:color="CCFFCC"/>
            </w:tcBorders>
            <w:shd w:val="clear" w:color="auto" w:fill="CCFFCC"/>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1680" w:type="dxa"/>
            <w:vAlign w:val="bottom"/>
            <w:tcBorders>
              <w:top w:val="single" w:sz="8" w:color="auto"/>
              <w:bottom w:val="single" w:sz="8" w:color="auto"/>
            </w:tcBorders>
            <w:shd w:val="clear" w:color="auto" w:fill="CCFFCC"/>
          </w:tcPr>
          <w:p>
            <w:pPr>
              <w:jc w:val="right"/>
              <w:spacing w:after="0" w:line="155" w:lineRule="exact"/>
              <w:rPr>
                <w:sz w:val="20"/>
                <w:szCs w:val="20"/>
                <w:color w:val="auto"/>
              </w:rPr>
            </w:pPr>
            <w:r>
              <w:rPr>
                <w:rFonts w:ascii="Arial" w:cs="Arial" w:eastAsia="Arial" w:hAnsi="Arial"/>
                <w:sz w:val="14"/>
                <w:szCs w:val="14"/>
                <w:b w:val="1"/>
                <w:bCs w:val="1"/>
                <w:color w:val="auto"/>
              </w:rPr>
              <w:t>12.3</w:t>
            </w:r>
          </w:p>
        </w:tc>
        <w:tc>
          <w:tcPr>
            <w:tcW w:w="140" w:type="dxa"/>
            <w:vAlign w:val="bottom"/>
            <w:tcBorders>
              <w:top w:val="single" w:sz="8" w:color="CCFFCC"/>
            </w:tcBorders>
            <w:shd w:val="clear" w:color="auto" w:fill="CCFFCC"/>
          </w:tcPr>
          <w:p>
            <w:pPr>
              <w:jc w:val="right"/>
              <w:spacing w:after="0" w:line="155"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 Converted at US Dollars at Q-end exchange rate.</w:t>
      </w:r>
    </w:p>
    <w:p>
      <w:pPr>
        <w:spacing w:after="0" w:line="9"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70.3% of Operating expenses are generated in local curency.</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Calculated by adding up the weighted % change of each currency.</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terms of assets, it is important to note the excellent growth of 30.9% in the year-end balance of loans denominated in LC, which represented 49% of the total balance at the end of 2013 while the year-end balance of loans originated in FC fell -1.9%. The aforementioned represents expansion of +14.2% in year-end loan balances after excluding the effect of devaluation.</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evolution is even more favorable when we analyze the evolution of average daily balances, which increased +32.7% in LC and +3.1% in FC. This expansion was attributable to growth in Wholesale Banking’s LC portfolio (+64.9%), which was accompanied by solid growth of +22.7% in Retail Banking and +39.5% at Edyficar. The portfolio denominated in FC, which only grew 3.1%, reflected a slight increase in Wholesale Banking (+2.1%) and a decline of -10.4% in Edyficar’s FC loans while Retail Banking posted levels similar to those seen last year. If we exclude the effect of devaluation, average daily balances expanded 17.3% with regard to the level obtained in 2012.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Local Currency</w:t>
            </w:r>
          </w:p>
        </w:tc>
        <w:tc>
          <w:tcPr>
            <w:tcW w:w="266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Foreign Curreny</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gridSpan w:val="4"/>
          </w:tcPr>
          <w:p>
            <w:pPr>
              <w:jc w:val="right"/>
              <w:ind w:right="1020"/>
              <w:spacing w:after="0"/>
              <w:rPr>
                <w:sz w:val="20"/>
                <w:szCs w:val="20"/>
                <w:color w:val="auto"/>
              </w:rPr>
            </w:pPr>
            <w:r>
              <w:rPr>
                <w:rFonts w:ascii="Arial" w:cs="Arial" w:eastAsia="Arial" w:hAnsi="Arial"/>
                <w:sz w:val="18"/>
                <w:szCs w:val="18"/>
                <w:b w:val="1"/>
                <w:bCs w:val="1"/>
                <w:color w:val="auto"/>
              </w:rPr>
              <w:t>2013 vs. 2012</w:t>
            </w:r>
          </w:p>
        </w:tc>
        <w:tc>
          <w:tcPr>
            <w:tcW w:w="2660" w:type="dxa"/>
            <w:vAlign w:val="bottom"/>
            <w:gridSpan w:val="4"/>
          </w:tcPr>
          <w:p>
            <w:pPr>
              <w:jc w:val="right"/>
              <w:ind w:right="900"/>
              <w:spacing w:after="0"/>
              <w:rPr>
                <w:sz w:val="20"/>
                <w:szCs w:val="20"/>
                <w:color w:val="auto"/>
              </w:rPr>
            </w:pPr>
            <w:r>
              <w:rPr>
                <w:rFonts w:ascii="Arial" w:cs="Arial" w:eastAsia="Arial" w:hAnsi="Arial"/>
                <w:sz w:val="18"/>
                <w:szCs w:val="18"/>
                <w:b w:val="1"/>
                <w:bCs w:val="1"/>
                <w:color w:val="auto"/>
              </w:rPr>
              <w:t>2013 vs. 2012</w:t>
            </w:r>
          </w:p>
        </w:tc>
        <w:tc>
          <w:tcPr>
            <w:tcW w:w="0" w:type="dxa"/>
            <w:vAlign w:val="bottom"/>
          </w:tcPr>
          <w:p>
            <w:pPr>
              <w:spacing w:after="0"/>
              <w:rPr>
                <w:sz w:val="1"/>
                <w:szCs w:val="1"/>
                <w:color w:val="auto"/>
              </w:rPr>
            </w:pPr>
          </w:p>
        </w:tc>
      </w:tr>
      <w:tr>
        <w:trPr>
          <w:trHeight w:val="234"/>
        </w:trPr>
        <w:tc>
          <w:tcPr>
            <w:tcW w:w="5880" w:type="dxa"/>
            <w:vAlign w:val="bottom"/>
          </w:tcPr>
          <w:p>
            <w:pPr>
              <w:spacing w:after="0"/>
              <w:rPr>
                <w:sz w:val="20"/>
                <w:szCs w:val="20"/>
                <w:color w:val="auto"/>
              </w:rPr>
            </w:pPr>
            <w:r>
              <w:rPr>
                <w:rFonts w:ascii="Arial" w:cs="Arial" w:eastAsia="Arial" w:hAnsi="Arial"/>
                <w:sz w:val="18"/>
                <w:szCs w:val="18"/>
                <w:b w:val="1"/>
                <w:bCs w:val="1"/>
                <w:color w:val="auto"/>
              </w:rPr>
              <w:t>BCP</w:t>
            </w:r>
          </w:p>
        </w:tc>
        <w:tc>
          <w:tcPr>
            <w:tcW w:w="120" w:type="dxa"/>
            <w:vAlign w:val="bottom"/>
          </w:tcPr>
          <w:p>
            <w:pPr>
              <w:spacing w:after="0"/>
              <w:rPr>
                <w:sz w:val="20"/>
                <w:szCs w:val="20"/>
                <w:color w:val="auto"/>
              </w:rPr>
            </w:pPr>
          </w:p>
        </w:tc>
        <w:tc>
          <w:tcPr>
            <w:tcW w:w="1000" w:type="dxa"/>
            <w:vAlign w:val="bottom"/>
          </w:tcPr>
          <w:p>
            <w:pPr>
              <w:ind w:left="80"/>
              <w:spacing w:after="0"/>
              <w:rPr>
                <w:sz w:val="20"/>
                <w:szCs w:val="20"/>
                <w:color w:val="auto"/>
              </w:rPr>
            </w:pPr>
            <w:r>
              <w:rPr>
                <w:rFonts w:ascii="Arial" w:cs="Arial" w:eastAsia="Arial" w:hAnsi="Arial"/>
                <w:sz w:val="18"/>
                <w:szCs w:val="18"/>
                <w:b w:val="1"/>
                <w:bCs w:val="1"/>
                <w:color w:val="auto"/>
              </w:rPr>
              <w:t>Change %</w:t>
            </w:r>
          </w:p>
        </w:tc>
        <w:tc>
          <w:tcPr>
            <w:tcW w:w="260" w:type="dxa"/>
            <w:vAlign w:val="bottom"/>
          </w:tcPr>
          <w:p>
            <w:pPr>
              <w:spacing w:after="0"/>
              <w:rPr>
                <w:sz w:val="20"/>
                <w:szCs w:val="20"/>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 Participation</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Change%</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3"/>
              </w:rPr>
              <w:t>% Participation</w:t>
            </w:r>
          </w:p>
        </w:tc>
        <w:tc>
          <w:tcPr>
            <w:tcW w:w="0" w:type="dxa"/>
            <w:vAlign w:val="bottom"/>
          </w:tcPr>
          <w:p>
            <w:pPr>
              <w:spacing w:after="0"/>
              <w:rPr>
                <w:sz w:val="1"/>
                <w:szCs w:val="1"/>
                <w:color w:val="auto"/>
              </w:rPr>
            </w:pPr>
          </w:p>
        </w:tc>
      </w:tr>
      <w:tr>
        <w:trPr>
          <w:trHeight w:val="20"/>
        </w:trPr>
        <w:tc>
          <w:tcPr>
            <w:tcW w:w="58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260" w:type="dxa"/>
            <w:vAlign w:val="bottom"/>
            <w:tcBorders>
              <w:right w:val="single" w:sz="8" w:color="CCFFCC"/>
            </w:tcBorders>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shd w:val="clear" w:color="auto" w:fill="CCFFCC"/>
          </w:tcPr>
          <w:p>
            <w:pPr>
              <w:spacing w:after="0"/>
              <w:rPr>
                <w:sz w:val="20"/>
                <w:szCs w:val="20"/>
                <w:color w:val="auto"/>
              </w:rPr>
            </w:pPr>
            <w:r>
              <w:rPr>
                <w:rFonts w:ascii="Arial" w:cs="Arial" w:eastAsia="Arial" w:hAnsi="Arial"/>
                <w:sz w:val="18"/>
                <w:szCs w:val="18"/>
                <w:color w:val="auto"/>
              </w:rPr>
              <w:t>Total Loans</w:t>
            </w:r>
          </w:p>
        </w:tc>
        <w:tc>
          <w:tcPr>
            <w:tcW w:w="120" w:type="dxa"/>
            <w:vAlign w:val="bottom"/>
            <w:vMerge w:val="continue"/>
            <w:shd w:val="clear" w:color="auto" w:fill="CCFFCC"/>
          </w:tcPr>
          <w:p>
            <w:pPr>
              <w:spacing w:after="0"/>
              <w:rPr>
                <w:sz w:val="18"/>
                <w:szCs w:val="18"/>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30.9%</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49.0%</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45.0%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Deposits</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49.5%</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12.1%</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30"/>
        </w:trPr>
        <w:tc>
          <w:tcPr>
            <w:tcW w:w="60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43.0%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5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16" w:name="page17"/>
    <w:bookmarkEnd w:id="16"/>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ind w:right="20"/>
        <w:spacing w:after="0" w:line="277" w:lineRule="auto"/>
        <w:rPr>
          <w:sz w:val="20"/>
          <w:szCs w:val="20"/>
          <w:color w:val="auto"/>
        </w:rPr>
      </w:pPr>
      <w:r>
        <w:rPr>
          <w:rFonts w:ascii="Arial" w:cs="Arial" w:eastAsia="Arial" w:hAnsi="Arial"/>
          <w:sz w:val="18"/>
          <w:szCs w:val="18"/>
          <w:color w:val="auto"/>
        </w:rPr>
        <w:t>Finally, the balance of LC deposits increased very slightly (+1.4%) while the balance of deposits denominated in FC grew +12.1%. This is more than likely related to the evolution of the Nuevo Sol against the US Dollar in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II.1 Interest-earning assets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Interest-earning assets increased +2.2% QoQ and +2.4% YoY. This growth represented a recomposition of the portfolio to favor more profitable assets. This coincided with loan expansion (+2.7% QoQ and +7.5% YoY) and the increase in trading securities (+303.4% QoQ and +511.6% YoY).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3"/>
          </w:tcPr>
          <w:p>
            <w:pPr>
              <w:ind w:left="760"/>
              <w:spacing w:after="0"/>
              <w:rPr>
                <w:sz w:val="20"/>
                <w:szCs w:val="20"/>
                <w:color w:val="auto"/>
              </w:rPr>
            </w:pPr>
            <w:r>
              <w:rPr>
                <w:rFonts w:ascii="Arial" w:cs="Arial" w:eastAsia="Arial" w:hAnsi="Arial"/>
                <w:sz w:val="18"/>
                <w:szCs w:val="18"/>
                <w:b w:val="1"/>
                <w:bCs w:val="1"/>
                <w:color w:val="auto"/>
                <w:w w:val="96"/>
              </w:rPr>
              <w:t>% Change</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0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4Q13</w:t>
            </w:r>
          </w:p>
        </w:tc>
        <w:tc>
          <w:tcPr>
            <w:tcW w:w="22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3Q13</w:t>
            </w:r>
          </w:p>
        </w:tc>
        <w:tc>
          <w:tcPr>
            <w:tcW w:w="22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4Q12</w:t>
            </w:r>
          </w:p>
        </w:tc>
        <w:tc>
          <w:tcPr>
            <w:tcW w:w="20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6"/>
              </w:rPr>
              <w:t>YoY</w:t>
            </w:r>
          </w:p>
        </w:tc>
        <w:tc>
          <w:tcPr>
            <w:tcW w:w="160" w:type="dxa"/>
            <w:vAlign w:val="bottom"/>
            <w:tcBorders>
              <w:bottom w:val="single" w:sz="8" w:color="CCFFCC"/>
            </w:tcBorders>
          </w:tcPr>
          <w:p>
            <w:pPr>
              <w:spacing w:after="0"/>
              <w:rPr>
                <w:sz w:val="20"/>
                <w:szCs w:val="20"/>
                <w:color w:val="auto"/>
              </w:rPr>
            </w:pPr>
          </w:p>
        </w:tc>
      </w:tr>
      <w:tr>
        <w:trPr>
          <w:trHeight w:val="210"/>
        </w:trPr>
        <w:tc>
          <w:tcPr>
            <w:tcW w:w="5120" w:type="dxa"/>
            <w:vAlign w:val="bottom"/>
            <w:shd w:val="clear" w:color="auto" w:fill="CCFFCC"/>
          </w:tcPr>
          <w:p>
            <w:pPr>
              <w:spacing w:after="0"/>
              <w:rPr>
                <w:sz w:val="20"/>
                <w:szCs w:val="20"/>
                <w:color w:val="auto"/>
              </w:rPr>
            </w:pPr>
            <w:r>
              <w:rPr>
                <w:rFonts w:ascii="Arial" w:cs="Arial" w:eastAsia="Arial" w:hAnsi="Arial"/>
                <w:sz w:val="18"/>
                <w:szCs w:val="18"/>
                <w:color w:val="auto"/>
              </w:rPr>
              <w:t>BCRP and other banks</w:t>
            </w: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6,365,825</w:t>
            </w: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6,519,429</w:t>
            </w: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6,821,579</w:t>
            </w:r>
          </w:p>
        </w:tc>
        <w:tc>
          <w:tcPr>
            <w:tcW w:w="2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Interbank funds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67,786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101,562</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17,441</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-33.3%</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288.7%</w:t>
            </w:r>
          </w:p>
        </w:tc>
      </w:tr>
      <w:tr>
        <w:trPr>
          <w:trHeight w:val="216"/>
        </w:trPr>
        <w:tc>
          <w:tcPr>
            <w:tcW w:w="52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436,202</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108,130</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71,323</w:t>
            </w:r>
          </w:p>
        </w:tc>
        <w:tc>
          <w:tcPr>
            <w:tcW w:w="13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303.4%</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511.6%</w:t>
            </w: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Securities available for sale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3,975,058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3,998,181</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4,702,394</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-15.5%</w:t>
            </w:r>
          </w:p>
        </w:tc>
      </w:tr>
      <w:tr>
        <w:trPr>
          <w:trHeight w:val="230"/>
        </w:trPr>
        <w:tc>
          <w:tcPr>
            <w:tcW w:w="52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loans</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22,308,659</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21,715,317</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20,754,941</w:t>
            </w:r>
          </w:p>
        </w:tc>
        <w:tc>
          <w:tcPr>
            <w:tcW w:w="13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FFCC"/>
          </w:tcPr>
          <w:p>
            <w:pPr>
              <w:spacing w:after="0"/>
              <w:rPr>
                <w:sz w:val="19"/>
                <w:szCs w:val="19"/>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7.5%</w:t>
            </w:r>
          </w:p>
        </w:tc>
      </w:tr>
      <w:tr>
        <w:trPr>
          <w:trHeight w:val="210"/>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Total interest earning assets</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33,153,530</w:t>
            </w:r>
          </w:p>
        </w:tc>
        <w:tc>
          <w:tcPr>
            <w:tcW w:w="2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32,442,619</w:t>
            </w:r>
          </w:p>
        </w:tc>
        <w:tc>
          <w:tcPr>
            <w:tcW w:w="2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32,367,678</w:t>
            </w:r>
          </w:p>
        </w:tc>
        <w:tc>
          <w:tcPr>
            <w:tcW w:w="20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Interest-earning assets expanded +2.2% QoQ, mainly due to +2.7% QoQ growth in current loans and +303.4% QoQ in trading securities. The increase in loans was associated primarily with expansion in the Wholesale Banking portfolio, which when measured in average daily balances reflects growth of +5.3% QoQ. By the same measure, Retail Banking and Edyficar reported an increase of +3.2% and +9.1%, respectively. The increase in trading securities was associated with a higher level of BCRP certificates of deposits. All the aforementioned was attenuated by the decline in the BCRP account and other banks (-2.4% QoQ) as a result of a decline in reserve requirements in local currency, which allowed the Bank to free up funds to direct them to more profitable assets.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+2.4% YoY increase in interest-earning assets was also attributable to growth in current loans (+7.5% YoY) and trading securities (+511.6% YoY). Loans, when measured in average daily balances, increased +11.9% YoY. This growth was also led by the Wholesale Banking portfolio (+11.9% YoY), followed by Retail Banking (+9.3% YoY) and Edyficar (+28.1% YoY).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Portfolio</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end of 2013, the year-end balance of total loans at BCP was situated at US$ 22,309 million, which represents growth of +2.7% QoQ and +7.5% YoY. The figure below shows the evolution of quarter-end balances and average daily balances for every month of the last year. During the months of 4Q13, an upward trend is evident in average daily balances, particularly in the month of October.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124460</wp:posOffset>
            </wp:positionV>
            <wp:extent cx="3258820" cy="2341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58820" cy="234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7" w:name="page18"/>
    <w:bookmarkEnd w:id="17"/>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An analysis of average daily balances indicates:</w:t>
            </w: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94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Average Daily Balances</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2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9"/>
              </w:rPr>
              <w:t>TOTAL LOANS (1)</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1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20" w:type="dxa"/>
            <w:vAlign w:val="bottom"/>
            <w:gridSpan w:val="3"/>
          </w:tcPr>
          <w:p>
            <w:pPr>
              <w:jc w:val="center"/>
              <w:ind w:left="10"/>
              <w:spacing w:after="0"/>
              <w:rPr>
                <w:sz w:val="20"/>
                <w:szCs w:val="20"/>
                <w:color w:val="auto"/>
              </w:rPr>
            </w:pPr>
            <w:r>
              <w:rPr>
                <w:rFonts w:ascii="Arial" w:cs="Arial" w:eastAsia="Arial" w:hAnsi="Arial"/>
                <w:sz w:val="18"/>
                <w:szCs w:val="18"/>
                <w:i w:val="1"/>
                <w:iCs w:val="1"/>
                <w:color w:val="auto"/>
                <w:w w:val="95"/>
              </w:rPr>
              <w:t>(US$ million)</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2980" w:type="dxa"/>
            <w:vAlign w:val="bottom"/>
            <w:tcBorders>
              <w:bottom w:val="single" w:sz="8" w:color="CCFFCC"/>
            </w:tcBorders>
          </w:tcPr>
          <w:p>
            <w:pPr>
              <w:spacing w:after="0"/>
              <w:rPr>
                <w:sz w:val="20"/>
                <w:szCs w:val="20"/>
                <w:color w:val="auto"/>
              </w:rPr>
            </w:pPr>
          </w:p>
        </w:tc>
        <w:tc>
          <w:tcPr>
            <w:tcW w:w="1140" w:type="dxa"/>
            <w:vAlign w:val="bottom"/>
            <w:tcBorders>
              <w:bottom w:val="single" w:sz="8" w:color="CCFFCC"/>
            </w:tcBorders>
          </w:tcPr>
          <w:p>
            <w:pPr>
              <w:spacing w:after="0"/>
              <w:rPr>
                <w:sz w:val="20"/>
                <w:szCs w:val="20"/>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4Q13</w:t>
            </w:r>
          </w:p>
        </w:tc>
        <w:tc>
          <w:tcPr>
            <w:tcW w:w="160" w:type="dxa"/>
            <w:vAlign w:val="bottom"/>
            <w:tcBorders>
              <w:bottom w:val="single" w:sz="8" w:color="CCFFCC"/>
            </w:tcBorders>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3Q13</w:t>
            </w:r>
          </w:p>
        </w:tc>
        <w:tc>
          <w:tcPr>
            <w:tcW w:w="160" w:type="dxa"/>
            <w:vAlign w:val="bottom"/>
            <w:tcBorders>
              <w:bottom w:val="single" w:sz="8" w:color="CCFFCC"/>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4Q12</w:t>
            </w:r>
          </w:p>
        </w:tc>
        <w:tc>
          <w:tcPr>
            <w:tcW w:w="160" w:type="dxa"/>
            <w:vAlign w:val="bottom"/>
            <w:tcBorders>
              <w:bottom w:val="single" w:sz="8" w:color="CCFFCC"/>
            </w:tcBorders>
          </w:tcPr>
          <w:p>
            <w:pPr>
              <w:spacing w:after="0"/>
              <w:rPr>
                <w:sz w:val="20"/>
                <w:szCs w:val="20"/>
                <w:color w:val="auto"/>
              </w:rPr>
            </w:pP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FFCC"/>
            </w:tcBorders>
          </w:tcPr>
          <w:p>
            <w:pPr>
              <w:spacing w:after="0"/>
              <w:rPr>
                <w:sz w:val="20"/>
                <w:szCs w:val="20"/>
                <w:color w:val="auto"/>
              </w:rPr>
            </w:pP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Wholesale Banking</w:t>
            </w:r>
          </w:p>
        </w:tc>
        <w:tc>
          <w:tcPr>
            <w:tcW w:w="114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10,419.2</w:t>
            </w: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9,897.0</w:t>
            </w: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9,313.6</w:t>
            </w: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ind w:left="580"/>
              <w:spacing w:after="0"/>
              <w:rPr>
                <w:sz w:val="20"/>
                <w:szCs w:val="20"/>
                <w:color w:val="auto"/>
              </w:rPr>
            </w:pPr>
            <w:r>
              <w:rPr>
                <w:rFonts w:ascii="Arial" w:cs="Arial" w:eastAsia="Arial" w:hAnsi="Arial"/>
                <w:sz w:val="18"/>
                <w:szCs w:val="18"/>
                <w:b w:val="1"/>
                <w:bCs w:val="1"/>
                <w:color w:val="auto"/>
              </w:rPr>
              <w:t>5.3%</w:t>
            </w: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11.9%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i w:val="1"/>
                <w:iCs w:val="1"/>
                <w:color w:val="auto"/>
              </w:rPr>
              <w:t>- Corporate</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6,681.8</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6,335.9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5,783.9</w:t>
            </w:r>
          </w:p>
        </w:tc>
        <w:tc>
          <w:tcPr>
            <w:tcW w:w="160" w:type="dxa"/>
            <w:vAlign w:val="bottom"/>
          </w:tcPr>
          <w:p>
            <w:pPr>
              <w:spacing w:after="0"/>
              <w:rPr>
                <w:sz w:val="18"/>
                <w:szCs w:val="18"/>
                <w:color w:val="auto"/>
              </w:rPr>
            </w:pP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rPr>
              <w:t>5.5%</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Middle Market</w:t>
            </w:r>
          </w:p>
        </w:tc>
        <w:tc>
          <w:tcPr>
            <w:tcW w:w="1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3,737.4</w:t>
            </w: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3,561.1</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3,529.7</w:t>
            </w: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ind w:left="580"/>
              <w:spacing w:after="0"/>
              <w:rPr>
                <w:sz w:val="20"/>
                <w:szCs w:val="20"/>
                <w:color w:val="auto"/>
              </w:rPr>
            </w:pPr>
            <w:r>
              <w:rPr>
                <w:rFonts w:ascii="Arial" w:cs="Arial" w:eastAsia="Arial" w:hAnsi="Arial"/>
                <w:sz w:val="18"/>
                <w:szCs w:val="18"/>
                <w:color w:val="auto"/>
              </w:rPr>
              <w:t>4.9%</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b w:val="1"/>
                <w:bCs w:val="1"/>
                <w:color w:val="auto"/>
              </w:rPr>
              <w:t>Retail Banking</w:t>
            </w: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rPr>
              <w:t>9,930.1</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9,623.9</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9,088.7</w:t>
            </w:r>
          </w:p>
        </w:tc>
        <w:tc>
          <w:tcPr>
            <w:tcW w:w="160" w:type="dxa"/>
            <w:vAlign w:val="bottom"/>
          </w:tcPr>
          <w:p>
            <w:pPr>
              <w:spacing w:after="0"/>
              <w:rPr>
                <w:sz w:val="18"/>
                <w:szCs w:val="18"/>
                <w:color w:val="auto"/>
              </w:rPr>
            </w:pPr>
          </w:p>
        </w:tc>
        <w:tc>
          <w:tcPr>
            <w:tcW w:w="1080" w:type="dxa"/>
            <w:vAlign w:val="bottom"/>
            <w:gridSpan w:val="2"/>
          </w:tcPr>
          <w:p>
            <w:pPr>
              <w:ind w:left="580"/>
              <w:spacing w:after="0"/>
              <w:rPr>
                <w:sz w:val="20"/>
                <w:szCs w:val="20"/>
                <w:color w:val="auto"/>
              </w:rPr>
            </w:pPr>
            <w:r>
              <w:rPr>
                <w:rFonts w:ascii="Arial" w:cs="Arial" w:eastAsia="Arial" w:hAnsi="Arial"/>
                <w:sz w:val="18"/>
                <w:szCs w:val="18"/>
                <w:b w:val="1"/>
                <w:bCs w:val="1"/>
                <w:color w:val="auto"/>
              </w:rPr>
              <w:t>3.2%</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SME</w:t>
            </w:r>
          </w:p>
        </w:tc>
        <w:tc>
          <w:tcPr>
            <w:tcW w:w="1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2,543.1</w:t>
            </w: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2,480.0</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2,362.1</w:t>
            </w: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ind w:left="580"/>
              <w:spacing w:after="0"/>
              <w:rPr>
                <w:sz w:val="20"/>
                <w:szCs w:val="20"/>
                <w:color w:val="auto"/>
              </w:rPr>
            </w:pPr>
            <w:r>
              <w:rPr>
                <w:rFonts w:ascii="Arial" w:cs="Arial" w:eastAsia="Arial" w:hAnsi="Arial"/>
                <w:sz w:val="18"/>
                <w:szCs w:val="18"/>
                <w:color w:val="auto"/>
              </w:rPr>
              <w:t>2.5%</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i w:val="1"/>
                <w:iCs w:val="1"/>
                <w:color w:val="auto"/>
              </w:rPr>
              <w:t>- Business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948.8</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904.7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860.5</w:t>
            </w:r>
          </w:p>
        </w:tc>
        <w:tc>
          <w:tcPr>
            <w:tcW w:w="160" w:type="dxa"/>
            <w:vAlign w:val="bottom"/>
          </w:tcPr>
          <w:p>
            <w:pPr>
              <w:spacing w:after="0"/>
              <w:rPr>
                <w:sz w:val="18"/>
                <w:szCs w:val="18"/>
                <w:color w:val="auto"/>
              </w:rPr>
            </w:pP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rPr>
              <w:t>4.9%</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Mortgages</w:t>
            </w:r>
          </w:p>
        </w:tc>
        <w:tc>
          <w:tcPr>
            <w:tcW w:w="1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3,493.2</w:t>
            </w: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3,401.7</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3,119.2</w:t>
            </w: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ind w:left="580"/>
              <w:spacing w:after="0"/>
              <w:rPr>
                <w:sz w:val="20"/>
                <w:szCs w:val="20"/>
                <w:color w:val="auto"/>
              </w:rPr>
            </w:pPr>
            <w:r>
              <w:rPr>
                <w:rFonts w:ascii="Arial" w:cs="Arial" w:eastAsia="Arial" w:hAnsi="Arial"/>
                <w:sz w:val="18"/>
                <w:szCs w:val="18"/>
                <w:color w:val="auto"/>
              </w:rPr>
              <w:t>2.7%</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i w:val="1"/>
                <w:iCs w:val="1"/>
                <w:color w:val="auto"/>
              </w:rPr>
              <w:t>- Consumer</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1,926.6</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1,852.7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1,739.6</w:t>
            </w:r>
          </w:p>
        </w:tc>
        <w:tc>
          <w:tcPr>
            <w:tcW w:w="160" w:type="dxa"/>
            <w:vAlign w:val="bottom"/>
          </w:tcPr>
          <w:p>
            <w:pPr>
              <w:spacing w:after="0"/>
              <w:rPr>
                <w:sz w:val="18"/>
                <w:szCs w:val="18"/>
                <w:color w:val="auto"/>
              </w:rPr>
            </w:pP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rPr>
              <w:t>4.0%</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shd w:val="clear" w:color="auto" w:fill="CCFFCC"/>
          </w:tcPr>
          <w:p>
            <w:pPr>
              <w:spacing w:after="0"/>
              <w:rPr>
                <w:sz w:val="20"/>
                <w:szCs w:val="20"/>
                <w:color w:val="auto"/>
              </w:rPr>
            </w:pPr>
            <w:r>
              <w:rPr>
                <w:rFonts w:ascii="Arial" w:cs="Arial" w:eastAsia="Arial" w:hAnsi="Arial"/>
                <w:sz w:val="18"/>
                <w:szCs w:val="18"/>
                <w:i w:val="1"/>
                <w:iCs w:val="1"/>
                <w:color w:val="auto"/>
              </w:rPr>
              <w:t>- Credit Cards</w:t>
            </w:r>
          </w:p>
        </w:tc>
        <w:tc>
          <w:tcPr>
            <w:tcW w:w="1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1,018.3</w:t>
            </w: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984.7</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1,007.3</w:t>
            </w: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ind w:left="580"/>
              <w:spacing w:after="0"/>
              <w:rPr>
                <w:sz w:val="20"/>
                <w:szCs w:val="20"/>
                <w:color w:val="auto"/>
              </w:rPr>
            </w:pPr>
            <w:r>
              <w:rPr>
                <w:rFonts w:ascii="Arial" w:cs="Arial" w:eastAsia="Arial" w:hAnsi="Arial"/>
                <w:sz w:val="18"/>
                <w:szCs w:val="18"/>
                <w:color w:val="auto"/>
              </w:rPr>
              <w:t>3.4%</w:t>
            </w: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b w:val="1"/>
                <w:bCs w:val="1"/>
                <w:color w:val="auto"/>
              </w:rPr>
              <w:t>Edyficar</w:t>
            </w: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rPr>
              <w:t>898.0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822.9</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700.8</w:t>
            </w:r>
          </w:p>
        </w:tc>
        <w:tc>
          <w:tcPr>
            <w:tcW w:w="160" w:type="dxa"/>
            <w:vAlign w:val="bottom"/>
          </w:tcPr>
          <w:p>
            <w:pPr>
              <w:spacing w:after="0"/>
              <w:rPr>
                <w:sz w:val="18"/>
                <w:szCs w:val="18"/>
                <w:color w:val="auto"/>
              </w:rPr>
            </w:pPr>
          </w:p>
        </w:tc>
        <w:tc>
          <w:tcPr>
            <w:tcW w:w="1080" w:type="dxa"/>
            <w:vAlign w:val="bottom"/>
            <w:gridSpan w:val="2"/>
          </w:tcPr>
          <w:p>
            <w:pPr>
              <w:ind w:left="580"/>
              <w:spacing w:after="0"/>
              <w:rPr>
                <w:sz w:val="20"/>
                <w:szCs w:val="20"/>
                <w:color w:val="auto"/>
              </w:rPr>
            </w:pPr>
            <w:r>
              <w:rPr>
                <w:rFonts w:ascii="Arial" w:cs="Arial" w:eastAsia="Arial" w:hAnsi="Arial"/>
                <w:sz w:val="18"/>
                <w:szCs w:val="18"/>
                <w:b w:val="1"/>
                <w:bCs w:val="1"/>
                <w:color w:val="auto"/>
              </w:rPr>
              <w:t>9.1%</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28.1%</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Others (2)</w:t>
            </w:r>
          </w:p>
        </w:tc>
        <w:tc>
          <w:tcPr>
            <w:tcW w:w="19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1,168.6</w:t>
            </w:r>
          </w:p>
        </w:tc>
        <w:tc>
          <w:tcPr>
            <w:tcW w:w="160" w:type="dxa"/>
            <w:vAlign w:val="bottom"/>
            <w:shd w:val="clear" w:color="auto" w:fill="CCFFCC"/>
          </w:tcPr>
          <w:p>
            <w:pPr>
              <w:spacing w:after="0"/>
              <w:rPr>
                <w:sz w:val="19"/>
                <w:szCs w:val="19"/>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1,107.0</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988.0</w:t>
            </w:r>
          </w:p>
        </w:tc>
        <w:tc>
          <w:tcPr>
            <w:tcW w:w="16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ind w:left="580"/>
              <w:spacing w:after="0"/>
              <w:rPr>
                <w:sz w:val="20"/>
                <w:szCs w:val="20"/>
                <w:color w:val="auto"/>
              </w:rPr>
            </w:pPr>
            <w:r>
              <w:rPr>
                <w:rFonts w:ascii="Arial" w:cs="Arial" w:eastAsia="Arial" w:hAnsi="Arial"/>
                <w:sz w:val="18"/>
                <w:szCs w:val="18"/>
                <w:b w:val="1"/>
                <w:bCs w:val="1"/>
                <w:color w:val="auto"/>
              </w:rPr>
              <w:t>5.6%</w:t>
            </w: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18.3%</w:t>
            </w: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2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Consolidated total loans</w:t>
            </w:r>
          </w:p>
        </w:tc>
        <w:tc>
          <w:tcPr>
            <w:tcW w:w="1140" w:type="dxa"/>
            <w:vAlign w:val="bottom"/>
            <w:shd w:val="clear" w:color="auto" w:fill="CCFFCC"/>
          </w:tcPr>
          <w:p>
            <w:pPr>
              <w:spacing w:after="0"/>
              <w:rPr>
                <w:sz w:val="19"/>
                <w:szCs w:val="19"/>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22,415.8</w:t>
            </w:r>
          </w:p>
        </w:tc>
        <w:tc>
          <w:tcPr>
            <w:tcW w:w="160" w:type="dxa"/>
            <w:vAlign w:val="bottom"/>
            <w:shd w:val="clear" w:color="auto" w:fill="CCFFCC"/>
          </w:tcPr>
          <w:p>
            <w:pPr>
              <w:spacing w:after="0"/>
              <w:rPr>
                <w:sz w:val="19"/>
                <w:szCs w:val="19"/>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21,450.8</w:t>
            </w:r>
          </w:p>
        </w:tc>
        <w:tc>
          <w:tcPr>
            <w:tcW w:w="160" w:type="dxa"/>
            <w:vAlign w:val="bottom"/>
            <w:shd w:val="clear" w:color="auto" w:fill="CCFFCC"/>
          </w:tcPr>
          <w:p>
            <w:pPr>
              <w:spacing w:after="0"/>
              <w:rPr>
                <w:sz w:val="19"/>
                <w:szCs w:val="19"/>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20,091.0</w:t>
            </w:r>
          </w:p>
        </w:tc>
        <w:tc>
          <w:tcPr>
            <w:tcW w:w="16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ind w:left="580"/>
              <w:spacing w:after="0"/>
              <w:rPr>
                <w:sz w:val="20"/>
                <w:szCs w:val="20"/>
                <w:color w:val="auto"/>
              </w:rPr>
            </w:pPr>
            <w:r>
              <w:rPr>
                <w:rFonts w:ascii="Arial" w:cs="Arial" w:eastAsia="Arial" w:hAnsi="Arial"/>
                <w:sz w:val="18"/>
                <w:szCs w:val="18"/>
                <w:b w:val="1"/>
                <w:bCs w:val="1"/>
                <w:color w:val="auto"/>
              </w:rPr>
              <w:t>4.5%</w:t>
            </w: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11.6%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220" w:hanging="247"/>
        <w:spacing w:after="0"/>
        <w:tabs>
          <w:tab w:leader="none" w:pos="1220" w:val="left"/>
        </w:tabs>
        <w:numPr>
          <w:ilvl w:val="1"/>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Average daily balance.</w:t>
      </w:r>
    </w:p>
    <w:p>
      <w:pPr>
        <w:spacing w:after="0" w:line="9" w:lineRule="exact"/>
        <w:rPr>
          <w:rFonts w:ascii="Arial" w:cs="Arial" w:eastAsia="Arial" w:hAnsi="Arial"/>
          <w:sz w:val="18"/>
          <w:szCs w:val="18"/>
          <w:i w:val="1"/>
          <w:iCs w:val="1"/>
          <w:color w:val="auto"/>
        </w:rPr>
      </w:pPr>
    </w:p>
    <w:p>
      <w:pPr>
        <w:ind w:left="920" w:right="6120" w:firstLine="9"/>
        <w:spacing w:after="0" w:line="261" w:lineRule="auto"/>
        <w:tabs>
          <w:tab w:leader="none" w:pos="1175"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Work Out Unit, other banking and BCP Bolivia. Source: BCP</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analysis of average daily balances indicates that expansion this Q was the result of excellent dynamism of the Wholesale Banking portfolio (+5.3% QoQ), which was attributable to +5.5% QoQ growth in Corporate Banking and +4.9% QoQ in Middle Market Banking. It is important to note that Wholesale Banking portfolio in LC grew considerably (+21.2% QoQ and +64.9% YoY) while the portfolio denominated in FC reported moderate growth (+0.4% QoQ and +2.1% YoY), which reflects a preference for LC loans that is primarily associated with the volatility present in previous periods and better credit conditions in LC in a scenario marked by the reduction of the reference rate and reserve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Retail Banking portfolio experienced growth of +3.2% QoQ, which was associated with:</w:t>
      </w:r>
    </w:p>
    <w:p>
      <w:pPr>
        <w:spacing w:after="0" w:line="225" w:lineRule="exact"/>
        <w:rPr>
          <w:sz w:val="20"/>
          <w:szCs w:val="20"/>
          <w:color w:val="auto"/>
        </w:rPr>
      </w:pPr>
    </w:p>
    <w:p>
      <w:pPr>
        <w:ind w:left="1280" w:right="20" w:hanging="381"/>
        <w:spacing w:after="0" w:line="277" w:lineRule="auto"/>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+2.5% QoQ expansion in the SME portfolio, which was based on developing business only with clients with very good risk ratings until the tools for risk analysis are duly calibrated.</w:t>
      </w:r>
    </w:p>
    <w:p>
      <w:pPr>
        <w:spacing w:after="0" w:line="170" w:lineRule="exact"/>
        <w:rPr>
          <w:rFonts w:ascii="Arial" w:cs="Arial" w:eastAsia="Arial" w:hAnsi="Arial"/>
          <w:sz w:val="18"/>
          <w:szCs w:val="18"/>
          <w:color w:val="auto"/>
        </w:rPr>
      </w:pPr>
    </w:p>
    <w:p>
      <w:pPr>
        <w:jc w:val="both"/>
        <w:ind w:left="1280" w:hanging="381"/>
        <w:spacing w:after="0" w:line="259" w:lineRule="auto"/>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Growth in the Mortgage segment (+2.7% QoQ), which continues to undergo a noteworthy process of de-dollarization. The LC portfolio expanded +6.9% QoQ, while the FC portfolio dropped -3.2%. It is important to note that </w:t>
      </w:r>
      <w:r>
        <w:rPr>
          <w:rFonts w:ascii="Arial" w:cs="Arial" w:eastAsia="Arial" w:hAnsi="Arial"/>
          <w:sz w:val="18"/>
          <w:szCs w:val="18"/>
          <w:i w:val="1"/>
          <w:iCs w:val="1"/>
          <w:color w:val="auto"/>
        </w:rPr>
        <w:t>MiVivienda</w:t>
      </w:r>
      <w:r>
        <w:rPr>
          <w:rFonts w:ascii="Arial" w:cs="Arial" w:eastAsia="Arial" w:hAnsi="Arial"/>
          <w:sz w:val="18"/>
          <w:szCs w:val="18"/>
          <w:color w:val="auto"/>
        </w:rPr>
        <w:t xml:space="preserve"> loans went from representing 14.8% of total mortgage loans at the end of 3Q13 to accounting for 15.5% of this portfolio at the end of 4Q13. The </w:t>
      </w:r>
      <w:r>
        <w:rPr>
          <w:rFonts w:ascii="Arial" w:cs="Arial" w:eastAsia="Arial" w:hAnsi="Arial"/>
          <w:sz w:val="18"/>
          <w:szCs w:val="18"/>
          <w:i w:val="1"/>
          <w:iCs w:val="1"/>
          <w:color w:val="auto"/>
        </w:rPr>
        <w:t>MiVivienda</w:t>
      </w:r>
      <w:r>
        <w:rPr>
          <w:rFonts w:ascii="Arial" w:cs="Arial" w:eastAsia="Arial" w:hAnsi="Arial"/>
          <w:sz w:val="18"/>
          <w:szCs w:val="18"/>
          <w:color w:val="auto"/>
        </w:rPr>
        <w:t xml:space="preserve"> fund seeks to provide access to housing for lower income families.</w:t>
      </w:r>
    </w:p>
    <w:p>
      <w:pPr>
        <w:spacing w:after="0" w:line="186" w:lineRule="exact"/>
        <w:rPr>
          <w:rFonts w:ascii="Arial" w:cs="Arial" w:eastAsia="Arial" w:hAnsi="Arial"/>
          <w:sz w:val="18"/>
          <w:szCs w:val="18"/>
          <w:color w:val="auto"/>
        </w:rPr>
      </w:pPr>
    </w:p>
    <w:p>
      <w:pPr>
        <w:jc w:val="both"/>
        <w:ind w:left="1280" w:hanging="381"/>
        <w:spacing w:after="0" w:line="279" w:lineRule="auto"/>
        <w:tabs>
          <w:tab w:leader="none" w:pos="12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Consumer and Credit Card segments expanded +4% QoQ and +3.4% QoQ respectively. De-dollarization is on-going in both segments given that consumer loans and credit card debt in LC grew at a faster rate (+4.3% QoQ and +3.3% QoQ respectively) than consumer loans in FC (+2.2% QoQ and +2.6% QoQ). It is important to note that both the consumer and credit card portfolios posted lower growth this Q than has been reported in the 4Qs of recent years due to the adjustments made in 2012 and part of 2013.</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YoY evolution, loans grew +11.6%. This was in line with Wholesale Banking’s performance (+11.9% YoY), which posted noteworthy evolution in its LC-denominated portfolio (+64.9% YoY). In Retail Banking (+9.3% YoY), solid growth was evident in all segments and was particularly strong in Mortgage, Consumer and SME loans, which posted good growth in LC following portfolio de-dollarization. Edyficar maintained an excellent growth rate of +28.1% YoY. It is important to note that devaluation hides real portfolio growth, which in annual terms was 17.3%. This expansion was due to +32.7% growth in the LC portfolio and +3.1% in the portfolio denominated in FC.</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8" w:name="page19"/>
    <w:bookmarkEnd w:id="18"/>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2"/>
              </w:rPr>
              <w:t>Average Daily Balances</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72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rPr>
              <w:t>DOMESTIC CURRENCY LOANS (1)</w:t>
            </w: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72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rPr>
              <w:t>FOREIGN CURRENCY LOANS (1)</w:t>
            </w: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20" w:type="dxa"/>
            <w:vAlign w:val="bottom"/>
            <w:gridSpan w:val="7"/>
          </w:tcPr>
          <w:p>
            <w:pPr>
              <w:jc w:val="center"/>
              <w:ind w:right="240"/>
              <w:spacing w:after="0" w:line="158" w:lineRule="exact"/>
              <w:rPr>
                <w:sz w:val="20"/>
                <w:szCs w:val="20"/>
                <w:color w:val="auto"/>
              </w:rPr>
            </w:pPr>
            <w:r>
              <w:rPr>
                <w:rFonts w:ascii="Arial" w:cs="Arial" w:eastAsia="Arial" w:hAnsi="Arial"/>
                <w:sz w:val="14"/>
                <w:szCs w:val="14"/>
                <w:i w:val="1"/>
                <w:iCs w:val="1"/>
                <w:color w:val="auto"/>
                <w:w w:val="94"/>
              </w:rPr>
              <w:t>(Nuevos Soles million)</w:t>
            </w: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tcPr>
          <w:p>
            <w:pPr>
              <w:jc w:val="center"/>
              <w:ind w:right="40"/>
              <w:spacing w:after="0" w:line="158" w:lineRule="exact"/>
              <w:rPr>
                <w:sz w:val="20"/>
                <w:szCs w:val="20"/>
                <w:color w:val="auto"/>
              </w:rPr>
            </w:pPr>
            <w:r>
              <w:rPr>
                <w:rFonts w:ascii="Arial" w:cs="Arial" w:eastAsia="Arial" w:hAnsi="Arial"/>
                <w:sz w:val="14"/>
                <w:szCs w:val="14"/>
                <w:i w:val="1"/>
                <w:iCs w:val="1"/>
                <w:color w:val="auto"/>
                <w:w w:val="97"/>
              </w:rPr>
              <w:t>(US$ million)</w:t>
            </w: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Borders>
              <w:bottom w:val="single" w:sz="8" w:color="CCFFCC"/>
            </w:tcBorders>
          </w:tcPr>
          <w:p>
            <w:pPr>
              <w:spacing w:after="0"/>
              <w:rPr>
                <w:sz w:val="14"/>
                <w:szCs w:val="14"/>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4Q13</w:t>
            </w:r>
          </w:p>
        </w:tc>
        <w:tc>
          <w:tcPr>
            <w:tcW w:w="220" w:type="dxa"/>
            <w:vAlign w:val="bottom"/>
            <w:tcBorders>
              <w:bottom w:val="single" w:sz="8" w:color="CCFFCC"/>
            </w:tcBorders>
          </w:tcPr>
          <w:p>
            <w:pPr>
              <w:spacing w:after="0"/>
              <w:rPr>
                <w:sz w:val="14"/>
                <w:szCs w:val="1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3Q13</w:t>
            </w:r>
          </w:p>
        </w:tc>
        <w:tc>
          <w:tcPr>
            <w:tcW w:w="220" w:type="dxa"/>
            <w:vAlign w:val="bottom"/>
            <w:tcBorders>
              <w:bottom w:val="single" w:sz="8" w:color="CCFFCC"/>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4Q12</w:t>
            </w:r>
          </w:p>
        </w:tc>
        <w:tc>
          <w:tcPr>
            <w:tcW w:w="40" w:type="dxa"/>
            <w:vAlign w:val="bottom"/>
            <w:tcBorders>
              <w:bottom w:val="single" w:sz="8" w:color="CCFFCC"/>
            </w:tcBorders>
          </w:tcPr>
          <w:p>
            <w:pPr>
              <w:spacing w:after="0"/>
              <w:rPr>
                <w:sz w:val="14"/>
                <w:szCs w:val="14"/>
                <w:color w:val="auto"/>
              </w:rPr>
            </w:pPr>
          </w:p>
        </w:tc>
        <w:tc>
          <w:tcPr>
            <w:tcW w:w="160" w:type="dxa"/>
            <w:vAlign w:val="bottom"/>
            <w:tcBorders>
              <w:bottom w:val="single" w:sz="8" w:color="CCFFCC"/>
            </w:tcBorders>
          </w:tcPr>
          <w:p>
            <w:pPr>
              <w:spacing w:after="0"/>
              <w:rPr>
                <w:sz w:val="14"/>
                <w:szCs w:val="14"/>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FFCC"/>
            </w:tcBorders>
          </w:tcPr>
          <w:p>
            <w:pPr>
              <w:spacing w:after="0"/>
              <w:rPr>
                <w:sz w:val="14"/>
                <w:szCs w:val="14"/>
                <w:color w:val="auto"/>
              </w:rPr>
            </w:pP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FFCC"/>
            </w:tcBorders>
          </w:tcPr>
          <w:p>
            <w:pPr>
              <w:spacing w:after="0"/>
              <w:rPr>
                <w:sz w:val="14"/>
                <w:szCs w:val="14"/>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4Q13</w:t>
            </w:r>
          </w:p>
        </w:tc>
        <w:tc>
          <w:tcPr>
            <w:tcW w:w="220" w:type="dxa"/>
            <w:vAlign w:val="bottom"/>
            <w:tcBorders>
              <w:bottom w:val="single" w:sz="8" w:color="CCFFCC"/>
            </w:tcBorders>
          </w:tcPr>
          <w:p>
            <w:pPr>
              <w:spacing w:after="0"/>
              <w:rPr>
                <w:sz w:val="14"/>
                <w:szCs w:val="1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3Q13</w:t>
            </w:r>
          </w:p>
        </w:tc>
        <w:tc>
          <w:tcPr>
            <w:tcW w:w="80" w:type="dxa"/>
            <w:vAlign w:val="bottom"/>
            <w:tcBorders>
              <w:bottom w:val="single" w:sz="8" w:color="CCFFCC"/>
            </w:tcBorders>
          </w:tcPr>
          <w:p>
            <w:pPr>
              <w:spacing w:after="0"/>
              <w:rPr>
                <w:sz w:val="14"/>
                <w:szCs w:val="14"/>
                <w:color w:val="auto"/>
              </w:rPr>
            </w:pPr>
          </w:p>
        </w:tc>
        <w:tc>
          <w:tcPr>
            <w:tcW w:w="140" w:type="dxa"/>
            <w:vAlign w:val="bottom"/>
            <w:tcBorders>
              <w:bottom w:val="single" w:sz="8" w:color="CCFFCC"/>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4Q12</w:t>
            </w:r>
          </w:p>
        </w:tc>
        <w:tc>
          <w:tcPr>
            <w:tcW w:w="220" w:type="dxa"/>
            <w:vAlign w:val="bottom"/>
            <w:tcBorders>
              <w:bottom w:val="single" w:sz="8" w:color="CCFFCC"/>
            </w:tcBorders>
          </w:tcPr>
          <w:p>
            <w:pPr>
              <w:spacing w:after="0"/>
              <w:rPr>
                <w:sz w:val="14"/>
                <w:szCs w:val="14"/>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FFCC"/>
            </w:tcBorders>
          </w:tcPr>
          <w:p>
            <w:pPr>
              <w:spacing w:after="0"/>
              <w:rPr>
                <w:sz w:val="14"/>
                <w:szCs w:val="14"/>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Wholesale Banking</w:t>
            </w:r>
          </w:p>
        </w:tc>
        <w:tc>
          <w:tcPr>
            <w:tcW w:w="7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7,730.1</w:t>
            </w: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6,379.1</w:t>
            </w: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4,687.0</w:t>
            </w:r>
          </w:p>
        </w:tc>
        <w:tc>
          <w:tcPr>
            <w:tcW w:w="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b w:val="1"/>
                <w:bCs w:val="1"/>
                <w:color w:val="auto"/>
              </w:rPr>
              <w:t>21.2%</w:t>
            </w:r>
          </w:p>
        </w:tc>
        <w:tc>
          <w:tcPr>
            <w:tcW w:w="94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b w:val="1"/>
                <w:bCs w:val="1"/>
                <w:color w:val="auto"/>
              </w:rPr>
              <w:t>64.9%</w:t>
            </w:r>
          </w:p>
        </w:tc>
        <w:tc>
          <w:tcPr>
            <w:tcW w:w="6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7,647.1</w:t>
            </w: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7,613.4</w:t>
            </w:r>
          </w:p>
        </w:tc>
        <w:tc>
          <w:tcPr>
            <w:tcW w:w="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7,492.4</w:t>
            </w:r>
          </w:p>
        </w:tc>
        <w:tc>
          <w:tcPr>
            <w:tcW w:w="22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b w:val="1"/>
                <w:bCs w:val="1"/>
                <w:color w:val="auto"/>
              </w:rPr>
              <w:t>0.4%</w:t>
            </w:r>
          </w:p>
        </w:tc>
        <w:tc>
          <w:tcPr>
            <w:tcW w:w="82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i w:val="1"/>
                <w:iCs w:val="1"/>
                <w:color w:val="auto"/>
              </w:rPr>
              <w:t>- Corporate</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5,131.7</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4,214.7</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2,781.2</w:t>
            </w:r>
          </w:p>
        </w:tc>
        <w:tc>
          <w:tcPr>
            <w:tcW w:w="40" w:type="dxa"/>
            <w:vAlign w:val="bottom"/>
          </w:tcPr>
          <w:p>
            <w:pPr>
              <w:spacing w:after="0"/>
              <w:rPr>
                <w:sz w:val="12"/>
                <w:szCs w:val="12"/>
                <w:color w:val="auto"/>
              </w:rPr>
            </w:pPr>
          </w:p>
        </w:tc>
        <w:tc>
          <w:tcPr>
            <w:tcW w:w="11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21.8%</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84.5%</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4,841.5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4,827.1</w:t>
            </w:r>
          </w:p>
        </w:tc>
        <w:tc>
          <w:tcPr>
            <w:tcW w:w="80" w:type="dxa"/>
            <w:vAlign w:val="bottom"/>
          </w:tcPr>
          <w:p>
            <w:pPr>
              <w:spacing w:after="0"/>
              <w:rPr>
                <w:sz w:val="12"/>
                <w:szCs w:val="12"/>
                <w:color w:val="auto"/>
              </w:rPr>
            </w:pPr>
          </w:p>
        </w:tc>
        <w:tc>
          <w:tcPr>
            <w:tcW w:w="10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4,703.4</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0.3%</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i w:val="1"/>
                <w:iCs w:val="1"/>
                <w:color w:val="auto"/>
              </w:rPr>
              <w:t>- Middle Market</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2,598.4</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2,164.4</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1,905.9</w:t>
            </w:r>
          </w:p>
        </w:tc>
        <w:tc>
          <w:tcPr>
            <w:tcW w:w="40" w:type="dxa"/>
            <w:vAlign w:val="bottom"/>
            <w:shd w:val="clear" w:color="auto" w:fill="CCFFCC"/>
          </w:tcPr>
          <w:p>
            <w:pPr>
              <w:spacing w:after="0"/>
              <w:rPr>
                <w:sz w:val="12"/>
                <w:szCs w:val="12"/>
                <w:color w:val="auto"/>
              </w:rPr>
            </w:pPr>
          </w:p>
        </w:tc>
        <w:tc>
          <w:tcPr>
            <w:tcW w:w="110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20.1%</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36.3%</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2,805.7</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2,786.3</w:t>
            </w:r>
          </w:p>
        </w:tc>
        <w:tc>
          <w:tcPr>
            <w:tcW w:w="80" w:type="dxa"/>
            <w:vAlign w:val="bottom"/>
            <w:shd w:val="clear" w:color="auto" w:fill="CCFFCC"/>
          </w:tcPr>
          <w:p>
            <w:pPr>
              <w:spacing w:after="0"/>
              <w:rPr>
                <w:sz w:val="12"/>
                <w:szCs w:val="12"/>
                <w:color w:val="auto"/>
              </w:rPr>
            </w:pPr>
          </w:p>
        </w:tc>
        <w:tc>
          <w:tcPr>
            <w:tcW w:w="102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2,789.0</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0.7%</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b w:val="1"/>
                <w:bCs w:val="1"/>
                <w:color w:val="auto"/>
              </w:rPr>
              <w:t>Retail Banking</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19,607.6</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18,715.5</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15,985.9</w:t>
            </w:r>
          </w:p>
        </w:tc>
        <w:tc>
          <w:tcPr>
            <w:tcW w:w="40" w:type="dxa"/>
            <w:vAlign w:val="bottom"/>
          </w:tcPr>
          <w:p>
            <w:pPr>
              <w:spacing w:after="0"/>
              <w:rPr>
                <w:sz w:val="12"/>
                <w:szCs w:val="12"/>
                <w:color w:val="auto"/>
              </w:rPr>
            </w:pPr>
          </w:p>
        </w:tc>
        <w:tc>
          <w:tcPr>
            <w:tcW w:w="110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4.8%</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22.7%</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2,897.5</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2,924.4</w:t>
            </w:r>
          </w:p>
        </w:tc>
        <w:tc>
          <w:tcPr>
            <w:tcW w:w="80" w:type="dxa"/>
            <w:vAlign w:val="bottom"/>
          </w:tcPr>
          <w:p>
            <w:pPr>
              <w:spacing w:after="0"/>
              <w:rPr>
                <w:sz w:val="12"/>
                <w:szCs w:val="12"/>
                <w:color w:val="auto"/>
              </w:rPr>
            </w:pPr>
          </w:p>
        </w:tc>
        <w:tc>
          <w:tcPr>
            <w:tcW w:w="102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2,895.8</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-0.9%</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i w:val="1"/>
                <w:iCs w:val="1"/>
                <w:color w:val="auto"/>
              </w:rPr>
              <w:t>- SME</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6,319.4</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6,131.6</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5,352.1</w:t>
            </w:r>
          </w:p>
        </w:tc>
        <w:tc>
          <w:tcPr>
            <w:tcW w:w="40" w:type="dxa"/>
            <w:vAlign w:val="bottom"/>
            <w:shd w:val="clear" w:color="auto" w:fill="CCFFCC"/>
          </w:tcPr>
          <w:p>
            <w:pPr>
              <w:spacing w:after="0"/>
              <w:rPr>
                <w:sz w:val="12"/>
                <w:szCs w:val="12"/>
                <w:color w:val="auto"/>
              </w:rPr>
            </w:pPr>
          </w:p>
        </w:tc>
        <w:tc>
          <w:tcPr>
            <w:tcW w:w="110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3.1%</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18.1%</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274.1</w:t>
            </w:r>
          </w:p>
        </w:tc>
        <w:tc>
          <w:tcPr>
            <w:tcW w:w="7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285.1</w:t>
            </w:r>
          </w:p>
        </w:tc>
        <w:tc>
          <w:tcPr>
            <w:tcW w:w="102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285.4</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-3.8%</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i w:val="1"/>
                <w:iCs w:val="1"/>
                <w:color w:val="auto"/>
              </w:rPr>
              <w:t>- Business</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716.7</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640.7</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554.5</w:t>
            </w:r>
          </w:p>
        </w:tc>
        <w:tc>
          <w:tcPr>
            <w:tcW w:w="11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11.9%</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29.2%</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693.7</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675.4</w:t>
            </w:r>
          </w:p>
        </w:tc>
        <w:tc>
          <w:tcPr>
            <w:tcW w:w="10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661.3</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i w:val="1"/>
                <w:iCs w:val="1"/>
                <w:color w:val="auto"/>
              </w:rPr>
              <w:t>- Mortgages</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5,819.5</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5,445.3</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4,196.3</w:t>
            </w:r>
          </w:p>
        </w:tc>
        <w:tc>
          <w:tcPr>
            <w:tcW w:w="40" w:type="dxa"/>
            <w:vAlign w:val="bottom"/>
            <w:shd w:val="clear" w:color="auto" w:fill="CCFFCC"/>
          </w:tcPr>
          <w:p>
            <w:pPr>
              <w:spacing w:after="0"/>
              <w:rPr>
                <w:sz w:val="12"/>
                <w:szCs w:val="12"/>
                <w:color w:val="auto"/>
              </w:rPr>
            </w:pPr>
          </w:p>
        </w:tc>
        <w:tc>
          <w:tcPr>
            <w:tcW w:w="110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6.9%</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38.7%</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1,406.3</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1,452.4</w:t>
            </w:r>
          </w:p>
        </w:tc>
        <w:tc>
          <w:tcPr>
            <w:tcW w:w="80" w:type="dxa"/>
            <w:vAlign w:val="bottom"/>
            <w:shd w:val="clear" w:color="auto" w:fill="CCFFCC"/>
          </w:tcPr>
          <w:p>
            <w:pPr>
              <w:spacing w:after="0"/>
              <w:rPr>
                <w:sz w:val="12"/>
                <w:szCs w:val="12"/>
                <w:color w:val="auto"/>
              </w:rPr>
            </w:pPr>
          </w:p>
        </w:tc>
        <w:tc>
          <w:tcPr>
            <w:tcW w:w="102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1,488.3</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-3.2%</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i w:val="1"/>
                <w:iCs w:val="1"/>
                <w:color w:val="auto"/>
              </w:rPr>
              <w:t>- Consumer</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4,243.3</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4,069.7</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3,566.5</w:t>
            </w:r>
          </w:p>
        </w:tc>
        <w:tc>
          <w:tcPr>
            <w:tcW w:w="40" w:type="dxa"/>
            <w:vAlign w:val="bottom"/>
          </w:tcPr>
          <w:p>
            <w:pPr>
              <w:spacing w:after="0"/>
              <w:rPr>
                <w:sz w:val="12"/>
                <w:szCs w:val="12"/>
                <w:color w:val="auto"/>
              </w:rPr>
            </w:pPr>
          </w:p>
        </w:tc>
        <w:tc>
          <w:tcPr>
            <w:tcW w:w="11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4.3%</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19.0%</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404.8</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395.9</w:t>
            </w:r>
          </w:p>
        </w:tc>
        <w:tc>
          <w:tcPr>
            <w:tcW w:w="10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353.6</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i w:val="1"/>
                <w:iCs w:val="1"/>
                <w:color w:val="auto"/>
              </w:rPr>
              <w:t>- Credit Cards</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2,508.8</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2,428.2</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2,316.4</w:t>
            </w:r>
          </w:p>
        </w:tc>
        <w:tc>
          <w:tcPr>
            <w:tcW w:w="40" w:type="dxa"/>
            <w:vAlign w:val="bottom"/>
            <w:shd w:val="clear" w:color="auto" w:fill="CCFFCC"/>
          </w:tcPr>
          <w:p>
            <w:pPr>
              <w:spacing w:after="0"/>
              <w:rPr>
                <w:sz w:val="12"/>
                <w:szCs w:val="12"/>
                <w:color w:val="auto"/>
              </w:rPr>
            </w:pPr>
          </w:p>
        </w:tc>
        <w:tc>
          <w:tcPr>
            <w:tcW w:w="110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3.3%</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8.3%</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118.5</w:t>
            </w:r>
          </w:p>
        </w:tc>
        <w:tc>
          <w:tcPr>
            <w:tcW w:w="7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115.5</w:t>
            </w:r>
          </w:p>
        </w:tc>
        <w:tc>
          <w:tcPr>
            <w:tcW w:w="102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107.2</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2.6%</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b w:val="1"/>
                <w:bCs w:val="1"/>
                <w:color w:val="auto"/>
              </w:rPr>
              <w:t>Edyficar</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2,476.9</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2,270.4</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1,775.3</w:t>
            </w:r>
          </w:p>
        </w:tc>
        <w:tc>
          <w:tcPr>
            <w:tcW w:w="40" w:type="dxa"/>
            <w:vAlign w:val="bottom"/>
          </w:tcPr>
          <w:p>
            <w:pPr>
              <w:spacing w:after="0"/>
              <w:rPr>
                <w:sz w:val="12"/>
                <w:szCs w:val="12"/>
                <w:color w:val="auto"/>
              </w:rPr>
            </w:pPr>
          </w:p>
        </w:tc>
        <w:tc>
          <w:tcPr>
            <w:tcW w:w="110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9.1%</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39.5%</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9.7</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10.2</w:t>
            </w:r>
          </w:p>
        </w:tc>
        <w:tc>
          <w:tcPr>
            <w:tcW w:w="102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10.8</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-4.4%</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-10.4%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Others (2)</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148.9</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149.9</w:t>
            </w:r>
          </w:p>
        </w:tc>
        <w:tc>
          <w:tcPr>
            <w:tcW w:w="72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b w:val="1"/>
                <w:bCs w:val="1"/>
                <w:color w:val="auto"/>
              </w:rPr>
              <w:t>127.7</w:t>
            </w:r>
          </w:p>
        </w:tc>
        <w:tc>
          <w:tcPr>
            <w:tcW w:w="110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-0.7%</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16.6%</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1,116.0</w:t>
            </w:r>
          </w:p>
        </w:tc>
        <w:tc>
          <w:tcPr>
            <w:tcW w:w="68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1,053.4</w:t>
            </w:r>
          </w:p>
        </w:tc>
        <w:tc>
          <w:tcPr>
            <w:tcW w:w="80" w:type="dxa"/>
            <w:vAlign w:val="bottom"/>
            <w:shd w:val="clear" w:color="auto" w:fill="CCFFCC"/>
          </w:tcPr>
          <w:p>
            <w:pPr>
              <w:spacing w:after="0"/>
              <w:rPr>
                <w:sz w:val="14"/>
                <w:szCs w:val="14"/>
                <w:color w:val="auto"/>
              </w:rPr>
            </w:pPr>
          </w:p>
        </w:tc>
        <w:tc>
          <w:tcPr>
            <w:tcW w:w="1020" w:type="dxa"/>
            <w:vAlign w:val="bottom"/>
            <w:gridSpan w:val="3"/>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918.7</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5.9%</w:t>
            </w: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4"/>
                <w:szCs w:val="14"/>
                <w:b w:val="1"/>
                <w:bCs w:val="1"/>
                <w:color w:val="auto"/>
              </w:rPr>
              <w:t>21.5%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0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Consolidated total loans</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29,963.5</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27,514.9</w:t>
            </w:r>
          </w:p>
        </w:tc>
        <w:tc>
          <w:tcPr>
            <w:tcW w:w="68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22,575.9</w:t>
            </w:r>
          </w:p>
        </w:tc>
        <w:tc>
          <w:tcPr>
            <w:tcW w:w="40" w:type="dxa"/>
            <w:vAlign w:val="bottom"/>
            <w:shd w:val="clear" w:color="auto" w:fill="CCFFCC"/>
          </w:tcPr>
          <w:p>
            <w:pPr>
              <w:spacing w:after="0"/>
              <w:rPr>
                <w:sz w:val="14"/>
                <w:szCs w:val="14"/>
                <w:color w:val="auto"/>
              </w:rPr>
            </w:pPr>
          </w:p>
        </w:tc>
        <w:tc>
          <w:tcPr>
            <w:tcW w:w="110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8.9%</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32.7%</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11,670.3</w:t>
            </w: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b w:val="1"/>
                <w:bCs w:val="1"/>
                <w:color w:val="auto"/>
              </w:rPr>
              <w:t>11,601.3</w:t>
            </w:r>
          </w:p>
        </w:tc>
        <w:tc>
          <w:tcPr>
            <w:tcW w:w="1020" w:type="dxa"/>
            <w:vAlign w:val="bottom"/>
            <w:gridSpan w:val="3"/>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11,317.7</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0.6%</w:t>
            </w: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Average daily balance.</w:t>
      </w:r>
    </w:p>
    <w:p>
      <w:pPr>
        <w:spacing w:after="0" w:line="9" w:lineRule="exact"/>
        <w:rPr>
          <w:rFonts w:ascii="Arial" w:cs="Arial" w:eastAsia="Arial" w:hAnsi="Arial"/>
          <w:sz w:val="18"/>
          <w:szCs w:val="18"/>
          <w:i w:val="1"/>
          <w:iCs w:val="1"/>
          <w:color w:val="auto"/>
        </w:rPr>
      </w:pPr>
    </w:p>
    <w:p>
      <w:pPr>
        <w:ind w:right="7040" w:firstLine="8"/>
        <w:spacing w:after="0" w:line="261" w:lineRule="auto"/>
        <w:tabs>
          <w:tab w:leader="none" w:pos="255"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Work Out Unit, other banking and BCP Bolivia. Source: BCP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Market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5188585" cy="21266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88585" cy="2126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the end of November, BCP consolidated continued to lead the loan market with a 31% share, which situates it over 10 percentage points ahead of its closest competitor.</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Retail Banking posted a stable market share maintaining its leadership in all segments. On the other hand, Middle-market experienced an increase going from 33.7% on September 2013 to 34.3% on December 2013, while Corporate Banking fell from 45.7% on September to 43% on December 2013.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Dollarization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LC-denominated portfolio’s share of total loans increased QoQ and YoY, going from 44.1% in 4Q12 and 46.9% in 3Q13 to 49.0% in 4Q13. This was primarily attributable to solid QoQ and YoY expansion in Wholesale Banking loans in LC.</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2095500</wp:posOffset>
            </wp:positionH>
            <wp:positionV relativeFrom="page">
              <wp:posOffset>568960</wp:posOffset>
            </wp:positionV>
            <wp:extent cx="5308600" cy="23926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08600" cy="239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II. 2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At the end of 4Q13, total liabilities increased +2.5% QoQ due to growth in deposits (+1.7% QoQ), which is the Bank’s main source of funding, and expansion in due to banks and correspondents (+12.9% QoQ). The funding cost was situated at 2%, which falls below the 2.14% reported in 3Q13 due to a decrease in the expenses associated with deposits.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6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20" w:type="dxa"/>
            <w:vAlign w:val="bottom"/>
            <w:tcBorders>
              <w:bottom w:val="single" w:sz="8" w:color="CCFFCC"/>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4Q13</w:t>
            </w:r>
          </w:p>
        </w:tc>
        <w:tc>
          <w:tcPr>
            <w:tcW w:w="200" w:type="dxa"/>
            <w:vAlign w:val="bottom"/>
            <w:tcBorders>
              <w:bottom w:val="single" w:sz="8" w:color="CCFFCC"/>
            </w:tcBorders>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3Q13</w:t>
            </w:r>
          </w:p>
        </w:tc>
        <w:tc>
          <w:tcPr>
            <w:tcW w:w="220" w:type="dxa"/>
            <w:vAlign w:val="bottom"/>
            <w:tcBorders>
              <w:bottom w:val="single" w:sz="8" w:color="CCFFCC"/>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4Q12</w:t>
            </w:r>
          </w:p>
        </w:tc>
        <w:tc>
          <w:tcPr>
            <w:tcW w:w="220" w:type="dxa"/>
            <w:vAlign w:val="bottom"/>
            <w:tcBorders>
              <w:bottom w:val="single" w:sz="8" w:color="CCFFCC"/>
            </w:tcBorders>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6120" w:type="dxa"/>
            <w:vAlign w:val="bottom"/>
            <w:shd w:val="clear" w:color="auto" w:fill="CCFFCC"/>
          </w:tcPr>
          <w:p>
            <w:pPr>
              <w:spacing w:after="0"/>
              <w:rPr>
                <w:sz w:val="20"/>
                <w:szCs w:val="20"/>
                <w:color w:val="auto"/>
              </w:rPr>
            </w:pPr>
            <w:r>
              <w:rPr>
                <w:rFonts w:ascii="Arial" w:cs="Arial" w:eastAsia="Arial" w:hAnsi="Arial"/>
                <w:sz w:val="18"/>
                <w:szCs w:val="18"/>
                <w:color w:val="auto"/>
              </w:rPr>
              <w:t>Non-interest bearing deposits</w:t>
            </w:r>
          </w:p>
        </w:tc>
        <w:tc>
          <w:tcPr>
            <w:tcW w:w="1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6,167,110</w:t>
            </w: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5,801,751</w:t>
            </w: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6,205,849</w:t>
            </w:r>
          </w:p>
        </w:tc>
        <w:tc>
          <w:tcPr>
            <w:tcW w:w="2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6.3%</w:t>
            </w:r>
          </w:p>
        </w:tc>
        <w:tc>
          <w:tcPr>
            <w:tcW w:w="8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-0.6%</w:t>
            </w:r>
          </w:p>
        </w:tc>
      </w:tr>
      <w:tr>
        <w:trPr>
          <w:trHeight w:val="216"/>
        </w:trPr>
        <w:tc>
          <w:tcPr>
            <w:tcW w:w="6240" w:type="dxa"/>
            <w:vAlign w:val="bottom"/>
            <w:gridSpan w:val="2"/>
          </w:tcPr>
          <w:p>
            <w:pPr>
              <w:spacing w:after="0"/>
              <w:rPr>
                <w:sz w:val="20"/>
                <w:szCs w:val="20"/>
                <w:color w:val="auto"/>
              </w:rPr>
            </w:pPr>
            <w:r>
              <w:rPr>
                <w:rFonts w:ascii="Arial" w:cs="Arial" w:eastAsia="Arial" w:hAnsi="Arial"/>
                <w:sz w:val="18"/>
                <w:szCs w:val="18"/>
                <w:color w:val="auto"/>
              </w:rPr>
              <w:t>Demand deposits</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1,273,472</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1,351,176</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1,376,971</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-5.8%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62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Saving deposits</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6,355,705</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6,070,575</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6,084,550</w:t>
            </w:r>
          </w:p>
        </w:tc>
        <w:tc>
          <w:tcPr>
            <w:tcW w:w="94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4.7%</w:t>
            </w:r>
          </w:p>
        </w:tc>
        <w:tc>
          <w:tcPr>
            <w:tcW w:w="8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624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6,915,603</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7,357,460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6,872,223</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-6.0%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0.6%</w:t>
            </w:r>
          </w:p>
        </w:tc>
      </w:tr>
      <w:tr>
        <w:trPr>
          <w:trHeight w:val="216"/>
        </w:trPr>
        <w:tc>
          <w:tcPr>
            <w:tcW w:w="62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Severance indemnity deposits (CTS)</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2,390,742</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2,130,214</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2,232,492</w:t>
            </w:r>
          </w:p>
        </w:tc>
        <w:tc>
          <w:tcPr>
            <w:tcW w:w="94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12.2%</w:t>
            </w:r>
          </w:p>
        </w:tc>
        <w:tc>
          <w:tcPr>
            <w:tcW w:w="8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71,457</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72,905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63,366</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-2.0%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12.8%</w:t>
            </w:r>
          </w:p>
        </w:tc>
      </w:tr>
      <w:tr>
        <w:trPr>
          <w:trHeight w:val="210"/>
        </w:trPr>
        <w:tc>
          <w:tcPr>
            <w:tcW w:w="624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deposits</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23,174,089</w:t>
            </w:r>
          </w:p>
        </w:tc>
        <w:tc>
          <w:tcPr>
            <w:tcW w:w="20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22,784,081</w:t>
            </w:r>
          </w:p>
        </w:tc>
        <w:tc>
          <w:tcPr>
            <w:tcW w:w="22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22,835,451</w:t>
            </w:r>
          </w:p>
        </w:tc>
        <w:tc>
          <w:tcPr>
            <w:tcW w:w="220" w:type="dxa"/>
            <w:vAlign w:val="bottom"/>
            <w:tcBorders>
              <w:top w:val="single" w:sz="8" w:color="CCFFCC"/>
            </w:tcBorders>
            <w:shd w:val="clear" w:color="auto" w:fill="CCFFCC"/>
          </w:tcPr>
          <w:p>
            <w:pPr>
              <w:spacing w:after="0"/>
              <w:rPr>
                <w:sz w:val="18"/>
                <w:szCs w:val="18"/>
                <w:color w:val="auto"/>
              </w:rPr>
            </w:pPr>
          </w:p>
        </w:tc>
        <w:tc>
          <w:tcPr>
            <w:tcW w:w="6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1.7</w:t>
            </w:r>
          </w:p>
        </w:tc>
        <w:tc>
          <w:tcPr>
            <w:tcW w:w="30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1.5</w:t>
            </w:r>
          </w:p>
        </w:tc>
        <w:tc>
          <w:tcPr>
            <w:tcW w:w="1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6240" w:type="dxa"/>
            <w:vAlign w:val="bottom"/>
            <w:gridSpan w:val="2"/>
          </w:tcPr>
          <w:p>
            <w:pPr>
              <w:spacing w:after="0"/>
              <w:rPr>
                <w:sz w:val="20"/>
                <w:szCs w:val="20"/>
                <w:color w:val="auto"/>
              </w:rPr>
            </w:pPr>
            <w:r>
              <w:rPr>
                <w:rFonts w:ascii="Arial" w:cs="Arial" w:eastAsia="Arial" w:hAnsi="Arial"/>
                <w:sz w:val="18"/>
                <w:szCs w:val="18"/>
                <w:color w:val="auto"/>
              </w:rPr>
              <w:t>Due to banks and correspondents</w:t>
            </w:r>
          </w:p>
        </w:tc>
        <w:tc>
          <w:tcPr>
            <w:tcW w:w="920" w:type="dxa"/>
            <w:vAlign w:val="bottom"/>
          </w:tcPr>
          <w:p>
            <w:pPr>
              <w:jc w:val="right"/>
              <w:spacing w:after="0"/>
              <w:rPr>
                <w:sz w:val="20"/>
                <w:szCs w:val="20"/>
                <w:color w:val="auto"/>
              </w:rPr>
            </w:pPr>
            <w:r>
              <w:rPr>
                <w:rFonts w:ascii="Arial" w:cs="Arial" w:eastAsia="Arial" w:hAnsi="Arial"/>
                <w:sz w:val="18"/>
                <w:szCs w:val="18"/>
                <w:color w:val="auto"/>
              </w:rPr>
              <w:t>4,327,719</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3,832,745</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4,379,853</w:t>
            </w:r>
          </w:p>
        </w:tc>
        <w:tc>
          <w:tcPr>
            <w:tcW w:w="220" w:type="dxa"/>
            <w:vAlign w:val="bottom"/>
          </w:tcPr>
          <w:p>
            <w:pPr>
              <w:spacing w:after="0"/>
              <w:rPr>
                <w:sz w:val="18"/>
                <w:szCs w:val="18"/>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12.9%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62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Bonds and subordinated debt</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4,137,652</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4,147,354</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3,684,908</w:t>
            </w:r>
          </w:p>
        </w:tc>
        <w:tc>
          <w:tcPr>
            <w:tcW w:w="94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-0.2%</w:t>
            </w:r>
          </w:p>
        </w:tc>
        <w:tc>
          <w:tcPr>
            <w:tcW w:w="8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12.3%</w:t>
            </w:r>
          </w:p>
        </w:tc>
      </w:t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619,956</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723,650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2,043,750</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-14.3%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-69.7%</w:t>
            </w:r>
          </w:p>
        </w:tc>
      </w:tr>
      <w:tr>
        <w:trPr>
          <w:trHeight w:val="210"/>
        </w:trPr>
        <w:tc>
          <w:tcPr>
            <w:tcW w:w="624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liabilities</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32,259,416</w:t>
            </w:r>
          </w:p>
        </w:tc>
        <w:tc>
          <w:tcPr>
            <w:tcW w:w="20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31,487,830</w:t>
            </w:r>
          </w:p>
        </w:tc>
        <w:tc>
          <w:tcPr>
            <w:tcW w:w="22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32,943,962</w:t>
            </w:r>
          </w:p>
        </w:tc>
        <w:tc>
          <w:tcPr>
            <w:tcW w:w="220" w:type="dxa"/>
            <w:vAlign w:val="bottom"/>
            <w:tcBorders>
              <w:top w:val="single" w:sz="8" w:color="CCFFCC"/>
            </w:tcBorders>
            <w:shd w:val="clear" w:color="auto" w:fill="CCFFCC"/>
          </w:tcPr>
          <w:p>
            <w:pPr>
              <w:spacing w:after="0"/>
              <w:rPr>
                <w:sz w:val="18"/>
                <w:szCs w:val="18"/>
                <w:color w:val="auto"/>
              </w:rPr>
            </w:pPr>
          </w:p>
        </w:tc>
        <w:tc>
          <w:tcPr>
            <w:tcW w:w="6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2.5</w:t>
            </w:r>
          </w:p>
        </w:tc>
        <w:tc>
          <w:tcPr>
            <w:tcW w:w="30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-2.1</w:t>
            </w:r>
          </w:p>
        </w:tc>
        <w:tc>
          <w:tcPr>
            <w:tcW w:w="1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bl>
    <w:p>
      <w:pPr>
        <w:ind w:right="7500" w:firstLine="8"/>
        <w:spacing w:after="0" w:line="492" w:lineRule="auto"/>
        <w:tabs>
          <w:tab w:leader="none" w:pos="135"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See note in BCP and Subsidiaries income statement. Deposits</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Total deposits expanded +1.7% QoQ, due primarily to +5.4% growth QoQ in core deposits (Demand, Savings and CTS). The increase in demand and savings deposits came from Retail Banking clients and was primarily LC-denominated. This went hand-in-hand with the campaigns held to stimulate growth in this segment. CTS deposits grew +12.2% QoQ due to seasonal factors that are present in the fourth quarter every year given that CTS payments are made in November. In this scenario core deposits’ share of total deposits increased from 67.4% to 69.8%, which helped push funding costs down.</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Time deposits, which are not considered core deposits, posted a decrease of -6.0% QoQ. This was due primarily to maturities and withdrawals in LC in the Middle Market portfolio.</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annual terms, deposits grew +1.5%, which was mainly due to the +4.5% increase posted in savings deposits and +7.1% growth in CTS deposits. This expansion was attributable to the year-end campaigns conducted in these segments. Nevertheless, if we analyze these deposits by currency type, it is evident that deposits denominated in US Dollars grew at a faster rate than their counterparts in Nuevos Soles, which may be due to the devaluation that affected the local currency during the year.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4Q13, the loan/deposit ratio was situated at 96.3% (vs. 95.3% in 3Q13) due to more growth in loans than in deposits. An analysis by currency shows that this indicator reached 95.3% in LC (vs. 85.1% in 3Q13) and 97.2% in FC (vs. 106.6% in 2Q13).</w:t>
      </w:r>
    </w:p>
    <w:p>
      <w:pPr>
        <w:spacing w:after="0" w:line="38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0" w:name="page21"/>
    <w:bookmarkEnd w:id="20"/>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Other funding sources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other sources of funding (+4.4% QoQ) was mainly attributable to expansion in the level relative to banks and correspondents (+12.9% QoQ) that was due to a REPO negotiated with BCRP in the month of December for approximately US$350 million and the fact that the Bank increased its financing obligations with Standard Chartered Bank and Citi Bank.</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aforementioned was attenuated by the drop in Other Liabilities (-14.3% QoQ). This was due to a QoQ decrease in transactions pending liquidation, which are in turn attributable to the purchase of sovereign papers and CDs.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annual terms, bonds and subordinated debt increased (+12.3% YoY). This was due to a US$350 million issuance of BCP’s international corporate bonds; a move to reopen BCP subordinated bond 2027 for US$ 170 million; and the exchange of BCP bonds 2016 that were issued in 2011 for BCP bonds 2023, which were recently issued in a transaction that generated an additional US$366.3 million. These operations allowed the Bank to efficiently match currencies while taking advantage of historically low rates in the international capital market. In this context, bonds and subordinated debt’s share of total funding increased 11.2% at the end of 2012 to situate at 12.8% at the end of 2013. It is important to note that the -69.7% decline YoY in Other Liabilities is related to Credicorp Capital’s purchase of Correval in June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Cost</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Bank’s funding cost was situated at 2.00%</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in 4Q13, which represents a 14bp decline with regard to 3Q13’s figure (2.14%). This result was due primarily to a decrease in interest expenses on deposits relative to higher level of core deposits and lower figure of time deposits, the former linked to lower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1651635</wp:posOffset>
            </wp:positionH>
            <wp:positionV relativeFrom="paragraph">
              <wp:posOffset>137160</wp:posOffset>
            </wp:positionV>
            <wp:extent cx="3953510" cy="24098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953510" cy="240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Share of Deposits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At the end of November 2013, BCP head fast to its position of market leader in deposits with a 31.5% share of total deposits in the financial system.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Bank continued to lead the system for different types of deposits in both local and 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8097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El costo de fondeo es calculado usando la siguiente fórmula: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87630</wp:posOffset>
            </wp:positionV>
            <wp:extent cx="3687445" cy="1885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8744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 Se considera el promedio entre el saldo inicial y de cierre del total de pasivos (sin incluir otros pasivos) para el periodo</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1" w:name="page22"/>
    <w:bookmarkEnd w:id="21"/>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tbl>
      <w:tblPr>
        <w:tblLayout w:type="fixed"/>
        <w:tblInd w:w="116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p>
        </w:tc>
        <w:tc>
          <w:tcPr>
            <w:tcW w:w="4340" w:type="dxa"/>
            <w:vAlign w:val="bottom"/>
            <w:gridSpan w:val="5"/>
          </w:tcPr>
          <w:p>
            <w:pPr>
              <w:jc w:val="right"/>
              <w:ind w:right="550"/>
              <w:spacing w:after="0"/>
              <w:rPr>
                <w:sz w:val="20"/>
                <w:szCs w:val="20"/>
                <w:color w:val="auto"/>
              </w:rPr>
            </w:pPr>
            <w:r>
              <w:rPr>
                <w:rFonts w:ascii="Arial" w:cs="Arial" w:eastAsia="Arial" w:hAnsi="Arial"/>
                <w:sz w:val="18"/>
                <w:szCs w:val="18"/>
                <w:b w:val="1"/>
                <w:bCs w:val="1"/>
                <w:color w:val="auto"/>
                <w:w w:val="94"/>
              </w:rPr>
              <w:t>Market share by type of deposit and currency</w:t>
            </w: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26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140" w:type="dxa"/>
            <w:vAlign w:val="bottom"/>
            <w:gridSpan w:val="2"/>
          </w:tcPr>
          <w:p>
            <w:pPr>
              <w:jc w:val="right"/>
              <w:ind w:right="310"/>
              <w:spacing w:after="0"/>
              <w:rPr>
                <w:sz w:val="20"/>
                <w:szCs w:val="20"/>
                <w:color w:val="auto"/>
              </w:rPr>
            </w:pPr>
            <w:r>
              <w:rPr>
                <w:rFonts w:ascii="Arial" w:cs="Arial" w:eastAsia="Arial" w:hAnsi="Arial"/>
                <w:sz w:val="18"/>
                <w:szCs w:val="18"/>
                <w:color w:val="auto"/>
              </w:rPr>
              <w:t>Demand</w:t>
            </w:r>
          </w:p>
        </w:tc>
        <w:tc>
          <w:tcPr>
            <w:tcW w:w="1140" w:type="dxa"/>
            <w:vAlign w:val="bottom"/>
            <w:gridSpan w:val="2"/>
          </w:tcPr>
          <w:p>
            <w:pPr>
              <w:jc w:val="right"/>
              <w:ind w:right="390"/>
              <w:spacing w:after="0"/>
              <w:rPr>
                <w:sz w:val="20"/>
                <w:szCs w:val="20"/>
                <w:color w:val="auto"/>
              </w:rPr>
            </w:pPr>
            <w:r>
              <w:rPr>
                <w:rFonts w:ascii="Arial" w:cs="Arial" w:eastAsia="Arial" w:hAnsi="Arial"/>
                <w:sz w:val="18"/>
                <w:szCs w:val="18"/>
                <w:color w:val="auto"/>
              </w:rPr>
              <w:t>Saving</w:t>
            </w:r>
          </w:p>
        </w:tc>
        <w:tc>
          <w:tcPr>
            <w:tcW w:w="1140" w:type="dxa"/>
            <w:vAlign w:val="bottom"/>
            <w:gridSpan w:val="2"/>
          </w:tcPr>
          <w:p>
            <w:pPr>
              <w:jc w:val="right"/>
              <w:ind w:right="450"/>
              <w:spacing w:after="0"/>
              <w:rPr>
                <w:sz w:val="20"/>
                <w:szCs w:val="20"/>
                <w:color w:val="auto"/>
              </w:rPr>
            </w:pPr>
            <w:r>
              <w:rPr>
                <w:rFonts w:ascii="Arial" w:cs="Arial" w:eastAsia="Arial" w:hAnsi="Arial"/>
                <w:sz w:val="18"/>
                <w:szCs w:val="18"/>
                <w:color w:val="auto"/>
              </w:rPr>
              <w:t>Time</w:t>
            </w:r>
          </w:p>
        </w:tc>
        <w:tc>
          <w:tcPr>
            <w:tcW w:w="1040" w:type="dxa"/>
            <w:vAlign w:val="bottom"/>
            <w:gridSpan w:val="2"/>
          </w:tcPr>
          <w:p>
            <w:pPr>
              <w:jc w:val="right"/>
              <w:ind w:right="170"/>
              <w:spacing w:after="0"/>
              <w:rPr>
                <w:sz w:val="20"/>
                <w:szCs w:val="20"/>
                <w:color w:val="auto"/>
              </w:rPr>
            </w:pPr>
            <w:r>
              <w:rPr>
                <w:rFonts w:ascii="Arial" w:cs="Arial" w:eastAsia="Arial" w:hAnsi="Arial"/>
                <w:sz w:val="18"/>
                <w:szCs w:val="18"/>
                <w:color w:val="auto"/>
                <w:w w:val="88"/>
              </w:rPr>
              <w:t>Severance</w:t>
            </w:r>
          </w:p>
        </w:tc>
      </w:tr>
      <w:tr>
        <w:trPr>
          <w:trHeight w:val="230"/>
        </w:trPr>
        <w:tc>
          <w:tcPr>
            <w:tcW w:w="26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140" w:type="dxa"/>
            <w:vAlign w:val="bottom"/>
            <w:gridSpan w:val="2"/>
          </w:tcPr>
          <w:p>
            <w:pPr>
              <w:jc w:val="right"/>
              <w:ind w:right="310"/>
              <w:spacing w:after="0"/>
              <w:rPr>
                <w:sz w:val="20"/>
                <w:szCs w:val="20"/>
                <w:color w:val="auto"/>
              </w:rPr>
            </w:pPr>
            <w:r>
              <w:rPr>
                <w:rFonts w:ascii="Arial" w:cs="Arial" w:eastAsia="Arial" w:hAnsi="Arial"/>
                <w:sz w:val="18"/>
                <w:szCs w:val="18"/>
                <w:color w:val="auto"/>
              </w:rPr>
              <w:t>deposits</w:t>
            </w:r>
          </w:p>
        </w:tc>
        <w:tc>
          <w:tcPr>
            <w:tcW w:w="1140" w:type="dxa"/>
            <w:vAlign w:val="bottom"/>
            <w:gridSpan w:val="2"/>
          </w:tcPr>
          <w:p>
            <w:pPr>
              <w:jc w:val="right"/>
              <w:ind w:right="310"/>
              <w:spacing w:after="0"/>
              <w:rPr>
                <w:sz w:val="20"/>
                <w:szCs w:val="20"/>
                <w:color w:val="auto"/>
              </w:rPr>
            </w:pPr>
            <w:r>
              <w:rPr>
                <w:rFonts w:ascii="Arial" w:cs="Arial" w:eastAsia="Arial" w:hAnsi="Arial"/>
                <w:sz w:val="18"/>
                <w:szCs w:val="18"/>
                <w:color w:val="auto"/>
              </w:rPr>
              <w:t>deposits</w:t>
            </w:r>
          </w:p>
        </w:tc>
        <w:tc>
          <w:tcPr>
            <w:tcW w:w="1140" w:type="dxa"/>
            <w:vAlign w:val="bottom"/>
            <w:gridSpan w:val="2"/>
          </w:tcPr>
          <w:p>
            <w:pPr>
              <w:jc w:val="right"/>
              <w:ind w:right="310"/>
              <w:spacing w:after="0"/>
              <w:rPr>
                <w:sz w:val="20"/>
                <w:szCs w:val="20"/>
                <w:color w:val="auto"/>
              </w:rPr>
            </w:pPr>
            <w:r>
              <w:rPr>
                <w:rFonts w:ascii="Arial" w:cs="Arial" w:eastAsia="Arial" w:hAnsi="Arial"/>
                <w:sz w:val="18"/>
                <w:szCs w:val="18"/>
                <w:color w:val="auto"/>
              </w:rPr>
              <w:t>deposits</w:t>
            </w:r>
          </w:p>
        </w:tc>
        <w:tc>
          <w:tcPr>
            <w:tcW w:w="1040" w:type="dxa"/>
            <w:vAlign w:val="bottom"/>
            <w:gridSpan w:val="2"/>
          </w:tcPr>
          <w:p>
            <w:pPr>
              <w:jc w:val="right"/>
              <w:ind w:right="150"/>
              <w:spacing w:after="0"/>
              <w:rPr>
                <w:sz w:val="20"/>
                <w:szCs w:val="20"/>
                <w:color w:val="auto"/>
              </w:rPr>
            </w:pPr>
            <w:r>
              <w:rPr>
                <w:rFonts w:ascii="Arial" w:cs="Arial" w:eastAsia="Arial" w:hAnsi="Arial"/>
                <w:sz w:val="18"/>
                <w:szCs w:val="18"/>
                <w:color w:val="auto"/>
              </w:rPr>
              <w:t>indemnity</w:t>
            </w:r>
          </w:p>
        </w:tc>
      </w:tr>
      <w:tr>
        <w:trPr>
          <w:trHeight w:val="210"/>
        </w:trPr>
        <w:tc>
          <w:tcPr>
            <w:tcW w:w="2600" w:type="dxa"/>
            <w:vAlign w:val="bottom"/>
            <w:tcBorders>
              <w:top w:val="single" w:sz="8" w:color="CCFFCC"/>
            </w:tcBorders>
            <w:shd w:val="clear" w:color="auto" w:fill="CCFFCC"/>
          </w:tcPr>
          <w:p>
            <w:pPr>
              <w:ind w:left="2180"/>
              <w:spacing w:after="0"/>
              <w:rPr>
                <w:sz w:val="20"/>
                <w:szCs w:val="20"/>
                <w:color w:val="auto"/>
              </w:rPr>
            </w:pPr>
            <w:r>
              <w:rPr>
                <w:rFonts w:ascii="Arial" w:cs="Arial" w:eastAsia="Arial" w:hAnsi="Arial"/>
                <w:sz w:val="18"/>
                <w:szCs w:val="18"/>
                <w:color w:val="auto"/>
              </w:rPr>
              <w:t>LC</w:t>
            </w:r>
          </w:p>
        </w:tc>
        <w:tc>
          <w:tcPr>
            <w:tcW w:w="206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37.8</w:t>
            </w:r>
          </w:p>
        </w:tc>
        <w:tc>
          <w:tcPr>
            <w:tcW w:w="240" w:type="dxa"/>
            <w:vAlign w:val="bottom"/>
            <w:tcBorders>
              <w:top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74"/>
              </w:rPr>
              <w:t>%</w:t>
            </w: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37.8</w:t>
            </w:r>
          </w:p>
        </w:tc>
        <w:tc>
          <w:tcPr>
            <w:tcW w:w="240" w:type="dxa"/>
            <w:vAlign w:val="bottom"/>
            <w:tcBorders>
              <w:top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74"/>
              </w:rPr>
              <w:t>%</w:t>
            </w: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22.5</w:t>
            </w:r>
          </w:p>
        </w:tc>
        <w:tc>
          <w:tcPr>
            <w:tcW w:w="260" w:type="dxa"/>
            <w:vAlign w:val="bottom"/>
            <w:tcBorders>
              <w:top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87"/>
              </w:rPr>
              <w:t>%</w:t>
            </w: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38.4</w:t>
            </w:r>
          </w:p>
        </w:tc>
        <w:tc>
          <w:tcPr>
            <w:tcW w:w="16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4"/>
              </w:rPr>
              <w:t>%</w:t>
            </w:r>
          </w:p>
        </w:tc>
      </w:tr>
      <w:tr>
        <w:trPr>
          <w:trHeight w:val="224"/>
        </w:trPr>
        <w:tc>
          <w:tcPr>
            <w:tcW w:w="2600" w:type="dxa"/>
            <w:vAlign w:val="bottom"/>
          </w:tcPr>
          <w:p>
            <w:pPr>
              <w:ind w:left="2180"/>
              <w:spacing w:after="0"/>
              <w:rPr>
                <w:sz w:val="20"/>
                <w:szCs w:val="20"/>
                <w:color w:val="auto"/>
              </w:rPr>
            </w:pPr>
            <w:r>
              <w:rPr>
                <w:rFonts w:ascii="Arial" w:cs="Arial" w:eastAsia="Arial" w:hAnsi="Arial"/>
                <w:sz w:val="18"/>
                <w:szCs w:val="18"/>
                <w:color w:val="auto"/>
              </w:rPr>
              <w:t>FC</w:t>
            </w:r>
          </w:p>
        </w:tc>
        <w:tc>
          <w:tcPr>
            <w:tcW w:w="20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34.2</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39.4</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29.8</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51.3</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-8255</wp:posOffset>
            </wp:positionV>
            <wp:extent cx="27273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8"/>
          <w:szCs w:val="18"/>
          <w:i w:val="1"/>
          <w:iCs w:val="1"/>
          <w:color w:val="auto"/>
        </w:rPr>
        <w:t>LC: Local Currency</w:t>
      </w:r>
    </w:p>
    <w:p>
      <w:pPr>
        <w:spacing w:after="0" w:line="8"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FC: Foreign Currency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 Dollarization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FC deposits’ share of total deposits increased from 47.5% at the end of 3Q13 to 49.5% at quarter-end in 4Q13. In YoY terms, the de-dollarization also posted a slight reverse with a 470 bps increase in the share of FC deposits. This trend is more than likely associated with the devaluation of the Nuevo Sol seen in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124460</wp:posOffset>
            </wp:positionV>
            <wp:extent cx="3481705" cy="20066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81705" cy="200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Mutual Funds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Mutual funds in Credifondo Peru fell -0.9% QoQ and -13% YoY due to high volatility in the financial markets. This was associated with expectations that the Federal Reserve would taper its monetary stimulus; lower-than-expected growth in China; and the evolution of the local market, where the General Index of the Lima Stock Exchange drew back 23.9% in 2013. In light of these results, affiliates chose to rescue their balances, which reduced the volume of funds under management. At the end of 2012, the number of clients served by Credifondo Peru totaled 82,215, which represented a market share in the Peruvian system of mutual funds of 42.4%.</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Mutual funds in Credifondo Bolivia increased +10.3% QoQ, which was due primarily to its decision to launch a new investment fund that is open in the mid-term in Bolivianos (Bs). This fund currently manages US$ 7 million. In YoY terms, mutual funds increased 9.3% due to improvements in commercial management, which were achieved through my frequent visits to the country’s interior, and synergies with the Bank’s money desk.</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Mutual funds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3"/>
          </w:tcPr>
          <w:p>
            <w:pPr>
              <w:ind w:left="640"/>
              <w:spacing w:after="0"/>
              <w:rPr>
                <w:sz w:val="20"/>
                <w:szCs w:val="20"/>
                <w:color w:val="auto"/>
              </w:rPr>
            </w:pPr>
            <w:r>
              <w:rPr>
                <w:rFonts w:ascii="Arial" w:cs="Arial" w:eastAsia="Arial" w:hAnsi="Arial"/>
                <w:sz w:val="18"/>
                <w:szCs w:val="18"/>
                <w:b w:val="1"/>
                <w:bCs w:val="1"/>
                <w:color w:val="auto"/>
                <w:w w:val="91"/>
              </w:rPr>
              <w:t>% Change</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20" w:type="dxa"/>
            <w:vAlign w:val="bottom"/>
            <w:tcBorders>
              <w:bottom w:val="single" w:sz="8" w:color="CCFFCC"/>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4Q13</w:t>
            </w:r>
          </w:p>
        </w:tc>
        <w:tc>
          <w:tcPr>
            <w:tcW w:w="220" w:type="dxa"/>
            <w:vAlign w:val="bottom"/>
            <w:tcBorders>
              <w:bottom w:val="single" w:sz="8" w:color="CCFFCC"/>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3Q13</w:t>
            </w:r>
          </w:p>
        </w:tc>
        <w:tc>
          <w:tcPr>
            <w:tcW w:w="220" w:type="dxa"/>
            <w:vAlign w:val="bottom"/>
            <w:tcBorders>
              <w:bottom w:val="single" w:sz="8" w:color="CCFFCC"/>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4Q12</w:t>
            </w:r>
          </w:p>
        </w:tc>
        <w:tc>
          <w:tcPr>
            <w:tcW w:w="220" w:type="dxa"/>
            <w:vAlign w:val="bottom"/>
            <w:tcBorders>
              <w:bottom w:val="single" w:sz="8" w:color="CCFFCC"/>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YoY</w:t>
            </w:r>
          </w:p>
        </w:tc>
        <w:tc>
          <w:tcPr>
            <w:tcW w:w="160" w:type="dxa"/>
            <w:vAlign w:val="bottom"/>
            <w:tcBorders>
              <w:bottom w:val="single" w:sz="8" w:color="CCFFCC"/>
            </w:tcBorders>
          </w:tcPr>
          <w:p>
            <w:pPr>
              <w:spacing w:after="0"/>
              <w:rPr>
                <w:sz w:val="20"/>
                <w:szCs w:val="20"/>
                <w:color w:val="auto"/>
              </w:rPr>
            </w:pPr>
          </w:p>
        </w:tc>
      </w:tr>
      <w:tr>
        <w:trPr>
          <w:trHeight w:val="210"/>
        </w:trPr>
        <w:tc>
          <w:tcPr>
            <w:tcW w:w="5700" w:type="dxa"/>
            <w:vAlign w:val="bottom"/>
            <w:shd w:val="clear" w:color="auto" w:fill="CCFFCC"/>
          </w:tcPr>
          <w:p>
            <w:pPr>
              <w:spacing w:after="0"/>
              <w:rPr>
                <w:sz w:val="20"/>
                <w:szCs w:val="20"/>
                <w:color w:val="auto"/>
              </w:rPr>
            </w:pPr>
            <w:r>
              <w:rPr>
                <w:rFonts w:ascii="Arial" w:cs="Arial" w:eastAsia="Arial" w:hAnsi="Arial"/>
                <w:sz w:val="18"/>
                <w:szCs w:val="18"/>
                <w:color w:val="auto"/>
              </w:rPr>
              <w:t>Mutual funds in Perú</w:t>
            </w:r>
          </w:p>
        </w:tc>
        <w:tc>
          <w:tcPr>
            <w:tcW w:w="12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2,390,995</w:t>
            </w: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2,412,824</w:t>
            </w: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2,749,483</w:t>
            </w:r>
          </w:p>
        </w:tc>
        <w:tc>
          <w:tcPr>
            <w:tcW w:w="2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-0.9%</w:t>
            </w:r>
          </w:p>
        </w:tc>
        <w:tc>
          <w:tcPr>
            <w:tcW w:w="28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Mutual funds in Bolivia</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71,199</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64,545</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65,146</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210"/>
        </w:trPr>
        <w:tc>
          <w:tcPr>
            <w:tcW w:w="582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mutual funds</w:t>
            </w: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2,462,194</w:t>
            </w:r>
          </w:p>
        </w:tc>
        <w:tc>
          <w:tcPr>
            <w:tcW w:w="22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2,477,368</w:t>
            </w:r>
          </w:p>
        </w:tc>
        <w:tc>
          <w:tcPr>
            <w:tcW w:w="22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2,814,629</w:t>
            </w:r>
          </w:p>
        </w:tc>
        <w:tc>
          <w:tcPr>
            <w:tcW w:w="22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-0.6</w:t>
            </w:r>
          </w:p>
        </w:tc>
        <w:tc>
          <w:tcPr>
            <w:tcW w:w="28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87"/>
              </w:rPr>
              <w:t>%</w:t>
            </w: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6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4"/>
              </w:rPr>
              <w:t>%</w:t>
            </w:r>
          </w:p>
        </w:tc>
      </w:tr>
      <w:tr>
        <w:trPr>
          <w:trHeight w:val="642"/>
        </w:trPr>
        <w:tc>
          <w:tcPr>
            <w:tcW w:w="5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420"/>
          </w:cols>
          <w:pgMar w:left="240" w:top="1440" w:right="23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723265</wp:posOffset>
            </wp:positionV>
            <wp:extent cx="1132205" cy="3086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II.3 Net Interest Income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NII grew +3.6% QoQ and +9.4% YoY. This was primarily due to growth in interest on loans, which coincides with the 4.3% expansion observed in average daily balances and the -10.4% decrease in interest expenses. In this context NIM was situated at 5.37% at the end of 4Q13, which tops the 5.27% posted in 3Q13.</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Net interest income **</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3"/>
          </w:tcPr>
          <w:p>
            <w:pPr>
              <w:ind w:left="560"/>
              <w:spacing w:after="0"/>
              <w:rPr>
                <w:sz w:val="20"/>
                <w:szCs w:val="20"/>
                <w:color w:val="auto"/>
              </w:rPr>
            </w:pPr>
            <w:r>
              <w:rPr>
                <w:rFonts w:ascii="Arial" w:cs="Arial" w:eastAsia="Arial" w:hAnsi="Arial"/>
                <w:sz w:val="14"/>
                <w:szCs w:val="14"/>
                <w:b w:val="1"/>
                <w:bCs w:val="1"/>
                <w:color w:val="auto"/>
                <w:w w:val="97"/>
              </w:rPr>
              <w:t>% Change</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right"/>
              <w:ind w:right="748"/>
              <w:spacing w:after="0"/>
              <w:rPr>
                <w:sz w:val="20"/>
                <w:szCs w:val="20"/>
                <w:color w:val="auto"/>
              </w:rPr>
            </w:pPr>
            <w:r>
              <w:rPr>
                <w:rFonts w:ascii="Arial" w:cs="Arial" w:eastAsia="Arial" w:hAnsi="Arial"/>
                <w:sz w:val="14"/>
                <w:szCs w:val="14"/>
                <w:b w:val="1"/>
                <w:bCs w:val="1"/>
                <w:color w:val="auto"/>
              </w:rPr>
              <w:t>Year ended</w:t>
            </w:r>
          </w:p>
        </w:tc>
        <w:tc>
          <w:tcPr>
            <w:tcW w:w="110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 Change</w:t>
            </w:r>
          </w:p>
        </w:tc>
      </w:tr>
      <w:tr>
        <w:trPr>
          <w:trHeight w:val="171"/>
        </w:trPr>
        <w:tc>
          <w:tcPr>
            <w:tcW w:w="3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US$ 000</w:t>
            </w:r>
          </w:p>
        </w:tc>
        <w:tc>
          <w:tcPr>
            <w:tcW w:w="10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4Q13</w:t>
            </w:r>
          </w:p>
        </w:tc>
        <w:tc>
          <w:tcPr>
            <w:tcW w:w="26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3Q13</w:t>
            </w:r>
          </w:p>
        </w:tc>
        <w:tc>
          <w:tcPr>
            <w:tcW w:w="26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4Q12</w:t>
            </w:r>
          </w:p>
        </w:tc>
        <w:tc>
          <w:tcPr>
            <w:tcW w:w="260" w:type="dxa"/>
            <w:vAlign w:val="bottom"/>
            <w:tcBorders>
              <w:bottom w:val="single" w:sz="8" w:color="CCFFCC"/>
            </w:tcBorders>
          </w:tcPr>
          <w:p>
            <w:pPr>
              <w:spacing w:after="0"/>
              <w:rPr>
                <w:sz w:val="14"/>
                <w:szCs w:val="14"/>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FFC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5"/>
              </w:rPr>
              <w:t>YoY</w:t>
            </w:r>
          </w:p>
        </w:tc>
        <w:tc>
          <w:tcPr>
            <w:tcW w:w="26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Dec 13</w:t>
            </w:r>
          </w:p>
        </w:tc>
        <w:tc>
          <w:tcPr>
            <w:tcW w:w="26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Dec 12</w:t>
            </w:r>
          </w:p>
        </w:tc>
        <w:tc>
          <w:tcPr>
            <w:tcW w:w="260" w:type="dxa"/>
            <w:vAlign w:val="bottom"/>
            <w:tcBorders>
              <w:bottom w:val="single" w:sz="8" w:color="CCFFCC"/>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Dec 13 / Dec 12</w:t>
            </w:r>
          </w:p>
        </w:tc>
        <w:tc>
          <w:tcPr>
            <w:tcW w:w="140" w:type="dxa"/>
            <w:vAlign w:val="bottom"/>
            <w:tcBorders>
              <w:bottom w:val="single" w:sz="8" w:color="CCFFCC"/>
            </w:tcBorders>
          </w:tcPr>
          <w:p>
            <w:pPr>
              <w:spacing w:after="0"/>
              <w:rPr>
                <w:sz w:val="14"/>
                <w:szCs w:val="14"/>
                <w:color w:val="auto"/>
              </w:rPr>
            </w:pPr>
          </w:p>
        </w:tc>
      </w:tr>
      <w:tr>
        <w:trPr>
          <w:trHeight w:val="142"/>
        </w:trPr>
        <w:tc>
          <w:tcPr>
            <w:tcW w:w="3000" w:type="dxa"/>
            <w:vAlign w:val="bottom"/>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Interest income</w:t>
            </w:r>
          </w:p>
        </w:tc>
        <w:tc>
          <w:tcPr>
            <w:tcW w:w="10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618,655</w:t>
            </w: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608,643</w:t>
            </w: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580,790</w:t>
            </w: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rPr>
              <w:t>1.6%</w:t>
            </w:r>
          </w:p>
        </w:tc>
        <w:tc>
          <w:tcPr>
            <w:tcW w:w="22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rPr>
              <w:t>6.5%</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2,423,346</w:t>
            </w: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2,133,751</w:t>
            </w:r>
          </w:p>
        </w:tc>
        <w:tc>
          <w:tcPr>
            <w:tcW w:w="26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13.6%</w:t>
            </w:r>
          </w:p>
        </w:tc>
      </w:tr>
      <w:tr>
        <w:trPr>
          <w:trHeight w:val="149"/>
        </w:trPr>
        <w:tc>
          <w:tcPr>
            <w:tcW w:w="31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Interest on loans</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581,547</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563,218</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524,366</w:t>
            </w:r>
          </w:p>
        </w:tc>
        <w:tc>
          <w:tcPr>
            <w:tcW w:w="10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3.3%</w:t>
            </w:r>
          </w:p>
        </w:tc>
        <w:tc>
          <w:tcPr>
            <w:tcW w:w="220" w:type="dxa"/>
            <w:vAlign w:val="bottom"/>
          </w:tcPr>
          <w:p>
            <w:pPr>
              <w:spacing w:after="0"/>
              <w:rPr>
                <w:sz w:val="12"/>
                <w:szCs w:val="12"/>
                <w:color w:val="auto"/>
              </w:rPr>
            </w:pPr>
          </w:p>
        </w:tc>
        <w:tc>
          <w:tcPr>
            <w:tcW w:w="7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10.9%</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2,230,735</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1,912,929</w:t>
            </w:r>
          </w:p>
        </w:tc>
        <w:tc>
          <w:tcPr>
            <w:tcW w:w="26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16.6%</w:t>
            </w:r>
          </w:p>
        </w:tc>
      </w:tr>
      <w:tr>
        <w:trPr>
          <w:trHeight w:val="149"/>
        </w:trPr>
        <w:tc>
          <w:tcPr>
            <w:tcW w:w="3100" w:type="dxa"/>
            <w:vAlign w:val="bottom"/>
            <w:gridSpan w:val="2"/>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and dividends on investments</w:t>
            </w:r>
          </w:p>
        </w:tc>
        <w:tc>
          <w:tcPr>
            <w:tcW w:w="104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(23)</w:t>
            </w:r>
          </w:p>
        </w:tc>
        <w:tc>
          <w:tcPr>
            <w:tcW w:w="104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(44)</w:t>
            </w:r>
          </w:p>
        </w:tc>
        <w:tc>
          <w:tcPr>
            <w:tcW w:w="104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(39)</w:t>
            </w:r>
          </w:p>
        </w:tc>
        <w:tc>
          <w:tcPr>
            <w:tcW w:w="10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-47.7%</w:t>
            </w:r>
          </w:p>
        </w:tc>
        <w:tc>
          <w:tcPr>
            <w:tcW w:w="22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-41.0%</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6,980</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6,624</w:t>
            </w: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5.4%</w:t>
            </w:r>
          </w:p>
        </w:tc>
      </w:tr>
      <w:tr>
        <w:trPr>
          <w:trHeight w:val="149"/>
        </w:trPr>
        <w:tc>
          <w:tcPr>
            <w:tcW w:w="31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Interest on deposits with banks</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6,001</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7,982</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10,018</w:t>
            </w:r>
          </w:p>
        </w:tc>
        <w:tc>
          <w:tcPr>
            <w:tcW w:w="10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-24.8%</w:t>
            </w:r>
          </w:p>
        </w:tc>
        <w:tc>
          <w:tcPr>
            <w:tcW w:w="220" w:type="dxa"/>
            <w:vAlign w:val="bottom"/>
          </w:tcPr>
          <w:p>
            <w:pPr>
              <w:spacing w:after="0"/>
              <w:rPr>
                <w:sz w:val="12"/>
                <w:szCs w:val="12"/>
                <w:color w:val="auto"/>
              </w:rPr>
            </w:pPr>
          </w:p>
        </w:tc>
        <w:tc>
          <w:tcPr>
            <w:tcW w:w="7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-40.1%</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32,752</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39,364</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-16.8%</w:t>
            </w:r>
          </w:p>
        </w:tc>
      </w:tr>
      <w:tr>
        <w:trPr>
          <w:trHeight w:val="149"/>
        </w:trPr>
        <w:tc>
          <w:tcPr>
            <w:tcW w:w="3100" w:type="dxa"/>
            <w:vAlign w:val="bottom"/>
            <w:gridSpan w:val="2"/>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on trading securities</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30,557</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36,930</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39,581</w:t>
            </w:r>
          </w:p>
        </w:tc>
        <w:tc>
          <w:tcPr>
            <w:tcW w:w="10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-17.3%</w:t>
            </w:r>
          </w:p>
        </w:tc>
        <w:tc>
          <w:tcPr>
            <w:tcW w:w="22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-22.8%</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150,390</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157,763</w:t>
            </w: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-4.7%</w:t>
            </w:r>
          </w:p>
        </w:tc>
      </w:tr>
      <w:tr>
        <w:trPr>
          <w:trHeight w:val="149"/>
        </w:trPr>
        <w:tc>
          <w:tcPr>
            <w:tcW w:w="31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Other interest income</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573</w:t>
            </w:r>
          </w:p>
        </w:tc>
        <w:tc>
          <w:tcPr>
            <w:tcW w:w="260" w:type="dxa"/>
            <w:vAlign w:val="bottom"/>
          </w:tcPr>
          <w:p>
            <w:pPr>
              <w:spacing w:after="0"/>
              <w:rPr>
                <w:sz w:val="12"/>
                <w:szCs w:val="12"/>
                <w:color w:val="auto"/>
              </w:rPr>
            </w:pP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557</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6,864</w:t>
            </w:r>
          </w:p>
        </w:tc>
        <w:tc>
          <w:tcPr>
            <w:tcW w:w="10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2.9%</w:t>
            </w:r>
          </w:p>
        </w:tc>
        <w:tc>
          <w:tcPr>
            <w:tcW w:w="220" w:type="dxa"/>
            <w:vAlign w:val="bottom"/>
          </w:tcPr>
          <w:p>
            <w:pPr>
              <w:spacing w:after="0"/>
              <w:rPr>
                <w:sz w:val="12"/>
                <w:szCs w:val="12"/>
                <w:color w:val="auto"/>
              </w:rPr>
            </w:pPr>
          </w:p>
        </w:tc>
        <w:tc>
          <w:tcPr>
            <w:tcW w:w="7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-91.7%</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2,489</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17,071</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-85.4%</w:t>
            </w:r>
          </w:p>
        </w:tc>
      </w:tr>
      <w:tr>
        <w:trPr>
          <w:trHeight w:val="149"/>
        </w:trPr>
        <w:tc>
          <w:tcPr>
            <w:tcW w:w="31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Interest expense</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b w:val="1"/>
                <w:bCs w:val="1"/>
                <w:color w:val="auto"/>
              </w:rPr>
              <w:t>178,019</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b w:val="1"/>
                <w:bCs w:val="1"/>
                <w:color w:val="auto"/>
              </w:rPr>
              <w:t>183,428</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b w:val="1"/>
                <w:bCs w:val="1"/>
                <w:color w:val="auto"/>
              </w:rPr>
              <w:t>177,955</w:t>
            </w:r>
          </w:p>
        </w:tc>
        <w:tc>
          <w:tcPr>
            <w:tcW w:w="102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b w:val="1"/>
                <w:bCs w:val="1"/>
                <w:color w:val="auto"/>
              </w:rPr>
              <w:t>-2.9%</w:t>
            </w:r>
          </w:p>
        </w:tc>
        <w:tc>
          <w:tcPr>
            <w:tcW w:w="22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b w:val="1"/>
                <w:bCs w:val="1"/>
                <w:color w:val="auto"/>
              </w:rPr>
              <w:t>0.0%</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b w:val="1"/>
                <w:bCs w:val="1"/>
                <w:color w:val="auto"/>
              </w:rPr>
              <w:t>740,199</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b w:val="1"/>
                <w:bCs w:val="1"/>
                <w:color w:val="auto"/>
              </w:rPr>
              <w:t>646,025</w:t>
            </w: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14.6%</w:t>
            </w:r>
          </w:p>
        </w:tc>
      </w:tr>
      <w:tr>
        <w:trPr>
          <w:trHeight w:val="149"/>
        </w:trPr>
        <w:tc>
          <w:tcPr>
            <w:tcW w:w="31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Interest on deposits</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57,562</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64,249</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69,850</w:t>
            </w:r>
          </w:p>
        </w:tc>
        <w:tc>
          <w:tcPr>
            <w:tcW w:w="10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-10.4%</w:t>
            </w:r>
          </w:p>
        </w:tc>
        <w:tc>
          <w:tcPr>
            <w:tcW w:w="220" w:type="dxa"/>
            <w:vAlign w:val="bottom"/>
          </w:tcPr>
          <w:p>
            <w:pPr>
              <w:spacing w:after="0"/>
              <w:rPr>
                <w:sz w:val="12"/>
                <w:szCs w:val="12"/>
                <w:color w:val="auto"/>
              </w:rPr>
            </w:pPr>
          </w:p>
        </w:tc>
        <w:tc>
          <w:tcPr>
            <w:tcW w:w="7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-17.6%</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269,228</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251,815</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w:t>
            </w:r>
          </w:p>
        </w:tc>
      </w:tr>
      <w:tr>
        <w:trPr>
          <w:trHeight w:val="149"/>
        </w:trPr>
        <w:tc>
          <w:tcPr>
            <w:tcW w:w="3100" w:type="dxa"/>
            <w:vAlign w:val="bottom"/>
            <w:gridSpan w:val="2"/>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on borrowed funds</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36,071</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35,722</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38,532</w:t>
            </w:r>
          </w:p>
        </w:tc>
        <w:tc>
          <w:tcPr>
            <w:tcW w:w="10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1.0%</w:t>
            </w:r>
          </w:p>
        </w:tc>
        <w:tc>
          <w:tcPr>
            <w:tcW w:w="22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-6.4%</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142,984</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131,924</w:t>
            </w: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8.4%</w:t>
            </w:r>
          </w:p>
        </w:tc>
      </w:tr>
      <w:tr>
        <w:trPr>
          <w:trHeight w:val="149"/>
        </w:trPr>
        <w:tc>
          <w:tcPr>
            <w:tcW w:w="31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Interest on bonds and subordinated note</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64,591</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64,433</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57,720</w:t>
            </w:r>
          </w:p>
        </w:tc>
        <w:tc>
          <w:tcPr>
            <w:tcW w:w="10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0.2%</w:t>
            </w:r>
          </w:p>
        </w:tc>
        <w:tc>
          <w:tcPr>
            <w:tcW w:w="220" w:type="dxa"/>
            <w:vAlign w:val="bottom"/>
          </w:tcPr>
          <w:p>
            <w:pPr>
              <w:spacing w:after="0"/>
              <w:rPr>
                <w:sz w:val="12"/>
                <w:szCs w:val="12"/>
                <w:color w:val="auto"/>
              </w:rPr>
            </w:pPr>
          </w:p>
        </w:tc>
        <w:tc>
          <w:tcPr>
            <w:tcW w:w="7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11.9%</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252,765</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217,593</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16.2%</w:t>
            </w:r>
          </w:p>
        </w:tc>
      </w:tr>
      <w:tr>
        <w:trPr>
          <w:trHeight w:val="162"/>
        </w:trPr>
        <w:tc>
          <w:tcPr>
            <w:tcW w:w="3100" w:type="dxa"/>
            <w:vAlign w:val="bottom"/>
            <w:gridSpan w:val="2"/>
            <w:shd w:val="clear" w:color="auto" w:fill="CCFFCC"/>
          </w:tcPr>
          <w:p>
            <w:pPr>
              <w:ind w:left="160"/>
              <w:spacing w:after="0"/>
              <w:rPr>
                <w:sz w:val="20"/>
                <w:szCs w:val="20"/>
                <w:color w:val="auto"/>
              </w:rPr>
            </w:pPr>
            <w:r>
              <w:rPr>
                <w:rFonts w:ascii="Arial" w:cs="Arial" w:eastAsia="Arial" w:hAnsi="Arial"/>
                <w:sz w:val="14"/>
                <w:szCs w:val="14"/>
                <w:color w:val="auto"/>
              </w:rPr>
              <w:t>Other interest expense</w:t>
            </w:r>
          </w:p>
        </w:tc>
        <w:tc>
          <w:tcPr>
            <w:tcW w:w="1040" w:type="dxa"/>
            <w:vAlign w:val="bottom"/>
            <w:gridSpan w:val="2"/>
            <w:shd w:val="clear" w:color="auto" w:fill="CCFFCC"/>
          </w:tcPr>
          <w:p>
            <w:pPr>
              <w:jc w:val="right"/>
              <w:ind w:right="188"/>
              <w:spacing w:after="0"/>
              <w:rPr>
                <w:sz w:val="20"/>
                <w:szCs w:val="20"/>
                <w:color w:val="auto"/>
              </w:rPr>
            </w:pPr>
            <w:r>
              <w:rPr>
                <w:rFonts w:ascii="Arial" w:cs="Arial" w:eastAsia="Arial" w:hAnsi="Arial"/>
                <w:sz w:val="14"/>
                <w:szCs w:val="14"/>
                <w:color w:val="auto"/>
              </w:rPr>
              <w:t>19,795</w:t>
            </w:r>
          </w:p>
        </w:tc>
        <w:tc>
          <w:tcPr>
            <w:tcW w:w="1040" w:type="dxa"/>
            <w:vAlign w:val="bottom"/>
            <w:gridSpan w:val="2"/>
            <w:shd w:val="clear" w:color="auto" w:fill="CCFFCC"/>
          </w:tcPr>
          <w:p>
            <w:pPr>
              <w:jc w:val="right"/>
              <w:ind w:right="188"/>
              <w:spacing w:after="0"/>
              <w:rPr>
                <w:sz w:val="20"/>
                <w:szCs w:val="20"/>
                <w:color w:val="auto"/>
              </w:rPr>
            </w:pPr>
            <w:r>
              <w:rPr>
                <w:rFonts w:ascii="Arial" w:cs="Arial" w:eastAsia="Arial" w:hAnsi="Arial"/>
                <w:sz w:val="14"/>
                <w:szCs w:val="14"/>
                <w:color w:val="auto"/>
              </w:rPr>
              <w:t>19,024</w:t>
            </w:r>
          </w:p>
        </w:tc>
        <w:tc>
          <w:tcPr>
            <w:tcW w:w="1040" w:type="dxa"/>
            <w:vAlign w:val="bottom"/>
            <w:gridSpan w:val="2"/>
            <w:shd w:val="clear" w:color="auto" w:fill="CCFFCC"/>
          </w:tcPr>
          <w:p>
            <w:pPr>
              <w:jc w:val="right"/>
              <w:ind w:right="188"/>
              <w:spacing w:after="0"/>
              <w:rPr>
                <w:sz w:val="20"/>
                <w:szCs w:val="20"/>
                <w:color w:val="auto"/>
              </w:rPr>
            </w:pPr>
            <w:r>
              <w:rPr>
                <w:rFonts w:ascii="Arial" w:cs="Arial" w:eastAsia="Arial" w:hAnsi="Arial"/>
                <w:sz w:val="14"/>
                <w:szCs w:val="14"/>
                <w:color w:val="auto"/>
              </w:rPr>
              <w:t>11,853</w:t>
            </w:r>
          </w:p>
        </w:tc>
        <w:tc>
          <w:tcPr>
            <w:tcW w:w="102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4.1%</w:t>
            </w:r>
          </w:p>
        </w:tc>
        <w:tc>
          <w:tcPr>
            <w:tcW w:w="220" w:type="dxa"/>
            <w:vAlign w:val="bottom"/>
            <w:shd w:val="clear" w:color="auto" w:fill="CCFFCC"/>
          </w:tcPr>
          <w:p>
            <w:pPr>
              <w:spacing w:after="0"/>
              <w:rPr>
                <w:sz w:val="14"/>
                <w:szCs w:val="14"/>
                <w:color w:val="auto"/>
              </w:rPr>
            </w:pPr>
          </w:p>
        </w:tc>
        <w:tc>
          <w:tcPr>
            <w:tcW w:w="78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67.0%</w:t>
            </w:r>
          </w:p>
        </w:tc>
        <w:tc>
          <w:tcPr>
            <w:tcW w:w="1040" w:type="dxa"/>
            <w:vAlign w:val="bottom"/>
            <w:gridSpan w:val="2"/>
            <w:shd w:val="clear" w:color="auto" w:fill="CCFFCC"/>
          </w:tcPr>
          <w:p>
            <w:pPr>
              <w:jc w:val="right"/>
              <w:ind w:right="188"/>
              <w:spacing w:after="0"/>
              <w:rPr>
                <w:sz w:val="20"/>
                <w:szCs w:val="20"/>
                <w:color w:val="auto"/>
              </w:rPr>
            </w:pPr>
            <w:r>
              <w:rPr>
                <w:rFonts w:ascii="Arial" w:cs="Arial" w:eastAsia="Arial" w:hAnsi="Arial"/>
                <w:sz w:val="14"/>
                <w:szCs w:val="14"/>
                <w:color w:val="auto"/>
              </w:rPr>
              <w:t>75,222</w:t>
            </w:r>
          </w:p>
        </w:tc>
        <w:tc>
          <w:tcPr>
            <w:tcW w:w="1040" w:type="dxa"/>
            <w:vAlign w:val="bottom"/>
            <w:gridSpan w:val="2"/>
            <w:shd w:val="clear" w:color="auto" w:fill="CCFFCC"/>
          </w:tcPr>
          <w:p>
            <w:pPr>
              <w:jc w:val="right"/>
              <w:ind w:right="188"/>
              <w:spacing w:after="0"/>
              <w:rPr>
                <w:sz w:val="20"/>
                <w:szCs w:val="20"/>
                <w:color w:val="auto"/>
              </w:rPr>
            </w:pPr>
            <w:r>
              <w:rPr>
                <w:rFonts w:ascii="Arial" w:cs="Arial" w:eastAsia="Arial" w:hAnsi="Arial"/>
                <w:sz w:val="14"/>
                <w:szCs w:val="14"/>
                <w:color w:val="auto"/>
              </w:rPr>
              <w:t>44,693</w:t>
            </w: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68.3%</w:t>
            </w:r>
          </w:p>
        </w:tc>
      </w:tr>
      <w:tr>
        <w:trPr>
          <w:trHeight w:val="142"/>
        </w:trPr>
        <w:tc>
          <w:tcPr>
            <w:tcW w:w="3100" w:type="dxa"/>
            <w:vAlign w:val="bottom"/>
            <w:tcBorders>
              <w:bottom w:val="single" w:sz="8" w:color="CCFFCC"/>
            </w:tcBorders>
            <w:gridSpan w:val="2"/>
          </w:tcPr>
          <w:p>
            <w:pPr>
              <w:spacing w:after="0" w:line="142" w:lineRule="exact"/>
              <w:rPr>
                <w:sz w:val="20"/>
                <w:szCs w:val="20"/>
                <w:color w:val="auto"/>
              </w:rPr>
            </w:pPr>
            <w:r>
              <w:rPr>
                <w:rFonts w:ascii="Arial" w:cs="Arial" w:eastAsia="Arial" w:hAnsi="Arial"/>
                <w:sz w:val="14"/>
                <w:szCs w:val="14"/>
                <w:b w:val="1"/>
                <w:bCs w:val="1"/>
                <w:color w:val="auto"/>
              </w:rPr>
              <w:t>Net interest income</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440,636</w:t>
            </w:r>
          </w:p>
        </w:tc>
        <w:tc>
          <w:tcPr>
            <w:tcW w:w="260" w:type="dxa"/>
            <w:vAlign w:val="bottom"/>
            <w:tcBorders>
              <w:bottom w:val="single" w:sz="8" w:color="CCFFC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425,215</w:t>
            </w:r>
          </w:p>
        </w:tc>
        <w:tc>
          <w:tcPr>
            <w:tcW w:w="260" w:type="dxa"/>
            <w:vAlign w:val="bottom"/>
            <w:tcBorders>
              <w:bottom w:val="single" w:sz="8" w:color="CCFFC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402,835</w:t>
            </w:r>
          </w:p>
        </w:tc>
        <w:tc>
          <w:tcPr>
            <w:tcW w:w="260" w:type="dxa"/>
            <w:vAlign w:val="bottom"/>
            <w:tcBorders>
              <w:bottom w:val="single" w:sz="8" w:color="CCFFCC"/>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3.6</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2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9.4</w:t>
            </w:r>
          </w:p>
        </w:tc>
        <w:tc>
          <w:tcPr>
            <w:tcW w:w="260" w:type="dxa"/>
            <w:vAlign w:val="bottom"/>
            <w:tcBorders>
              <w:bottom w:val="single" w:sz="8" w:color="CCFFCC"/>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1,683,147</w:t>
            </w:r>
          </w:p>
        </w:tc>
        <w:tc>
          <w:tcPr>
            <w:tcW w:w="260" w:type="dxa"/>
            <w:vAlign w:val="bottom"/>
            <w:tcBorders>
              <w:bottom w:val="single" w:sz="8" w:color="CCFFC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1,487,726</w:t>
            </w:r>
          </w:p>
        </w:tc>
        <w:tc>
          <w:tcPr>
            <w:tcW w:w="260" w:type="dxa"/>
            <w:vAlign w:val="bottom"/>
            <w:tcBorders>
              <w:bottom w:val="single" w:sz="8" w:color="CCFFCC"/>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13.1</w:t>
            </w:r>
          </w:p>
        </w:tc>
        <w:tc>
          <w:tcPr>
            <w:tcW w:w="140" w:type="dxa"/>
            <w:vAlign w:val="bottom"/>
            <w:tcBorders>
              <w:bottom w:val="single" w:sz="8" w:color="CCFFCC"/>
            </w:tcBorders>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r>
      <w:tr>
        <w:trPr>
          <w:trHeight w:val="142"/>
        </w:trPr>
        <w:tc>
          <w:tcPr>
            <w:tcW w:w="310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color w:val="auto"/>
              </w:rPr>
              <w:t>Average interest earning assets</w:t>
            </w:r>
          </w:p>
        </w:tc>
        <w:tc>
          <w:tcPr>
            <w:tcW w:w="7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32,798,075</w:t>
            </w:r>
          </w:p>
        </w:tc>
        <w:tc>
          <w:tcPr>
            <w:tcW w:w="260" w:type="dxa"/>
            <w:vAlign w:val="bottom"/>
            <w:shd w:val="clear" w:color="auto" w:fill="CCFFCC"/>
          </w:tcPr>
          <w:p>
            <w:pPr>
              <w:spacing w:after="0"/>
              <w:rPr>
                <w:sz w:val="12"/>
                <w:szCs w:val="12"/>
                <w:color w:val="auto"/>
              </w:rPr>
            </w:pPr>
          </w:p>
        </w:tc>
        <w:tc>
          <w:tcPr>
            <w:tcW w:w="7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32,263,538</w:t>
            </w:r>
          </w:p>
        </w:tc>
        <w:tc>
          <w:tcPr>
            <w:tcW w:w="260" w:type="dxa"/>
            <w:vAlign w:val="bottom"/>
            <w:shd w:val="clear" w:color="auto" w:fill="CCFFCC"/>
          </w:tcPr>
          <w:p>
            <w:pPr>
              <w:spacing w:after="0"/>
              <w:rPr>
                <w:sz w:val="12"/>
                <w:szCs w:val="12"/>
                <w:color w:val="auto"/>
              </w:rPr>
            </w:pPr>
          </w:p>
        </w:tc>
        <w:tc>
          <w:tcPr>
            <w:tcW w:w="7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30,888,504</w:t>
            </w:r>
          </w:p>
        </w:tc>
        <w:tc>
          <w:tcPr>
            <w:tcW w:w="260" w:type="dxa"/>
            <w:vAlign w:val="bottom"/>
            <w:shd w:val="clear" w:color="auto" w:fill="CCFFCC"/>
          </w:tcPr>
          <w:p>
            <w:pPr>
              <w:spacing w:after="0"/>
              <w:rPr>
                <w:sz w:val="12"/>
                <w:szCs w:val="12"/>
                <w:color w:val="auto"/>
              </w:rPr>
            </w:pPr>
          </w:p>
        </w:tc>
        <w:tc>
          <w:tcPr>
            <w:tcW w:w="76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1.7</w:t>
            </w:r>
          </w:p>
        </w:tc>
        <w:tc>
          <w:tcPr>
            <w:tcW w:w="260" w:type="dxa"/>
            <w:vAlign w:val="bottom"/>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220" w:type="dxa"/>
            <w:vAlign w:val="bottom"/>
            <w:tcBorders>
              <w:bottom w:val="single" w:sz="8" w:color="auto"/>
            </w:tcBorders>
            <w:shd w:val="clear" w:color="auto" w:fill="CCFFCC"/>
          </w:tcPr>
          <w:p>
            <w:pPr>
              <w:spacing w:after="0"/>
              <w:rPr>
                <w:sz w:val="12"/>
                <w:szCs w:val="12"/>
                <w:color w:val="auto"/>
              </w:rPr>
            </w:pPr>
          </w:p>
        </w:tc>
        <w:tc>
          <w:tcPr>
            <w:tcW w:w="52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6.2</w:t>
            </w:r>
          </w:p>
        </w:tc>
        <w:tc>
          <w:tcPr>
            <w:tcW w:w="260" w:type="dxa"/>
            <w:vAlign w:val="bottom"/>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32,760,604</w:t>
            </w:r>
          </w:p>
        </w:tc>
        <w:tc>
          <w:tcPr>
            <w:tcW w:w="260" w:type="dxa"/>
            <w:vAlign w:val="bottom"/>
            <w:shd w:val="clear" w:color="auto" w:fill="CCFFCC"/>
          </w:tcPr>
          <w:p>
            <w:pPr>
              <w:spacing w:after="0"/>
              <w:rPr>
                <w:sz w:val="12"/>
                <w:szCs w:val="12"/>
                <w:color w:val="auto"/>
              </w:rPr>
            </w:pPr>
          </w:p>
        </w:tc>
        <w:tc>
          <w:tcPr>
            <w:tcW w:w="7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28,577,671</w:t>
            </w:r>
          </w:p>
        </w:tc>
        <w:tc>
          <w:tcPr>
            <w:tcW w:w="260" w:type="dxa"/>
            <w:vAlign w:val="bottom"/>
            <w:shd w:val="clear" w:color="auto" w:fill="CCFFCC"/>
          </w:tcPr>
          <w:p>
            <w:pPr>
              <w:spacing w:after="0"/>
              <w:rPr>
                <w:sz w:val="12"/>
                <w:szCs w:val="12"/>
                <w:color w:val="auto"/>
              </w:rPr>
            </w:pPr>
          </w:p>
        </w:tc>
        <w:tc>
          <w:tcPr>
            <w:tcW w:w="96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14.6</w:t>
            </w:r>
          </w:p>
        </w:tc>
        <w:tc>
          <w:tcPr>
            <w:tcW w:w="1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r>
      <w:tr>
        <w:trPr>
          <w:trHeight w:val="157"/>
        </w:trPr>
        <w:tc>
          <w:tcPr>
            <w:tcW w:w="310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Net interest margin *</w:t>
            </w:r>
          </w:p>
        </w:tc>
        <w:tc>
          <w:tcPr>
            <w:tcW w:w="78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5.37</w:t>
            </w:r>
          </w:p>
        </w:tc>
        <w:tc>
          <w:tcPr>
            <w:tcW w:w="260" w:type="dxa"/>
            <w:vAlign w:val="bottom"/>
          </w:tcPr>
          <w:p>
            <w:pPr>
              <w:jc w:val="right"/>
              <w:ind w:right="48"/>
              <w:spacing w:after="0" w:line="157" w:lineRule="exact"/>
              <w:rPr>
                <w:sz w:val="20"/>
                <w:szCs w:val="20"/>
                <w:color w:val="auto"/>
              </w:rPr>
            </w:pPr>
            <w:r>
              <w:rPr>
                <w:rFonts w:ascii="Arial" w:cs="Arial" w:eastAsia="Arial" w:hAnsi="Arial"/>
                <w:sz w:val="14"/>
                <w:szCs w:val="14"/>
                <w:b w:val="1"/>
                <w:bCs w:val="1"/>
                <w:color w:val="auto"/>
                <w:w w:val="96"/>
              </w:rPr>
              <w:t>%</w:t>
            </w:r>
          </w:p>
        </w:tc>
        <w:tc>
          <w:tcPr>
            <w:tcW w:w="78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5.27</w:t>
            </w:r>
          </w:p>
        </w:tc>
        <w:tc>
          <w:tcPr>
            <w:tcW w:w="260" w:type="dxa"/>
            <w:vAlign w:val="bottom"/>
          </w:tcPr>
          <w:p>
            <w:pPr>
              <w:jc w:val="right"/>
              <w:ind w:right="48"/>
              <w:spacing w:after="0" w:line="157" w:lineRule="exact"/>
              <w:rPr>
                <w:sz w:val="20"/>
                <w:szCs w:val="20"/>
                <w:color w:val="auto"/>
              </w:rPr>
            </w:pPr>
            <w:r>
              <w:rPr>
                <w:rFonts w:ascii="Arial" w:cs="Arial" w:eastAsia="Arial" w:hAnsi="Arial"/>
                <w:sz w:val="14"/>
                <w:szCs w:val="14"/>
                <w:b w:val="1"/>
                <w:bCs w:val="1"/>
                <w:color w:val="auto"/>
                <w:w w:val="96"/>
              </w:rPr>
              <w:t>%</w:t>
            </w:r>
          </w:p>
        </w:tc>
        <w:tc>
          <w:tcPr>
            <w:tcW w:w="78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5.22</w:t>
            </w:r>
          </w:p>
        </w:tc>
        <w:tc>
          <w:tcPr>
            <w:tcW w:w="260" w:type="dxa"/>
            <w:vAlign w:val="bottom"/>
          </w:tcPr>
          <w:p>
            <w:pPr>
              <w:jc w:val="right"/>
              <w:ind w:right="48"/>
              <w:spacing w:after="0" w:line="157" w:lineRule="exact"/>
              <w:rPr>
                <w:sz w:val="20"/>
                <w:szCs w:val="20"/>
                <w:color w:val="auto"/>
              </w:rPr>
            </w:pPr>
            <w:r>
              <w:rPr>
                <w:rFonts w:ascii="Arial" w:cs="Arial" w:eastAsia="Arial" w:hAnsi="Arial"/>
                <w:sz w:val="14"/>
                <w:szCs w:val="14"/>
                <w:b w:val="1"/>
                <w:bCs w:val="1"/>
                <w:color w:val="auto"/>
                <w:w w:val="96"/>
              </w:rPr>
              <w:t>%</w:t>
            </w: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5.14</w:t>
            </w:r>
          </w:p>
        </w:tc>
        <w:tc>
          <w:tcPr>
            <w:tcW w:w="260" w:type="dxa"/>
            <w:vAlign w:val="bottom"/>
          </w:tcPr>
          <w:p>
            <w:pPr>
              <w:jc w:val="right"/>
              <w:ind w:right="28"/>
              <w:spacing w:after="0" w:line="157" w:lineRule="exact"/>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5.21</w:t>
            </w:r>
          </w:p>
        </w:tc>
        <w:tc>
          <w:tcPr>
            <w:tcW w:w="260" w:type="dxa"/>
            <w:vAlign w:val="bottom"/>
          </w:tcPr>
          <w:p>
            <w:pPr>
              <w:jc w:val="right"/>
              <w:ind w:right="28"/>
              <w:spacing w:after="0" w:line="157" w:lineRule="exact"/>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5236210</wp:posOffset>
            </wp:positionH>
            <wp:positionV relativeFrom="paragraph">
              <wp:posOffset>-8890</wp:posOffset>
            </wp:positionV>
            <wp:extent cx="11576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1969135</wp:posOffset>
            </wp:positionH>
            <wp:positionV relativeFrom="paragraph">
              <wp:posOffset>-8890</wp:posOffset>
            </wp:positionV>
            <wp:extent cx="18180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*Annualized.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See note in BCP and Subsidiaries income statement.</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Even when NII expanded QoQ, it is important to highlight that the figure of 4Q included a deduction of US$ 7 million related to the alignment to IFRS13 (valuation of derivatives – Credit Value Adjustment – CVA), thus NII’s real growth was 5.3% QoQ and NIM would situate at 5.46%, figures that reflect clearly the positive impact of pricing adjustments in Retail Banking’s product and the significant expansion of loan portfolio QoQ.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increased +1.6% QoQ. This was due primarily to higher interest on loans, which went hand-in-hand with +4.3% growth in average daily balances following expansion in the Wholesale Banking portfolio (+5.1% QoQ) and Retail Banking (+3% QoQ).</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It is important to note that the evolution of income for interest on loans was solid and due in large part to an effort to align pricing models to adequately reflect risk in Retail Banking segments. Higher income also reflects growth in Wholesale Banking’s LC portfolio (+64.9%), which was due to an increase in the demand for debt in Nuevos Soles given improvements in local market conditions in a context of the Nuevo Sol’s devaluation against the US Dollar.</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Lastly, the expansion in interest income was slightly attenuated by a decrease in interest on sales of securities and others (-17.3% QoQ), which was associated with the maturity of BCRP CDs this quarter.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annual terms, net interest income grew +13.1% due to higher income on loans (+16.6%) and was in line with the portfolio’s evolution and that of Wholesale Banking in particular. If we analyze income by currency type, we find that in absolute terms, interest income in LC expanded largely due to growth in the LC-denominated loan portfolio (+32.7% YoY).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decrease in interest expenses (-2.9% QoQ) is associated primarily with a decrease in interest expenses on deposits. This was in turn due to a drop in time deposits (-6.0% QoQ), which represent 27.3% of total deposits and are linked to higher cost of funds. This evolution helped improve the cost of funding, which fell to 2.00% in 4Q13.</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annual terms, interest expenses grew +14.6% due to:(i) an increase in interest expenses for bonds and subordinated notes due to the issuances made during the year; and (ii) the increase in interest expenses for deposits, which was due primarily to growth in the average volume of deposits throughout the year.</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3" w:name="page24"/>
    <w:bookmarkEnd w:id="23"/>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6246495</wp:posOffset>
            </wp:positionH>
            <wp:positionV relativeFrom="page">
              <wp:posOffset>568960</wp:posOffset>
            </wp:positionV>
            <wp:extent cx="1132205" cy="3086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NIM</w:t>
      </w:r>
      <w:r>
        <w:rPr>
          <w:rFonts w:ascii="Arial" w:cs="Arial" w:eastAsia="Arial" w:hAnsi="Arial"/>
          <w:sz w:val="30"/>
          <w:szCs w:val="30"/>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90170</wp:posOffset>
            </wp:positionV>
            <wp:extent cx="3387725" cy="18097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87725"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NIM on loans posted a 5 bps increase QoQ, going from 8.35% in 3Q13 to 8.40% at the end of 4Q13. This is attributable to the alignment of pricing in Retail Banking products to reflect appropriately the risk profile, and the significant expansion in the Wholesale Banking portfolio, in particular its LC portfolio, which offers better margins.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global NIM increased from 5.27% in 3Q13 to 5.37% in 4Q13. This was in line with a solid +3.6% increase QoQ in NII, which helped offset a slight +2.2% expansion in average assets, which reflects the re-composition of LC assets to favor more profitable assets such as loans.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II.4 Past-Due-Loan Portfolio and Net Provisions on Loan Losses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The PDL ratio increased only 5 bps to situate at 2.30%. This expansion was due to an increase in delinquency in the SME and Credit Card segments. In this context, total provisions for loan losses increased 5.4% QoQ. The over 90-day PDL ratio remained basically stable at 1.53% (vs 1.52% in 3Q13).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Provision for loan losses</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20" w:type="dxa"/>
            <w:vAlign w:val="bottom"/>
            <w:tcBorders>
              <w:bottom w:val="single" w:sz="8" w:color="CCFFCC"/>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4Q13</w:t>
            </w:r>
          </w:p>
        </w:tc>
        <w:tc>
          <w:tcPr>
            <w:tcW w:w="300" w:type="dxa"/>
            <w:vAlign w:val="bottom"/>
            <w:tcBorders>
              <w:bottom w:val="single" w:sz="8" w:color="CCFFCC"/>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3Q13</w:t>
            </w:r>
          </w:p>
        </w:tc>
        <w:tc>
          <w:tcPr>
            <w:tcW w:w="300" w:type="dxa"/>
            <w:vAlign w:val="bottom"/>
            <w:tcBorders>
              <w:bottom w:val="single" w:sz="8" w:color="CCFFCC"/>
            </w:tcBorders>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4Q12</w:t>
            </w:r>
          </w:p>
        </w:tc>
        <w:tc>
          <w:tcPr>
            <w:tcW w:w="300" w:type="dxa"/>
            <w:vAlign w:val="bottom"/>
            <w:tcBorders>
              <w:bottom w:val="single" w:sz="8" w:color="CCFFCC"/>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FFCC"/>
          </w:tcPr>
          <w:p>
            <w:pPr>
              <w:spacing w:after="0"/>
              <w:rPr>
                <w:sz w:val="20"/>
                <w:szCs w:val="20"/>
                <w:color w:val="auto"/>
              </w:rPr>
            </w:pPr>
            <w:r>
              <w:rPr>
                <w:rFonts w:ascii="Arial" w:cs="Arial" w:eastAsia="Arial" w:hAnsi="Arial"/>
                <w:sz w:val="18"/>
                <w:szCs w:val="18"/>
                <w:color w:val="auto"/>
              </w:rPr>
              <w:t>Provisions</w:t>
            </w:r>
          </w:p>
        </w:tc>
        <w:tc>
          <w:tcPr>
            <w:tcW w:w="1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(139,968)</w:t>
            </w:r>
          </w:p>
        </w:tc>
        <w:tc>
          <w:tcPr>
            <w:tcW w:w="3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(131,739)</w:t>
            </w:r>
          </w:p>
        </w:tc>
        <w:tc>
          <w:tcPr>
            <w:tcW w:w="3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(114,327)</w:t>
            </w:r>
          </w:p>
        </w:tc>
        <w:tc>
          <w:tcPr>
            <w:tcW w:w="3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6.2%</w:t>
            </w: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Loan loss recoveries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14,574</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12,721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11,244</w:t>
            </w: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14.6%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0"/>
        </w:trPr>
        <w:tc>
          <w:tcPr>
            <w:tcW w:w="578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Net provisions, for loan losses</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(125,394</w:t>
            </w:r>
          </w:p>
        </w:tc>
        <w:tc>
          <w:tcPr>
            <w:tcW w:w="300" w:type="dxa"/>
            <w:vAlign w:val="bottom"/>
            <w:tcBorders>
              <w:top w:val="single" w:sz="8" w:color="CCFFCC"/>
            </w:tcBorders>
            <w:shd w:val="clear" w:color="auto" w:fill="CCFFCC"/>
          </w:tcPr>
          <w:p>
            <w:pPr>
              <w:jc w:val="right"/>
              <w:ind w:right="160"/>
              <w:spacing w:after="0"/>
              <w:rPr>
                <w:sz w:val="20"/>
                <w:szCs w:val="20"/>
                <w:color w:val="auto"/>
              </w:rPr>
            </w:pPr>
            <w:r>
              <w:rPr>
                <w:rFonts w:ascii="Arial" w:cs="Arial" w:eastAsia="Arial" w:hAnsi="Arial"/>
                <w:sz w:val="16"/>
                <w:szCs w:val="16"/>
                <w:b w:val="1"/>
                <w:bCs w:val="1"/>
                <w:color w:val="auto"/>
                <w:w w:val="74"/>
              </w:rPr>
              <w:t>)</w:t>
            </w: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(119,018</w:t>
            </w:r>
          </w:p>
        </w:tc>
        <w:tc>
          <w:tcPr>
            <w:tcW w:w="300" w:type="dxa"/>
            <w:vAlign w:val="bottom"/>
            <w:tcBorders>
              <w:top w:val="single" w:sz="8" w:color="CCFFCC"/>
            </w:tcBorders>
            <w:shd w:val="clear" w:color="auto" w:fill="CCFFCC"/>
          </w:tcPr>
          <w:p>
            <w:pPr>
              <w:jc w:val="right"/>
              <w:ind w:right="160"/>
              <w:spacing w:after="0"/>
              <w:rPr>
                <w:sz w:val="20"/>
                <w:szCs w:val="20"/>
                <w:color w:val="auto"/>
              </w:rPr>
            </w:pPr>
            <w:r>
              <w:rPr>
                <w:rFonts w:ascii="Arial" w:cs="Arial" w:eastAsia="Arial" w:hAnsi="Arial"/>
                <w:sz w:val="16"/>
                <w:szCs w:val="16"/>
                <w:b w:val="1"/>
                <w:bCs w:val="1"/>
                <w:color w:val="auto"/>
                <w:w w:val="74"/>
              </w:rPr>
              <w:t>)</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(103,083</w:t>
            </w:r>
          </w:p>
        </w:tc>
        <w:tc>
          <w:tcPr>
            <w:tcW w:w="300" w:type="dxa"/>
            <w:vAlign w:val="bottom"/>
            <w:tcBorders>
              <w:top w:val="single" w:sz="8" w:color="CCFFCC"/>
            </w:tcBorders>
            <w:shd w:val="clear" w:color="auto" w:fill="CCFFCC"/>
          </w:tcPr>
          <w:p>
            <w:pPr>
              <w:jc w:val="right"/>
              <w:ind w:right="160"/>
              <w:spacing w:after="0"/>
              <w:rPr>
                <w:sz w:val="20"/>
                <w:szCs w:val="20"/>
                <w:color w:val="auto"/>
              </w:rPr>
            </w:pPr>
            <w:r>
              <w:rPr>
                <w:rFonts w:ascii="Arial" w:cs="Arial" w:eastAsia="Arial" w:hAnsi="Arial"/>
                <w:sz w:val="16"/>
                <w:szCs w:val="16"/>
                <w:b w:val="1"/>
                <w:bCs w:val="1"/>
                <w:color w:val="auto"/>
                <w:w w:val="74"/>
              </w:rPr>
              <w:t>)</w:t>
            </w:r>
          </w:p>
        </w:tc>
        <w:tc>
          <w:tcPr>
            <w:tcW w:w="7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5.4</w:t>
            </w:r>
          </w:p>
        </w:tc>
        <w:tc>
          <w:tcPr>
            <w:tcW w:w="3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21.6</w:t>
            </w:r>
          </w:p>
        </w:tc>
        <w:tc>
          <w:tcPr>
            <w:tcW w:w="1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5780" w:type="dxa"/>
            <w:vAlign w:val="bottom"/>
            <w:gridSpan w:val="2"/>
          </w:tcPr>
          <w:p>
            <w:pPr>
              <w:spacing w:after="0"/>
              <w:rPr>
                <w:sz w:val="20"/>
                <w:szCs w:val="20"/>
                <w:color w:val="auto"/>
              </w:rPr>
            </w:pPr>
            <w:r>
              <w:rPr>
                <w:rFonts w:ascii="Arial" w:cs="Arial" w:eastAsia="Arial" w:hAnsi="Arial"/>
                <w:sz w:val="18"/>
                <w:szCs w:val="18"/>
                <w:color w:val="auto"/>
              </w:rPr>
              <w:t>Annualized net provisions / Total loans</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Provisions / Net Interest Income</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28.5%</w:t>
            </w: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28.0%</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25.6%</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FFCC"/>
          </w:tcPr>
          <w:p>
            <w:pPr>
              <w:spacing w:after="0"/>
              <w:rPr>
                <w:sz w:val="19"/>
                <w:szCs w:val="19"/>
                <w:color w:val="auto"/>
              </w:rPr>
            </w:pPr>
          </w:p>
        </w:tc>
        <w:tc>
          <w:tcPr>
            <w:tcW w:w="94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78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b w:val="1"/>
                <w:bCs w:val="1"/>
                <w:color w:val="auto"/>
              </w:rPr>
              <w:t>Total loans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22,308,659</w:t>
            </w:r>
          </w:p>
        </w:tc>
        <w:tc>
          <w:tcPr>
            <w:tcW w:w="300" w:type="dxa"/>
            <w:vAlign w:val="bottom"/>
            <w:tcBorders>
              <w:bottom w:val="single" w:sz="8" w:color="CCFFCC"/>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21,715,317</w:t>
            </w:r>
          </w:p>
        </w:tc>
        <w:tc>
          <w:tcPr>
            <w:tcW w:w="300" w:type="dxa"/>
            <w:vAlign w:val="bottom"/>
            <w:tcBorders>
              <w:bottom w:val="single" w:sz="8" w:color="CCFFCC"/>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20,754,941</w:t>
            </w:r>
          </w:p>
        </w:tc>
        <w:tc>
          <w:tcPr>
            <w:tcW w:w="300" w:type="dxa"/>
            <w:vAlign w:val="bottom"/>
            <w:tcBorders>
              <w:bottom w:val="single" w:sz="8" w:color="CCFFCC"/>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30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w:t>
            </w:r>
          </w:p>
        </w:tc>
        <w:tc>
          <w:tcPr>
            <w:tcW w:w="18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57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Reserve for loan losses (RLL)</w:t>
            </w: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809,264</w:t>
            </w:r>
          </w:p>
        </w:tc>
        <w:tc>
          <w:tcPr>
            <w:tcW w:w="300" w:type="dxa"/>
            <w:vAlign w:val="bottom"/>
            <w:shd w:val="clear" w:color="auto" w:fill="CCFFCC"/>
          </w:tcPr>
          <w:p>
            <w:pPr>
              <w:spacing w:after="0"/>
              <w:rPr>
                <w:sz w:val="18"/>
                <w:szCs w:val="18"/>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794,032</w:t>
            </w:r>
          </w:p>
        </w:tc>
        <w:tc>
          <w:tcPr>
            <w:tcW w:w="300" w:type="dxa"/>
            <w:vAlign w:val="bottom"/>
            <w:shd w:val="clear" w:color="auto" w:fill="CCFFCC"/>
          </w:tcPr>
          <w:p>
            <w:pPr>
              <w:spacing w:after="0"/>
              <w:rPr>
                <w:sz w:val="18"/>
                <w:szCs w:val="18"/>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698,395</w:t>
            </w:r>
          </w:p>
        </w:tc>
        <w:tc>
          <w:tcPr>
            <w:tcW w:w="300" w:type="dxa"/>
            <w:vAlign w:val="bottom"/>
            <w:shd w:val="clear" w:color="auto" w:fill="CCFFCC"/>
          </w:tcPr>
          <w:p>
            <w:pPr>
              <w:spacing w:after="0"/>
              <w:rPr>
                <w:sz w:val="18"/>
                <w:szCs w:val="18"/>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FFCC"/>
          </w:tcPr>
          <w:p>
            <w:pP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578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color w:val="auto"/>
              </w:rPr>
              <w:t>Charge-Off amount (1)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89,859</w:t>
            </w:r>
          </w:p>
        </w:tc>
        <w:tc>
          <w:tcPr>
            <w:tcW w:w="300" w:type="dxa"/>
            <w:vAlign w:val="bottom"/>
            <w:tcBorders>
              <w:bottom w:val="single" w:sz="8" w:color="CCFFCC"/>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86,144</w:t>
            </w:r>
          </w:p>
        </w:tc>
        <w:tc>
          <w:tcPr>
            <w:tcW w:w="300" w:type="dxa"/>
            <w:vAlign w:val="bottom"/>
            <w:tcBorders>
              <w:bottom w:val="single" w:sz="8" w:color="CCFFCC"/>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88,234</w:t>
            </w:r>
          </w:p>
        </w:tc>
        <w:tc>
          <w:tcPr>
            <w:tcW w:w="300" w:type="dxa"/>
            <w:vAlign w:val="bottom"/>
            <w:tcBorders>
              <w:bottom w:val="single" w:sz="8" w:color="CCFFC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3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57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Past due loans (PDL)</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513,669</w:t>
            </w:r>
          </w:p>
        </w:tc>
        <w:tc>
          <w:tcPr>
            <w:tcW w:w="3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488,120</w:t>
            </w:r>
          </w:p>
        </w:tc>
        <w:tc>
          <w:tcPr>
            <w:tcW w:w="3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370,338</w:t>
            </w:r>
          </w:p>
        </w:tc>
        <w:tc>
          <w:tcPr>
            <w:tcW w:w="3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5.2%</w:t>
            </w: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Non-performing loans (NPLs)</w:t>
            </w:r>
          </w:p>
        </w:tc>
        <w:tc>
          <w:tcPr>
            <w:tcW w:w="920" w:type="dxa"/>
            <w:vAlign w:val="bottom"/>
          </w:tcPr>
          <w:p>
            <w:pPr>
              <w:jc w:val="right"/>
              <w:spacing w:after="0"/>
              <w:rPr>
                <w:sz w:val="20"/>
                <w:szCs w:val="20"/>
                <w:color w:val="auto"/>
              </w:rPr>
            </w:pPr>
            <w:r>
              <w:rPr>
                <w:rFonts w:ascii="Arial" w:cs="Arial" w:eastAsia="Arial" w:hAnsi="Arial"/>
                <w:sz w:val="18"/>
                <w:szCs w:val="18"/>
                <w:color w:val="auto"/>
              </w:rPr>
              <w:t>646,626</w:t>
            </w:r>
          </w:p>
        </w:tc>
        <w:tc>
          <w:tcPr>
            <w:tcW w:w="3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616,978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512,074</w:t>
            </w: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4.8%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
        </w:trPr>
        <w:tc>
          <w:tcPr>
            <w:tcW w:w="5780" w:type="dxa"/>
            <w:vAlign w:val="bottom"/>
            <w:gridSpan w:val="2"/>
            <w:vMerge w:val="restart"/>
            <w:shd w:val="clear" w:color="auto" w:fill="CCFFCC"/>
          </w:tcPr>
          <w:p>
            <w:pPr>
              <w:spacing w:after="0"/>
              <w:rPr>
                <w:sz w:val="20"/>
                <w:szCs w:val="20"/>
                <w:color w:val="auto"/>
              </w:rPr>
            </w:pPr>
            <w:r>
              <w:rPr>
                <w:rFonts w:ascii="Arial" w:cs="Arial" w:eastAsia="Arial" w:hAnsi="Arial"/>
                <w:sz w:val="18"/>
                <w:szCs w:val="18"/>
                <w:b w:val="1"/>
                <w:bCs w:val="1"/>
                <w:color w:val="auto"/>
              </w:rPr>
              <w:t>PDL ratio at 90 days</w:t>
            </w: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gridSpan w:val="2"/>
            <w:vMerge w:val="continue"/>
            <w:shd w:val="clear" w:color="auto" w:fill="CCFFCC"/>
          </w:tcPr>
          <w:p>
            <w:pPr>
              <w:spacing w:after="0"/>
              <w:rPr>
                <w:sz w:val="18"/>
                <w:szCs w:val="18"/>
                <w:color w:val="auto"/>
              </w:rPr>
            </w:pPr>
          </w:p>
        </w:tc>
        <w:tc>
          <w:tcPr>
            <w:tcW w:w="1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1.53%</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1.52%</w:t>
            </w:r>
          </w:p>
        </w:tc>
        <w:tc>
          <w:tcPr>
            <w:tcW w:w="1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1.14%</w:t>
            </w:r>
          </w:p>
        </w:tc>
        <w:tc>
          <w:tcPr>
            <w:tcW w:w="7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PDL ratio</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2.30%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2.25%</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1.78%</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NPL ratio (2)</w:t>
            </w:r>
          </w:p>
        </w:tc>
        <w:tc>
          <w:tcPr>
            <w:tcW w:w="1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2.90%</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2.84%</w:t>
            </w:r>
          </w:p>
        </w:tc>
        <w:tc>
          <w:tcPr>
            <w:tcW w:w="1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2.47%</w:t>
            </w:r>
          </w:p>
        </w:tc>
        <w:tc>
          <w:tcPr>
            <w:tcW w:w="7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color w:val="auto"/>
              </w:rPr>
              <w:t>Coverage of PDLs</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157.5%</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162.7%</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188.6%</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Coverage of NPLs</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125.2%</w:t>
            </w: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128.7%</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136.4%</w:t>
            </w:r>
          </w:p>
        </w:tc>
        <w:tc>
          <w:tcPr>
            <w:tcW w:w="76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76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3Q13 Charge-off amount differs from the previously reported. Consider the figure in this report.</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NPLs: Non-performing lons = Past due loans + Refinanced and restructured loans. NPL Ratio = NPLs / Total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8097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2 Until 4Q12, total earning assets included current loans (including refinanced and restructured loans). Since 1Q13, total earning assets include total loans, meaning current loans and past due loans. NIM of loans is calculated as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-19050</wp:posOffset>
            </wp:positionV>
            <wp:extent cx="2924175"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924175" cy="137160"/>
                    </a:xfrm>
                    <a:prstGeom prst="rect">
                      <a:avLst/>
                    </a:prstGeom>
                    <a:noFill/>
                  </pic:spPr>
                </pic:pic>
              </a:graphicData>
            </a:graphic>
          </wp:anchor>
        </w:drawing>
      </w:r>
    </w:p>
    <w:p>
      <w:pPr>
        <w:spacing w:after="0" w:line="15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share of loans within total earning assets is calculated by dividing the average of the beginning and closing balances of total loans for the reporting period, by the average of the beginning and closing balances of the interest earnings assets for the reporting period.</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4" w:name="page25"/>
    <w:bookmarkEnd w:id="24"/>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6246495</wp:posOffset>
            </wp:positionH>
            <wp:positionV relativeFrom="page">
              <wp:posOffset>568960</wp:posOffset>
            </wp:positionV>
            <wp:extent cx="1132205" cy="3086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Provisions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provisions on loan losses totaled US$ 125.4 million, which indicates an increase of 5.4% QoQ. This level represents 28.5% of total NII (vs 28.0% in 3Q13) and 2.25% of total loans (vs. 2.19% last quarter). The expansion seen QoQ in total provisions for loan losses is associated with the evolution of the PDL portfolio for the SME and Credit Card segments (see explanation below).</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coverage ratio for the PDL portfolio fell QoQ, going from 162.7% in 3Q13 to 157.5% in 4Q13. This was directly attributable to higher growth in the PDL portfolio (+5.2%) in comparison to the increase in the stock of provisions at the end of 4Q13 (+1.9%). The same relation is evident if we analyze the evolution of coverage for the non-performing loan portfolio (NPL), which fell from 128.7% in 3Q to 125.2% in 4Q given that growth in this portfolio (+4.8%) outpaced growth in the stock of provisions in 4Q13.</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context the moderate growth of +1.9% reported in the stock of provisions was in line with the 5.4% QoQ expansion registered in net provisions on loan losses and the +4.3% increase QoQ in charge offs, which totaled US$ 89.9 million at the end of 4Q13.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117475</wp:posOffset>
            </wp:positionV>
            <wp:extent cx="2761615" cy="21183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61615" cy="211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Quality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PDL ratio increased 5bps to situate at 2.30% at quarter-end (vs. 2.25% at the end of 2Q13) while the 90-day PDL ratio remained stable, increasing only 1bp (1.52% in 3Q13 to 1.53% in 4Q13).</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the PDL ratio is due to +5.2% growth in the PDL portfolio, which is in turn attributable to higher delinquency in the Credit Card and SME segments. Delinquency in the SME segment was situated at 8.24% at the end of 4Q13, which was in line with the maturing cycle of pre-adjustment vintages, while the evolution of the PDL ratio in the Credit Card segment (5.84% at the end of 4Q13) was due primarily to the fact that in mid-October, SBS made changes to the methodology to calculate the minimum payment (see explanation below).</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NPL portfolio (including refinanced loans) increased +4.8% QoQ. This led to a 6bp increase in the NPL ratio, which was situated at 2.90% (higher than the 2.84% reported in 3Q13). It is important to note that BCP’s NPL ratio continues to be lower than the System’s average NPL ratio, which was situated at 3.1% at the end of December 2013 (SBS Data).</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5" w:name="page26"/>
    <w:bookmarkEnd w:id="25"/>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figure below shows the evolution of the PDL ratio by segment and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152400</wp:posOffset>
            </wp:positionV>
            <wp:extent cx="3704590" cy="24098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704590" cy="240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analysis of the evolution of the PDL ratio by segment and product, it is important to remember that portfolio quality has remained stable with the exception of the deterioration noted in the SME and Credit Card segments:</w:t>
      </w:r>
    </w:p>
    <w:p>
      <w:pPr>
        <w:spacing w:after="0" w:line="170" w:lineRule="exact"/>
        <w:rPr>
          <w:sz w:val="20"/>
          <w:szCs w:val="20"/>
          <w:color w:val="auto"/>
        </w:rPr>
      </w:pPr>
    </w:p>
    <w:p>
      <w:pPr>
        <w:jc w:val="both"/>
        <w:ind w:left="1280" w:hanging="381"/>
        <w:spacing w:after="0" w:line="279" w:lineRule="auto"/>
        <w:tabs>
          <w:tab w:leader="none" w:pos="12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evolution of the PDL ratio in the SME segment posted an increase, going from 8.03% in 3Q13 to 8.24% in 4Q13. This evolution reflects the maturing cycle of pre-adjustment vintages. The first adjustments were made at the end of 2012 and in November 2013, new adjustments were introduced to scoring models as efforts continued to align pricing instruments to adequately reflect this segment’s risk. These changes are expected to improve the portfolio quality of this segment by mid-2014.</w:t>
      </w:r>
    </w:p>
    <w:p>
      <w:pPr>
        <w:spacing w:after="0" w:line="171" w:lineRule="exact"/>
        <w:rPr>
          <w:rFonts w:ascii="Arial" w:cs="Arial" w:eastAsia="Arial" w:hAnsi="Arial"/>
          <w:sz w:val="17"/>
          <w:szCs w:val="17"/>
          <w:color w:val="auto"/>
        </w:rPr>
      </w:pPr>
    </w:p>
    <w:p>
      <w:pPr>
        <w:jc w:val="both"/>
        <w:ind w:left="1280" w:hanging="381"/>
        <w:spacing w:after="0" w:line="264" w:lineRule="auto"/>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year-end the Credit Card segment posted a PDL ratio of 5.84%, which indicates deterioration with regard to last quarter’s (5.08%), which incorporated the impact of the change that SBS made in mid-October to the way credit card minimum payments are calculated. This new calculation increased the minimum payment to reduce the total period of debt.</w:t>
      </w:r>
    </w:p>
    <w:p>
      <w:pPr>
        <w:spacing w:after="0" w:line="181" w:lineRule="exact"/>
        <w:rPr>
          <w:rFonts w:ascii="Arial" w:cs="Arial" w:eastAsia="Arial" w:hAnsi="Arial"/>
          <w:sz w:val="18"/>
          <w:szCs w:val="18"/>
          <w:color w:val="auto"/>
        </w:rPr>
      </w:pPr>
    </w:p>
    <w:p>
      <w:pPr>
        <w:jc w:val="both"/>
        <w:ind w:left="1280" w:hanging="381"/>
        <w:spacing w:after="0" w:line="264" w:lineRule="auto"/>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mortgage loan portfolio posted an expected increase in delinquency, going from 1.34% in 3Q13 to 1.39% in 4Q13. This was in line with the fact that the portfolio is focusing more on lower-income segments with products such as Mivivienda and Ahorro Local, which allow the Bank to achieve a balance between margins and risk levels.</w:t>
      </w:r>
    </w:p>
    <w:p>
      <w:pPr>
        <w:spacing w:after="0" w:line="181" w:lineRule="exact"/>
        <w:rPr>
          <w:rFonts w:ascii="Arial" w:cs="Arial" w:eastAsia="Arial" w:hAnsi="Arial"/>
          <w:sz w:val="18"/>
          <w:szCs w:val="18"/>
          <w:color w:val="auto"/>
        </w:rPr>
      </w:pPr>
    </w:p>
    <w:p>
      <w:pPr>
        <w:ind w:left="1280" w:hanging="381"/>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consumer segment posted a decrease in its PDL ratio, which situated at 2.22% (versus 2.56% in 3Q13).</w:t>
      </w:r>
    </w:p>
    <w:p>
      <w:pPr>
        <w:spacing w:after="0" w:line="225" w:lineRule="exact"/>
        <w:rPr>
          <w:rFonts w:ascii="Arial" w:cs="Arial" w:eastAsia="Arial" w:hAnsi="Arial"/>
          <w:sz w:val="18"/>
          <w:szCs w:val="18"/>
          <w:color w:val="auto"/>
        </w:rPr>
      </w:pPr>
    </w:p>
    <w:p>
      <w:pPr>
        <w:jc w:val="both"/>
        <w:ind w:left="1280" w:hanging="381"/>
        <w:spacing w:after="0" w:line="264" w:lineRule="auto"/>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Finally, Edyficar posted a PDL ratio of 3.91% at year-end, which is 17 bps below the 4.08% recorded in 3Q13. This evolution is in line with the fact that the growth in its PDL portfolio falls below the increase registered in loan growth. It is important to note that the PDL ratio was stable YoY, going from 3.92% in December 2012 to 3.91% in December 2013.</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6" w:name="page27"/>
    <w:bookmarkEnd w:id="26"/>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6246495</wp:posOffset>
            </wp:positionH>
            <wp:positionV relativeFrom="page">
              <wp:posOffset>568960</wp:posOffset>
            </wp:positionV>
            <wp:extent cx="1132205" cy="3086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II.5 Non-financial income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At the end of 4Q13, non-financial income reported an increase of +6.9% QoQ, which was due primarily to +5.1% growth in fee income. Nevertheless the YoY and accumulated evolution shows that this component fell -2.8% and -2.3% respectively, which primarily reflects a loss on sales of securities.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Non financial income *</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Quarter</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ind w:left="600"/>
              <w:spacing w:after="0"/>
              <w:rPr>
                <w:sz w:val="20"/>
                <w:szCs w:val="20"/>
                <w:color w:val="auto"/>
              </w:rPr>
            </w:pPr>
            <w:r>
              <w:rPr>
                <w:rFonts w:ascii="Arial" w:cs="Arial" w:eastAsia="Arial" w:hAnsi="Arial"/>
                <w:sz w:val="14"/>
                <w:szCs w:val="14"/>
                <w:b w:val="1"/>
                <w:bCs w:val="1"/>
                <w:color w:val="auto"/>
                <w:w w:val="97"/>
              </w:rPr>
              <w:t>% Change</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Year ended</w:t>
            </w:r>
          </w:p>
        </w:tc>
        <w:tc>
          <w:tcPr>
            <w:tcW w:w="110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 Change</w:t>
            </w:r>
          </w:p>
        </w:tc>
      </w:tr>
      <w:tr>
        <w:trPr>
          <w:trHeight w:val="171"/>
        </w:trPr>
        <w:tc>
          <w:tcPr>
            <w:tcW w:w="3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US$ 000</w:t>
            </w:r>
          </w:p>
        </w:tc>
        <w:tc>
          <w:tcPr>
            <w:tcW w:w="10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4Q13</w:t>
            </w:r>
          </w:p>
        </w:tc>
        <w:tc>
          <w:tcPr>
            <w:tcW w:w="20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3Q13</w:t>
            </w:r>
          </w:p>
        </w:tc>
        <w:tc>
          <w:tcPr>
            <w:tcW w:w="20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4Q12</w:t>
            </w:r>
          </w:p>
        </w:tc>
        <w:tc>
          <w:tcPr>
            <w:tcW w:w="20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FFC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24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Dec 13</w:t>
            </w:r>
          </w:p>
        </w:tc>
        <w:tc>
          <w:tcPr>
            <w:tcW w:w="20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Dec 12</w:t>
            </w:r>
          </w:p>
        </w:tc>
        <w:tc>
          <w:tcPr>
            <w:tcW w:w="220" w:type="dxa"/>
            <w:vAlign w:val="bottom"/>
            <w:tcBorders>
              <w:bottom w:val="single" w:sz="8" w:color="CCFFCC"/>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Dec 13 / Dec 12</w:t>
            </w:r>
          </w:p>
        </w:tc>
        <w:tc>
          <w:tcPr>
            <w:tcW w:w="140" w:type="dxa"/>
            <w:vAlign w:val="bottom"/>
            <w:tcBorders>
              <w:bottom w:val="single" w:sz="8" w:color="CCFFCC"/>
            </w:tcBorders>
          </w:tcPr>
          <w:p>
            <w:pPr>
              <w:spacing w:after="0"/>
              <w:rPr>
                <w:sz w:val="14"/>
                <w:szCs w:val="14"/>
                <w:color w:val="auto"/>
              </w:rPr>
            </w:pPr>
          </w:p>
        </w:tc>
      </w:tr>
      <w:tr>
        <w:trPr>
          <w:trHeight w:val="142"/>
        </w:trPr>
        <w:tc>
          <w:tcPr>
            <w:tcW w:w="314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Fee income</w:t>
            </w:r>
          </w:p>
        </w:tc>
        <w:tc>
          <w:tcPr>
            <w:tcW w:w="10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170,992</w:t>
            </w: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162,715</w:t>
            </w: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172,495</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5.1%</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-0.9%</w:t>
            </w: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648,774</w:t>
            </w:r>
          </w:p>
        </w:tc>
        <w:tc>
          <w:tcPr>
            <w:tcW w:w="20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620,058</w:t>
            </w: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4.6%</w:t>
            </w:r>
          </w:p>
        </w:tc>
      </w:tr>
      <w:tr>
        <w:trPr>
          <w:trHeight w:val="149"/>
        </w:trPr>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Net gain on foreign exchange transactions</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44,490</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47,487</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47,996</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-6.3%</w:t>
            </w:r>
          </w:p>
        </w:tc>
        <w:tc>
          <w:tcPr>
            <w:tcW w:w="24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-7.3%</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190,763</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174,049</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w:t>
            </w:r>
          </w:p>
        </w:tc>
      </w:tr>
      <w:tr>
        <w:trPr>
          <w:trHeight w:val="149"/>
        </w:trPr>
        <w:tc>
          <w:tcPr>
            <w:tcW w:w="32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Net gain on sales of securities</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2,717</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(738)</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4,994</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468.2%</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-45.6%</w:t>
            </w:r>
          </w:p>
        </w:tc>
        <w:tc>
          <w:tcPr>
            <w:tcW w:w="10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(23,958)</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43,334</w:t>
            </w: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-155.3%</w:t>
            </w:r>
          </w:p>
        </w:tc>
      </w:tr>
      <w:tr>
        <w:trPr>
          <w:trHeight w:val="162"/>
        </w:trPr>
        <w:tc>
          <w:tcPr>
            <w:tcW w:w="3240" w:type="dxa"/>
            <w:vAlign w:val="bottom"/>
            <w:gridSpan w:val="2"/>
          </w:tcPr>
          <w:p>
            <w:pPr>
              <w:spacing w:after="0"/>
              <w:rPr>
                <w:sz w:val="20"/>
                <w:szCs w:val="20"/>
                <w:color w:val="auto"/>
              </w:rPr>
            </w:pPr>
            <w:r>
              <w:rPr>
                <w:rFonts w:ascii="Arial" w:cs="Arial" w:eastAsia="Arial" w:hAnsi="Arial"/>
                <w:sz w:val="14"/>
                <w:szCs w:val="14"/>
                <w:color w:val="auto"/>
              </w:rPr>
              <w:t>Other income</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8,010</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2,195</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7,345</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264.9%</w:t>
            </w:r>
          </w:p>
        </w:tc>
        <w:tc>
          <w:tcPr>
            <w:tcW w:w="240" w:type="dxa"/>
            <w:vAlign w:val="bottom"/>
          </w:tcPr>
          <w:p>
            <w:pPr>
              <w:spacing w:after="0"/>
              <w:rPr>
                <w:sz w:val="14"/>
                <w:szCs w:val="14"/>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4"/>
                <w:szCs w:val="14"/>
                <w:color w:val="auto"/>
              </w:rPr>
              <w:t>9.1%</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26,003</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23,825</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9.1%</w:t>
            </w:r>
          </w:p>
        </w:tc>
      </w:tr>
      <w:tr>
        <w:trPr>
          <w:trHeight w:val="142"/>
        </w:trPr>
        <w:tc>
          <w:tcPr>
            <w:tcW w:w="3240" w:type="dxa"/>
            <w:vAlign w:val="bottom"/>
            <w:tcBorders>
              <w:top w:val="single" w:sz="8" w:color="CCFFCC"/>
            </w:tcBorders>
            <w:gridSpan w:val="2"/>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Total non financial income</w:t>
            </w:r>
          </w:p>
        </w:tc>
        <w:tc>
          <w:tcPr>
            <w:tcW w:w="8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226,209</w:t>
            </w:r>
          </w:p>
        </w:tc>
        <w:tc>
          <w:tcPr>
            <w:tcW w:w="200" w:type="dxa"/>
            <w:vAlign w:val="bottom"/>
            <w:tcBorders>
              <w:top w:val="single" w:sz="8" w:color="CCFFCC"/>
            </w:tcBorders>
            <w:shd w:val="clear" w:color="auto" w:fill="CCFFCC"/>
          </w:tcPr>
          <w:p>
            <w:pPr>
              <w:spacing w:after="0"/>
              <w:rPr>
                <w:sz w:val="12"/>
                <w:szCs w:val="12"/>
                <w:color w:val="auto"/>
              </w:rPr>
            </w:pPr>
          </w:p>
        </w:tc>
        <w:tc>
          <w:tcPr>
            <w:tcW w:w="8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211,659</w:t>
            </w:r>
          </w:p>
        </w:tc>
        <w:tc>
          <w:tcPr>
            <w:tcW w:w="200" w:type="dxa"/>
            <w:vAlign w:val="bottom"/>
            <w:tcBorders>
              <w:top w:val="single" w:sz="8" w:color="CCFFCC"/>
            </w:tcBorders>
            <w:shd w:val="clear" w:color="auto" w:fill="CCFFCC"/>
          </w:tcPr>
          <w:p>
            <w:pPr>
              <w:spacing w:after="0"/>
              <w:rPr>
                <w:sz w:val="12"/>
                <w:szCs w:val="12"/>
                <w:color w:val="auto"/>
              </w:rPr>
            </w:pPr>
          </w:p>
        </w:tc>
        <w:tc>
          <w:tcPr>
            <w:tcW w:w="8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232,830</w:t>
            </w:r>
          </w:p>
        </w:tc>
        <w:tc>
          <w:tcPr>
            <w:tcW w:w="200" w:type="dxa"/>
            <w:vAlign w:val="bottom"/>
            <w:tcBorders>
              <w:top w:val="single" w:sz="8" w:color="CCFFCC"/>
            </w:tcBorders>
            <w:shd w:val="clear" w:color="auto" w:fill="CCFFCC"/>
          </w:tcPr>
          <w:p>
            <w:pPr>
              <w:spacing w:after="0"/>
              <w:rPr>
                <w:sz w:val="12"/>
                <w:szCs w:val="12"/>
                <w:color w:val="auto"/>
              </w:rPr>
            </w:pPr>
          </w:p>
        </w:tc>
        <w:tc>
          <w:tcPr>
            <w:tcW w:w="8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6.9</w:t>
            </w:r>
          </w:p>
        </w:tc>
        <w:tc>
          <w:tcPr>
            <w:tcW w:w="240" w:type="dxa"/>
            <w:vAlign w:val="bottom"/>
            <w:tcBorders>
              <w:top w:val="single" w:sz="8" w:color="CCFFCC"/>
            </w:tcBorders>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240" w:type="dxa"/>
            <w:vAlign w:val="bottom"/>
            <w:tcBorders>
              <w:top w:val="single" w:sz="8" w:color="auto"/>
              <w:bottom w:val="single" w:sz="8" w:color="auto"/>
            </w:tcBorders>
            <w:shd w:val="clear" w:color="auto" w:fill="CCFFCC"/>
          </w:tcPr>
          <w:p>
            <w:pPr>
              <w:spacing w:after="0"/>
              <w:rPr>
                <w:sz w:val="12"/>
                <w:szCs w:val="12"/>
                <w:color w:val="auto"/>
              </w:rPr>
            </w:pPr>
          </w:p>
        </w:tc>
        <w:tc>
          <w:tcPr>
            <w:tcW w:w="5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-2.8</w:t>
            </w:r>
          </w:p>
        </w:tc>
        <w:tc>
          <w:tcPr>
            <w:tcW w:w="240" w:type="dxa"/>
            <w:vAlign w:val="bottom"/>
            <w:tcBorders>
              <w:top w:val="single" w:sz="8" w:color="CCFFCC"/>
            </w:tcBorders>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8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841,582</w:t>
            </w:r>
          </w:p>
        </w:tc>
        <w:tc>
          <w:tcPr>
            <w:tcW w:w="20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861,266</w:t>
            </w:r>
          </w:p>
        </w:tc>
        <w:tc>
          <w:tcPr>
            <w:tcW w:w="220" w:type="dxa"/>
            <w:vAlign w:val="bottom"/>
            <w:tcBorders>
              <w:top w:val="single" w:sz="8" w:color="CCFFCC"/>
            </w:tcBorders>
            <w:shd w:val="clear" w:color="auto" w:fill="CCFFCC"/>
          </w:tcPr>
          <w:p>
            <w:pPr>
              <w:spacing w:after="0"/>
              <w:rPr>
                <w:sz w:val="12"/>
                <w:szCs w:val="12"/>
                <w:color w:val="auto"/>
              </w:rPr>
            </w:pPr>
          </w:p>
        </w:tc>
        <w:tc>
          <w:tcPr>
            <w:tcW w:w="9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-2.3</w:t>
            </w:r>
          </w:p>
        </w:tc>
        <w:tc>
          <w:tcPr>
            <w:tcW w:w="14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r>
    </w:tbl>
    <w:p>
      <w:pPr>
        <w:spacing w:after="0"/>
        <w:rPr>
          <w:sz w:val="20"/>
          <w:szCs w:val="20"/>
          <w:color w:val="auto"/>
        </w:rPr>
      </w:pPr>
      <w:r>
        <w:rPr>
          <w:rFonts w:ascii="Arial" w:cs="Arial" w:eastAsia="Arial" w:hAnsi="Arial"/>
          <w:sz w:val="18"/>
          <w:szCs w:val="18"/>
          <w:i w:val="1"/>
          <w:iCs w:val="1"/>
          <w:color w:val="auto"/>
        </w:rPr>
        <w:t>* See note in BCP and Subsidiaries income statement.</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Fee income, which are part of the Bank’s core income, reported solid growth of +5.1% QoQ that stemmed from the increase posted in the collections and payments (+9.9% QoQ), growth in the fee income generated by debit card and savings accounts as well as corporate finance (+45.5% QoQ). It is important to note that in 4Q fee income included a reversal of US$ 4 million as part of the adequacy to IFRS 18 rule related to deferred income over the lifetime of the loan (e.g. leasing and mid &amp; long-term loans), thus real growth was 7.5% QoQ.</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annual terms, fee income fell -0.9% YoY. This was basically due to the decrease in fees on commercial loans, which was in turn attributable to deferred fees aforementioned, and the impact of the spin-off of BCP Capital (fee income generated by Credifondo, Credibolsa, and Corporate Finance, among the most important). In annual accumulated terms, the growth of +4.6% in fee income is due primarily to the evolution of commissions for collections and payments (+14.7%), credit cards and saving accounts, which helped absorb the effect on lower income in the Others line (-42.2%), which included income from BCP Capital’s fee income in 2012.</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QoQ and YoY analysis shows that net gain on foreign exchange transactions fell -6.3% and -7.3%, respectively. This was due primarily to a decrease in the volatility of the exchange rate and a decrease in trading volumes. Nevertheless in annual accumulated terms growth was situated at +9.6%, which coincides with the increase in exchange rate volatility in 2013, which led the Nuevo Sol to devaluate 9.6%.</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net gain on sales of securities expanded QoQ, going from a loss of -US$0.7 million in 3Q13 to a gain of US$ 2.7 million in 4Q13 due to the gains generated by the sale of BCRP certificates of deposit. The YoY analysis indicates a decline of -45.6% the net gain on sales of securities due to a decrease in the gains realized for the sale of BCRP CDs. In annual accumulated terms, this line posted a loss of US$ 24.0 million that was associated with the evolution of Latin American sovereign bonds in 3Q13 (increase in the average rates and lower prices) that, given BCP’s position in sovereign bonds (Peru, Colombia and Brazil), generated a loss due to price fluctuations and sales.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Other Income line totaled US$ 8.0 million at the end of 4Q13. This was essentially attributable to a reversal of provisions for the BCP Points program (credit card) and a reimbursement from IBM for unused resources. In YoY and annual accumulated terms, this item increased +9.1%, which coincided with more income from loan recoveries.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7" w:name="page28"/>
    <w:bookmarkEnd w:id="27"/>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6246495</wp:posOffset>
            </wp:positionH>
            <wp:positionV relativeFrom="page">
              <wp:posOffset>568960</wp:posOffset>
            </wp:positionV>
            <wp:extent cx="1132205" cy="3086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table below provides a breakdown of non-financial income, fee income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Fee Income</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Quarter</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ind w:left="600"/>
              <w:spacing w:after="0"/>
              <w:rPr>
                <w:sz w:val="20"/>
                <w:szCs w:val="20"/>
                <w:color w:val="auto"/>
              </w:rPr>
            </w:pPr>
            <w:r>
              <w:rPr>
                <w:rFonts w:ascii="Arial" w:cs="Arial" w:eastAsia="Arial" w:hAnsi="Arial"/>
                <w:sz w:val="14"/>
                <w:szCs w:val="14"/>
                <w:b w:val="1"/>
                <w:bCs w:val="1"/>
                <w:color w:val="auto"/>
                <w:w w:val="97"/>
              </w:rPr>
              <w:t>Change %</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Year ended</w:t>
            </w:r>
          </w:p>
        </w:tc>
        <w:tc>
          <w:tcPr>
            <w:tcW w:w="110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 Change</w:t>
            </w:r>
          </w:p>
        </w:tc>
      </w:tr>
      <w:tr>
        <w:trPr>
          <w:trHeight w:val="171"/>
        </w:trPr>
        <w:tc>
          <w:tcPr>
            <w:tcW w:w="3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US$ 000</w:t>
            </w:r>
          </w:p>
        </w:tc>
        <w:tc>
          <w:tcPr>
            <w:tcW w:w="10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4Q13</w:t>
            </w:r>
          </w:p>
        </w:tc>
        <w:tc>
          <w:tcPr>
            <w:tcW w:w="20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3Q13</w:t>
            </w:r>
          </w:p>
        </w:tc>
        <w:tc>
          <w:tcPr>
            <w:tcW w:w="20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4Q12</w:t>
            </w:r>
          </w:p>
        </w:tc>
        <w:tc>
          <w:tcPr>
            <w:tcW w:w="20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FFC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24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Dec 13</w:t>
            </w:r>
          </w:p>
        </w:tc>
        <w:tc>
          <w:tcPr>
            <w:tcW w:w="20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Dec 12</w:t>
            </w:r>
          </w:p>
        </w:tc>
        <w:tc>
          <w:tcPr>
            <w:tcW w:w="220" w:type="dxa"/>
            <w:vAlign w:val="bottom"/>
            <w:tcBorders>
              <w:bottom w:val="single" w:sz="8" w:color="CCFFCC"/>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Dec 13 / Dec 12</w:t>
            </w:r>
          </w:p>
        </w:tc>
        <w:tc>
          <w:tcPr>
            <w:tcW w:w="140" w:type="dxa"/>
            <w:vAlign w:val="bottom"/>
            <w:tcBorders>
              <w:bottom w:val="single" w:sz="8" w:color="CCFFCC"/>
            </w:tcBorders>
          </w:tcPr>
          <w:p>
            <w:pPr>
              <w:spacing w:after="0"/>
              <w:rPr>
                <w:sz w:val="14"/>
                <w:szCs w:val="14"/>
                <w:color w:val="auto"/>
              </w:rPr>
            </w:pPr>
          </w:p>
        </w:tc>
      </w:tr>
      <w:tr>
        <w:trPr>
          <w:trHeight w:val="142"/>
        </w:trPr>
        <w:tc>
          <w:tcPr>
            <w:tcW w:w="314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Miscellaneous Accounts (1)</w:t>
            </w:r>
          </w:p>
        </w:tc>
        <w:tc>
          <w:tcPr>
            <w:tcW w:w="10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49,467</w:t>
            </w: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47,095</w:t>
            </w: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47,158</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5.0%</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4.9%</w:t>
            </w: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187,947</w:t>
            </w:r>
          </w:p>
        </w:tc>
        <w:tc>
          <w:tcPr>
            <w:tcW w:w="20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174,215</w:t>
            </w: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7.9%</w:t>
            </w:r>
          </w:p>
        </w:tc>
      </w:tr>
      <w:tr>
        <w:trPr>
          <w:trHeight w:val="149"/>
        </w:trPr>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Off-balance sheet</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11,667</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11,217</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12,054</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4.0%</w:t>
            </w:r>
          </w:p>
        </w:tc>
        <w:tc>
          <w:tcPr>
            <w:tcW w:w="24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-3.2%</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45,560</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41,870</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8.8%</w:t>
            </w:r>
          </w:p>
        </w:tc>
      </w:tr>
      <w:tr>
        <w:trPr>
          <w:trHeight w:val="149"/>
        </w:trPr>
        <w:tc>
          <w:tcPr>
            <w:tcW w:w="32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Payments and Collections</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27,195</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24,740</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24,355</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9.9%</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11.7%</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100,676</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87,790</w:t>
            </w: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14.7%</w:t>
            </w:r>
          </w:p>
        </w:tc>
      </w:tr>
      <w:tr>
        <w:trPr>
          <w:trHeight w:val="149"/>
        </w:trPr>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Drafts and Transfers</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9,400</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9,281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8,670</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1.3%</w:t>
            </w:r>
          </w:p>
        </w:tc>
        <w:tc>
          <w:tcPr>
            <w:tcW w:w="24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8.4%</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37,441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34,969</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w:t>
            </w:r>
          </w:p>
        </w:tc>
      </w:tr>
      <w:tr>
        <w:trPr>
          <w:trHeight w:val="149"/>
        </w:trPr>
        <w:tc>
          <w:tcPr>
            <w:tcW w:w="32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Credit Cards</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25,633</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24,184</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25,245</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6.0%</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1.5%</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94,786</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85,335</w:t>
            </w: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11.1%</w:t>
            </w:r>
          </w:p>
        </w:tc>
      </w:tr>
      <w:tr>
        <w:trPr>
          <w:trHeight w:val="149"/>
        </w:trPr>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Others fees</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47,631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46,199</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55,013</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3.1%</w:t>
            </w:r>
          </w:p>
        </w:tc>
        <w:tc>
          <w:tcPr>
            <w:tcW w:w="24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-13.4%</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182,365</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195,880</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w:t>
            </w:r>
          </w:p>
        </w:tc>
      </w:tr>
      <w:tr>
        <w:trPr>
          <w:trHeight w:val="149"/>
        </w:trPr>
        <w:tc>
          <w:tcPr>
            <w:tcW w:w="3240" w:type="dxa"/>
            <w:vAlign w:val="bottom"/>
            <w:gridSpan w:val="2"/>
            <w:shd w:val="clear" w:color="auto" w:fill="CCFFCC"/>
          </w:tcPr>
          <w:p>
            <w:pPr>
              <w:ind w:left="140"/>
              <w:spacing w:after="0" w:line="149" w:lineRule="exact"/>
              <w:rPr>
                <w:sz w:val="20"/>
                <w:szCs w:val="20"/>
                <w:color w:val="auto"/>
              </w:rPr>
            </w:pPr>
            <w:r>
              <w:rPr>
                <w:rFonts w:ascii="Arial" w:cs="Arial" w:eastAsia="Arial" w:hAnsi="Arial"/>
                <w:sz w:val="14"/>
                <w:szCs w:val="14"/>
                <w:color w:val="auto"/>
              </w:rPr>
              <w:t>Personal loans (2)</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7,297</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6,612</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5,115</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10.4%</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42.7%</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25,504</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18,985</w:t>
            </w: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34.3%</w:t>
            </w:r>
          </w:p>
        </w:tc>
      </w:tr>
      <w:tr>
        <w:trPr>
          <w:trHeight w:val="149"/>
        </w:trPr>
        <w:tc>
          <w:tcPr>
            <w:tcW w:w="3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SME loans (2)</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6,321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6,349</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4,619</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-0.4%</w:t>
            </w:r>
          </w:p>
        </w:tc>
        <w:tc>
          <w:tcPr>
            <w:tcW w:w="24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36.8%</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22,185</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15,884</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39.7%</w:t>
            </w:r>
          </w:p>
        </w:tc>
      </w:tr>
      <w:tr>
        <w:trPr>
          <w:trHeight w:val="149"/>
        </w:trPr>
        <w:tc>
          <w:tcPr>
            <w:tcW w:w="3240" w:type="dxa"/>
            <w:vAlign w:val="bottom"/>
            <w:gridSpan w:val="2"/>
            <w:shd w:val="clear" w:color="auto" w:fill="CCFFCC"/>
          </w:tcPr>
          <w:p>
            <w:pPr>
              <w:ind w:left="140"/>
              <w:spacing w:after="0" w:line="149" w:lineRule="exact"/>
              <w:rPr>
                <w:sz w:val="20"/>
                <w:szCs w:val="20"/>
                <w:color w:val="auto"/>
              </w:rPr>
            </w:pPr>
            <w:r>
              <w:rPr>
                <w:rFonts w:ascii="Arial" w:cs="Arial" w:eastAsia="Arial" w:hAnsi="Arial"/>
                <w:sz w:val="14"/>
                <w:szCs w:val="14"/>
                <w:color w:val="auto"/>
              </w:rPr>
              <w:t>Insurance (2)</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4,849</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4,585</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4,459</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5.8%</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8.8%</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18,551</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15,972</w:t>
            </w: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16.1%</w:t>
            </w:r>
          </w:p>
        </w:tc>
      </w:tr>
      <w:tr>
        <w:trPr>
          <w:trHeight w:val="149"/>
        </w:trPr>
        <w:tc>
          <w:tcPr>
            <w:tcW w:w="3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Mortgage loans (2)</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3,790</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3,968</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3,673</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-4.5%</w:t>
            </w:r>
          </w:p>
        </w:tc>
        <w:tc>
          <w:tcPr>
            <w:tcW w:w="24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3.2%</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15,511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13,478</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15.1%</w:t>
            </w:r>
          </w:p>
        </w:tc>
      </w:tr>
      <w:tr>
        <w:trPr>
          <w:trHeight w:val="149"/>
        </w:trPr>
        <w:tc>
          <w:tcPr>
            <w:tcW w:w="3240" w:type="dxa"/>
            <w:vAlign w:val="bottom"/>
            <w:gridSpan w:val="2"/>
            <w:shd w:val="clear" w:color="auto" w:fill="CCFFCC"/>
          </w:tcPr>
          <w:p>
            <w:pPr>
              <w:ind w:left="140"/>
              <w:spacing w:after="0" w:line="149" w:lineRule="exact"/>
              <w:rPr>
                <w:sz w:val="20"/>
                <w:szCs w:val="20"/>
                <w:color w:val="auto"/>
              </w:rPr>
            </w:pPr>
            <w:r>
              <w:rPr>
                <w:rFonts w:ascii="Arial" w:cs="Arial" w:eastAsia="Arial" w:hAnsi="Arial"/>
                <w:sz w:val="14"/>
                <w:szCs w:val="14"/>
                <w:color w:val="auto"/>
              </w:rPr>
              <w:t>Commercial loans (3)</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1,658</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4,190</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9,742</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-60.4%</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-83.0%</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14,491</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22,821</w:t>
            </w: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-36.5%</w:t>
            </w:r>
          </w:p>
        </w:tc>
      </w:tr>
      <w:tr>
        <w:trPr>
          <w:trHeight w:val="149"/>
        </w:trPr>
        <w:tc>
          <w:tcPr>
            <w:tcW w:w="3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Foreign trade (3)</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3,992</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4,535</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4,409</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-12.0%</w:t>
            </w:r>
          </w:p>
        </w:tc>
        <w:tc>
          <w:tcPr>
            <w:tcW w:w="24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-9.5%</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16,051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16,498</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w:t>
            </w:r>
          </w:p>
        </w:tc>
      </w:tr>
      <w:tr>
        <w:trPr>
          <w:trHeight w:val="149"/>
        </w:trPr>
        <w:tc>
          <w:tcPr>
            <w:tcW w:w="3240" w:type="dxa"/>
            <w:vAlign w:val="bottom"/>
            <w:gridSpan w:val="2"/>
            <w:shd w:val="clear" w:color="auto" w:fill="CCFFCC"/>
          </w:tcPr>
          <w:p>
            <w:pPr>
              <w:ind w:left="140"/>
              <w:spacing w:after="0" w:line="149" w:lineRule="exact"/>
              <w:rPr>
                <w:sz w:val="20"/>
                <w:szCs w:val="20"/>
                <w:color w:val="auto"/>
              </w:rPr>
            </w:pPr>
            <w:r>
              <w:rPr>
                <w:rFonts w:ascii="Arial" w:cs="Arial" w:eastAsia="Arial" w:hAnsi="Arial"/>
                <w:sz w:val="14"/>
                <w:szCs w:val="14"/>
                <w:color w:val="auto"/>
              </w:rPr>
              <w:t>Credicorp Capital</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7,627</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5,243</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6,802</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45.5%</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12.1%</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26,597</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17,023</w:t>
            </w: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56.2%</w:t>
            </w:r>
          </w:p>
        </w:tc>
      </w:tr>
      <w:tr>
        <w:trPr>
          <w:trHeight w:val="162"/>
        </w:trPr>
        <w:tc>
          <w:tcPr>
            <w:tcW w:w="3240" w:type="dxa"/>
            <w:vAlign w:val="bottom"/>
            <w:gridSpan w:val="2"/>
          </w:tcPr>
          <w:p>
            <w:pPr>
              <w:ind w:left="140"/>
              <w:spacing w:after="0"/>
              <w:rPr>
                <w:sz w:val="20"/>
                <w:szCs w:val="20"/>
                <w:color w:val="auto"/>
              </w:rPr>
            </w:pPr>
            <w:r>
              <w:rPr>
                <w:rFonts w:ascii="Arial" w:cs="Arial" w:eastAsia="Arial" w:hAnsi="Arial"/>
                <w:sz w:val="14"/>
                <w:szCs w:val="14"/>
                <w:color w:val="auto"/>
              </w:rPr>
              <w:t>Others (4)</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12,095</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10,718</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16,194</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12.8%</w:t>
            </w:r>
          </w:p>
        </w:tc>
        <w:tc>
          <w:tcPr>
            <w:tcW w:w="240" w:type="dxa"/>
            <w:vAlign w:val="bottom"/>
          </w:tcPr>
          <w:p>
            <w:pPr>
              <w:spacing w:after="0"/>
              <w:rPr>
                <w:sz w:val="14"/>
                <w:szCs w:val="14"/>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4"/>
                <w:szCs w:val="14"/>
                <w:color w:val="auto"/>
              </w:rPr>
              <w:t>-25.3%</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43,475</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75,218</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-42.2%</w:t>
            </w:r>
          </w:p>
        </w:tc>
      </w:tr>
      <w:tr>
        <w:trPr>
          <w:trHeight w:val="142"/>
        </w:trPr>
        <w:tc>
          <w:tcPr>
            <w:tcW w:w="3240" w:type="dxa"/>
            <w:vAlign w:val="bottom"/>
            <w:tcBorders>
              <w:top w:val="single" w:sz="8" w:color="CCFFCC"/>
            </w:tcBorders>
            <w:gridSpan w:val="2"/>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Total Fee Income</w:t>
            </w:r>
          </w:p>
        </w:tc>
        <w:tc>
          <w:tcPr>
            <w:tcW w:w="8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170,992</w:t>
            </w:r>
          </w:p>
        </w:tc>
        <w:tc>
          <w:tcPr>
            <w:tcW w:w="200" w:type="dxa"/>
            <w:vAlign w:val="bottom"/>
            <w:tcBorders>
              <w:top w:val="single" w:sz="8" w:color="CCFFCC"/>
            </w:tcBorders>
            <w:shd w:val="clear" w:color="auto" w:fill="CCFFCC"/>
          </w:tcPr>
          <w:p>
            <w:pPr>
              <w:spacing w:after="0"/>
              <w:rPr>
                <w:sz w:val="12"/>
                <w:szCs w:val="12"/>
                <w:color w:val="auto"/>
              </w:rPr>
            </w:pPr>
          </w:p>
        </w:tc>
        <w:tc>
          <w:tcPr>
            <w:tcW w:w="8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162,715</w:t>
            </w:r>
          </w:p>
        </w:tc>
        <w:tc>
          <w:tcPr>
            <w:tcW w:w="200" w:type="dxa"/>
            <w:vAlign w:val="bottom"/>
            <w:tcBorders>
              <w:top w:val="single" w:sz="8" w:color="CCFFCC"/>
            </w:tcBorders>
            <w:shd w:val="clear" w:color="auto" w:fill="CCFFCC"/>
          </w:tcPr>
          <w:p>
            <w:pPr>
              <w:spacing w:after="0"/>
              <w:rPr>
                <w:sz w:val="12"/>
                <w:szCs w:val="12"/>
                <w:color w:val="auto"/>
              </w:rPr>
            </w:pPr>
          </w:p>
        </w:tc>
        <w:tc>
          <w:tcPr>
            <w:tcW w:w="8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172,495</w:t>
            </w:r>
          </w:p>
        </w:tc>
        <w:tc>
          <w:tcPr>
            <w:tcW w:w="200" w:type="dxa"/>
            <w:vAlign w:val="bottom"/>
            <w:tcBorders>
              <w:top w:val="single" w:sz="8" w:color="CCFFCC"/>
            </w:tcBorders>
            <w:shd w:val="clear" w:color="auto" w:fill="CCFFCC"/>
          </w:tcPr>
          <w:p>
            <w:pPr>
              <w:spacing w:after="0"/>
              <w:rPr>
                <w:sz w:val="12"/>
                <w:szCs w:val="12"/>
                <w:color w:val="auto"/>
              </w:rPr>
            </w:pPr>
          </w:p>
        </w:tc>
        <w:tc>
          <w:tcPr>
            <w:tcW w:w="8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5.1</w:t>
            </w:r>
          </w:p>
        </w:tc>
        <w:tc>
          <w:tcPr>
            <w:tcW w:w="240" w:type="dxa"/>
            <w:vAlign w:val="bottom"/>
            <w:tcBorders>
              <w:top w:val="single" w:sz="8" w:color="CCFFCC"/>
            </w:tcBorders>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240" w:type="dxa"/>
            <w:vAlign w:val="bottom"/>
            <w:tcBorders>
              <w:top w:val="single" w:sz="8" w:color="auto"/>
              <w:bottom w:val="single" w:sz="8" w:color="auto"/>
            </w:tcBorders>
            <w:shd w:val="clear" w:color="auto" w:fill="CCFFCC"/>
          </w:tcPr>
          <w:p>
            <w:pPr>
              <w:spacing w:after="0"/>
              <w:rPr>
                <w:sz w:val="12"/>
                <w:szCs w:val="12"/>
                <w:color w:val="auto"/>
              </w:rPr>
            </w:pPr>
          </w:p>
        </w:tc>
        <w:tc>
          <w:tcPr>
            <w:tcW w:w="5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-0.9</w:t>
            </w:r>
          </w:p>
        </w:tc>
        <w:tc>
          <w:tcPr>
            <w:tcW w:w="240" w:type="dxa"/>
            <w:vAlign w:val="bottom"/>
            <w:tcBorders>
              <w:top w:val="single" w:sz="8" w:color="CCFFCC"/>
            </w:tcBorders>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8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648,774</w:t>
            </w:r>
          </w:p>
        </w:tc>
        <w:tc>
          <w:tcPr>
            <w:tcW w:w="20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620,058</w:t>
            </w:r>
          </w:p>
        </w:tc>
        <w:tc>
          <w:tcPr>
            <w:tcW w:w="220" w:type="dxa"/>
            <w:vAlign w:val="bottom"/>
            <w:tcBorders>
              <w:top w:val="single" w:sz="8" w:color="CCFFCC"/>
            </w:tcBorders>
            <w:shd w:val="clear" w:color="auto" w:fill="CCFFCC"/>
          </w:tcPr>
          <w:p>
            <w:pPr>
              <w:spacing w:after="0"/>
              <w:rPr>
                <w:sz w:val="12"/>
                <w:szCs w:val="12"/>
                <w:color w:val="auto"/>
              </w:rPr>
            </w:pPr>
          </w:p>
        </w:tc>
        <w:tc>
          <w:tcPr>
            <w:tcW w:w="9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4.6</w:t>
            </w:r>
          </w:p>
        </w:tc>
        <w:tc>
          <w:tcPr>
            <w:tcW w:w="14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r>
    </w:tbl>
    <w:p>
      <w:pPr>
        <w:ind w:left="260" w:hanging="252"/>
        <w:spacing w:after="0"/>
        <w:tabs>
          <w:tab w:leader="none" w:pos="26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Saving accounts, current accounts and debit card.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Mainly Retail fees.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Mainly Wholesale fees.</w:t>
      </w:r>
    </w:p>
    <w:p>
      <w:pPr>
        <w:spacing w:after="0" w:line="9" w:lineRule="exact"/>
        <w:rPr>
          <w:rFonts w:ascii="Arial" w:cs="Arial" w:eastAsia="Arial" w:hAnsi="Arial"/>
          <w:sz w:val="18"/>
          <w:szCs w:val="18"/>
          <w:i w:val="1"/>
          <w:iCs w:val="1"/>
          <w:color w:val="auto"/>
        </w:rPr>
      </w:pPr>
    </w:p>
    <w:p>
      <w:pPr>
        <w:ind w:right="3460" w:firstLine="8"/>
        <w:spacing w:after="0" w:line="261" w:lineRule="auto"/>
        <w:tabs>
          <w:tab w:leader="none" w:pos="255"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fees from BCP Bolivia, Edyficar, network usage and other services to third parties, among others. Source: BCP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channels and Transactions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average number of transactions increased +2.5% QoQ, which coincides the evolution of banking penetration in the country. This increase was due primarily to the fact that more transactions were channeled through Internet VíaBCP (+5.1% QoQ) and ATMs ViaBCP and Agent BCP (+4.9% QoQ). Growth was also seen in Telecréditos (+4.8 QoQ), Agente BCP (+2.2% QoQ) and Points of Sale P.O.S. (+3.1%). It is important to note the decrease in Teller transactions (-3.6% QoQ). All of the aforementioned was the result of the Bank’s efforts to encourage clients to shift their transactions from traditional channels to more cost-efficient alternatives.</w:t>
      </w:r>
    </w:p>
    <w:p>
      <w:pPr>
        <w:spacing w:after="0" w:line="18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year-on-year terms, the average number of transactions grew +8.9%. A noteworthy increase was observed in ViaBCP Internet Banking (+21.9% YoY), which is a clear sign that the public’s trust in this channel is increasing. The decrease in Teller transactions (-13.4%) is also worth mentioning.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80" w:type="dxa"/>
            <w:vAlign w:val="bottom"/>
            <w:gridSpan w:val="5"/>
          </w:tcPr>
          <w:p>
            <w:pPr>
              <w:jc w:val="right"/>
              <w:ind w:right="48"/>
              <w:spacing w:after="0"/>
              <w:rPr>
                <w:sz w:val="20"/>
                <w:szCs w:val="20"/>
                <w:color w:val="auto"/>
              </w:rPr>
            </w:pPr>
            <w:r>
              <w:rPr>
                <w:rFonts w:ascii="Arial" w:cs="Arial" w:eastAsia="Arial" w:hAnsi="Arial"/>
                <w:sz w:val="14"/>
                <w:szCs w:val="14"/>
                <w:b w:val="1"/>
                <w:bCs w:val="1"/>
                <w:color w:val="auto"/>
                <w:w w:val="99"/>
              </w:rPr>
              <w:t>Monthly average in each quarter</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3"/>
          </w:tcPr>
          <w:p>
            <w:pPr>
              <w:ind w:left="600"/>
              <w:spacing w:after="0"/>
              <w:rPr>
                <w:sz w:val="20"/>
                <w:szCs w:val="20"/>
                <w:color w:val="auto"/>
              </w:rPr>
            </w:pPr>
            <w:r>
              <w:rPr>
                <w:rFonts w:ascii="Arial" w:cs="Arial" w:eastAsia="Arial" w:hAnsi="Arial"/>
                <w:sz w:val="14"/>
                <w:szCs w:val="14"/>
                <w:b w:val="1"/>
                <w:bCs w:val="1"/>
                <w:color w:val="auto"/>
                <w:w w:val="97"/>
              </w:rPr>
              <w:t>% Change</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3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 of Transactions per channel</w:t>
            </w:r>
          </w:p>
        </w:tc>
        <w:tc>
          <w:tcPr>
            <w:tcW w:w="14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4Q13</w:t>
            </w:r>
          </w:p>
        </w:tc>
        <w:tc>
          <w:tcPr>
            <w:tcW w:w="20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3Q13</w:t>
            </w:r>
          </w:p>
        </w:tc>
        <w:tc>
          <w:tcPr>
            <w:tcW w:w="20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4T12</w:t>
            </w:r>
          </w:p>
        </w:tc>
        <w:tc>
          <w:tcPr>
            <w:tcW w:w="20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FFC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FFCC"/>
            </w:tcBorders>
          </w:tcPr>
          <w:p>
            <w:pPr>
              <w:spacing w:after="0"/>
              <w:rPr>
                <w:sz w:val="14"/>
                <w:szCs w:val="14"/>
                <w:color w:val="auto"/>
              </w:rPr>
            </w:pPr>
          </w:p>
        </w:tc>
      </w:tr>
      <w:tr>
        <w:trPr>
          <w:trHeight w:val="142"/>
        </w:trPr>
        <w:tc>
          <w:tcPr>
            <w:tcW w:w="32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Teller</w:t>
            </w:r>
          </w:p>
        </w:tc>
        <w:tc>
          <w:tcPr>
            <w:tcW w:w="1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9,717,497</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11.2%</w:t>
            </w: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10,075,605</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11.9%</w:t>
            </w: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11,224,658</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14.1%</w:t>
            </w:r>
          </w:p>
        </w:tc>
        <w:tc>
          <w:tcPr>
            <w:tcW w:w="10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-3.6%</w:t>
            </w:r>
          </w:p>
        </w:tc>
        <w:tc>
          <w:tcPr>
            <w:tcW w:w="24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-13.4%</w:t>
            </w: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ATMs Via BCP</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15,657,388</w:t>
            </w:r>
          </w:p>
        </w:tc>
        <w:tc>
          <w:tcPr>
            <w:tcW w:w="200" w:type="dxa"/>
            <w:vAlign w:val="bottom"/>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18.1%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14,931,056</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17.7%</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14,469,188</w:t>
            </w:r>
          </w:p>
        </w:tc>
        <w:tc>
          <w:tcPr>
            <w:tcW w:w="200" w:type="dxa"/>
            <w:vAlign w:val="bottom"/>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18.2%</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4.9%</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w:t>
            </w: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Balance Inquiries</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5,272,561</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6.1%</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5,474,766</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6.5%</w:t>
            </w: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3,784,401</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4.8%</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-3.7%</w:t>
            </w:r>
          </w:p>
        </w:tc>
        <w:tc>
          <w:tcPr>
            <w:tcW w:w="24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39.3%</w:t>
            </w: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Telephone Banking</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2,655,547</w:t>
            </w:r>
          </w:p>
        </w:tc>
        <w:tc>
          <w:tcPr>
            <w:tcW w:w="200" w:type="dxa"/>
            <w:vAlign w:val="bottom"/>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2,749,498</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3,071,021</w:t>
            </w:r>
          </w:p>
        </w:tc>
        <w:tc>
          <w:tcPr>
            <w:tcW w:w="200" w:type="dxa"/>
            <w:vAlign w:val="bottom"/>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3.9%</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-3.4%</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-13.5%</w:t>
            </w: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Internet Banking Via BCP</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19,951,137</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23.0%</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18,991,719</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22.5%</w:t>
            </w: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16,365,183</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20.5%</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5.1%</w:t>
            </w:r>
          </w:p>
        </w:tc>
        <w:tc>
          <w:tcPr>
            <w:tcW w:w="24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21.9%</w:t>
            </w: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Agente BCP</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15,197,940</w:t>
            </w:r>
          </w:p>
        </w:tc>
        <w:tc>
          <w:tcPr>
            <w:tcW w:w="200" w:type="dxa"/>
            <w:vAlign w:val="bottom"/>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17.5%</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14,876,251</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17.6%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14,496,471</w:t>
            </w:r>
          </w:p>
        </w:tc>
        <w:tc>
          <w:tcPr>
            <w:tcW w:w="200" w:type="dxa"/>
            <w:vAlign w:val="bottom"/>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18.2%</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2.2%</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w:t>
            </w: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Telecrédito</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7,685,131</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8.9%</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7,330,772</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8.7%</w:t>
            </w: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7,174,307</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9.0%</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4.8%</w:t>
            </w:r>
          </w:p>
        </w:tc>
        <w:tc>
          <w:tcPr>
            <w:tcW w:w="24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7.1%</w:t>
            </w: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Mobile banking</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1,644,454</w:t>
            </w:r>
          </w:p>
        </w:tc>
        <w:tc>
          <w:tcPr>
            <w:tcW w:w="200" w:type="dxa"/>
            <w:vAlign w:val="bottom"/>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1.9%</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1,495,892</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1.8%</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1,271,945</w:t>
            </w:r>
          </w:p>
        </w:tc>
        <w:tc>
          <w:tcPr>
            <w:tcW w:w="200" w:type="dxa"/>
            <w:vAlign w:val="bottom"/>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1.6%</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9.9%</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29.3%</w:t>
            </w: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Direct Debit</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759,452</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0.9%</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713,759</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0.8%</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574,402</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0.7%</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6.4%</w:t>
            </w:r>
          </w:p>
        </w:tc>
        <w:tc>
          <w:tcPr>
            <w:tcW w:w="24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32.2%</w:t>
            </w: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Points of Sale P.O.S.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7,824,775</w:t>
            </w:r>
          </w:p>
        </w:tc>
        <w:tc>
          <w:tcPr>
            <w:tcW w:w="200" w:type="dxa"/>
            <w:vAlign w:val="bottom"/>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9.0%</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7,588,016</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9.0%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6,847,910</w:t>
            </w:r>
          </w:p>
        </w:tc>
        <w:tc>
          <w:tcPr>
            <w:tcW w:w="200" w:type="dxa"/>
            <w:vAlign w:val="bottom"/>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8.6%</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3.1%</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14.3%</w:t>
            </w:r>
          </w:p>
        </w:tc>
      </w:tr>
      <w:tr>
        <w:trPr>
          <w:trHeight w:val="162"/>
        </w:trPr>
        <w:tc>
          <w:tcPr>
            <w:tcW w:w="33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Other ATMs network</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321,323</w:t>
            </w:r>
          </w:p>
        </w:tc>
        <w:tc>
          <w:tcPr>
            <w:tcW w:w="104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0.4%</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317,179</w:t>
            </w:r>
          </w:p>
        </w:tc>
        <w:tc>
          <w:tcPr>
            <w:tcW w:w="104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0.4%</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356,546</w:t>
            </w:r>
          </w:p>
        </w:tc>
        <w:tc>
          <w:tcPr>
            <w:tcW w:w="104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0.4%</w:t>
            </w:r>
          </w:p>
        </w:tc>
        <w:tc>
          <w:tcPr>
            <w:tcW w:w="104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1.3%</w:t>
            </w:r>
          </w:p>
        </w:tc>
        <w:tc>
          <w:tcPr>
            <w:tcW w:w="240" w:type="dxa"/>
            <w:vAlign w:val="bottom"/>
            <w:shd w:val="clear" w:color="auto" w:fill="CCFFCC"/>
          </w:tcPr>
          <w:p>
            <w:pPr>
              <w:spacing w:after="0"/>
              <w:rPr>
                <w:sz w:val="14"/>
                <w:szCs w:val="14"/>
                <w:color w:val="auto"/>
              </w:rPr>
            </w:pP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-9.9%</w:t>
            </w:r>
          </w:p>
        </w:tc>
      </w:tr>
      <w:tr>
        <w:trPr>
          <w:trHeight w:val="157"/>
        </w:trPr>
        <w:tc>
          <w:tcPr>
            <w:tcW w:w="334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Total transactions</w:t>
            </w:r>
          </w:p>
        </w:tc>
        <w:tc>
          <w:tcPr>
            <w:tcW w:w="78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86,687,205</w:t>
            </w:r>
          </w:p>
        </w:tc>
        <w:tc>
          <w:tcPr>
            <w:tcW w:w="200" w:type="dxa"/>
            <w:vAlign w:val="bottom"/>
          </w:tcPr>
          <w:p>
            <w:pPr>
              <w:spacing w:after="0"/>
              <w:rPr>
                <w:sz w:val="13"/>
                <w:szCs w:val="13"/>
                <w:color w:val="auto"/>
              </w:rPr>
            </w:pPr>
          </w:p>
        </w:tc>
        <w:tc>
          <w:tcPr>
            <w:tcW w:w="8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100.0</w:t>
            </w:r>
          </w:p>
        </w:tc>
        <w:tc>
          <w:tcPr>
            <w:tcW w:w="240" w:type="dxa"/>
            <w:vAlign w:val="bottom"/>
          </w:tcPr>
          <w:p>
            <w:pPr>
              <w:jc w:val="right"/>
              <w:ind w:right="28"/>
              <w:spacing w:after="0" w:line="157" w:lineRule="exact"/>
              <w:rPr>
                <w:sz w:val="20"/>
                <w:szCs w:val="20"/>
                <w:color w:val="auto"/>
              </w:rPr>
            </w:pPr>
            <w:r>
              <w:rPr>
                <w:rFonts w:ascii="Arial" w:cs="Arial" w:eastAsia="Arial" w:hAnsi="Arial"/>
                <w:sz w:val="14"/>
                <w:szCs w:val="14"/>
                <w:b w:val="1"/>
                <w:bCs w:val="1"/>
                <w:color w:val="auto"/>
                <w:w w:val="96"/>
              </w:rPr>
              <w:t>%</w:t>
            </w:r>
          </w:p>
        </w:tc>
        <w:tc>
          <w:tcPr>
            <w:tcW w:w="8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84,544,514</w:t>
            </w:r>
          </w:p>
        </w:tc>
        <w:tc>
          <w:tcPr>
            <w:tcW w:w="200" w:type="dxa"/>
            <w:vAlign w:val="bottom"/>
          </w:tcPr>
          <w:p>
            <w:pPr>
              <w:spacing w:after="0"/>
              <w:rPr>
                <w:sz w:val="13"/>
                <w:szCs w:val="13"/>
                <w:color w:val="auto"/>
              </w:rPr>
            </w:pPr>
          </w:p>
        </w:tc>
        <w:tc>
          <w:tcPr>
            <w:tcW w:w="8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100.0</w:t>
            </w:r>
          </w:p>
        </w:tc>
        <w:tc>
          <w:tcPr>
            <w:tcW w:w="240" w:type="dxa"/>
            <w:vAlign w:val="bottom"/>
          </w:tcPr>
          <w:p>
            <w:pPr>
              <w:jc w:val="right"/>
              <w:ind w:right="28"/>
              <w:spacing w:after="0" w:line="157" w:lineRule="exact"/>
              <w:rPr>
                <w:sz w:val="20"/>
                <w:szCs w:val="20"/>
                <w:color w:val="auto"/>
              </w:rPr>
            </w:pPr>
            <w:r>
              <w:rPr>
                <w:rFonts w:ascii="Arial" w:cs="Arial" w:eastAsia="Arial" w:hAnsi="Arial"/>
                <w:sz w:val="14"/>
                <w:szCs w:val="14"/>
                <w:b w:val="1"/>
                <w:bCs w:val="1"/>
                <w:color w:val="auto"/>
                <w:w w:val="96"/>
              </w:rPr>
              <w:t>%</w:t>
            </w:r>
          </w:p>
        </w:tc>
        <w:tc>
          <w:tcPr>
            <w:tcW w:w="8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79,636,032</w:t>
            </w:r>
          </w:p>
        </w:tc>
        <w:tc>
          <w:tcPr>
            <w:tcW w:w="200" w:type="dxa"/>
            <w:vAlign w:val="bottom"/>
          </w:tcPr>
          <w:p>
            <w:pPr>
              <w:spacing w:after="0"/>
              <w:rPr>
                <w:sz w:val="13"/>
                <w:szCs w:val="13"/>
                <w:color w:val="auto"/>
              </w:rPr>
            </w:pPr>
          </w:p>
        </w:tc>
        <w:tc>
          <w:tcPr>
            <w:tcW w:w="8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100.0</w:t>
            </w:r>
          </w:p>
        </w:tc>
        <w:tc>
          <w:tcPr>
            <w:tcW w:w="240" w:type="dxa"/>
            <w:vAlign w:val="bottom"/>
          </w:tcPr>
          <w:p>
            <w:pPr>
              <w:jc w:val="right"/>
              <w:ind w:right="28"/>
              <w:spacing w:after="0" w:line="157" w:lineRule="exact"/>
              <w:rPr>
                <w:sz w:val="20"/>
                <w:szCs w:val="20"/>
                <w:color w:val="auto"/>
              </w:rPr>
            </w:pPr>
            <w:r>
              <w:rPr>
                <w:rFonts w:ascii="Arial" w:cs="Arial" w:eastAsia="Arial" w:hAnsi="Arial"/>
                <w:sz w:val="14"/>
                <w:szCs w:val="14"/>
                <w:b w:val="1"/>
                <w:bCs w:val="1"/>
                <w:color w:val="auto"/>
                <w:w w:val="96"/>
              </w:rPr>
              <w:t>%</w:t>
            </w:r>
          </w:p>
        </w:tc>
        <w:tc>
          <w:tcPr>
            <w:tcW w:w="8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2.5</w:t>
            </w:r>
          </w:p>
        </w:tc>
        <w:tc>
          <w:tcPr>
            <w:tcW w:w="240" w:type="dxa"/>
            <w:vAlign w:val="bottom"/>
          </w:tcPr>
          <w:p>
            <w:pPr>
              <w:jc w:val="right"/>
              <w:ind w:right="28"/>
              <w:spacing w:after="0" w:line="157" w:lineRule="exact"/>
              <w:rPr>
                <w:sz w:val="20"/>
                <w:szCs w:val="20"/>
                <w:color w:val="auto"/>
              </w:rPr>
            </w:pPr>
            <w:r>
              <w:rPr>
                <w:rFonts w:ascii="Arial" w:cs="Arial" w:eastAsia="Arial" w:hAnsi="Arial"/>
                <w:sz w:val="14"/>
                <w:szCs w:val="14"/>
                <w:b w:val="1"/>
                <w:bCs w:val="1"/>
                <w:color w:val="auto"/>
                <w:w w:val="96"/>
              </w:rPr>
              <w:t>%</w:t>
            </w: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8.9</w:t>
            </w:r>
          </w:p>
        </w:tc>
        <w:tc>
          <w:tcPr>
            <w:tcW w:w="140" w:type="dxa"/>
            <w:vAlign w:val="bottom"/>
          </w:tcPr>
          <w:p>
            <w:pPr>
              <w:jc w:val="right"/>
              <w:spacing w:after="0" w:line="157" w:lineRule="exact"/>
              <w:rPr>
                <w:sz w:val="20"/>
                <w:szCs w:val="20"/>
                <w:color w:val="auto"/>
              </w:rPr>
            </w:pPr>
            <w:r>
              <w:rPr>
                <w:rFonts w:ascii="Arial" w:cs="Arial" w:eastAsia="Arial" w:hAnsi="Arial"/>
                <w:sz w:val="14"/>
                <w:szCs w:val="14"/>
                <w:b w:val="1"/>
                <w:bCs w:val="1"/>
                <w:color w:val="auto"/>
                <w:w w:val="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-8890</wp:posOffset>
            </wp:positionV>
            <wp:extent cx="50425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0425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Source: BCP</w:t>
      </w:r>
    </w:p>
    <w:p>
      <w:pPr>
        <w:spacing w:after="0" w:line="20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BCP’s distribution channels totaled 8,312 points of contact in 4Q13, which represents a +6.4% increase over the figure reported at the end of 3Q13 and also tops the 4.9% reported at the end of 4Q12. The aforementioned is due primarily to an increase in Agente BCP (+8.1% QoQ and +1.9% YoY). This increase is due to both natural growth and the fact that unprofitable Agente BCPs, which were removed at the end of the previous quarter, were replaced by profitable agents. At the end of 4Q13, the number of Agente BCP totaled 5,820.</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increased the number of ATMs +2.6% QoQ and 13.4% YoY as part of our effort to expand our presence throughout the country. It is important to note that around a third of our ATMs are in the provinces, which is aligned with our banking penetration strategy.</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8" w:name="page29"/>
    <w:bookmarkEnd w:id="28"/>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6246495</wp:posOffset>
            </wp:positionH>
            <wp:positionV relativeFrom="page">
              <wp:posOffset>568960</wp:posOffset>
            </wp:positionV>
            <wp:extent cx="1132205" cy="3086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5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gridSpan w:val="3"/>
          </w:tcPr>
          <w:p>
            <w:pPr>
              <w:ind w:left="40"/>
              <w:spacing w:after="0"/>
              <w:rPr>
                <w:sz w:val="20"/>
                <w:szCs w:val="20"/>
                <w:color w:val="auto"/>
              </w:rPr>
            </w:pPr>
            <w:r>
              <w:rPr>
                <w:rFonts w:ascii="Arial" w:cs="Arial" w:eastAsia="Arial" w:hAnsi="Arial"/>
                <w:sz w:val="18"/>
                <w:szCs w:val="18"/>
                <w:b w:val="1"/>
                <w:bCs w:val="1"/>
                <w:color w:val="auto"/>
                <w:w w:val="93"/>
              </w:rPr>
              <w:t>Balance as of</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4"/>
          </w:tcPr>
          <w:p>
            <w:pPr>
              <w:ind w:left="50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5920" w:type="dxa"/>
            <w:vAlign w:val="bottom"/>
            <w:tcBorders>
              <w:bottom w:val="single" w:sz="8" w:color="CCFFCC"/>
            </w:tcBorders>
          </w:tcPr>
          <w:p>
            <w:pPr>
              <w:spacing w:after="0"/>
              <w:rPr>
                <w:sz w:val="20"/>
                <w:szCs w:val="20"/>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4Q13</w:t>
            </w:r>
          </w:p>
        </w:tc>
        <w:tc>
          <w:tcPr>
            <w:tcW w:w="40" w:type="dxa"/>
            <w:vAlign w:val="bottom"/>
            <w:tcBorders>
              <w:bottom w:val="single" w:sz="8" w:color="CCFFCC"/>
            </w:tcBorders>
          </w:tcPr>
          <w:p>
            <w:pPr>
              <w:spacing w:after="0"/>
              <w:rPr>
                <w:sz w:val="20"/>
                <w:szCs w:val="20"/>
                <w:color w:val="auto"/>
              </w:rPr>
            </w:pPr>
          </w:p>
        </w:tc>
        <w:tc>
          <w:tcPr>
            <w:tcW w:w="180" w:type="dxa"/>
            <w:vAlign w:val="bottom"/>
            <w:tcBorders>
              <w:bottom w:val="single" w:sz="8" w:color="CCFFCC"/>
            </w:tcBorders>
          </w:tcPr>
          <w:p>
            <w:pPr>
              <w:spacing w:after="0"/>
              <w:rPr>
                <w:sz w:val="20"/>
                <w:szCs w:val="20"/>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3Q13</w:t>
            </w:r>
          </w:p>
        </w:tc>
        <w:tc>
          <w:tcPr>
            <w:tcW w:w="200" w:type="dxa"/>
            <w:vAlign w:val="bottom"/>
            <w:tcBorders>
              <w:bottom w:val="single" w:sz="8" w:color="CCFFCC"/>
            </w:tcBorders>
          </w:tcPr>
          <w:p>
            <w:pPr>
              <w:spacing w:after="0"/>
              <w:rPr>
                <w:sz w:val="20"/>
                <w:szCs w:val="20"/>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4Q12</w:t>
            </w:r>
          </w:p>
        </w:tc>
        <w:tc>
          <w:tcPr>
            <w:tcW w:w="220" w:type="dxa"/>
            <w:vAlign w:val="bottom"/>
            <w:tcBorders>
              <w:bottom w:val="single" w:sz="8" w:color="CCFFCC"/>
            </w:tcBorders>
          </w:tcPr>
          <w:p>
            <w:pPr>
              <w:spacing w:after="0"/>
              <w:rPr>
                <w:sz w:val="20"/>
                <w:szCs w:val="20"/>
                <w:color w:val="auto"/>
              </w:rPr>
            </w:pPr>
          </w:p>
        </w:tc>
        <w:tc>
          <w:tcPr>
            <w:tcW w:w="7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5920" w:type="dxa"/>
            <w:vAlign w:val="bottom"/>
            <w:shd w:val="clear" w:color="auto" w:fill="CCFFCC"/>
          </w:tcPr>
          <w:p>
            <w:pPr>
              <w:spacing w:after="0"/>
              <w:rPr>
                <w:sz w:val="20"/>
                <w:szCs w:val="20"/>
                <w:color w:val="auto"/>
              </w:rPr>
            </w:pPr>
            <w:r>
              <w:rPr>
                <w:rFonts w:ascii="Arial" w:cs="Arial" w:eastAsia="Arial" w:hAnsi="Arial"/>
                <w:sz w:val="18"/>
                <w:szCs w:val="18"/>
                <w:color w:val="auto"/>
              </w:rPr>
              <w:t>Branches</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401</w:t>
            </w:r>
          </w:p>
        </w:tc>
        <w:tc>
          <w:tcPr>
            <w:tcW w:w="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387</w:t>
            </w:r>
          </w:p>
        </w:tc>
        <w:tc>
          <w:tcPr>
            <w:tcW w:w="20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365</w:t>
            </w:r>
          </w:p>
        </w:tc>
        <w:tc>
          <w:tcPr>
            <w:tcW w:w="2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ind w:left="540"/>
              <w:spacing w:after="0"/>
              <w:rPr>
                <w:sz w:val="20"/>
                <w:szCs w:val="20"/>
                <w:color w:val="auto"/>
              </w:rPr>
            </w:pPr>
            <w:r>
              <w:rPr>
                <w:rFonts w:ascii="Arial" w:cs="Arial" w:eastAsia="Arial" w:hAnsi="Arial"/>
                <w:sz w:val="18"/>
                <w:szCs w:val="18"/>
                <w:color w:val="auto"/>
              </w:rPr>
              <w:t>3.6%</w:t>
            </w: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ATMs</w:t>
            </w:r>
          </w:p>
        </w:tc>
        <w:tc>
          <w:tcPr>
            <w:tcW w:w="760" w:type="dxa"/>
            <w:vAlign w:val="bottom"/>
          </w:tcPr>
          <w:p>
            <w:pPr>
              <w:jc w:val="right"/>
              <w:spacing w:after="0"/>
              <w:rPr>
                <w:sz w:val="20"/>
                <w:szCs w:val="20"/>
                <w:color w:val="auto"/>
              </w:rPr>
            </w:pPr>
            <w:r>
              <w:rPr>
                <w:rFonts w:ascii="Arial" w:cs="Arial" w:eastAsia="Arial" w:hAnsi="Arial"/>
                <w:sz w:val="18"/>
                <w:szCs w:val="18"/>
                <w:color w:val="auto"/>
              </w:rPr>
              <w:t>2091</w:t>
            </w:r>
          </w:p>
        </w:tc>
        <w:tc>
          <w:tcPr>
            <w:tcW w:w="4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2039</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1844</w:t>
            </w:r>
          </w:p>
        </w:tc>
        <w:tc>
          <w:tcPr>
            <w:tcW w:w="1060" w:type="dxa"/>
            <w:vAlign w:val="bottom"/>
            <w:gridSpan w:val="2"/>
          </w:tcPr>
          <w:p>
            <w:pPr>
              <w:ind w:left="540"/>
              <w:spacing w:after="0"/>
              <w:rPr>
                <w:sz w:val="20"/>
                <w:szCs w:val="20"/>
                <w:color w:val="auto"/>
              </w:rPr>
            </w:pPr>
            <w:r>
              <w:rPr>
                <w:rFonts w:ascii="Arial" w:cs="Arial" w:eastAsia="Arial" w:hAnsi="Arial"/>
                <w:sz w:val="18"/>
                <w:szCs w:val="18"/>
                <w:color w:val="auto"/>
              </w:rPr>
              <w:t>2.6%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13.4%</w:t>
            </w:r>
          </w:p>
        </w:tc>
      </w:tr>
      <w:tr>
        <w:trPr>
          <w:trHeight w:val="230"/>
        </w:trPr>
        <w:tc>
          <w:tcPr>
            <w:tcW w:w="5920" w:type="dxa"/>
            <w:vAlign w:val="bottom"/>
            <w:shd w:val="clear" w:color="auto" w:fill="CCFFCC"/>
          </w:tcPr>
          <w:p>
            <w:pPr>
              <w:spacing w:after="0"/>
              <w:rPr>
                <w:sz w:val="20"/>
                <w:szCs w:val="20"/>
                <w:color w:val="auto"/>
              </w:rPr>
            </w:pPr>
            <w:r>
              <w:rPr>
                <w:rFonts w:ascii="Arial" w:cs="Arial" w:eastAsia="Arial" w:hAnsi="Arial"/>
                <w:sz w:val="18"/>
                <w:szCs w:val="18"/>
                <w:color w:val="auto"/>
              </w:rPr>
              <w:t>Agentes BCP</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5820</w:t>
            </w:r>
          </w:p>
        </w:tc>
        <w:tc>
          <w:tcPr>
            <w:tcW w:w="40" w:type="dxa"/>
            <w:vAlign w:val="bottom"/>
            <w:shd w:val="clear" w:color="auto" w:fill="CCFFCC"/>
          </w:tcPr>
          <w:p>
            <w:pPr>
              <w:spacing w:after="0"/>
              <w:rPr>
                <w:sz w:val="19"/>
                <w:szCs w:val="19"/>
                <w:color w:val="auto"/>
              </w:rPr>
            </w:pPr>
          </w:p>
        </w:tc>
        <w:tc>
          <w:tcPr>
            <w:tcW w:w="114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5385</w:t>
            </w:r>
          </w:p>
        </w:tc>
        <w:tc>
          <w:tcPr>
            <w:tcW w:w="9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5713</w:t>
            </w:r>
          </w:p>
        </w:tc>
        <w:tc>
          <w:tcPr>
            <w:tcW w:w="1060" w:type="dxa"/>
            <w:vAlign w:val="bottom"/>
            <w:gridSpan w:val="2"/>
            <w:shd w:val="clear" w:color="auto" w:fill="CCFFCC"/>
          </w:tcPr>
          <w:p>
            <w:pPr>
              <w:ind w:left="540"/>
              <w:spacing w:after="0"/>
              <w:rPr>
                <w:sz w:val="20"/>
                <w:szCs w:val="20"/>
                <w:color w:val="auto"/>
              </w:rPr>
            </w:pPr>
            <w:r>
              <w:rPr>
                <w:rFonts w:ascii="Arial" w:cs="Arial" w:eastAsia="Arial" w:hAnsi="Arial"/>
                <w:sz w:val="18"/>
                <w:szCs w:val="18"/>
                <w:color w:val="auto"/>
              </w:rPr>
              <w:t>8.1%</w:t>
            </w: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w:t>
            </w:r>
          </w:p>
        </w:tc>
      </w:tr>
      <w:tr>
        <w:trPr>
          <w:trHeight w:val="225"/>
        </w:trPr>
        <w:tc>
          <w:tcPr>
            <w:tcW w:w="59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8312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7811</w:t>
            </w:r>
          </w:p>
        </w:tc>
        <w:tc>
          <w:tcPr>
            <w:tcW w:w="2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7922</w:t>
            </w:r>
          </w:p>
        </w:tc>
        <w:tc>
          <w:tcPr>
            <w:tcW w:w="220" w:type="dxa"/>
            <w:vAlign w:val="bottom"/>
          </w:tcPr>
          <w:p>
            <w:pPr>
              <w:spacing w:after="0"/>
              <w:rPr>
                <w:sz w:val="19"/>
                <w:szCs w:val="19"/>
                <w:color w:val="auto"/>
              </w:rPr>
            </w:pPr>
          </w:p>
        </w:tc>
        <w:tc>
          <w:tcPr>
            <w:tcW w:w="760" w:type="dxa"/>
            <w:vAlign w:val="bottom"/>
            <w:tcBorders>
              <w:top w:val="single" w:sz="8" w:color="auto"/>
            </w:tcBorders>
          </w:tcPr>
          <w:p>
            <w:pPr>
              <w:ind w:left="540"/>
              <w:spacing w:after="0"/>
              <w:rPr>
                <w:sz w:val="20"/>
                <w:szCs w:val="20"/>
                <w:color w:val="auto"/>
              </w:rPr>
            </w:pPr>
            <w:r>
              <w:rPr>
                <w:rFonts w:ascii="Arial" w:cs="Arial" w:eastAsia="Arial" w:hAnsi="Arial"/>
                <w:sz w:val="18"/>
                <w:szCs w:val="18"/>
                <w:b w:val="1"/>
                <w:bCs w:val="1"/>
                <w:color w:val="auto"/>
                <w:w w:val="79"/>
              </w:rPr>
              <w:t>6.4</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-8890</wp:posOffset>
            </wp:positionV>
            <wp:extent cx="300164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Source: BCP</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II.6 Operating Expenses and Efficiency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Growth in operating expenses (+8.3% QoQ) was primarily associated with the seasonality of 4Qs and the advent of non-recurring expenses in December.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Accordingly, the efficiency ratio was situated at 46.88%, which tops slightly the figure of 46.13% reported in 3Q13.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 *</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3"/>
          </w:tcPr>
          <w:p>
            <w:pPr>
              <w:ind w:left="560"/>
              <w:spacing w:after="0"/>
              <w:rPr>
                <w:sz w:val="20"/>
                <w:szCs w:val="20"/>
                <w:color w:val="auto"/>
              </w:rPr>
            </w:pPr>
            <w:r>
              <w:rPr>
                <w:rFonts w:ascii="Arial" w:cs="Arial" w:eastAsia="Arial" w:hAnsi="Arial"/>
                <w:sz w:val="14"/>
                <w:szCs w:val="14"/>
                <w:b w:val="1"/>
                <w:bCs w:val="1"/>
                <w:color w:val="auto"/>
                <w:w w:val="97"/>
              </w:rPr>
              <w:t>% Change</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right"/>
              <w:ind w:right="748"/>
              <w:spacing w:after="0"/>
              <w:rPr>
                <w:sz w:val="20"/>
                <w:szCs w:val="20"/>
                <w:color w:val="auto"/>
              </w:rPr>
            </w:pPr>
            <w:r>
              <w:rPr>
                <w:rFonts w:ascii="Arial" w:cs="Arial" w:eastAsia="Arial" w:hAnsi="Arial"/>
                <w:sz w:val="14"/>
                <w:szCs w:val="14"/>
                <w:b w:val="1"/>
                <w:bCs w:val="1"/>
                <w:color w:val="auto"/>
              </w:rPr>
              <w:t>Year ended</w:t>
            </w:r>
          </w:p>
        </w:tc>
        <w:tc>
          <w:tcPr>
            <w:tcW w:w="110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 Change</w:t>
            </w:r>
          </w:p>
        </w:tc>
      </w:tr>
      <w:tr>
        <w:trPr>
          <w:trHeight w:val="171"/>
        </w:trPr>
        <w:tc>
          <w:tcPr>
            <w:tcW w:w="3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US$ 000</w:t>
            </w:r>
          </w:p>
        </w:tc>
        <w:tc>
          <w:tcPr>
            <w:tcW w:w="120" w:type="dxa"/>
            <w:vAlign w:val="bottom"/>
            <w:tcBorders>
              <w:bottom w:val="single" w:sz="8" w:color="CCFFCC"/>
            </w:tcBorders>
          </w:tcPr>
          <w:p>
            <w:pPr>
              <w:spacing w:after="0"/>
              <w:rPr>
                <w:sz w:val="14"/>
                <w:szCs w:val="14"/>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4Q13</w:t>
            </w:r>
          </w:p>
        </w:tc>
        <w:tc>
          <w:tcPr>
            <w:tcW w:w="26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3Q13</w:t>
            </w:r>
          </w:p>
        </w:tc>
        <w:tc>
          <w:tcPr>
            <w:tcW w:w="24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4Q12</w:t>
            </w:r>
          </w:p>
        </w:tc>
        <w:tc>
          <w:tcPr>
            <w:tcW w:w="260" w:type="dxa"/>
            <w:vAlign w:val="bottom"/>
            <w:tcBorders>
              <w:bottom w:val="single" w:sz="8" w:color="CCFFCC"/>
            </w:tcBorders>
          </w:tcPr>
          <w:p>
            <w:pPr>
              <w:spacing w:after="0"/>
              <w:rPr>
                <w:sz w:val="14"/>
                <w:szCs w:val="14"/>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FFC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Dec 13</w:t>
            </w:r>
          </w:p>
        </w:tc>
        <w:tc>
          <w:tcPr>
            <w:tcW w:w="26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Dec 12</w:t>
            </w:r>
          </w:p>
        </w:tc>
        <w:tc>
          <w:tcPr>
            <w:tcW w:w="260" w:type="dxa"/>
            <w:vAlign w:val="bottom"/>
            <w:tcBorders>
              <w:bottom w:val="single" w:sz="8" w:color="CCFFCC"/>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Dec 13 / Dec 12</w:t>
            </w:r>
          </w:p>
        </w:tc>
        <w:tc>
          <w:tcPr>
            <w:tcW w:w="140" w:type="dxa"/>
            <w:vAlign w:val="bottom"/>
            <w:tcBorders>
              <w:bottom w:val="single" w:sz="8" w:color="CCFFCC"/>
            </w:tcBorders>
          </w:tcPr>
          <w:p>
            <w:pPr>
              <w:spacing w:after="0"/>
              <w:rPr>
                <w:sz w:val="14"/>
                <w:szCs w:val="14"/>
                <w:color w:val="auto"/>
              </w:rPr>
            </w:pPr>
          </w:p>
        </w:tc>
      </w:tr>
      <w:tr>
        <w:trPr>
          <w:trHeight w:val="142"/>
        </w:trPr>
        <w:tc>
          <w:tcPr>
            <w:tcW w:w="30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Salaries and employees benefits</w:t>
            </w:r>
          </w:p>
        </w:tc>
        <w:tc>
          <w:tcPr>
            <w:tcW w:w="12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141,531</w:t>
            </w: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149,547</w:t>
            </w: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164,759</w:t>
            </w: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-5.4%</w:t>
            </w:r>
          </w:p>
        </w:tc>
        <w:tc>
          <w:tcPr>
            <w:tcW w:w="2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-14.1%</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613,222</w:t>
            </w: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596,207</w:t>
            </w:r>
          </w:p>
        </w:tc>
        <w:tc>
          <w:tcPr>
            <w:tcW w:w="26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2.9%</w:t>
            </w:r>
          </w:p>
        </w:tc>
      </w:tr>
      <w:tr>
        <w:trPr>
          <w:trHeight w:val="149"/>
        </w:trPr>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Administrative and general expenses</w:t>
            </w:r>
          </w:p>
        </w:tc>
        <w:tc>
          <w:tcPr>
            <w:tcW w:w="102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139,946</w:t>
            </w:r>
          </w:p>
        </w:tc>
        <w:tc>
          <w:tcPr>
            <w:tcW w:w="10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118,567</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137,546</w:t>
            </w:r>
          </w:p>
        </w:tc>
        <w:tc>
          <w:tcPr>
            <w:tcW w:w="10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18.0%</w:t>
            </w:r>
          </w:p>
        </w:tc>
        <w:tc>
          <w:tcPr>
            <w:tcW w:w="22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1.7%</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491,598</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434,117</w:t>
            </w:r>
          </w:p>
        </w:tc>
        <w:tc>
          <w:tcPr>
            <w:tcW w:w="26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13.2%</w:t>
            </w:r>
          </w:p>
        </w:tc>
      </w:tr>
      <w:tr>
        <w:trPr>
          <w:trHeight w:val="149"/>
        </w:trPr>
        <w:tc>
          <w:tcPr>
            <w:tcW w:w="31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02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26,101</w:t>
            </w:r>
          </w:p>
        </w:tc>
        <w:tc>
          <w:tcPr>
            <w:tcW w:w="102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color w:val="auto"/>
              </w:rPr>
              <w:t>25,025</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23,513</w:t>
            </w:r>
          </w:p>
        </w:tc>
        <w:tc>
          <w:tcPr>
            <w:tcW w:w="10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4.3%</w:t>
            </w:r>
          </w:p>
        </w:tc>
        <w:tc>
          <w:tcPr>
            <w:tcW w:w="22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11.0%</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99,416</w:t>
            </w:r>
          </w:p>
        </w:tc>
        <w:tc>
          <w:tcPr>
            <w:tcW w:w="10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92,306</w:t>
            </w: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7.7%</w:t>
            </w:r>
          </w:p>
        </w:tc>
      </w:tr>
      <w:tr>
        <w:trPr>
          <w:trHeight w:val="162"/>
        </w:trPr>
        <w:tc>
          <w:tcPr>
            <w:tcW w:w="3120" w:type="dxa"/>
            <w:vAlign w:val="bottom"/>
            <w:gridSpan w:val="2"/>
          </w:tcPr>
          <w:p>
            <w:pPr>
              <w:spacing w:after="0"/>
              <w:rPr>
                <w:sz w:val="20"/>
                <w:szCs w:val="20"/>
                <w:color w:val="auto"/>
              </w:rPr>
            </w:pPr>
            <w:r>
              <w:rPr>
                <w:rFonts w:ascii="Arial" w:cs="Arial" w:eastAsia="Arial" w:hAnsi="Arial"/>
                <w:sz w:val="14"/>
                <w:szCs w:val="14"/>
                <w:color w:val="auto"/>
              </w:rPr>
              <w:t>Other expenses</w:t>
            </w:r>
          </w:p>
        </w:tc>
        <w:tc>
          <w:tcPr>
            <w:tcW w:w="1020" w:type="dxa"/>
            <w:vAlign w:val="bottom"/>
            <w:gridSpan w:val="2"/>
          </w:tcPr>
          <w:p>
            <w:pPr>
              <w:jc w:val="right"/>
              <w:ind w:right="188"/>
              <w:spacing w:after="0"/>
              <w:rPr>
                <w:sz w:val="20"/>
                <w:szCs w:val="20"/>
                <w:color w:val="auto"/>
              </w:rPr>
            </w:pPr>
            <w:r>
              <w:rPr>
                <w:rFonts w:ascii="Arial" w:cs="Arial" w:eastAsia="Arial" w:hAnsi="Arial"/>
                <w:sz w:val="14"/>
                <w:szCs w:val="14"/>
                <w:color w:val="auto"/>
              </w:rPr>
              <w:t>20,929</w:t>
            </w:r>
          </w:p>
        </w:tc>
        <w:tc>
          <w:tcPr>
            <w:tcW w:w="1020" w:type="dxa"/>
            <w:vAlign w:val="bottom"/>
            <w:gridSpan w:val="2"/>
          </w:tcPr>
          <w:p>
            <w:pPr>
              <w:jc w:val="right"/>
              <w:ind w:right="168"/>
              <w:spacing w:after="0"/>
              <w:rPr>
                <w:sz w:val="20"/>
                <w:szCs w:val="20"/>
                <w:color w:val="auto"/>
              </w:rPr>
            </w:pPr>
            <w:r>
              <w:rPr>
                <w:rFonts w:ascii="Arial" w:cs="Arial" w:eastAsia="Arial" w:hAnsi="Arial"/>
                <w:sz w:val="14"/>
                <w:szCs w:val="14"/>
                <w:color w:val="auto"/>
              </w:rPr>
              <w:t>10,295</w:t>
            </w:r>
          </w:p>
        </w:tc>
        <w:tc>
          <w:tcPr>
            <w:tcW w:w="1040" w:type="dxa"/>
            <w:vAlign w:val="bottom"/>
            <w:gridSpan w:val="2"/>
          </w:tcPr>
          <w:p>
            <w:pPr>
              <w:jc w:val="right"/>
              <w:ind w:right="188"/>
              <w:spacing w:after="0"/>
              <w:rPr>
                <w:sz w:val="20"/>
                <w:szCs w:val="20"/>
                <w:color w:val="auto"/>
              </w:rPr>
            </w:pPr>
            <w:r>
              <w:rPr>
                <w:rFonts w:ascii="Arial" w:cs="Arial" w:eastAsia="Arial" w:hAnsi="Arial"/>
                <w:sz w:val="14"/>
                <w:szCs w:val="14"/>
                <w:color w:val="auto"/>
              </w:rPr>
              <w:t>12,068</w:t>
            </w:r>
          </w:p>
        </w:tc>
        <w:tc>
          <w:tcPr>
            <w:tcW w:w="1020" w:type="dxa"/>
            <w:vAlign w:val="bottom"/>
            <w:gridSpan w:val="2"/>
          </w:tcPr>
          <w:p>
            <w:pPr>
              <w:jc w:val="right"/>
              <w:ind w:right="68"/>
              <w:spacing w:after="0"/>
              <w:rPr>
                <w:sz w:val="20"/>
                <w:szCs w:val="20"/>
                <w:color w:val="auto"/>
              </w:rPr>
            </w:pPr>
            <w:r>
              <w:rPr>
                <w:rFonts w:ascii="Arial" w:cs="Arial" w:eastAsia="Arial" w:hAnsi="Arial"/>
                <w:sz w:val="14"/>
                <w:szCs w:val="14"/>
                <w:color w:val="auto"/>
              </w:rPr>
              <w:t>103.3%</w:t>
            </w:r>
          </w:p>
        </w:tc>
        <w:tc>
          <w:tcPr>
            <w:tcW w:w="220" w:type="dxa"/>
            <w:vAlign w:val="bottom"/>
          </w:tcPr>
          <w:p>
            <w:pPr>
              <w:spacing w:after="0"/>
              <w:rPr>
                <w:sz w:val="14"/>
                <w:szCs w:val="14"/>
                <w:color w:val="auto"/>
              </w:rPr>
            </w:pPr>
          </w:p>
        </w:tc>
        <w:tc>
          <w:tcPr>
            <w:tcW w:w="800" w:type="dxa"/>
            <w:vAlign w:val="bottom"/>
            <w:gridSpan w:val="2"/>
          </w:tcPr>
          <w:p>
            <w:pPr>
              <w:jc w:val="right"/>
              <w:ind w:right="68"/>
              <w:spacing w:after="0"/>
              <w:rPr>
                <w:sz w:val="20"/>
                <w:szCs w:val="20"/>
                <w:color w:val="auto"/>
              </w:rPr>
            </w:pPr>
            <w:r>
              <w:rPr>
                <w:rFonts w:ascii="Arial" w:cs="Arial" w:eastAsia="Arial" w:hAnsi="Arial"/>
                <w:sz w:val="14"/>
                <w:szCs w:val="14"/>
                <w:color w:val="auto"/>
              </w:rPr>
              <w:t>73.4%</w:t>
            </w:r>
          </w:p>
        </w:tc>
        <w:tc>
          <w:tcPr>
            <w:tcW w:w="1040" w:type="dxa"/>
            <w:vAlign w:val="bottom"/>
            <w:gridSpan w:val="2"/>
          </w:tcPr>
          <w:p>
            <w:pPr>
              <w:jc w:val="right"/>
              <w:ind w:right="188"/>
              <w:spacing w:after="0"/>
              <w:rPr>
                <w:sz w:val="20"/>
                <w:szCs w:val="20"/>
                <w:color w:val="auto"/>
              </w:rPr>
            </w:pPr>
            <w:r>
              <w:rPr>
                <w:rFonts w:ascii="Arial" w:cs="Arial" w:eastAsia="Arial" w:hAnsi="Arial"/>
                <w:sz w:val="14"/>
                <w:szCs w:val="14"/>
                <w:color w:val="auto"/>
              </w:rPr>
              <w:t>65,978</w:t>
            </w:r>
          </w:p>
        </w:tc>
        <w:tc>
          <w:tcPr>
            <w:tcW w:w="1040" w:type="dxa"/>
            <w:vAlign w:val="bottom"/>
            <w:gridSpan w:val="2"/>
          </w:tcPr>
          <w:p>
            <w:pPr>
              <w:jc w:val="right"/>
              <w:ind w:right="188"/>
              <w:spacing w:after="0"/>
              <w:rPr>
                <w:sz w:val="20"/>
                <w:szCs w:val="20"/>
                <w:color w:val="auto"/>
              </w:rPr>
            </w:pPr>
            <w:r>
              <w:rPr>
                <w:rFonts w:ascii="Arial" w:cs="Arial" w:eastAsia="Arial" w:hAnsi="Arial"/>
                <w:sz w:val="14"/>
                <w:szCs w:val="14"/>
                <w:color w:val="auto"/>
              </w:rPr>
              <w:t>39,877</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65.5%</w:t>
            </w:r>
          </w:p>
        </w:tc>
      </w:tr>
      <w:tr>
        <w:trPr>
          <w:trHeight w:val="142"/>
        </w:trPr>
        <w:tc>
          <w:tcPr>
            <w:tcW w:w="3120" w:type="dxa"/>
            <w:vAlign w:val="bottom"/>
            <w:tcBorders>
              <w:top w:val="single" w:sz="8" w:color="CCFFCC"/>
            </w:tcBorders>
            <w:gridSpan w:val="2"/>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Total operating expenses</w:t>
            </w:r>
          </w:p>
        </w:tc>
        <w:tc>
          <w:tcPr>
            <w:tcW w:w="7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328,507</w:t>
            </w:r>
          </w:p>
        </w:tc>
        <w:tc>
          <w:tcPr>
            <w:tcW w:w="26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303,434</w:t>
            </w:r>
          </w:p>
        </w:tc>
        <w:tc>
          <w:tcPr>
            <w:tcW w:w="24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337,886</w:t>
            </w:r>
          </w:p>
        </w:tc>
        <w:tc>
          <w:tcPr>
            <w:tcW w:w="260" w:type="dxa"/>
            <w:vAlign w:val="bottom"/>
            <w:tcBorders>
              <w:top w:val="single" w:sz="8" w:color="CCFFCC"/>
            </w:tcBorders>
            <w:shd w:val="clear" w:color="auto" w:fill="CCFFCC"/>
          </w:tcPr>
          <w:p>
            <w:pPr>
              <w:spacing w:after="0"/>
              <w:rPr>
                <w:sz w:val="12"/>
                <w:szCs w:val="12"/>
                <w:color w:val="auto"/>
              </w:rPr>
            </w:pPr>
          </w:p>
        </w:tc>
        <w:tc>
          <w:tcPr>
            <w:tcW w:w="7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8.3</w:t>
            </w:r>
          </w:p>
        </w:tc>
        <w:tc>
          <w:tcPr>
            <w:tcW w:w="26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220" w:type="dxa"/>
            <w:vAlign w:val="bottom"/>
            <w:tcBorders>
              <w:top w:val="single" w:sz="8" w:color="auto"/>
              <w:bottom w:val="single" w:sz="8" w:color="auto"/>
            </w:tcBorders>
            <w:shd w:val="clear" w:color="auto" w:fill="CCFFCC"/>
          </w:tcPr>
          <w:p>
            <w:pPr>
              <w:spacing w:after="0"/>
              <w:rPr>
                <w:sz w:val="12"/>
                <w:szCs w:val="12"/>
                <w:color w:val="auto"/>
              </w:rPr>
            </w:pPr>
          </w:p>
        </w:tc>
        <w:tc>
          <w:tcPr>
            <w:tcW w:w="5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-2.8</w:t>
            </w:r>
          </w:p>
        </w:tc>
        <w:tc>
          <w:tcPr>
            <w:tcW w:w="260" w:type="dxa"/>
            <w:vAlign w:val="bottom"/>
            <w:tcBorders>
              <w:top w:val="single" w:sz="8" w:color="CCFFCC"/>
            </w:tcBorders>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1,270,214</w:t>
            </w:r>
          </w:p>
        </w:tc>
        <w:tc>
          <w:tcPr>
            <w:tcW w:w="26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1,162,507</w:t>
            </w:r>
          </w:p>
        </w:tc>
        <w:tc>
          <w:tcPr>
            <w:tcW w:w="260" w:type="dxa"/>
            <w:vAlign w:val="bottom"/>
            <w:tcBorders>
              <w:top w:val="single" w:sz="8" w:color="CCFFCC"/>
            </w:tcBorders>
            <w:shd w:val="clear" w:color="auto" w:fill="CCFFCC"/>
          </w:tcPr>
          <w:p>
            <w:pPr>
              <w:spacing w:after="0"/>
              <w:rPr>
                <w:sz w:val="12"/>
                <w:szCs w:val="12"/>
                <w:color w:val="auto"/>
              </w:rPr>
            </w:pPr>
          </w:p>
        </w:tc>
        <w:tc>
          <w:tcPr>
            <w:tcW w:w="9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9.3</w:t>
            </w:r>
          </w:p>
        </w:tc>
        <w:tc>
          <w:tcPr>
            <w:tcW w:w="14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r>
      <w:tr>
        <w:trPr>
          <w:trHeight w:val="171"/>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Efficiency ratio</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46.9</w:t>
            </w:r>
          </w:p>
        </w:tc>
        <w:tc>
          <w:tcPr>
            <w:tcW w:w="260" w:type="dxa"/>
            <w:vAlign w:val="bottom"/>
          </w:tcPr>
          <w:p>
            <w:pPr>
              <w:jc w:val="right"/>
              <w:ind w:right="48"/>
              <w:spacing w:after="0"/>
              <w:rPr>
                <w:sz w:val="20"/>
                <w:szCs w:val="20"/>
                <w:color w:val="auto"/>
              </w:rPr>
            </w:pPr>
            <w:r>
              <w:rPr>
                <w:rFonts w:ascii="Arial" w:cs="Arial" w:eastAsia="Arial" w:hAnsi="Arial"/>
                <w:sz w:val="14"/>
                <w:szCs w:val="14"/>
                <w:b w:val="1"/>
                <w:bCs w:val="1"/>
                <w:color w:val="auto"/>
                <w:w w:val="96"/>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46.1</w:t>
            </w:r>
          </w:p>
        </w:tc>
        <w:tc>
          <w:tcPr>
            <w:tcW w:w="240" w:type="dxa"/>
            <w:vAlign w:val="bottom"/>
          </w:tcPr>
          <w:p>
            <w:pPr>
              <w:jc w:val="right"/>
              <w:ind w:right="28"/>
              <w:spacing w:after="0"/>
              <w:rPr>
                <w:sz w:val="20"/>
                <w:szCs w:val="20"/>
                <w:color w:val="auto"/>
              </w:rPr>
            </w:pPr>
            <w:r>
              <w:rPr>
                <w:rFonts w:ascii="Arial" w:cs="Arial" w:eastAsia="Arial" w:hAnsi="Arial"/>
                <w:sz w:val="14"/>
                <w:szCs w:val="14"/>
                <w:b w:val="1"/>
                <w:bCs w:val="1"/>
                <w:color w:val="auto"/>
                <w:w w:val="96"/>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52.3</w:t>
            </w:r>
          </w:p>
        </w:tc>
        <w:tc>
          <w:tcPr>
            <w:tcW w:w="260" w:type="dxa"/>
            <w:vAlign w:val="bottom"/>
          </w:tcPr>
          <w:p>
            <w:pPr>
              <w:jc w:val="right"/>
              <w:ind w:right="48"/>
              <w:spacing w:after="0"/>
              <w:rPr>
                <w:sz w:val="20"/>
                <w:szCs w:val="20"/>
                <w:color w:val="auto"/>
              </w:rPr>
            </w:pPr>
            <w:r>
              <w:rPr>
                <w:rFonts w:ascii="Arial" w:cs="Arial" w:eastAsia="Arial" w:hAnsi="Arial"/>
                <w:sz w:val="14"/>
                <w:szCs w:val="14"/>
                <w:b w:val="1"/>
                <w:bCs w:val="1"/>
                <w:color w:val="auto"/>
                <w:w w:val="96"/>
              </w:rPr>
              <w:t>%</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47.7</w:t>
            </w:r>
          </w:p>
        </w:tc>
        <w:tc>
          <w:tcPr>
            <w:tcW w:w="2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49.2</w:t>
            </w:r>
          </w:p>
        </w:tc>
        <w:tc>
          <w:tcPr>
            <w:tcW w:w="2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5236210</wp:posOffset>
            </wp:positionH>
            <wp:positionV relativeFrom="paragraph">
              <wp:posOffset>-8890</wp:posOffset>
            </wp:positionV>
            <wp:extent cx="11576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-8890</wp:posOffset>
            </wp:positionV>
            <wp:extent cx="17926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 See note in BCP and Subsidiaries income statement.</w:t>
      </w:r>
    </w:p>
    <w:p>
      <w:pPr>
        <w:spacing w:after="0" w:line="20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Operating expenses grew +8.3% QoQ, due in large part to an 18.0% increase in administrative and general expenses. The aforementioned is associated to the seasonality that characterizes 4Qs of each year, and also reflect on-going business growth, in particular the channel network expansion to serve the increasing transactional activity of the market. Other expenses grew (+103.3% QoQ) due to a non-recurring payment made to SUNAT for previous quarters. This increase in expenses was offset by a decrease in salaries and employee benefits (-6.4% QoQ) given that this quarter, the Bank decided not to set aside provisions for Additional Employee Profit Sharing and effectuated a reversal for this concept.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Administrative and General Expenses can be found in the following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Administrative and General Expenses</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3"/>
          </w:tcPr>
          <w:p>
            <w:pPr>
              <w:ind w:left="640"/>
              <w:spacing w:after="0"/>
              <w:rPr>
                <w:sz w:val="20"/>
                <w:szCs w:val="20"/>
                <w:color w:val="auto"/>
              </w:rPr>
            </w:pPr>
            <w:r>
              <w:rPr>
                <w:rFonts w:ascii="Arial" w:cs="Arial" w:eastAsia="Arial" w:hAnsi="Arial"/>
                <w:sz w:val="14"/>
                <w:szCs w:val="14"/>
                <w:b w:val="1"/>
                <w:bCs w:val="1"/>
                <w:color w:val="auto"/>
              </w:rPr>
              <w:t>Quarter</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3"/>
          </w:tcPr>
          <w:p>
            <w:pPr>
              <w:ind w:left="600"/>
              <w:spacing w:after="0"/>
              <w:rPr>
                <w:sz w:val="20"/>
                <w:szCs w:val="20"/>
                <w:color w:val="auto"/>
              </w:rPr>
            </w:pPr>
            <w:r>
              <w:rPr>
                <w:rFonts w:ascii="Arial" w:cs="Arial" w:eastAsia="Arial" w:hAnsi="Arial"/>
                <w:sz w:val="14"/>
                <w:szCs w:val="14"/>
                <w:b w:val="1"/>
                <w:bCs w:val="1"/>
                <w:color w:val="auto"/>
                <w:w w:val="97"/>
              </w:rPr>
              <w:t>% Change</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3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US$ (000)</w:t>
            </w:r>
          </w:p>
        </w:tc>
        <w:tc>
          <w:tcPr>
            <w:tcW w:w="14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4Q13</w:t>
            </w:r>
          </w:p>
        </w:tc>
        <w:tc>
          <w:tcPr>
            <w:tcW w:w="20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3Q13</w:t>
            </w:r>
          </w:p>
        </w:tc>
        <w:tc>
          <w:tcPr>
            <w:tcW w:w="200" w:type="dxa"/>
            <w:vAlign w:val="bottom"/>
            <w:tcBorders>
              <w:bottom w:val="single" w:sz="8" w:color="CCFFC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4Q12</w:t>
            </w:r>
          </w:p>
        </w:tc>
        <w:tc>
          <w:tcPr>
            <w:tcW w:w="20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FFC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FFCC"/>
            </w:tcBorders>
          </w:tcPr>
          <w:p>
            <w:pPr>
              <w:spacing w:after="0"/>
              <w:rPr>
                <w:sz w:val="14"/>
                <w:szCs w:val="14"/>
                <w:color w:val="auto"/>
              </w:rPr>
            </w:pPr>
          </w:p>
        </w:tc>
      </w:tr>
      <w:tr>
        <w:trPr>
          <w:trHeight w:val="142"/>
        </w:trPr>
        <w:tc>
          <w:tcPr>
            <w:tcW w:w="32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Marketing</w:t>
            </w:r>
          </w:p>
        </w:tc>
        <w:tc>
          <w:tcPr>
            <w:tcW w:w="1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18,153</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13.0%</w:t>
            </w: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14,633</w:t>
            </w:r>
          </w:p>
        </w:tc>
        <w:tc>
          <w:tcPr>
            <w:tcW w:w="2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10.5%</w:t>
            </w: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20,866</w:t>
            </w:r>
          </w:p>
        </w:tc>
        <w:tc>
          <w:tcPr>
            <w:tcW w:w="2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14.9%</w:t>
            </w:r>
          </w:p>
        </w:tc>
        <w:tc>
          <w:tcPr>
            <w:tcW w:w="10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24.1%</w:t>
            </w:r>
          </w:p>
        </w:tc>
        <w:tc>
          <w:tcPr>
            <w:tcW w:w="24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-13.0%</w:t>
            </w: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Systems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11,831</w:t>
            </w:r>
          </w:p>
        </w:tc>
        <w:tc>
          <w:tcPr>
            <w:tcW w:w="200" w:type="dxa"/>
            <w:vAlign w:val="bottom"/>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8.5%</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11,062</w:t>
            </w:r>
          </w:p>
        </w:tc>
        <w:tc>
          <w:tcPr>
            <w:tcW w:w="24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7.9%</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14,223</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10.2%</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7.0%</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-16.8%</w:t>
            </w: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Systems Outsourcing</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10,791</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7.7%</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10,046</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7.2%</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9,238</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6.6%</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7.4%</w:t>
            </w:r>
          </w:p>
        </w:tc>
        <w:tc>
          <w:tcPr>
            <w:tcW w:w="24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16.8%</w:t>
            </w: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Transport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11,037</w:t>
            </w:r>
          </w:p>
        </w:tc>
        <w:tc>
          <w:tcPr>
            <w:tcW w:w="200" w:type="dxa"/>
            <w:vAlign w:val="bottom"/>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7.9%</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9,355</w:t>
            </w:r>
          </w:p>
        </w:tc>
        <w:tc>
          <w:tcPr>
            <w:tcW w:w="24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6.7%</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10,906</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7.8%</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18.0%</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w:t>
            </w: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Maintenance</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5,959</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4.3%</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4,228</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3.0%</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5,466</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3.9%</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40.9%</w:t>
            </w:r>
          </w:p>
        </w:tc>
        <w:tc>
          <w:tcPr>
            <w:tcW w:w="24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9.0%</w:t>
            </w: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Communications</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8,390</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6.0%</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5,758</w:t>
            </w:r>
          </w:p>
        </w:tc>
        <w:tc>
          <w:tcPr>
            <w:tcW w:w="24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4.1%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5,713</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4.1%</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45.7%</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46.9%</w:t>
            </w: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Consulting</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6,302</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4.5%</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6,346</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4.5%</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9,125</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6.5%</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-0.7%</w:t>
            </w:r>
          </w:p>
        </w:tc>
        <w:tc>
          <w:tcPr>
            <w:tcW w:w="24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-30.9%</w:t>
            </w: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Others</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42,310</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30.2%</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34,400</w:t>
            </w:r>
          </w:p>
        </w:tc>
        <w:tc>
          <w:tcPr>
            <w:tcW w:w="24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24.6%</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37,515</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26.8%</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23.0%</w:t>
            </w:r>
          </w:p>
        </w:tc>
        <w:tc>
          <w:tcPr>
            <w:tcW w:w="2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12.8%</w:t>
            </w:r>
          </w:p>
        </w:tc>
      </w:tr>
      <w:tr>
        <w:trPr>
          <w:trHeight w:val="149"/>
        </w:trPr>
        <w:tc>
          <w:tcPr>
            <w:tcW w:w="33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Taxes and contributions</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12,804</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9.1%</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12,376</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8.8%</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13,353</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9.5%</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3.5%</w:t>
            </w:r>
          </w:p>
        </w:tc>
        <w:tc>
          <w:tcPr>
            <w:tcW w:w="24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-4.1%</w:t>
            </w:r>
          </w:p>
        </w:tc>
      </w:tr>
      <w:tr>
        <w:trPr>
          <w:trHeight w:val="162"/>
        </w:trPr>
        <w:tc>
          <w:tcPr>
            <w:tcW w:w="3340" w:type="dxa"/>
            <w:vAlign w:val="bottom"/>
            <w:gridSpan w:val="2"/>
          </w:tcPr>
          <w:p>
            <w:pPr>
              <w:spacing w:after="0"/>
              <w:rPr>
                <w:sz w:val="20"/>
                <w:szCs w:val="20"/>
                <w:color w:val="auto"/>
              </w:rPr>
            </w:pPr>
            <w:r>
              <w:rPr>
                <w:rFonts w:ascii="Arial" w:cs="Arial" w:eastAsia="Arial" w:hAnsi="Arial"/>
                <w:sz w:val="14"/>
                <w:szCs w:val="14"/>
                <w:color w:val="auto"/>
              </w:rPr>
              <w:t>Other subsidiaries and eliminations, net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12,369</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8.8%</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10,363</w:t>
            </w:r>
          </w:p>
        </w:tc>
        <w:tc>
          <w:tcPr>
            <w:tcW w:w="240" w:type="dxa"/>
            <w:vAlign w:val="bottom"/>
          </w:tcPr>
          <w:p>
            <w:pPr>
              <w:spacing w:after="0"/>
              <w:rPr>
                <w:sz w:val="14"/>
                <w:szCs w:val="14"/>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4"/>
                <w:szCs w:val="14"/>
                <w:color w:val="auto"/>
              </w:rPr>
              <w:t>7.4%</w:t>
            </w:r>
          </w:p>
        </w:tc>
        <w:tc>
          <w:tcPr>
            <w:tcW w:w="800" w:type="dxa"/>
            <w:vAlign w:val="bottom"/>
          </w:tcPr>
          <w:p>
            <w:pPr>
              <w:jc w:val="right"/>
              <w:spacing w:after="0"/>
              <w:rPr>
                <w:sz w:val="20"/>
                <w:szCs w:val="20"/>
                <w:color w:val="auto"/>
              </w:rPr>
            </w:pPr>
            <w:r>
              <w:rPr>
                <w:rFonts w:ascii="Arial" w:cs="Arial" w:eastAsia="Arial" w:hAnsi="Arial"/>
                <w:sz w:val="14"/>
                <w:szCs w:val="14"/>
                <w:color w:val="auto"/>
              </w:rPr>
              <w:t>11,141</w:t>
            </w:r>
          </w:p>
        </w:tc>
        <w:tc>
          <w:tcPr>
            <w:tcW w:w="200" w:type="dxa"/>
            <w:vAlign w:val="bottom"/>
          </w:tcPr>
          <w:p>
            <w:pPr>
              <w:spacing w:after="0"/>
              <w:rPr>
                <w:sz w:val="14"/>
                <w:szCs w:val="14"/>
                <w:color w:val="auto"/>
              </w:rPr>
            </w:pP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8.0%</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19.4%</w:t>
            </w:r>
          </w:p>
        </w:tc>
        <w:tc>
          <w:tcPr>
            <w:tcW w:w="2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11.0%</w:t>
            </w:r>
          </w:p>
        </w:tc>
      </w:tr>
      <w:tr>
        <w:trPr>
          <w:trHeight w:val="142"/>
        </w:trPr>
        <w:tc>
          <w:tcPr>
            <w:tcW w:w="3340" w:type="dxa"/>
            <w:vAlign w:val="bottom"/>
            <w:tcBorders>
              <w:top w:val="single" w:sz="8" w:color="CCFFCC"/>
            </w:tcBorders>
            <w:gridSpan w:val="2"/>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Total Administrative and General Expenses</w:t>
            </w: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139,946</w:t>
            </w:r>
          </w:p>
        </w:tc>
        <w:tc>
          <w:tcPr>
            <w:tcW w:w="200" w:type="dxa"/>
            <w:vAlign w:val="bottom"/>
            <w:tcBorders>
              <w:top w:val="single" w:sz="8" w:color="CCFFCC"/>
            </w:tcBorders>
            <w:shd w:val="clear" w:color="auto" w:fill="CCFFCC"/>
          </w:tcPr>
          <w:p>
            <w:pPr>
              <w:spacing w:after="0"/>
              <w:rPr>
                <w:sz w:val="12"/>
                <w:szCs w:val="12"/>
                <w:color w:val="auto"/>
              </w:rPr>
            </w:pPr>
          </w:p>
        </w:tc>
        <w:tc>
          <w:tcPr>
            <w:tcW w:w="8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240" w:type="dxa"/>
            <w:vAlign w:val="bottom"/>
            <w:tcBorders>
              <w:top w:val="single" w:sz="8" w:color="CCFFCC"/>
            </w:tcBorders>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8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118,567</w:t>
            </w:r>
          </w:p>
        </w:tc>
        <w:tc>
          <w:tcPr>
            <w:tcW w:w="200" w:type="dxa"/>
            <w:vAlign w:val="bottom"/>
            <w:tcBorders>
              <w:top w:val="single" w:sz="8" w:color="CCFFCC"/>
            </w:tcBorders>
            <w:shd w:val="clear" w:color="auto" w:fill="CCFFCC"/>
          </w:tcPr>
          <w:p>
            <w:pPr>
              <w:spacing w:after="0"/>
              <w:rPr>
                <w:sz w:val="12"/>
                <w:szCs w:val="12"/>
                <w:color w:val="auto"/>
              </w:rPr>
            </w:pPr>
          </w:p>
        </w:tc>
        <w:tc>
          <w:tcPr>
            <w:tcW w:w="240" w:type="dxa"/>
            <w:vAlign w:val="bottom"/>
            <w:tcBorders>
              <w:top w:val="single" w:sz="8" w:color="auto"/>
              <w:bottom w:val="single" w:sz="8" w:color="auto"/>
            </w:tcBorders>
            <w:shd w:val="clear" w:color="auto" w:fill="CCFFCC"/>
          </w:tcPr>
          <w:p>
            <w:pPr>
              <w:spacing w:after="0"/>
              <w:rPr>
                <w:sz w:val="12"/>
                <w:szCs w:val="12"/>
                <w:color w:val="auto"/>
              </w:rPr>
            </w:pPr>
          </w:p>
        </w:tc>
        <w:tc>
          <w:tcPr>
            <w:tcW w:w="5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240" w:type="dxa"/>
            <w:vAlign w:val="bottom"/>
            <w:tcBorders>
              <w:top w:val="single" w:sz="8" w:color="CCFFCC"/>
            </w:tcBorders>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8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137,546</w:t>
            </w:r>
          </w:p>
        </w:tc>
        <w:tc>
          <w:tcPr>
            <w:tcW w:w="200" w:type="dxa"/>
            <w:vAlign w:val="bottom"/>
            <w:tcBorders>
              <w:top w:val="single" w:sz="8" w:color="CCFFCC"/>
            </w:tcBorders>
            <w:shd w:val="clear" w:color="auto" w:fill="CCFFCC"/>
          </w:tcPr>
          <w:p>
            <w:pPr>
              <w:spacing w:after="0"/>
              <w:rPr>
                <w:sz w:val="12"/>
                <w:szCs w:val="12"/>
                <w:color w:val="auto"/>
              </w:rPr>
            </w:pPr>
          </w:p>
        </w:tc>
        <w:tc>
          <w:tcPr>
            <w:tcW w:w="8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240" w:type="dxa"/>
            <w:vAlign w:val="bottom"/>
            <w:tcBorders>
              <w:top w:val="single" w:sz="8" w:color="CCFFCC"/>
            </w:tcBorders>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8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18.0</w:t>
            </w:r>
          </w:p>
        </w:tc>
        <w:tc>
          <w:tcPr>
            <w:tcW w:w="240" w:type="dxa"/>
            <w:vAlign w:val="bottom"/>
            <w:tcBorders>
              <w:top w:val="single" w:sz="8" w:color="CCFFCC"/>
            </w:tcBorders>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240" w:type="dxa"/>
            <w:vAlign w:val="bottom"/>
            <w:tcBorders>
              <w:top w:val="single" w:sz="8" w:color="auto"/>
              <w:bottom w:val="single" w:sz="8" w:color="auto"/>
            </w:tcBorders>
            <w:shd w:val="clear" w:color="auto" w:fill="CCFFCC"/>
          </w:tcPr>
          <w:p>
            <w:pPr>
              <w:spacing w:after="0"/>
              <w:rPr>
                <w:sz w:val="12"/>
                <w:szCs w:val="12"/>
                <w:color w:val="auto"/>
              </w:rPr>
            </w:pPr>
          </w:p>
        </w:tc>
        <w:tc>
          <w:tcPr>
            <w:tcW w:w="5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1.7</w:t>
            </w:r>
          </w:p>
        </w:tc>
        <w:tc>
          <w:tcPr>
            <w:tcW w:w="14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r>
    </w:tbl>
    <w:p>
      <w:pPr>
        <w:spacing w:after="0"/>
        <w:rPr>
          <w:sz w:val="20"/>
          <w:szCs w:val="20"/>
          <w:color w:val="auto"/>
        </w:rPr>
      </w:pPr>
      <w:r>
        <w:rPr>
          <w:rFonts w:ascii="Arial" w:cs="Arial" w:eastAsia="Arial" w:hAnsi="Arial"/>
          <w:sz w:val="18"/>
          <w:szCs w:val="18"/>
          <w:i w:val="1"/>
          <w:iCs w:val="1"/>
          <w:color w:val="auto"/>
        </w:rPr>
        <w:t>Source: BCP</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Administrative and general expenses grew due to an increase in expenses for: (i) Marketing (+24.1% QoQ) for retail campaigns (Cuenta Premio) and TV advertising; (ii) Communications (+45.7% QoQ) due to more expenses for maintenance services and data transmission; and (iii) </w:t>
      </w:r>
      <w:r>
        <w:rPr>
          <w:rFonts w:ascii="Arial" w:cs="Arial" w:eastAsia="Arial" w:hAnsi="Arial"/>
          <w:sz w:val="17"/>
          <w:szCs w:val="17"/>
          <w:i w:val="1"/>
          <w:iCs w:val="1"/>
          <w:color w:val="auto"/>
        </w:rPr>
        <w:t>Others</w:t>
      </w:r>
      <w:r>
        <w:rPr>
          <w:rFonts w:ascii="Arial" w:cs="Arial" w:eastAsia="Arial" w:hAnsi="Arial"/>
          <w:sz w:val="17"/>
          <w:szCs w:val="17"/>
          <w:color w:val="auto"/>
        </w:rPr>
        <w:t xml:space="preserve"> (+23.0% QoQ), which was primarily associated with more expenses for Corporate Affairs (advertising and image) and third party fees.</w:t>
      </w:r>
    </w:p>
    <w:p>
      <w:pPr>
        <w:spacing w:after="0" w:line="166"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annual terms, operating expenses increased 9.3% YoY, which was due primarily to higher administrative and general expenses (+13.2%). This increase is associated with: (i) expenses for systems outsourcing; this project, which is being implemented by IBM, began to report expenses in 3Q12 and will generate savings in the future given that less will be spent on IT infrastructure; and (ii) space rentals to cover strong expansion in the network of channels this year.</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important to note that despite business growth, operating expenses in 2013 (+9.3% YoY) were significantly lower than those posted in 2012 (+25.7%) due to a decrease in expenses for salaries and employee benefits and the impact of the Bank’s initial efforts to control spending and subsequently improve efficiency.</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9" w:name="page30"/>
    <w:bookmarkEnd w:id="29"/>
    <w:p>
      <w:pPr>
        <w:spacing w:after="0" w:line="3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6246495</wp:posOffset>
            </wp:positionH>
            <wp:positionV relativeFrom="page">
              <wp:posOffset>568960</wp:posOffset>
            </wp:positionV>
            <wp:extent cx="1132205" cy="3086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II.7 Net Shareholders’ Equity and Regulatory Capital</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 4Q13, BCP reported ROAE of 19.9%, which falls below 3Q13’s level (21.9%). This result was due to an increase in net shareholders’ equity (+4.5% QoQ) and the decrease in net income (-4.3% QoQ). The BIS ratio increased this Q, going from 14.12% in 3Q13 to 14.46% in 4Q13. This level, which is above the legal minimum (10%) and our internal limit (13.68%) reflects the Bank’s adequate approach to managing capital.</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Quarter</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120" w:type="dxa"/>
            <w:vAlign w:val="bottom"/>
            <w:tcBorders>
              <w:bottom w:val="single" w:sz="8" w:color="CCFFCC"/>
            </w:tcBorders>
          </w:tcPr>
          <w:p>
            <w:pPr>
              <w:spacing w:after="0"/>
              <w:rPr>
                <w:sz w:val="20"/>
                <w:szCs w:val="20"/>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4Q13</w:t>
            </w:r>
          </w:p>
        </w:tc>
        <w:tc>
          <w:tcPr>
            <w:tcW w:w="280" w:type="dxa"/>
            <w:vAlign w:val="bottom"/>
            <w:tcBorders>
              <w:bottom w:val="single" w:sz="8" w:color="CCFFCC"/>
            </w:tcBorders>
          </w:tcPr>
          <w:p>
            <w:pPr>
              <w:spacing w:after="0"/>
              <w:rPr>
                <w:sz w:val="20"/>
                <w:szCs w:val="20"/>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3Q13</w:t>
            </w:r>
          </w:p>
        </w:tc>
        <w:tc>
          <w:tcPr>
            <w:tcW w:w="260" w:type="dxa"/>
            <w:vAlign w:val="bottom"/>
            <w:tcBorders>
              <w:bottom w:val="single" w:sz="8" w:color="CCFFCC"/>
            </w:tcBorders>
          </w:tcPr>
          <w:p>
            <w:pPr>
              <w:spacing w:after="0"/>
              <w:rPr>
                <w:sz w:val="20"/>
                <w:szCs w:val="20"/>
                <w:color w:val="auto"/>
              </w:rPr>
            </w:pP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4Q12</w:t>
            </w:r>
          </w:p>
        </w:tc>
        <w:tc>
          <w:tcPr>
            <w:tcW w:w="280" w:type="dxa"/>
            <w:vAlign w:val="bottom"/>
            <w:tcBorders>
              <w:bottom w:val="single" w:sz="8" w:color="CCFFCC"/>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5960" w:type="dxa"/>
            <w:vAlign w:val="bottom"/>
            <w:shd w:val="clear" w:color="auto" w:fill="CCFFCC"/>
          </w:tcPr>
          <w:p>
            <w:pPr>
              <w:spacing w:after="0"/>
              <w:rPr>
                <w:sz w:val="20"/>
                <w:szCs w:val="20"/>
                <w:color w:val="auto"/>
              </w:rPr>
            </w:pPr>
            <w:r>
              <w:rPr>
                <w:rFonts w:ascii="Arial" w:cs="Arial" w:eastAsia="Arial" w:hAnsi="Arial"/>
                <w:sz w:val="18"/>
                <w:szCs w:val="18"/>
                <w:color w:val="auto"/>
              </w:rPr>
              <w:t>Capital stock</w:t>
            </w:r>
          </w:p>
        </w:tc>
        <w:tc>
          <w:tcPr>
            <w:tcW w:w="12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1,237,652</w:t>
            </w:r>
          </w:p>
        </w:tc>
        <w:tc>
          <w:tcPr>
            <w:tcW w:w="28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1,237,652</w:t>
            </w:r>
          </w:p>
        </w:tc>
        <w:tc>
          <w:tcPr>
            <w:tcW w:w="26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986,697</w:t>
            </w:r>
          </w:p>
        </w:tc>
        <w:tc>
          <w:tcPr>
            <w:tcW w:w="2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0.0%</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25.4%</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Reserves</w:t>
            </w:r>
          </w:p>
        </w:tc>
        <w:tc>
          <w:tcPr>
            <w:tcW w:w="820" w:type="dxa"/>
            <w:vAlign w:val="bottom"/>
          </w:tcPr>
          <w:p>
            <w:pPr>
              <w:jc w:val="right"/>
              <w:spacing w:after="0"/>
              <w:rPr>
                <w:sz w:val="20"/>
                <w:szCs w:val="20"/>
                <w:color w:val="auto"/>
              </w:rPr>
            </w:pPr>
            <w:r>
              <w:rPr>
                <w:rFonts w:ascii="Arial" w:cs="Arial" w:eastAsia="Arial" w:hAnsi="Arial"/>
                <w:sz w:val="18"/>
                <w:szCs w:val="18"/>
                <w:color w:val="auto"/>
              </w:rPr>
              <w:t>788,325</w:t>
            </w:r>
          </w:p>
        </w:tc>
        <w:tc>
          <w:tcPr>
            <w:tcW w:w="280" w:type="dxa"/>
            <w:vAlign w:val="bottom"/>
          </w:tcPr>
          <w:p>
            <w:pPr>
              <w:spacing w:after="0"/>
              <w:rPr>
                <w:sz w:val="18"/>
                <w:szCs w:val="18"/>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788,325</w:t>
            </w:r>
          </w:p>
        </w:tc>
        <w:tc>
          <w:tcPr>
            <w:tcW w:w="1120" w:type="dxa"/>
            <w:vAlign w:val="bottom"/>
            <w:gridSpan w:val="2"/>
          </w:tcPr>
          <w:p>
            <w:pPr>
              <w:jc w:val="right"/>
              <w:ind w:right="190"/>
              <w:spacing w:after="0"/>
              <w:rPr>
                <w:sz w:val="20"/>
                <w:szCs w:val="20"/>
                <w:color w:val="auto"/>
              </w:rPr>
            </w:pPr>
            <w:r>
              <w:rPr>
                <w:rFonts w:ascii="Arial" w:cs="Arial" w:eastAsia="Arial" w:hAnsi="Arial"/>
                <w:sz w:val="18"/>
                <w:szCs w:val="18"/>
                <w:color w:val="auto"/>
              </w:rPr>
              <w:t>700,491</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6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Unrealized gains and losses</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130,894</w:t>
            </w:r>
          </w:p>
        </w:tc>
        <w:tc>
          <w:tcPr>
            <w:tcW w:w="2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140,603</w:t>
            </w:r>
          </w:p>
        </w:tc>
        <w:tc>
          <w:tcPr>
            <w:tcW w:w="112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152,209</w:t>
            </w:r>
          </w:p>
        </w:tc>
        <w:tc>
          <w:tcPr>
            <w:tcW w:w="10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-6.9%</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820" w:type="dxa"/>
            <w:vAlign w:val="bottom"/>
          </w:tcPr>
          <w:p>
            <w:pPr>
              <w:jc w:val="right"/>
              <w:spacing w:after="0"/>
              <w:rPr>
                <w:sz w:val="20"/>
                <w:szCs w:val="20"/>
                <w:color w:val="auto"/>
              </w:rPr>
            </w:pPr>
            <w:r>
              <w:rPr>
                <w:rFonts w:ascii="Arial" w:cs="Arial" w:eastAsia="Arial" w:hAnsi="Arial"/>
                <w:sz w:val="18"/>
                <w:szCs w:val="18"/>
                <w:color w:val="auto"/>
              </w:rPr>
              <w:t>351,661</w:t>
            </w:r>
          </w:p>
        </w:tc>
        <w:tc>
          <w:tcPr>
            <w:tcW w:w="280" w:type="dxa"/>
            <w:vAlign w:val="bottom"/>
          </w:tcPr>
          <w:p>
            <w:pPr>
              <w:spacing w:after="0"/>
              <w:rPr>
                <w:sz w:val="18"/>
                <w:szCs w:val="18"/>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357,467</w:t>
            </w:r>
          </w:p>
        </w:tc>
        <w:tc>
          <w:tcPr>
            <w:tcW w:w="1120" w:type="dxa"/>
            <w:vAlign w:val="bottom"/>
            <w:gridSpan w:val="2"/>
          </w:tcPr>
          <w:p>
            <w:pPr>
              <w:jc w:val="right"/>
              <w:ind w:right="190"/>
              <w:spacing w:after="0"/>
              <w:rPr>
                <w:sz w:val="20"/>
                <w:szCs w:val="20"/>
                <w:color w:val="auto"/>
              </w:rPr>
            </w:pPr>
            <w:r>
              <w:rPr>
                <w:rFonts w:ascii="Arial" w:cs="Arial" w:eastAsia="Arial" w:hAnsi="Arial"/>
                <w:sz w:val="18"/>
                <w:szCs w:val="18"/>
                <w:color w:val="auto"/>
              </w:rPr>
              <w:t>274,596</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-1.6%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28.1%</w:t>
            </w:r>
          </w:p>
        </w:tc>
      </w:tr>
      <w:tr>
        <w:trPr>
          <w:trHeight w:val="230"/>
        </w:trPr>
        <w:tc>
          <w:tcPr>
            <w:tcW w:w="6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Income for the year</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463,532</w:t>
            </w:r>
          </w:p>
        </w:tc>
        <w:tc>
          <w:tcPr>
            <w:tcW w:w="280" w:type="dxa"/>
            <w:vAlign w:val="bottom"/>
            <w:shd w:val="clear" w:color="auto" w:fill="CCFFCC"/>
          </w:tcPr>
          <w:p>
            <w:pPr>
              <w:spacing w:after="0"/>
              <w:rPr>
                <w:sz w:val="19"/>
                <w:szCs w:val="19"/>
                <w:color w:val="auto"/>
              </w:rPr>
            </w:pPr>
          </w:p>
        </w:tc>
        <w:tc>
          <w:tcPr>
            <w:tcW w:w="110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319,245</w:t>
            </w:r>
          </w:p>
        </w:tc>
        <w:tc>
          <w:tcPr>
            <w:tcW w:w="112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661,358</w:t>
            </w:r>
          </w:p>
        </w:tc>
        <w:tc>
          <w:tcPr>
            <w:tcW w:w="10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45.2%</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-29.9%</w:t>
            </w:r>
          </w:p>
        </w:tc>
      </w:tr>
      <w:tr>
        <w:trPr>
          <w:trHeight w:val="210"/>
        </w:trPr>
        <w:tc>
          <w:tcPr>
            <w:tcW w:w="608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b w:val="1"/>
                <w:bCs w:val="1"/>
                <w:color w:val="auto"/>
              </w:rPr>
              <w:t>Net shareholders' equity</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2,972,064</w:t>
            </w:r>
          </w:p>
        </w:tc>
        <w:tc>
          <w:tcPr>
            <w:tcW w:w="280" w:type="dxa"/>
            <w:vAlign w:val="bottom"/>
            <w:tcBorders>
              <w:bottom w:val="single" w:sz="8" w:color="CCFFCC"/>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2,843,292</w:t>
            </w:r>
          </w:p>
        </w:tc>
        <w:tc>
          <w:tcPr>
            <w:tcW w:w="260" w:type="dxa"/>
            <w:vAlign w:val="bottom"/>
            <w:tcBorders>
              <w:bottom w:val="single" w:sz="8" w:color="CCFFCC"/>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2,775,351</w:t>
            </w:r>
          </w:p>
        </w:tc>
        <w:tc>
          <w:tcPr>
            <w:tcW w:w="280" w:type="dxa"/>
            <w:vAlign w:val="bottom"/>
            <w:tcBorders>
              <w:bottom w:val="single" w:sz="8" w:color="CCFFCC"/>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w:t>
            </w:r>
          </w:p>
        </w:tc>
        <w:tc>
          <w:tcPr>
            <w:tcW w:w="30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w:t>
            </w:r>
          </w:p>
        </w:tc>
        <w:tc>
          <w:tcPr>
            <w:tcW w:w="180" w:type="dxa"/>
            <w:vAlign w:val="bottom"/>
            <w:tcBorders>
              <w:bottom w:val="single" w:sz="8" w:color="CCFFCC"/>
            </w:tcBorders>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23"/>
        </w:trPr>
        <w:tc>
          <w:tcPr>
            <w:tcW w:w="6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Return on average equity (ROAE)</w:t>
            </w: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19.9</w:t>
            </w:r>
          </w:p>
        </w:tc>
        <w:tc>
          <w:tcPr>
            <w:tcW w:w="2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87"/>
              </w:rPr>
              <w:t>%</w:t>
            </w: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21.9</w:t>
            </w:r>
          </w:p>
        </w:tc>
        <w:tc>
          <w:tcPr>
            <w:tcW w:w="2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4"/>
              </w:rPr>
              <w:t>%</w:t>
            </w: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25.2</w:t>
            </w:r>
          </w:p>
        </w:tc>
        <w:tc>
          <w:tcPr>
            <w:tcW w:w="2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87"/>
              </w:rPr>
              <w:t>%</w:t>
            </w:r>
          </w:p>
        </w:tc>
        <w:tc>
          <w:tcPr>
            <w:tcW w:w="76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78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4Q13, net shareholders’ equity expanded +4.5% QoQ due to higher accumulated earnings this year (+45.2% QoQ). Nevertheless, the decrease in net earnings generated in 4Q with regard to 3Q (-4.3% QoQ) led ROAE to situate at 19.9%, which represents a decline QoQ.</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gridSpan w:val="3"/>
          </w:tcPr>
          <w:p>
            <w:pPr>
              <w:spacing w:after="0"/>
              <w:rPr>
                <w:sz w:val="20"/>
                <w:szCs w:val="20"/>
                <w:color w:val="auto"/>
              </w:rPr>
            </w:pPr>
            <w:r>
              <w:rPr>
                <w:rFonts w:ascii="Arial" w:cs="Arial" w:eastAsia="Arial" w:hAnsi="Arial"/>
                <w:sz w:val="18"/>
                <w:szCs w:val="18"/>
                <w:b w:val="1"/>
                <w:bCs w:val="1"/>
                <w:color w:val="auto"/>
              </w:rPr>
              <w:t>Regulatory Capital and Capital Adequacy Ratios</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w w:val="89"/>
              </w:rPr>
              <w:t>Balance as of</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5880" w:type="dxa"/>
            <w:vAlign w:val="bottom"/>
            <w:gridSpan w:val="3"/>
          </w:tcPr>
          <w:p>
            <w:pPr>
              <w:spacing w:after="0"/>
              <w:rPr>
                <w:sz w:val="20"/>
                <w:szCs w:val="20"/>
                <w:color w:val="auto"/>
              </w:rPr>
            </w:pPr>
            <w:r>
              <w:rPr>
                <w:rFonts w:ascii="Arial" w:cs="Arial" w:eastAsia="Arial" w:hAnsi="Arial"/>
                <w:sz w:val="18"/>
                <w:szCs w:val="18"/>
                <w:color w:val="auto"/>
              </w:rPr>
              <w:t>US$ (000)</w:t>
            </w:r>
          </w:p>
        </w:tc>
        <w:tc>
          <w:tcPr>
            <w:tcW w:w="11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4Q13</w:t>
            </w:r>
          </w:p>
        </w:tc>
        <w:tc>
          <w:tcPr>
            <w:tcW w:w="100" w:type="dxa"/>
            <w:vAlign w:val="bottom"/>
          </w:tcPr>
          <w:p>
            <w:pPr>
              <w:spacing w:after="0"/>
              <w:rPr>
                <w:sz w:val="20"/>
                <w:szCs w:val="20"/>
                <w:color w:val="auto"/>
              </w:rPr>
            </w:pPr>
          </w:p>
        </w:tc>
        <w:tc>
          <w:tcPr>
            <w:tcW w:w="118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3Q13</w:t>
            </w:r>
          </w:p>
        </w:tc>
        <w:tc>
          <w:tcPr>
            <w:tcW w:w="118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4Q12</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QoQ</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FFCC"/>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FFCC"/>
          </w:tcPr>
          <w:p>
            <w:pPr>
              <w:spacing w:after="0"/>
              <w:rPr>
                <w:sz w:val="20"/>
                <w:szCs w:val="20"/>
                <w:color w:val="auto"/>
              </w:rPr>
            </w:pPr>
            <w:r>
              <w:rPr>
                <w:rFonts w:ascii="Arial" w:cs="Arial" w:eastAsia="Arial" w:hAnsi="Arial"/>
                <w:sz w:val="18"/>
                <w:szCs w:val="18"/>
                <w:color w:val="auto"/>
              </w:rPr>
              <w:t>Capital Stock</w:t>
            </w:r>
          </w:p>
        </w:tc>
        <w:tc>
          <w:tcPr>
            <w:tcW w:w="100" w:type="dxa"/>
            <w:vAlign w:val="bottom"/>
            <w:vMerge w:val="continue"/>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1,342,618</w:t>
            </w:r>
          </w:p>
        </w:tc>
        <w:tc>
          <w:tcPr>
            <w:tcW w:w="180" w:type="dxa"/>
            <w:vAlign w:val="bottom"/>
            <w:vMerge w:val="continue"/>
            <w:shd w:val="clear" w:color="auto" w:fill="CCFFCC"/>
          </w:tcPr>
          <w:p>
            <w:pPr>
              <w:spacing w:after="0"/>
              <w:rPr>
                <w:sz w:val="18"/>
                <w:szCs w:val="18"/>
                <w:color w:val="auto"/>
              </w:rPr>
            </w:pPr>
          </w:p>
        </w:tc>
        <w:tc>
          <w:tcPr>
            <w:tcW w:w="100" w:type="dxa"/>
            <w:vAlign w:val="bottom"/>
            <w:vMerge w:val="continue"/>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1,348,892</w:t>
            </w:r>
          </w:p>
        </w:tc>
        <w:tc>
          <w:tcPr>
            <w:tcW w:w="28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1,216,822</w:t>
            </w:r>
          </w:p>
        </w:tc>
        <w:tc>
          <w:tcPr>
            <w:tcW w:w="260" w:type="dxa"/>
            <w:vAlign w:val="bottom"/>
            <w:vMerge w:val="continue"/>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-0.5%</w:t>
            </w: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Legal and Other capital reserves</w:t>
            </w:r>
          </w:p>
        </w:tc>
        <w:tc>
          <w:tcPr>
            <w:tcW w:w="1100" w:type="dxa"/>
            <w:vAlign w:val="bottom"/>
            <w:gridSpan w:val="2"/>
          </w:tcPr>
          <w:p>
            <w:pPr>
              <w:jc w:val="right"/>
              <w:ind w:right="90"/>
              <w:spacing w:after="0"/>
              <w:rPr>
                <w:sz w:val="20"/>
                <w:szCs w:val="20"/>
                <w:color w:val="auto"/>
              </w:rPr>
            </w:pPr>
            <w:r>
              <w:rPr>
                <w:rFonts w:ascii="Arial" w:cs="Arial" w:eastAsia="Arial" w:hAnsi="Arial"/>
                <w:sz w:val="18"/>
                <w:szCs w:val="18"/>
                <w:color w:val="auto"/>
              </w:rPr>
              <w:t>866,630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870,679</w:t>
            </w:r>
          </w:p>
        </w:tc>
        <w:tc>
          <w:tcPr>
            <w:tcW w:w="280" w:type="dxa"/>
            <w:vAlign w:val="bottom"/>
          </w:tcPr>
          <w:p>
            <w:pPr>
              <w:spacing w:after="0"/>
              <w:rPr>
                <w:sz w:val="18"/>
                <w:szCs w:val="18"/>
                <w:color w:val="auto"/>
              </w:rPr>
            </w:pP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860,717</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Accumulated earnings with capitalization agreement</w:t>
            </w:r>
          </w:p>
        </w:tc>
        <w:tc>
          <w:tcPr>
            <w:tcW w:w="110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180,322</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152,235</w:t>
            </w:r>
          </w:p>
        </w:tc>
        <w:tc>
          <w:tcPr>
            <w:tcW w:w="10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Loan loss reserves (1)</w:t>
            </w:r>
          </w:p>
        </w:tc>
        <w:tc>
          <w:tcPr>
            <w:tcW w:w="1100" w:type="dxa"/>
            <w:vAlign w:val="bottom"/>
            <w:gridSpan w:val="2"/>
          </w:tcPr>
          <w:p>
            <w:pPr>
              <w:jc w:val="right"/>
              <w:ind w:right="90"/>
              <w:spacing w:after="0"/>
              <w:rPr>
                <w:sz w:val="20"/>
                <w:szCs w:val="20"/>
                <w:color w:val="auto"/>
              </w:rPr>
            </w:pPr>
            <w:r>
              <w:rPr>
                <w:rFonts w:ascii="Arial" w:cs="Arial" w:eastAsia="Arial" w:hAnsi="Arial"/>
                <w:sz w:val="18"/>
                <w:szCs w:val="18"/>
                <w:color w:val="auto"/>
              </w:rPr>
              <w:t>298,529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287,451</w:t>
            </w:r>
          </w:p>
        </w:tc>
        <w:tc>
          <w:tcPr>
            <w:tcW w:w="280" w:type="dxa"/>
            <w:vAlign w:val="bottom"/>
          </w:tcPr>
          <w:p>
            <w:pPr>
              <w:spacing w:after="0"/>
              <w:rPr>
                <w:sz w:val="18"/>
                <w:szCs w:val="18"/>
                <w:color w:val="auto"/>
              </w:rPr>
            </w:pP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276,620</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Perpetual subordinated debt</w:t>
            </w:r>
          </w:p>
        </w:tc>
        <w:tc>
          <w:tcPr>
            <w:tcW w:w="110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250,000</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250,000</w:t>
            </w:r>
          </w:p>
        </w:tc>
        <w:tc>
          <w:tcPr>
            <w:tcW w:w="2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250,000</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w:t>
            </w: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1100" w:type="dxa"/>
            <w:vAlign w:val="bottom"/>
            <w:gridSpan w:val="2"/>
          </w:tcPr>
          <w:p>
            <w:pPr>
              <w:jc w:val="right"/>
              <w:ind w:right="90"/>
              <w:spacing w:after="0"/>
              <w:rPr>
                <w:sz w:val="20"/>
                <w:szCs w:val="20"/>
                <w:color w:val="auto"/>
              </w:rPr>
            </w:pPr>
            <w:r>
              <w:rPr>
                <w:rFonts w:ascii="Arial" w:cs="Arial" w:eastAsia="Arial" w:hAnsi="Arial"/>
                <w:sz w:val="18"/>
                <w:szCs w:val="18"/>
                <w:color w:val="auto"/>
              </w:rPr>
              <w:t>1,222,884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1,223,717</w:t>
            </w:r>
          </w:p>
        </w:tc>
        <w:tc>
          <w:tcPr>
            <w:tcW w:w="280" w:type="dxa"/>
            <w:vAlign w:val="bottom"/>
          </w:tcPr>
          <w:p>
            <w:pPr>
              <w:spacing w:after="0"/>
              <w:rPr>
                <w:sz w:val="18"/>
                <w:szCs w:val="18"/>
                <w:color w:val="auto"/>
              </w:rPr>
            </w:pP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1,092,777</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Unrealized profit (loss)</w:t>
            </w:r>
          </w:p>
        </w:tc>
        <w:tc>
          <w:tcPr>
            <w:tcW w:w="110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w w:val="95"/>
              </w:rPr>
              <w:t>Investment in subsidiaries and others, net of unrealized profit and net income</w:t>
            </w: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(269,326)</w:t>
            </w:r>
          </w:p>
        </w:tc>
        <w:tc>
          <w:tcPr>
            <w:tcW w:w="1280" w:type="dxa"/>
            <w:vAlign w:val="bottom"/>
            <w:gridSpan w:val="3"/>
          </w:tcPr>
          <w:p>
            <w:pPr>
              <w:jc w:val="right"/>
              <w:ind w:right="130"/>
              <w:spacing w:after="0"/>
              <w:rPr>
                <w:sz w:val="20"/>
                <w:szCs w:val="20"/>
                <w:color w:val="auto"/>
              </w:rPr>
            </w:pPr>
            <w:r>
              <w:rPr>
                <w:rFonts w:ascii="Arial" w:cs="Arial" w:eastAsia="Arial" w:hAnsi="Arial"/>
                <w:sz w:val="18"/>
                <w:szCs w:val="18"/>
                <w:color w:val="auto"/>
              </w:rPr>
              <w:t>(265,593)</w:t>
            </w:r>
          </w:p>
        </w:tc>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(299,188)</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Investment in subsidiaries and others</w:t>
            </w:r>
          </w:p>
        </w:tc>
        <w:tc>
          <w:tcPr>
            <w:tcW w:w="110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495,292</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498,401</w:t>
            </w:r>
          </w:p>
        </w:tc>
        <w:tc>
          <w:tcPr>
            <w:tcW w:w="2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545,089</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-0.6%</w:t>
            </w: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ind w:left="200"/>
              <w:spacing w:after="0"/>
              <w:rPr>
                <w:sz w:val="20"/>
                <w:szCs w:val="20"/>
                <w:color w:val="auto"/>
              </w:rPr>
            </w:pPr>
            <w:r>
              <w:rPr>
                <w:rFonts w:ascii="Arial" w:cs="Arial" w:eastAsia="Arial" w:hAnsi="Arial"/>
                <w:sz w:val="18"/>
                <w:szCs w:val="18"/>
                <w:color w:val="auto"/>
              </w:rPr>
              <w:t>Unrealized profit and net income in subsidiaries</w:t>
            </w:r>
          </w:p>
        </w:tc>
        <w:tc>
          <w:tcPr>
            <w:tcW w:w="1100" w:type="dxa"/>
            <w:vAlign w:val="bottom"/>
            <w:gridSpan w:val="2"/>
          </w:tcPr>
          <w:p>
            <w:pPr>
              <w:jc w:val="right"/>
              <w:ind w:right="90"/>
              <w:spacing w:after="0"/>
              <w:rPr>
                <w:sz w:val="20"/>
                <w:szCs w:val="20"/>
                <w:color w:val="auto"/>
              </w:rPr>
            </w:pPr>
            <w:r>
              <w:rPr>
                <w:rFonts w:ascii="Arial" w:cs="Arial" w:eastAsia="Arial" w:hAnsi="Arial"/>
                <w:sz w:val="18"/>
                <w:szCs w:val="18"/>
                <w:color w:val="auto"/>
              </w:rPr>
              <w:t>225,966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232,808</w:t>
            </w:r>
          </w:p>
        </w:tc>
        <w:tc>
          <w:tcPr>
            <w:tcW w:w="280" w:type="dxa"/>
            <w:vAlign w:val="bottom"/>
          </w:tcPr>
          <w:p>
            <w:pPr>
              <w:spacing w:after="0"/>
              <w:rPr>
                <w:sz w:val="18"/>
                <w:szCs w:val="18"/>
                <w:color w:val="auto"/>
              </w:rPr>
            </w:pP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245,901</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Goodwill</w:t>
            </w:r>
          </w:p>
        </w:tc>
        <w:tc>
          <w:tcPr>
            <w:tcW w:w="110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(43,679)</w:t>
            </w:r>
          </w:p>
        </w:tc>
        <w:tc>
          <w:tcPr>
            <w:tcW w:w="1280" w:type="dxa"/>
            <w:vAlign w:val="bottom"/>
            <w:gridSpan w:val="3"/>
            <w:shd w:val="clear" w:color="auto" w:fill="CCFFCC"/>
          </w:tcPr>
          <w:p>
            <w:pPr>
              <w:jc w:val="right"/>
              <w:ind w:right="130"/>
              <w:spacing w:after="0"/>
              <w:rPr>
                <w:sz w:val="20"/>
                <w:szCs w:val="20"/>
                <w:color w:val="auto"/>
              </w:rPr>
            </w:pPr>
            <w:r>
              <w:rPr>
                <w:rFonts w:ascii="Arial" w:cs="Arial" w:eastAsia="Arial" w:hAnsi="Arial"/>
                <w:sz w:val="18"/>
                <w:szCs w:val="18"/>
                <w:color w:val="auto"/>
              </w:rPr>
              <w:t>(43,883)</w:t>
            </w:r>
          </w:p>
        </w:tc>
        <w:tc>
          <w:tcPr>
            <w:tcW w:w="118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(47,876)</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-0.5%</w:t>
            </w: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Total Regulatory Capital</w:t>
            </w:r>
          </w:p>
        </w:tc>
        <w:tc>
          <w:tcPr>
            <w:tcW w:w="11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3,847,978</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3,671,264</w:t>
            </w:r>
          </w:p>
        </w:tc>
        <w:tc>
          <w:tcPr>
            <w:tcW w:w="280" w:type="dxa"/>
            <w:vAlign w:val="bottom"/>
          </w:tcPr>
          <w:p>
            <w:pPr>
              <w:spacing w:after="0"/>
              <w:rPr>
                <w:sz w:val="19"/>
                <w:szCs w:val="19"/>
                <w:color w:val="auto"/>
              </w:rPr>
            </w:pPr>
          </w:p>
        </w:tc>
        <w:tc>
          <w:tcPr>
            <w:tcW w:w="11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3,502,108</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4.8%</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9.9%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76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76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Tier 1 (2)</w:t>
            </w:r>
          </w:p>
        </w:tc>
        <w:tc>
          <w:tcPr>
            <w:tcW w:w="1100" w:type="dxa"/>
            <w:vAlign w:val="bottom"/>
            <w:gridSpan w:val="2"/>
          </w:tcPr>
          <w:p>
            <w:pPr>
              <w:jc w:val="right"/>
              <w:ind w:right="90"/>
              <w:spacing w:after="0"/>
              <w:rPr>
                <w:sz w:val="20"/>
                <w:szCs w:val="20"/>
                <w:color w:val="auto"/>
              </w:rPr>
            </w:pPr>
            <w:r>
              <w:rPr>
                <w:rFonts w:ascii="Arial" w:cs="Arial" w:eastAsia="Arial" w:hAnsi="Arial"/>
                <w:sz w:val="18"/>
                <w:szCs w:val="18"/>
                <w:color w:val="auto"/>
              </w:rPr>
              <w:t>2,574,211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2,409,296</w:t>
            </w:r>
          </w:p>
        </w:tc>
        <w:tc>
          <w:tcPr>
            <w:tcW w:w="280" w:type="dxa"/>
            <w:vAlign w:val="bottom"/>
          </w:tcPr>
          <w:p>
            <w:pPr>
              <w:spacing w:after="0"/>
              <w:rPr>
                <w:sz w:val="18"/>
                <w:szCs w:val="18"/>
                <w:color w:val="auto"/>
              </w:rPr>
            </w:pP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2,405,255</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Tier 2 (3) + Tier 3 (4)</w:t>
            </w:r>
          </w:p>
        </w:tc>
        <w:tc>
          <w:tcPr>
            <w:tcW w:w="110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1,273,767</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1,261,968</w:t>
            </w:r>
          </w:p>
        </w:tc>
        <w:tc>
          <w:tcPr>
            <w:tcW w:w="28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1,096,853</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0.9%</w:t>
            </w: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6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 risk-weighted assets</w:t>
            </w:r>
          </w:p>
        </w:tc>
        <w:tc>
          <w:tcPr>
            <w:tcW w:w="110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b w:val="1"/>
                <w:bCs w:val="1"/>
                <w:color w:val="auto"/>
                <w:w w:val="99"/>
              </w:rPr>
              <w:t>26,611,581</w:t>
            </w:r>
          </w:p>
        </w:tc>
        <w:tc>
          <w:tcPr>
            <w:tcW w:w="1280" w:type="dxa"/>
            <w:vAlign w:val="bottom"/>
            <w:gridSpan w:val="3"/>
            <w:shd w:val="clear" w:color="auto" w:fill="CCFFCC"/>
          </w:tcPr>
          <w:p>
            <w:pPr>
              <w:jc w:val="right"/>
              <w:ind w:right="190"/>
              <w:spacing w:after="0"/>
              <w:rPr>
                <w:sz w:val="20"/>
                <w:szCs w:val="20"/>
                <w:color w:val="auto"/>
              </w:rPr>
            </w:pPr>
            <w:r>
              <w:rPr>
                <w:rFonts w:ascii="Arial" w:cs="Arial" w:eastAsia="Arial" w:hAnsi="Arial"/>
                <w:sz w:val="18"/>
                <w:szCs w:val="18"/>
                <w:b w:val="1"/>
                <w:bCs w:val="1"/>
                <w:color w:val="auto"/>
              </w:rPr>
              <w:t>25,994,615</w:t>
            </w:r>
          </w:p>
        </w:tc>
        <w:tc>
          <w:tcPr>
            <w:tcW w:w="118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b w:val="1"/>
                <w:bCs w:val="1"/>
                <w:color w:val="auto"/>
                <w:w w:val="99"/>
              </w:rPr>
              <w:t>23,789,338</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2.4%</w:t>
            </w: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Market risk-weighted assets (5)</w:t>
            </w:r>
          </w:p>
        </w:tc>
        <w:tc>
          <w:tcPr>
            <w:tcW w:w="9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gridSpan w:val="2"/>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990,295</w:t>
            </w:r>
          </w:p>
        </w:tc>
        <w:tc>
          <w:tcPr>
            <w:tcW w:w="18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1,362,380</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488,910</w:t>
            </w:r>
          </w:p>
        </w:tc>
        <w:tc>
          <w:tcPr>
            <w:tcW w:w="260" w:type="dxa"/>
            <w:vAlign w:val="bottom"/>
            <w:vMerge w:val="continue"/>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Credit risk-weighted assets</w:t>
            </w:r>
          </w:p>
        </w:tc>
        <w:tc>
          <w:tcPr>
            <w:tcW w:w="110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w w:val="99"/>
              </w:rPr>
              <w:t>23,882,290</w:t>
            </w:r>
          </w:p>
        </w:tc>
        <w:tc>
          <w:tcPr>
            <w:tcW w:w="1280" w:type="dxa"/>
            <w:vAlign w:val="bottom"/>
            <w:gridSpan w:val="3"/>
            <w:shd w:val="clear" w:color="auto" w:fill="CCFFCC"/>
          </w:tcPr>
          <w:p>
            <w:pPr>
              <w:jc w:val="right"/>
              <w:ind w:right="190"/>
              <w:spacing w:after="0"/>
              <w:rPr>
                <w:sz w:val="20"/>
                <w:szCs w:val="20"/>
                <w:color w:val="auto"/>
              </w:rPr>
            </w:pPr>
            <w:r>
              <w:rPr>
                <w:rFonts w:ascii="Arial" w:cs="Arial" w:eastAsia="Arial" w:hAnsi="Arial"/>
                <w:sz w:val="18"/>
                <w:szCs w:val="18"/>
                <w:color w:val="auto"/>
              </w:rPr>
              <w:t>22,946,241</w:t>
            </w:r>
          </w:p>
        </w:tc>
        <w:tc>
          <w:tcPr>
            <w:tcW w:w="118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w w:val="99"/>
              </w:rPr>
              <w:t>22,074,645</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4.1%</w:t>
            </w: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Operational risk-weighted assets</w:t>
            </w:r>
          </w:p>
        </w:tc>
        <w:tc>
          <w:tcPr>
            <w:tcW w:w="1100" w:type="dxa"/>
            <w:vAlign w:val="bottom"/>
            <w:gridSpan w:val="2"/>
          </w:tcPr>
          <w:p>
            <w:pPr>
              <w:jc w:val="right"/>
              <w:ind w:right="90"/>
              <w:spacing w:after="0"/>
              <w:rPr>
                <w:sz w:val="20"/>
                <w:szCs w:val="20"/>
                <w:color w:val="auto"/>
              </w:rPr>
            </w:pPr>
            <w:r>
              <w:rPr>
                <w:rFonts w:ascii="Arial" w:cs="Arial" w:eastAsia="Arial" w:hAnsi="Arial"/>
                <w:sz w:val="18"/>
                <w:szCs w:val="18"/>
                <w:color w:val="auto"/>
              </w:rPr>
              <w:t>1,738,995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1,685,993</w:t>
            </w:r>
          </w:p>
        </w:tc>
        <w:tc>
          <w:tcPr>
            <w:tcW w:w="280" w:type="dxa"/>
            <w:vAlign w:val="bottom"/>
          </w:tcPr>
          <w:p>
            <w:pPr>
              <w:spacing w:after="0"/>
              <w:rPr>
                <w:sz w:val="19"/>
                <w:szCs w:val="19"/>
                <w:color w:val="auto"/>
              </w:rPr>
            </w:pP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1,225,784</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76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76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Market risk capital requirement (5)</w:t>
            </w:r>
          </w:p>
        </w:tc>
        <w:tc>
          <w:tcPr>
            <w:tcW w:w="1100" w:type="dxa"/>
            <w:vAlign w:val="bottom"/>
            <w:gridSpan w:val="2"/>
          </w:tcPr>
          <w:p>
            <w:pPr>
              <w:jc w:val="right"/>
              <w:ind w:right="90"/>
              <w:spacing w:after="0"/>
              <w:rPr>
                <w:sz w:val="20"/>
                <w:szCs w:val="20"/>
                <w:color w:val="auto"/>
              </w:rPr>
            </w:pPr>
            <w:r>
              <w:rPr>
                <w:rFonts w:ascii="Arial" w:cs="Arial" w:eastAsia="Arial" w:hAnsi="Arial"/>
                <w:sz w:val="18"/>
                <w:szCs w:val="18"/>
                <w:color w:val="auto"/>
              </w:rPr>
              <w:t>99,030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136,238</w:t>
            </w:r>
          </w:p>
        </w:tc>
        <w:tc>
          <w:tcPr>
            <w:tcW w:w="280" w:type="dxa"/>
            <w:vAlign w:val="bottom"/>
          </w:tcPr>
          <w:p>
            <w:pPr>
              <w:spacing w:after="0"/>
              <w:rPr>
                <w:sz w:val="18"/>
                <w:szCs w:val="18"/>
                <w:color w:val="auto"/>
              </w:rPr>
            </w:pP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47,913</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Credit risk capital requirement</w:t>
            </w:r>
          </w:p>
        </w:tc>
        <w:tc>
          <w:tcPr>
            <w:tcW w:w="110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2,388,229</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2,294,624</w:t>
            </w:r>
          </w:p>
        </w:tc>
        <w:tc>
          <w:tcPr>
            <w:tcW w:w="2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2,163,315</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4.1%</w:t>
            </w: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Operational risk capital requirement</w:t>
            </w:r>
          </w:p>
        </w:tc>
        <w:tc>
          <w:tcPr>
            <w:tcW w:w="1100" w:type="dxa"/>
            <w:vAlign w:val="bottom"/>
            <w:gridSpan w:val="2"/>
          </w:tcPr>
          <w:p>
            <w:pPr>
              <w:jc w:val="right"/>
              <w:ind w:right="90"/>
              <w:spacing w:after="0"/>
              <w:rPr>
                <w:sz w:val="20"/>
                <w:szCs w:val="20"/>
                <w:color w:val="auto"/>
              </w:rPr>
            </w:pPr>
            <w:r>
              <w:rPr>
                <w:rFonts w:ascii="Arial" w:cs="Arial" w:eastAsia="Arial" w:hAnsi="Arial"/>
                <w:sz w:val="18"/>
                <w:szCs w:val="18"/>
                <w:color w:val="auto"/>
              </w:rPr>
              <w:t>173,899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168,599</w:t>
            </w:r>
          </w:p>
        </w:tc>
        <w:tc>
          <w:tcPr>
            <w:tcW w:w="280" w:type="dxa"/>
            <w:vAlign w:val="bottom"/>
          </w:tcPr>
          <w:p>
            <w:pPr>
              <w:spacing w:after="0"/>
              <w:rPr>
                <w:sz w:val="18"/>
                <w:szCs w:val="18"/>
                <w:color w:val="auto"/>
              </w:rPr>
            </w:pP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120,127</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Additional capital requirements</w:t>
            </w:r>
          </w:p>
        </w:tc>
        <w:tc>
          <w:tcPr>
            <w:tcW w:w="110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465,071</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452,577</w:t>
            </w:r>
          </w:p>
        </w:tc>
        <w:tc>
          <w:tcPr>
            <w:tcW w:w="28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w:t>
            </w:r>
          </w:p>
        </w:tc>
        <w:tc>
          <w:tcPr>
            <w:tcW w:w="9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Capital ratios</w:t>
            </w:r>
          </w:p>
        </w:tc>
        <w:tc>
          <w:tcPr>
            <w:tcW w:w="9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Tier 1 ratio (6)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9.67%</w:t>
            </w:r>
          </w:p>
        </w:tc>
        <w:tc>
          <w:tcPr>
            <w:tcW w:w="1280" w:type="dxa"/>
            <w:vAlign w:val="bottom"/>
            <w:gridSpan w:val="3"/>
          </w:tcPr>
          <w:p>
            <w:pPr>
              <w:jc w:val="right"/>
              <w:ind w:right="30"/>
              <w:spacing w:after="0"/>
              <w:rPr>
                <w:sz w:val="20"/>
                <w:szCs w:val="20"/>
                <w:color w:val="auto"/>
              </w:rPr>
            </w:pPr>
            <w:r>
              <w:rPr>
                <w:rFonts w:ascii="Arial" w:cs="Arial" w:eastAsia="Arial" w:hAnsi="Arial"/>
                <w:sz w:val="18"/>
                <w:szCs w:val="18"/>
                <w:color w:val="auto"/>
              </w:rPr>
              <w:t>9.27%</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10.11%</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Common Equity Tier 1 ratio (7)</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7.52</w:t>
            </w:r>
          </w:p>
        </w:tc>
        <w:tc>
          <w:tcPr>
            <w:tcW w:w="1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7.26</w:t>
            </w:r>
          </w:p>
        </w:tc>
        <w:tc>
          <w:tcPr>
            <w:tcW w:w="28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7.36</w:t>
            </w:r>
          </w:p>
        </w:tc>
        <w:tc>
          <w:tcPr>
            <w:tcW w:w="26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74"/>
              </w:rPr>
              <w:t>%</w:t>
            </w:r>
          </w:p>
        </w:tc>
        <w:tc>
          <w:tcPr>
            <w:tcW w:w="76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76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color w:val="auto"/>
              </w:rPr>
              <w:t>BIS ratio (8)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w:t>
            </w:r>
          </w:p>
        </w:tc>
        <w:tc>
          <w:tcPr>
            <w:tcW w:w="180" w:type="dxa"/>
            <w:vAlign w:val="bottom"/>
            <w:tcBorders>
              <w:bottom w:val="single" w:sz="8" w:color="CCFFCC"/>
            </w:tcBorders>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FFCC"/>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w:t>
            </w:r>
          </w:p>
        </w:tc>
        <w:tc>
          <w:tcPr>
            <w:tcW w:w="28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color w:val="auto"/>
                <w:w w:val="87"/>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w:t>
            </w:r>
          </w:p>
        </w:tc>
        <w:tc>
          <w:tcPr>
            <w:tcW w:w="26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color w:val="auto"/>
                <w:w w:val="74"/>
              </w:rPr>
              <w:t>%</w:t>
            </w:r>
          </w:p>
        </w:tc>
        <w:tc>
          <w:tcPr>
            <w:tcW w:w="760" w:type="dxa"/>
            <w:vAlign w:val="bottom"/>
            <w:tcBorders>
              <w:bottom w:val="single" w:sz="8" w:color="CCFFCC"/>
            </w:tcBorders>
          </w:tcPr>
          <w:p>
            <w:pPr>
              <w:spacing w:after="0"/>
              <w:rPr>
                <w:sz w:val="18"/>
                <w:szCs w:val="18"/>
                <w:color w:val="auto"/>
              </w:rPr>
            </w:pPr>
          </w:p>
        </w:tc>
        <w:tc>
          <w:tcPr>
            <w:tcW w:w="280" w:type="dxa"/>
            <w:vAlign w:val="bottom"/>
            <w:tcBorders>
              <w:bottom w:val="single" w:sz="8" w:color="CCFFCC"/>
            </w:tcBorders>
          </w:tcPr>
          <w:p>
            <w:pPr>
              <w:spacing w:after="0"/>
              <w:rPr>
                <w:sz w:val="18"/>
                <w:szCs w:val="18"/>
                <w:color w:val="auto"/>
              </w:rPr>
            </w:pPr>
          </w:p>
        </w:tc>
        <w:tc>
          <w:tcPr>
            <w:tcW w:w="760" w:type="dxa"/>
            <w:vAlign w:val="bottom"/>
            <w:tcBorders>
              <w:bottom w:val="single" w:sz="8" w:color="CCFFCC"/>
            </w:tcBorders>
          </w:tcPr>
          <w:p>
            <w:pPr>
              <w:spacing w:after="0"/>
              <w:rPr>
                <w:sz w:val="18"/>
                <w:szCs w:val="18"/>
                <w:color w:val="auto"/>
              </w:rPr>
            </w:pPr>
          </w:p>
        </w:tc>
        <w:tc>
          <w:tcPr>
            <w:tcW w:w="1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Risk-weighted assets / Regulatory Capital (9)</w:t>
            </w: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6.92</w:t>
            </w: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7.08</w:t>
            </w:r>
          </w:p>
        </w:tc>
        <w:tc>
          <w:tcPr>
            <w:tcW w:w="280" w:type="dxa"/>
            <w:vAlign w:val="bottom"/>
            <w:shd w:val="clear" w:color="auto" w:fill="CCFFCC"/>
          </w:tcPr>
          <w:p>
            <w:pPr>
              <w:spacing w:after="0"/>
              <w:rPr>
                <w:sz w:val="18"/>
                <w:szCs w:val="18"/>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6.79</w:t>
            </w:r>
          </w:p>
        </w:tc>
        <w:tc>
          <w:tcPr>
            <w:tcW w:w="26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Up to 1.25% of total risk-weighted assets.</w:t>
      </w:r>
    </w:p>
    <w:p>
      <w:pPr>
        <w:spacing w:after="0" w:line="9" w:lineRule="exact"/>
        <w:rPr>
          <w:rFonts w:ascii="Arial" w:cs="Arial" w:eastAsia="Arial" w:hAnsi="Arial"/>
          <w:sz w:val="18"/>
          <w:szCs w:val="18"/>
          <w:i w:val="1"/>
          <w:iCs w:val="1"/>
          <w:color w:val="auto"/>
        </w:rPr>
      </w:pPr>
    </w:p>
    <w:p>
      <w:pPr>
        <w:ind w:right="300" w:firstLine="8"/>
        <w:spacing w:after="0" w:line="265" w:lineRule="auto"/>
        <w:tabs>
          <w:tab w:leader="none" w:pos="255" w:val="left"/>
        </w:tabs>
        <w:numPr>
          <w:ilvl w:val="0"/>
          <w:numId w:val="28"/>
        </w:numPr>
        <w:rPr>
          <w:rFonts w:ascii="Arial" w:cs="Arial" w:eastAsia="Arial" w:hAnsi="Arial"/>
          <w:sz w:val="17"/>
          <w:szCs w:val="17"/>
          <w:i w:val="1"/>
          <w:iCs w:val="1"/>
          <w:color w:val="auto"/>
        </w:rPr>
      </w:pPr>
      <w:r>
        <w:rPr>
          <w:rFonts w:ascii="Arial" w:cs="Arial" w:eastAsia="Arial" w:hAnsi="Arial"/>
          <w:sz w:val="17"/>
          <w:szCs w:val="17"/>
          <w:i w:val="1"/>
          <w:iCs w:val="1"/>
          <w:color w:val="auto"/>
        </w:rPr>
        <w:t>Tier 1 = Capital + Legal and other capital Reserves + Accumulated earnings with capitalization agreement +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260" w:hanging="252"/>
        <w:spacing w:after="0"/>
        <w:tabs>
          <w:tab w:leader="none" w:pos="2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Tier 2 = Subordinated debt + Loan loss reserves - (0.5 x Investment in subsidiaries).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Tier 3 = Subordinated debt covering market risk only. Tier 3 exists since 1Q10.</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It includes capital requirement to cover price and rate risk.</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Tier 1 / Risk-weighted assets.</w:t>
      </w:r>
    </w:p>
    <w:p>
      <w:pPr>
        <w:spacing w:after="0" w:line="9" w:lineRule="exact"/>
        <w:rPr>
          <w:rFonts w:ascii="Arial" w:cs="Arial" w:eastAsia="Arial" w:hAnsi="Arial"/>
          <w:sz w:val="18"/>
          <w:szCs w:val="18"/>
          <w:i w:val="1"/>
          <w:iCs w:val="1"/>
          <w:color w:val="auto"/>
        </w:rPr>
      </w:pPr>
    </w:p>
    <w:p>
      <w:pPr>
        <w:ind w:right="240" w:firstLine="8"/>
        <w:spacing w:after="0" w:line="250" w:lineRule="auto"/>
        <w:tabs>
          <w:tab w:leader="none" w:pos="255"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Common Equity Tier I = Capital + Reserves – 100% of applicable deductions (investment in subsidiaries, goodwill, intangibles and deferred tax assets that rely on future profitability) + retained earnings + unrealized gains.</w:t>
      </w:r>
    </w:p>
    <w:p>
      <w:pPr>
        <w:ind w:left="260" w:hanging="252"/>
        <w:spacing w:after="0"/>
        <w:tabs>
          <w:tab w:leader="none" w:pos="2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Regulatory Capital / Risk-weighted assets (legal minimum = 10% since July 2011).</w:t>
      </w:r>
    </w:p>
    <w:p>
      <w:pPr>
        <w:spacing w:after="0" w:line="9" w:lineRule="exact"/>
        <w:rPr>
          <w:rFonts w:ascii="Arial" w:cs="Arial" w:eastAsia="Arial" w:hAnsi="Arial"/>
          <w:sz w:val="18"/>
          <w:szCs w:val="18"/>
          <w:i w:val="1"/>
          <w:iCs w:val="1"/>
          <w:color w:val="auto"/>
        </w:rPr>
      </w:pPr>
    </w:p>
    <w:p>
      <w:pPr>
        <w:ind w:right="420" w:firstLine="8"/>
        <w:spacing w:after="0" w:line="261" w:lineRule="auto"/>
        <w:tabs>
          <w:tab w:leader="none" w:pos="255"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Since July 2011, Risk-weighted assets = Credit risk-weighted assets * 0.98 + Capital requirement to cover market risk * 10 + Capital requirement to cover operational risk * 10 * 0.5.</w:t>
      </w:r>
    </w:p>
    <w:p>
      <w:pPr>
        <w:spacing w:after="0" w:line="18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At the end of 4Q13, the capital adequacy ratio (BIS) was situated at 14.46%, which tops the figure recorded at the end of 3Q13 (14.12%). This was due to higher growth in regulatory capital (+4.8% QoQ) than in risk-weighted assets (RWA,+2.4% QoQ). The increase in regulatory capital is associated with a</w:t>
      </w:r>
    </w:p>
    <w:p>
      <w:pPr>
        <w:sectPr>
          <w:pgSz w:w="11900" w:h="16948" w:orient="portrait"/>
          <w:cols w:equalWidth="0" w:num="1">
            <w:col w:w="11420"/>
          </w:cols>
          <w:pgMar w:left="240" w:top="1440" w:right="239" w:bottom="0" w:gutter="0" w:footer="0" w:header="0"/>
        </w:sectPr>
      </w:pPr>
    </w:p>
    <w:bookmarkStart w:id="30" w:name="page31"/>
    <w:bookmarkEnd w:id="30"/>
    <w:p>
      <w:pPr>
        <w:spacing w:after="0" w:line="277" w:lineRule="auto"/>
        <w:rPr>
          <w:sz w:val="20"/>
          <w:szCs w:val="20"/>
          <w:color w:val="auto"/>
        </w:rPr>
      </w:pPr>
      <w:r>
        <w:rPr>
          <w:rFonts w:ascii="Arial" w:cs="Arial" w:eastAsia="Arial" w:hAnsi="Arial"/>
          <w:sz w:val="18"/>
          <w:szCs w:val="18"/>
          <w:color w:val="auto"/>
        </w:rPr>
        <w:t>capitalization agreement for US$180.3 million that was approved by the Board in its session of November 2013. Higher levels of RWA are due primarily to an increase in credit risk RWA, which goes hand-in-hand with loan expansion this Q (+2.7%).</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6246495</wp:posOffset>
            </wp:positionH>
            <wp:positionV relativeFrom="page">
              <wp:posOffset>568960</wp:posOffset>
            </wp:positionV>
            <wp:extent cx="1132205" cy="3086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ind w:right="40"/>
        <w:spacing w:after="0" w:line="264" w:lineRule="auto"/>
        <w:rPr>
          <w:sz w:val="20"/>
          <w:szCs w:val="20"/>
          <w:color w:val="auto"/>
        </w:rPr>
      </w:pPr>
      <w:r>
        <w:rPr>
          <w:rFonts w:ascii="Arial" w:cs="Arial" w:eastAsia="Arial" w:hAnsi="Arial"/>
          <w:sz w:val="18"/>
          <w:szCs w:val="18"/>
          <w:color w:val="auto"/>
        </w:rPr>
        <w:t>Finally, it is important to note that TIER 1 and TIER 1 Common Equity held steady within established limits, going from 9.27% in 3Q13 to 9.67% in 4Q13 in the case of TIER 1 and from 7.26% in 3Q13 to 7.52% in 4Q13 in the case of TIER 1 Common Equity. Both these levels are above our internal limits, which are situated at 8.5% and 7.0%, respectively.</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2" w:name="page33"/>
    <w:bookmarkEnd w:id="32"/>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6246495</wp:posOffset>
            </wp:positionH>
            <wp:positionV relativeFrom="page">
              <wp:posOffset>568960</wp:posOffset>
            </wp:positionV>
            <wp:extent cx="1132205" cy="3086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III. Banco de Crédito de Bolivia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Banco de Crédito de Bolivia</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3"/>
          </w:tcPr>
          <w:p>
            <w:pPr>
              <w:ind w:left="600"/>
              <w:spacing w:after="0"/>
              <w:rPr>
                <w:sz w:val="20"/>
                <w:szCs w:val="20"/>
                <w:color w:val="auto"/>
              </w:rPr>
            </w:pPr>
            <w:r>
              <w:rPr>
                <w:rFonts w:ascii="Arial" w:cs="Arial" w:eastAsia="Arial" w:hAnsi="Arial"/>
                <w:sz w:val="14"/>
                <w:szCs w:val="14"/>
                <w:b w:val="1"/>
                <w:bCs w:val="1"/>
                <w:color w:val="auto"/>
                <w:w w:val="97"/>
              </w:rPr>
              <w:t>% Change</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Year ended</w:t>
            </w:r>
          </w:p>
        </w:tc>
        <w:tc>
          <w:tcPr>
            <w:tcW w:w="110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US$ millions</w:t>
            </w:r>
          </w:p>
        </w:tc>
        <w:tc>
          <w:tcPr>
            <w:tcW w:w="10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4Q13</w:t>
            </w:r>
          </w:p>
        </w:tc>
        <w:tc>
          <w:tcPr>
            <w:tcW w:w="22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3Q13</w:t>
            </w:r>
          </w:p>
        </w:tc>
        <w:tc>
          <w:tcPr>
            <w:tcW w:w="24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4Q12</w:t>
            </w:r>
          </w:p>
        </w:tc>
        <w:tc>
          <w:tcPr>
            <w:tcW w:w="22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FFC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24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Dec 13</w:t>
            </w:r>
          </w:p>
        </w:tc>
        <w:tc>
          <w:tcPr>
            <w:tcW w:w="20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Dec 12</w:t>
            </w:r>
          </w:p>
        </w:tc>
        <w:tc>
          <w:tcPr>
            <w:tcW w:w="220" w:type="dxa"/>
            <w:vAlign w:val="bottom"/>
            <w:tcBorders>
              <w:bottom w:val="single" w:sz="8" w:color="CCFFCC"/>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Dec 13 / Dec 12</w:t>
            </w:r>
          </w:p>
        </w:tc>
        <w:tc>
          <w:tcPr>
            <w:tcW w:w="140" w:type="dxa"/>
            <w:vAlign w:val="bottom"/>
            <w:tcBorders>
              <w:bottom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Net interest income</w:t>
            </w:r>
          </w:p>
        </w:tc>
        <w:tc>
          <w:tcPr>
            <w:tcW w:w="10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18.3</w:t>
            </w: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17.2</w:t>
            </w: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16.4</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6.0%</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11.6%</w:t>
            </w: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67.9</w:t>
            </w:r>
          </w:p>
        </w:tc>
        <w:tc>
          <w:tcPr>
            <w:tcW w:w="20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59.3</w:t>
            </w: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Net provisions for loan losses</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(5.5)</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(2.9)</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28.0%</w:t>
            </w:r>
          </w:p>
        </w:tc>
        <w:tc>
          <w:tcPr>
            <w:tcW w:w="24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92.6%</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(12.8)</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(8.6)</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49.1%</w:t>
            </w: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Non financial income</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8.5</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8.7</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8.4</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-2.4%</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2.0%</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33.3</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30.7</w:t>
            </w: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Operating expenses</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(18.7)</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(15.8)</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(15.4)</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18.2%</w:t>
            </w:r>
          </w:p>
        </w:tc>
        <w:tc>
          <w:tcPr>
            <w:tcW w:w="24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21.5%</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(66.3)</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(52.3)</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2.5</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5.8</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6.4</w:t>
            </w:r>
          </w:p>
        </w:tc>
        <w:tc>
          <w:tcPr>
            <w:tcW w:w="104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b w:val="1"/>
                <w:bCs w:val="1"/>
                <w:color w:val="auto"/>
              </w:rPr>
              <w:t>-56.3%</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8"/>
              <w:spacing w:after="0" w:line="149" w:lineRule="exact"/>
              <w:rPr>
                <w:sz w:val="20"/>
                <w:szCs w:val="20"/>
                <w:color w:val="auto"/>
              </w:rPr>
            </w:pPr>
            <w:r>
              <w:rPr>
                <w:rFonts w:ascii="Arial" w:cs="Arial" w:eastAsia="Arial" w:hAnsi="Arial"/>
                <w:sz w:val="14"/>
                <w:szCs w:val="14"/>
                <w:b w:val="1"/>
                <w:bCs w:val="1"/>
                <w:color w:val="auto"/>
              </w:rPr>
              <w:t>-60.6%</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22.1</w:t>
            </w:r>
          </w:p>
        </w:tc>
        <w:tc>
          <w:tcPr>
            <w:tcW w:w="10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29.1</w:t>
            </w: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-24.2%</w:t>
            </w: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Translation result</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(0.0)</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0.0</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0.0</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-728.3%</w:t>
            </w:r>
          </w:p>
        </w:tc>
        <w:tc>
          <w:tcPr>
            <w:tcW w:w="24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100.0%</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(0.7)</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0.0</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2"/>
        </w:trPr>
        <w:tc>
          <w:tcPr>
            <w:tcW w:w="32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Income tax</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1.5</w:t>
            </w:r>
          </w:p>
        </w:tc>
        <w:tc>
          <w:tcPr>
            <w:tcW w:w="102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(1.8)</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(2.4)</w:t>
            </w:r>
          </w:p>
        </w:tc>
        <w:tc>
          <w:tcPr>
            <w:tcW w:w="104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-180.6%</w:t>
            </w:r>
          </w:p>
        </w:tc>
        <w:tc>
          <w:tcPr>
            <w:tcW w:w="24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-159.9%</w:t>
            </w: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(4.5)</w:t>
            </w: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(8.5)</w:t>
            </w: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142"/>
        </w:trPr>
        <w:tc>
          <w:tcPr>
            <w:tcW w:w="3200" w:type="dxa"/>
            <w:vAlign w:val="bottom"/>
            <w:tcBorders>
              <w:bottom w:val="single" w:sz="8" w:color="CCFFCC"/>
            </w:tcBorders>
            <w:gridSpan w:val="2"/>
          </w:tcPr>
          <w:p>
            <w:pPr>
              <w:spacing w:after="0" w:line="142" w:lineRule="exact"/>
              <w:rPr>
                <w:sz w:val="20"/>
                <w:szCs w:val="20"/>
                <w:color w:val="auto"/>
              </w:rPr>
            </w:pPr>
            <w:r>
              <w:rPr>
                <w:rFonts w:ascii="Arial" w:cs="Arial" w:eastAsia="Arial" w:hAnsi="Arial"/>
                <w:sz w:val="14"/>
                <w:szCs w:val="14"/>
                <w:b w:val="1"/>
                <w:bCs w:val="1"/>
                <w:color w:val="auto"/>
              </w:rPr>
              <w:t>Net Income</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4.0</w:t>
            </w:r>
          </w:p>
        </w:tc>
        <w:tc>
          <w:tcPr>
            <w:tcW w:w="220" w:type="dxa"/>
            <w:vAlign w:val="bottom"/>
            <w:tcBorders>
              <w:bottom w:val="single" w:sz="8" w:color="CCFFC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4.0</w:t>
            </w:r>
          </w:p>
        </w:tc>
        <w:tc>
          <w:tcPr>
            <w:tcW w:w="240" w:type="dxa"/>
            <w:vAlign w:val="bottom"/>
            <w:tcBorders>
              <w:bottom w:val="single" w:sz="8" w:color="CCFFC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4.0</w:t>
            </w:r>
          </w:p>
        </w:tc>
        <w:tc>
          <w:tcPr>
            <w:tcW w:w="220" w:type="dxa"/>
            <w:vAlign w:val="bottom"/>
            <w:tcBorders>
              <w:bottom w:val="single" w:sz="8" w:color="CCFFCC"/>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-0.9</w:t>
            </w:r>
          </w:p>
        </w:tc>
        <w:tc>
          <w:tcPr>
            <w:tcW w:w="240" w:type="dxa"/>
            <w:vAlign w:val="bottom"/>
            <w:tcBorders>
              <w:bottom w:val="single" w:sz="8" w:color="CCFFCC"/>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2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-0.5</w:t>
            </w:r>
          </w:p>
        </w:tc>
        <w:tc>
          <w:tcPr>
            <w:tcW w:w="240" w:type="dxa"/>
            <w:vAlign w:val="bottom"/>
            <w:tcBorders>
              <w:bottom w:val="single" w:sz="8" w:color="CCFFCC"/>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16.9</w:t>
            </w:r>
          </w:p>
        </w:tc>
        <w:tc>
          <w:tcPr>
            <w:tcW w:w="200" w:type="dxa"/>
            <w:vAlign w:val="bottom"/>
            <w:tcBorders>
              <w:bottom w:val="single" w:sz="8" w:color="CCFFC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20.6</w:t>
            </w:r>
          </w:p>
        </w:tc>
        <w:tc>
          <w:tcPr>
            <w:tcW w:w="220" w:type="dxa"/>
            <w:vAlign w:val="bottom"/>
            <w:tcBorders>
              <w:bottom w:val="single" w:sz="8" w:color="CCFFCC"/>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-17.7</w:t>
            </w:r>
          </w:p>
        </w:tc>
        <w:tc>
          <w:tcPr>
            <w:tcW w:w="140" w:type="dxa"/>
            <w:vAlign w:val="bottom"/>
            <w:tcBorders>
              <w:bottom w:val="single" w:sz="8" w:color="CCFFCC"/>
            </w:tcBorders>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320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color w:val="auto"/>
              </w:rPr>
              <w:t>Total loans</w:t>
            </w: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1,073.0</w:t>
            </w:r>
          </w:p>
        </w:tc>
        <w:tc>
          <w:tcPr>
            <w:tcW w:w="22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1,014.6</w:t>
            </w: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907.0</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5.8%</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18.3%</w:t>
            </w: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Past due loans</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14.3</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17.0</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11.2</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-16.0%</w:t>
            </w:r>
          </w:p>
        </w:tc>
        <w:tc>
          <w:tcPr>
            <w:tcW w:w="24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27.6%</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Net provisions for possible loan losses</w:t>
            </w: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(40.2)</w:t>
            </w: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(35.6)</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(32.0)</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12.9%</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25.7%</w:t>
            </w: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Total investments</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327.9</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337.7</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294.9</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-2.9%</w:t>
            </w:r>
          </w:p>
        </w:tc>
        <w:tc>
          <w:tcPr>
            <w:tcW w:w="24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11.2%</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Total assets</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1,680.2</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1,576.3</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1,411.6</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6.6%</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19.0%</w:t>
            </w: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Total deposits</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1,474.7</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1,392.4</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1,229.0</w:t>
            </w:r>
          </w:p>
        </w:tc>
        <w:tc>
          <w:tcPr>
            <w:tcW w:w="220" w:type="dxa"/>
            <w:vAlign w:val="bottom"/>
          </w:tcPr>
          <w:p>
            <w:pPr>
              <w:spacing w:after="0"/>
              <w:rPr>
                <w:sz w:val="12"/>
                <w:szCs w:val="12"/>
                <w:color w:val="auto"/>
              </w:rPr>
            </w:pP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5.9%</w:t>
            </w:r>
          </w:p>
        </w:tc>
        <w:tc>
          <w:tcPr>
            <w:tcW w:w="24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20.0%</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Net shareholders' equity</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144.3</w:t>
            </w:r>
          </w:p>
        </w:tc>
        <w:tc>
          <w:tcPr>
            <w:tcW w:w="220" w:type="dxa"/>
            <w:vAlign w:val="bottom"/>
            <w:shd w:val="clear" w:color="auto" w:fill="CCFFCC"/>
          </w:tcPr>
          <w:p>
            <w:pPr>
              <w:spacing w:after="0"/>
              <w:rPr>
                <w:sz w:val="14"/>
                <w:szCs w:val="14"/>
                <w:color w:val="auto"/>
              </w:rPr>
            </w:pP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144.4</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133.1</w:t>
            </w:r>
          </w:p>
        </w:tc>
        <w:tc>
          <w:tcPr>
            <w:tcW w:w="104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-0.1%</w:t>
            </w:r>
          </w:p>
        </w:tc>
        <w:tc>
          <w:tcPr>
            <w:tcW w:w="24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8.4%</w:t>
            </w:r>
          </w:p>
        </w:tc>
        <w:tc>
          <w:tcPr>
            <w:tcW w:w="8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96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4"/>
                <w:szCs w:val="14"/>
                <w:color w:val="auto"/>
              </w:rPr>
              <w:t>PDL ratio</w:t>
            </w: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00" w:type="dxa"/>
            <w:vAlign w:val="bottom"/>
            <w:gridSpan w:val="2"/>
            <w:vMerge w:val="continue"/>
          </w:tcPr>
          <w:p>
            <w:pPr>
              <w:spacing w:after="0"/>
              <w:rPr>
                <w:sz w:val="12"/>
                <w:szCs w:val="12"/>
                <w:color w:val="auto"/>
              </w:rPr>
            </w:pPr>
          </w:p>
        </w:tc>
        <w:tc>
          <w:tcPr>
            <w:tcW w:w="10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1.34%</w:t>
            </w:r>
          </w:p>
        </w:tc>
        <w:tc>
          <w:tcPr>
            <w:tcW w:w="10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1.69%</w:t>
            </w:r>
          </w:p>
        </w:tc>
        <w:tc>
          <w:tcPr>
            <w:tcW w:w="10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1.24%</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Coverage of PDLs</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299.7%</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224.6%</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301.3%</w:t>
            </w: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ROAE *</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11.0%</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11.3%</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12.1%</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Branches</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46</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46</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41</w:t>
            </w:r>
          </w:p>
        </w:tc>
        <w:tc>
          <w:tcPr>
            <w:tcW w:w="22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Agentes</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41</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ATMs</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246</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243</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207</w:t>
            </w:r>
          </w:p>
        </w:tc>
        <w:tc>
          <w:tcPr>
            <w:tcW w:w="22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Employees BCP Bolivia</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1,666</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1,678</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1,543</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Employees Inversiones Credicorp Bolivia (Holding)</w:t>
            </w:r>
          </w:p>
        </w:tc>
        <w:tc>
          <w:tcPr>
            <w:tcW w:w="8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17</w:t>
            </w:r>
          </w:p>
        </w:tc>
        <w:tc>
          <w:tcPr>
            <w:tcW w:w="220" w:type="dxa"/>
            <w:vAlign w:val="bottom"/>
            <w:shd w:val="clear" w:color="auto" w:fill="CCFFCC"/>
          </w:tcPr>
          <w:p>
            <w:pPr>
              <w:spacing w:after="0"/>
              <w:rPr>
                <w:sz w:val="14"/>
                <w:szCs w:val="14"/>
                <w:color w:val="auto"/>
              </w:rPr>
            </w:pP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16</w:t>
            </w:r>
          </w:p>
        </w:tc>
        <w:tc>
          <w:tcPr>
            <w:tcW w:w="7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15</w:t>
            </w:r>
          </w:p>
        </w:tc>
        <w:tc>
          <w:tcPr>
            <w:tcW w:w="22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56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78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96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160" w:firstLine="8"/>
        <w:spacing w:after="0" w:line="261" w:lineRule="auto"/>
        <w:tabs>
          <w:tab w:leader="none" w:pos="135"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Accumulated ROE for December 2013: 12.4% and December 2012: 18.3%. 3Q13 ROAE figure differs from the previously reported, consider the figure in this report.</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BCP Bolivia’s net income in 4Q13 was US$ 4.0 million, which represents a slight decline of -0.9% QoQ. This drop was due primarily to: i) +28.0% QoQ increase in net provisions for loan losses, which was in turn attributable to growth in the loan portfolio after the Financial System Supervisory Authority (ASFI) required banks to set aside generic provisions for additional risk; ii) and a +18.2% QoQ increase in operating expenses that was associated with the bank’s decision to set aside extraordinary provisions (tax contingencies). The aforementioned offset the -180.6% QoQ decline in income tax, which was associated with reversal of provisions for the Additional Aliquot for Income Tax (AA-IUE) after earnings fell in 2013. BCP Bolivia is not obligated to pay this aliquot.</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annual terms, BCP Bolivia’s net income posted a negative variation (-0.5% YoY) that was due primarily to: +21.5% growth in operating expenses, which was in turn mainly attributable to an increase in personnel; a decision to set aside extraordinary provisions; a new tax on foreign currency sales; a state-stipulated wage increase; and a move to set aside more net provisions for loan losses (+92.6% YoY) as required by ASFI’s generic provision requirements for additional risk. Nevertheless, this scenario was offset by an increase in net interest income (+11.6% YoY) due to loan growth (+18.3% YoY) and a decrease in income tax payments (-159.9% YoY) given that in 2012, BCP Bolivia was required to pay the AA-IUE.</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accumulated terms, the -17.7% decrease in net income was due to the +49.1% increase in net provisions for loan losses and +26.9% growth in operating expenses. The aforementioned offset the increase in net interest income (+14.5%) and the decline in income tax paid (-47.4%).</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BCP Bolivia’s prudent approach to loan risk management allowed it to post a past due ratio of 1.34% in 4Q13 (1.69% in 3Q13 and 1.24% in 4Q12) and a coverage ratio of 299.7% (224.6% in 3Q13 and 301.3% in 4Q12). The evolution of these indicators is proof that BCP Bolivia has one of the best track records in the Bolivian banking system and remains one of its most stable and reliable players. BCP Bolivia reported a past due ratio of 1.52% and a coverage ratio of 282.9% at the end of 4Q13. The bank’s ROAE this Q was 11.0% and its Capital Adequacy Coefficient was situated at 13.7%.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BCP Bolivia’s loan balance at the end of December 2013 was US$ 1,073.0 million, which represents an increase of +5.8% with regard to the US$ 1,014.6 million reported at the end of September 2013 and growth of +18.3% YoY. Loan growth QoQ was due primarily to large contributions from Retail Banking (61.3% of BCP Bolivia’s portfolio), which expanded +7.7% QoQ and +27.1% YoY. The segments in this portfolio that posted the most significant growth were: i) SME (+13.9% QoQ and +35.8% YoY), ii) Home Loans (+6.3% QoQ and +27.5% YoY) and iii) Cash loans (+3.6% QoQ and +20.1% YoY). The Wholesale Banking portfolio (38.7% of BCP Bolivia’s portfolio) recorded a +3.1% expansion QoQ and +6.2% YoY.</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3" w:name="page34"/>
    <w:bookmarkEnd w:id="33"/>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6246495</wp:posOffset>
            </wp:positionH>
            <wp:positionV relativeFrom="page">
              <wp:posOffset>568960</wp:posOffset>
            </wp:positionV>
            <wp:extent cx="1132205" cy="3086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BCP Bolivia’s investment balance at the end of December 2013 totaled US$ 327.9 million, which represents a -2.9% decline QoQ and growth of +11.2% YoY. The QoQ trend was associated with the fact that the Bank’s investments in the Central Bank of Bolivia matured.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BCP Bolivia’s liabilities increased +5.9% QoQ, due mainly to +7.6% growth in term deposits and a +27.9% expansion in demand deposits. The YoY analysis reflects a +20.0% expansion in term deposits (+34.4%) and demand deposits (+27.9%).</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the end of November 2013, BCP Bolivia conducted its first issuance of subordinated bonds in the capital market for a total of US$ 10.2 million. These resources were used to grow the portfolio in December 2013.</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shareholders’ equity fell -0.1% QoQ but registered +8.4% of growth YoY. The QoQ variation was due to the fact that in October 2013, BCP Bolivia spun off an equity block of its investments in Credibolsa Agencia de Bolsa S.A., Crediseguro Seguros Personales S.A. and other assets to a financial holding known as Inversiones Credicorp Bolivia S.A. The spin off allowed the bank to transfer assets, and their subsequent management, to Inversiones Credicorp Bolivia S.A. This move was part of Credicorp’s strategy to create a company in Bolivia to conduct transactions in the capital markets and manage investments that are not directly related to the banking business.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YoY increase in net shareholders’ equity reflects the fact that Credicorp believes in Bolivia. As a show of confidence, the group decided to reinvest the earnings generated in 2012 to strengthen the Bank’s equity position and contribute to loan growth.</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Finally, BCP Bolivia has maintained a solid and stable 10.9% share of the current loan market (fourth place in the banking system) and 11.1% of the total deposits market (fifth place in the banking system).</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4" w:name="page35"/>
    <w:bookmarkEnd w:id="34"/>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6246495</wp:posOffset>
            </wp:positionH>
            <wp:positionV relativeFrom="page">
              <wp:posOffset>568960</wp:posOffset>
            </wp:positionV>
            <wp:extent cx="1132205" cy="3086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IV. Financiera Edyficar</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Edyficar</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ind w:left="580"/>
              <w:spacing w:after="0"/>
              <w:rPr>
                <w:sz w:val="20"/>
                <w:szCs w:val="20"/>
                <w:color w:val="auto"/>
              </w:rPr>
            </w:pPr>
            <w:r>
              <w:rPr>
                <w:rFonts w:ascii="Arial" w:cs="Arial" w:eastAsia="Arial" w:hAnsi="Arial"/>
                <w:sz w:val="14"/>
                <w:szCs w:val="14"/>
                <w:b w:val="1"/>
                <w:bCs w:val="1"/>
                <w:color w:val="auto"/>
                <w:w w:val="97"/>
              </w:rPr>
              <w:t>% Change</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Year ended</w:t>
            </w:r>
          </w:p>
        </w:tc>
        <w:tc>
          <w:tcPr>
            <w:tcW w:w="110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US$ 000</w:t>
            </w:r>
          </w:p>
        </w:tc>
        <w:tc>
          <w:tcPr>
            <w:tcW w:w="10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4Q13</w:t>
            </w:r>
          </w:p>
        </w:tc>
        <w:tc>
          <w:tcPr>
            <w:tcW w:w="24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3Q13</w:t>
            </w:r>
          </w:p>
        </w:tc>
        <w:tc>
          <w:tcPr>
            <w:tcW w:w="22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4Q12</w:t>
            </w:r>
          </w:p>
        </w:tc>
        <w:tc>
          <w:tcPr>
            <w:tcW w:w="22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FFC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Dec 13</w:t>
            </w:r>
          </w:p>
        </w:tc>
        <w:tc>
          <w:tcPr>
            <w:tcW w:w="24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Dec 12</w:t>
            </w:r>
          </w:p>
        </w:tc>
        <w:tc>
          <w:tcPr>
            <w:tcW w:w="220" w:type="dxa"/>
            <w:vAlign w:val="bottom"/>
            <w:tcBorders>
              <w:bottom w:val="single" w:sz="8" w:color="CCFFCC"/>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Dec 13 / Dec 12</w:t>
            </w:r>
          </w:p>
        </w:tc>
        <w:tc>
          <w:tcPr>
            <w:tcW w:w="140" w:type="dxa"/>
            <w:vAlign w:val="bottom"/>
            <w:tcBorders>
              <w:bottom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8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Net financial income</w:t>
            </w:r>
          </w:p>
        </w:tc>
        <w:tc>
          <w:tcPr>
            <w:tcW w:w="10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54,220</w:t>
            </w: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50,937</w:t>
            </w:r>
          </w:p>
        </w:tc>
        <w:tc>
          <w:tcPr>
            <w:tcW w:w="22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43,330</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6.4%</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25.1%</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209,983</w:t>
            </w: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151,919</w:t>
            </w: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Total provisions for loan loasses</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(10,883)</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(8,102)</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(8,696)</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34.3%</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25.1%</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(35,609)</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(27,165)</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49"/>
        </w:trPr>
        <w:tc>
          <w:tcPr>
            <w:tcW w:w="31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Non financial income</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825</w:t>
            </w:r>
          </w:p>
        </w:tc>
        <w:tc>
          <w:tcPr>
            <w:tcW w:w="24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477</w:t>
            </w: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685</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73.0%</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20.5%</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1,995</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1,745</w:t>
            </w: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Operating expenses</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(29,338)</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(27,232)</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(24,763)</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7.7%</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18.5%</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(110,333)</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(86,369)</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149"/>
        </w:trPr>
        <w:tc>
          <w:tcPr>
            <w:tcW w:w="31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14,824</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16,080</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10,555</w:t>
            </w:r>
          </w:p>
        </w:tc>
        <w:tc>
          <w:tcPr>
            <w:tcW w:w="10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b w:val="1"/>
                <w:bCs w:val="1"/>
                <w:color w:val="auto"/>
              </w:rPr>
              <w:t>-7.8%</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b w:val="1"/>
                <w:bCs w:val="1"/>
                <w:color w:val="auto"/>
              </w:rPr>
              <w:t>40.4%</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66,037</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40,130</w:t>
            </w: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64.6%</w:t>
            </w: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Translation results</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(469)</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(208)</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3,114</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125.8%</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115.1%</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(14,850)</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8,091</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-283.5%</w:t>
            </w:r>
          </w:p>
        </w:tc>
        <w:tc>
          <w:tcPr>
            <w:tcW w:w="0" w:type="dxa"/>
            <w:vAlign w:val="bottom"/>
          </w:tcPr>
          <w:p>
            <w:pPr>
              <w:spacing w:after="0"/>
              <w:rPr>
                <w:sz w:val="1"/>
                <w:szCs w:val="1"/>
                <w:color w:val="auto"/>
              </w:rPr>
            </w:pPr>
          </w:p>
        </w:tc>
      </w:tr>
      <w:tr>
        <w:trPr>
          <w:trHeight w:val="149"/>
        </w:trPr>
        <w:tc>
          <w:tcPr>
            <w:tcW w:w="31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Income taxes</w:t>
            </w: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(4,121)</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(4,242)</w:t>
            </w: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(2,437)</w:t>
            </w: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-2.8%</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69.1%</w:t>
            </w:r>
          </w:p>
        </w:tc>
        <w:tc>
          <w:tcPr>
            <w:tcW w:w="10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(15,758)</w:t>
            </w:r>
          </w:p>
        </w:tc>
        <w:tc>
          <w:tcPr>
            <w:tcW w:w="10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(11,732)</w:t>
            </w: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162"/>
        </w:trPr>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Net income</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10,233</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11,630</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11,232</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-12.0%</w:t>
            </w:r>
          </w:p>
        </w:tc>
        <w:tc>
          <w:tcPr>
            <w:tcW w:w="220" w:type="dxa"/>
            <w:vAlign w:val="bottom"/>
          </w:tcPr>
          <w:p>
            <w:pPr>
              <w:spacing w:after="0"/>
              <w:rPr>
                <w:sz w:val="14"/>
                <w:szCs w:val="14"/>
                <w:color w:val="auto"/>
              </w:rPr>
            </w:pPr>
          </w:p>
        </w:tc>
        <w:tc>
          <w:tcPr>
            <w:tcW w:w="82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-8.9%</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35,428</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36,489</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-2.9%</w:t>
            </w:r>
          </w:p>
        </w:tc>
        <w:tc>
          <w:tcPr>
            <w:tcW w:w="0" w:type="dxa"/>
            <w:vAlign w:val="bottom"/>
          </w:tcPr>
          <w:p>
            <w:pPr>
              <w:spacing w:after="0"/>
              <w:rPr>
                <w:sz w:val="1"/>
                <w:szCs w:val="1"/>
                <w:color w:val="auto"/>
              </w:rPr>
            </w:pPr>
          </w:p>
        </w:tc>
      </w:tr>
      <w:tr>
        <w:trPr>
          <w:trHeight w:val="142"/>
        </w:trPr>
        <w:tc>
          <w:tcPr>
            <w:tcW w:w="3180" w:type="dxa"/>
            <w:vAlign w:val="bottom"/>
            <w:tcBorders>
              <w:top w:val="single" w:sz="8" w:color="CCFFCC"/>
            </w:tcBorders>
            <w:gridSpan w:val="2"/>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Contribution to BCP</w:t>
            </w: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10,212</w:t>
            </w:r>
          </w:p>
        </w:tc>
        <w:tc>
          <w:tcPr>
            <w:tcW w:w="24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11,606</w:t>
            </w:r>
          </w:p>
        </w:tc>
        <w:tc>
          <w:tcPr>
            <w:tcW w:w="220" w:type="dxa"/>
            <w:vAlign w:val="bottom"/>
            <w:tcBorders>
              <w:top w:val="single" w:sz="8" w:color="CCFFCC"/>
            </w:tcBorders>
            <w:shd w:val="clear" w:color="auto" w:fill="CCFFCC"/>
          </w:tcPr>
          <w:p>
            <w:pPr>
              <w:spacing w:after="0"/>
              <w:rPr>
                <w:sz w:val="12"/>
                <w:szCs w:val="12"/>
                <w:color w:val="auto"/>
              </w:rPr>
            </w:pPr>
          </w:p>
        </w:tc>
        <w:tc>
          <w:tcPr>
            <w:tcW w:w="80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11,209</w:t>
            </w:r>
          </w:p>
        </w:tc>
        <w:tc>
          <w:tcPr>
            <w:tcW w:w="22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-12.0</w:t>
            </w:r>
          </w:p>
        </w:tc>
        <w:tc>
          <w:tcPr>
            <w:tcW w:w="26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220" w:type="dxa"/>
            <w:vAlign w:val="bottom"/>
            <w:tcBorders>
              <w:top w:val="single" w:sz="8" w:color="auto"/>
              <w:bottom w:val="single" w:sz="8" w:color="auto"/>
            </w:tcBorders>
            <w:shd w:val="clear" w:color="auto" w:fill="CCFFCC"/>
          </w:tcPr>
          <w:p>
            <w:pPr>
              <w:spacing w:after="0"/>
              <w:rPr>
                <w:sz w:val="12"/>
                <w:szCs w:val="12"/>
                <w:color w:val="auto"/>
              </w:rPr>
            </w:pPr>
          </w:p>
        </w:tc>
        <w:tc>
          <w:tcPr>
            <w:tcW w:w="5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-8.9</w:t>
            </w:r>
          </w:p>
        </w:tc>
        <w:tc>
          <w:tcPr>
            <w:tcW w:w="260" w:type="dxa"/>
            <w:vAlign w:val="bottom"/>
            <w:tcBorders>
              <w:top w:val="single" w:sz="8" w:color="CCFFCC"/>
            </w:tcBorders>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35,354</w:t>
            </w:r>
          </w:p>
        </w:tc>
        <w:tc>
          <w:tcPr>
            <w:tcW w:w="24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36,413</w:t>
            </w:r>
          </w:p>
        </w:tc>
        <w:tc>
          <w:tcPr>
            <w:tcW w:w="220" w:type="dxa"/>
            <w:vAlign w:val="bottom"/>
            <w:tcBorders>
              <w:top w:val="single" w:sz="8" w:color="CCFFCC"/>
            </w:tcBorders>
            <w:shd w:val="clear" w:color="auto" w:fill="CCFFCC"/>
          </w:tcPr>
          <w:p>
            <w:pPr>
              <w:spacing w:after="0"/>
              <w:rPr>
                <w:sz w:val="12"/>
                <w:szCs w:val="12"/>
                <w:color w:val="auto"/>
              </w:rPr>
            </w:pPr>
          </w:p>
        </w:tc>
        <w:tc>
          <w:tcPr>
            <w:tcW w:w="9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-2.9</w:t>
            </w:r>
          </w:p>
        </w:tc>
        <w:tc>
          <w:tcPr>
            <w:tcW w:w="14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3180" w:type="dxa"/>
            <w:vAlign w:val="bottom"/>
            <w:gridSpan w:val="2"/>
          </w:tcPr>
          <w:p>
            <w:pPr>
              <w:spacing w:after="0" w:line="142" w:lineRule="exact"/>
              <w:rPr>
                <w:sz w:val="20"/>
                <w:szCs w:val="20"/>
                <w:color w:val="auto"/>
              </w:rPr>
            </w:pPr>
            <w:r>
              <w:rPr>
                <w:rFonts w:ascii="Arial" w:cs="Arial" w:eastAsia="Arial" w:hAnsi="Arial"/>
                <w:sz w:val="14"/>
                <w:szCs w:val="14"/>
                <w:color w:val="auto"/>
              </w:rPr>
              <w:t>Total loans</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938,954</w:t>
            </w:r>
          </w:p>
        </w:tc>
        <w:tc>
          <w:tcPr>
            <w:tcW w:w="2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862,411</w:t>
            </w:r>
          </w:p>
        </w:tc>
        <w:tc>
          <w:tcPr>
            <w:tcW w:w="2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761,129</w:t>
            </w:r>
          </w:p>
        </w:tc>
        <w:tc>
          <w:tcPr>
            <w:tcW w:w="220" w:type="dxa"/>
            <w:vAlign w:val="bottom"/>
          </w:tcPr>
          <w:p>
            <w:pPr>
              <w:spacing w:after="0"/>
              <w:rPr>
                <w:sz w:val="12"/>
                <w:szCs w:val="12"/>
                <w:color w:val="auto"/>
              </w:rPr>
            </w:pPr>
          </w:p>
        </w:tc>
        <w:tc>
          <w:tcPr>
            <w:tcW w:w="104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8.9%</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23.4%</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938,954</w:t>
            </w:r>
          </w:p>
        </w:tc>
        <w:tc>
          <w:tcPr>
            <w:tcW w:w="2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761,129</w:t>
            </w:r>
          </w:p>
        </w:tc>
        <w:tc>
          <w:tcPr>
            <w:tcW w:w="220" w:type="dxa"/>
            <w:vAlign w:val="bottom"/>
          </w:tcPr>
          <w:p>
            <w:pPr>
              <w:spacing w:after="0"/>
              <w:rPr>
                <w:sz w:val="12"/>
                <w:szCs w:val="12"/>
                <w:color w:val="auto"/>
              </w:rPr>
            </w:pPr>
          </w:p>
        </w:tc>
        <w:tc>
          <w:tcPr>
            <w:tcW w:w="11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49"/>
        </w:trPr>
        <w:tc>
          <w:tcPr>
            <w:tcW w:w="31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Past due loans</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36,745</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35,212</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29,380</w:t>
            </w: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4.4%</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25.1%</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36,745</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29,380</w:t>
            </w: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Net provisions for possible loan losses</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(65,726)</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(60,368)</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(52,487)</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8.9%</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25.2%</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(65,726)</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(52,487)</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149"/>
        </w:trPr>
        <w:tc>
          <w:tcPr>
            <w:tcW w:w="31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Total assets</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1,205,455</w:t>
            </w:r>
          </w:p>
        </w:tc>
        <w:tc>
          <w:tcPr>
            <w:tcW w:w="24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1,195,980</w:t>
            </w: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1,064,396</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0.8%</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13.3%</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1,205,455</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1,064,396</w:t>
            </w: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Deposits and obligations</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441,128</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472,260</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518,935</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-6.6%</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-15.0%</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441,128</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518,935</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62"/>
        </w:trPr>
        <w:tc>
          <w:tcPr>
            <w:tcW w:w="3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Net shareholders´ equity</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127,626</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117,393</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98,357</w:t>
            </w:r>
          </w:p>
        </w:tc>
        <w:tc>
          <w:tcPr>
            <w:tcW w:w="104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8.7%</w:t>
            </w:r>
          </w:p>
        </w:tc>
        <w:tc>
          <w:tcPr>
            <w:tcW w:w="22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29.8%</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127,626</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98,357</w:t>
            </w: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rPr>
                <w:sz w:val="20"/>
                <w:szCs w:val="20"/>
                <w:color w:val="auto"/>
              </w:rPr>
            </w:pPr>
            <w:r>
              <w:rPr>
                <w:rFonts w:ascii="Arial" w:cs="Arial" w:eastAsia="Arial" w:hAnsi="Arial"/>
                <w:sz w:val="14"/>
                <w:szCs w:val="14"/>
                <w:color w:val="auto"/>
              </w:rPr>
              <w:t>PDL / Total loans</w:t>
            </w: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80" w:type="dxa"/>
            <w:vAlign w:val="bottom"/>
            <w:gridSpan w:val="2"/>
            <w:vMerge w:val="continue"/>
          </w:tcPr>
          <w:p>
            <w:pPr>
              <w:spacing w:after="0"/>
              <w:rPr>
                <w:sz w:val="12"/>
                <w:szCs w:val="12"/>
                <w:color w:val="auto"/>
              </w:rPr>
            </w:pPr>
          </w:p>
        </w:tc>
        <w:tc>
          <w:tcPr>
            <w:tcW w:w="10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3.91%</w:t>
            </w:r>
          </w:p>
        </w:tc>
        <w:tc>
          <w:tcPr>
            <w:tcW w:w="10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4.08%</w:t>
            </w:r>
          </w:p>
        </w:tc>
        <w:tc>
          <w:tcPr>
            <w:tcW w:w="10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3.86%</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3.91%</w:t>
            </w:r>
          </w:p>
        </w:tc>
        <w:tc>
          <w:tcPr>
            <w:tcW w:w="10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3.86%</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Coverage ratio of PDLs</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178.9%</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171.4%</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178.6%</w:t>
            </w: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178.9%</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178.6%</w:t>
            </w:r>
          </w:p>
        </w:tc>
        <w:tc>
          <w:tcPr>
            <w:tcW w:w="9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80" w:type="dxa"/>
            <w:vAlign w:val="bottom"/>
            <w:gridSpan w:val="2"/>
          </w:tcPr>
          <w:p>
            <w:pPr>
              <w:spacing w:after="0"/>
              <w:rPr>
                <w:sz w:val="20"/>
                <w:szCs w:val="20"/>
                <w:color w:val="auto"/>
              </w:rPr>
            </w:pPr>
            <w:r>
              <w:rPr>
                <w:rFonts w:ascii="Arial" w:cs="Arial" w:eastAsia="Arial" w:hAnsi="Arial"/>
                <w:sz w:val="14"/>
                <w:szCs w:val="14"/>
                <w:color w:val="auto"/>
              </w:rPr>
              <w:t>Return on average equity *</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23.6%</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28.7%</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23.8%</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21.6%</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24.1%</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80" w:type="dxa"/>
            <w:vAlign w:val="bottom"/>
            <w:tcBorders>
              <w:top w:val="single" w:sz="8" w:color="CCFFCC"/>
            </w:tcBorders>
            <w:gridSpan w:val="2"/>
            <w:shd w:val="clear" w:color="auto" w:fill="CCFFCC"/>
          </w:tcPr>
          <w:p>
            <w:pPr>
              <w:spacing w:after="0" w:line="142" w:lineRule="exact"/>
              <w:rPr>
                <w:sz w:val="20"/>
                <w:szCs w:val="20"/>
                <w:color w:val="auto"/>
              </w:rPr>
            </w:pPr>
            <w:r>
              <w:rPr>
                <w:rFonts w:ascii="Arial" w:cs="Arial" w:eastAsia="Arial" w:hAnsi="Arial"/>
                <w:sz w:val="14"/>
                <w:szCs w:val="14"/>
                <w:color w:val="auto"/>
              </w:rPr>
              <w:t>Branches</w:t>
            </w:r>
          </w:p>
        </w:tc>
        <w:tc>
          <w:tcPr>
            <w:tcW w:w="78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190</w:t>
            </w:r>
          </w:p>
        </w:tc>
        <w:tc>
          <w:tcPr>
            <w:tcW w:w="24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186</w:t>
            </w:r>
          </w:p>
        </w:tc>
        <w:tc>
          <w:tcPr>
            <w:tcW w:w="220" w:type="dxa"/>
            <w:vAlign w:val="bottom"/>
            <w:tcBorders>
              <w:top w:val="single" w:sz="8" w:color="CCFFCC"/>
            </w:tcBorders>
            <w:shd w:val="clear" w:color="auto" w:fill="CCFFCC"/>
          </w:tcPr>
          <w:p>
            <w:pPr>
              <w:spacing w:after="0"/>
              <w:rPr>
                <w:sz w:val="12"/>
                <w:szCs w:val="12"/>
                <w:color w:val="auto"/>
              </w:rPr>
            </w:pPr>
          </w:p>
        </w:tc>
        <w:tc>
          <w:tcPr>
            <w:tcW w:w="80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162</w:t>
            </w:r>
          </w:p>
        </w:tc>
        <w:tc>
          <w:tcPr>
            <w:tcW w:w="22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CCFFCC"/>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560" w:type="dxa"/>
            <w:vAlign w:val="bottom"/>
            <w:tcBorders>
              <w:top w:val="single" w:sz="8" w:color="CCFFCC"/>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auto"/>
            </w:tcBorders>
            <w:shd w:val="clear" w:color="auto" w:fill="CCFFCC"/>
          </w:tcPr>
          <w:p>
            <w:pPr>
              <w:spacing w:after="0"/>
              <w:rPr>
                <w:sz w:val="12"/>
                <w:szCs w:val="12"/>
                <w:color w:val="auto"/>
              </w:rPr>
            </w:pPr>
          </w:p>
        </w:tc>
        <w:tc>
          <w:tcPr>
            <w:tcW w:w="240" w:type="dxa"/>
            <w:vAlign w:val="bottom"/>
            <w:tcBorders>
              <w:top w:val="single" w:sz="8" w:color="CCFFCC"/>
            </w:tcBorders>
            <w:shd w:val="clear" w:color="auto" w:fill="CCFFCC"/>
          </w:tcPr>
          <w:p>
            <w:pPr>
              <w:spacing w:after="0"/>
              <w:rPr>
                <w:sz w:val="12"/>
                <w:szCs w:val="12"/>
                <w:color w:val="auto"/>
              </w:rPr>
            </w:pPr>
          </w:p>
        </w:tc>
        <w:tc>
          <w:tcPr>
            <w:tcW w:w="78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960" w:type="dxa"/>
            <w:vAlign w:val="bottom"/>
            <w:tcBorders>
              <w:top w:val="single" w:sz="8" w:color="CCFFCC"/>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180" w:type="dxa"/>
            <w:vAlign w:val="bottom"/>
            <w:gridSpan w:val="2"/>
          </w:tcPr>
          <w:p>
            <w:pPr>
              <w:spacing w:after="0"/>
              <w:rPr>
                <w:sz w:val="20"/>
                <w:szCs w:val="20"/>
                <w:color w:val="auto"/>
              </w:rPr>
            </w:pPr>
            <w:r>
              <w:rPr>
                <w:rFonts w:ascii="Arial" w:cs="Arial" w:eastAsia="Arial" w:hAnsi="Arial"/>
                <w:sz w:val="14"/>
                <w:szCs w:val="14"/>
                <w:color w:val="auto"/>
              </w:rPr>
              <w:t>Employees</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4,359</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4,187</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3,473</w:t>
            </w: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-8890</wp:posOffset>
            </wp:positionV>
            <wp:extent cx="178371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 Net shareholders´ equity includes US$ 50.7 millions from goodwill.</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3Q13 figures differ from those reported last Q. Consider this report's figures.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4Q13, Edyficar reported net income of US$ 10.2 million due to solid income generation (+6.4% QoQ), which is in line with the positive evolution of the portfolio this quarter (+8.9% QoQ). Nevertheless, income fell -12.0% QoQ, which was due primarily to (i) 7.7% growth QoQ in operating expenses due to an increase in personnel expenses and new branch openings; and (ii) an increase in net provisions for loan losses.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important to note that the aforementioned was attenuated by higher non-financial income (+73% QoQ) associated with an increase in fee income for insurance on loans (Financial Protection Insurance) after campaigns were held this quarter to strengthen this segment.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YoY terms, operating income expanded 40.4% due to an increase in net interest income (+25.1%), which was in turn associated with the excellent evolution of loans and an adequate approach to managing portfolio quality. These factors allowed Edyficar to absorb the increase in operating expenses (+18.5%) and the translation loss (115.1%) stemming from the devaluation of the Nuevo Sol this year.</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terms of the portfolio’s volume and quality, the loan portfolio grew 8.9% QoQ to total US$ 952.2 million. This represented an expansion of 25.1% YoY and reflected an on-going trend toward growth and an increase in the bank’s market share. The past due portfolio reported growth of 4.4% QoQ and 25.1% YoY with a PDL ratio of 3.9%, which is similar to the figure reported in the fourth quarter of 2012. The coverage ratio of past due loans was situated at 178.9% at the end of 4Q13.</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assets grew 13.3% YoY due to loan growth and expansion in the investment portfolio. Fixed assets grew 31.7% YoY, which was associated with branch growth (going from 186 locations to 190 at quarter-end).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shareholders’ equity increased 8.7% in 4Q13 due to a positive variation in accumulated results. Return on average equity (ROAE), including goodwill, was situated at 23.6% and without goodwill, at 33.4% in 4Q13.</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accumulated terms at the end of December 2013, Edyficar’s net income fell -2.9%. Financial income showed solid growth (+38.2%) while non-financial income grew +14.3%. Nevertheless, income growth was offset by a translation loss (-283.5%) due to the annual increase of +9.6% in the exchange rate; an increase in net provisions for loan losses (+31.1%); and higher operating expenses (+27.7%).</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results obtained by Financiera Edyficar are proof that it continues to contribute to BCP’s objectives in terms of loan growth and earnings generation.</w:t>
      </w:r>
    </w:p>
    <w:p>
      <w:pPr>
        <w:spacing w:after="0" w:line="200" w:lineRule="exact"/>
        <w:rPr>
          <w:sz w:val="20"/>
          <w:szCs w:val="20"/>
          <w:color w:val="auto"/>
        </w:rPr>
      </w:pPr>
    </w:p>
    <w:p>
      <w:pPr>
        <w:spacing w:after="0" w:line="26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5" w:name="page36"/>
    <w:bookmarkEnd w:id="35"/>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6246495</wp:posOffset>
            </wp:positionH>
            <wp:positionV relativeFrom="page">
              <wp:posOffset>568960</wp:posOffset>
            </wp:positionV>
            <wp:extent cx="1132205" cy="3086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V. Credicorp Capital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Credicorp Capital’s net consolidated result in 4Q13 totaled -US$ 11.6 million. The disaggregated result shows that BCP Capital contributed US$ 1.9 million and BCP Colombia (Correval) US$ 858 thousand while BCP Chile (IM Trust) and CSI posted losses of -US$ 14.6 million and -US$ 48 thousand, respectively. In the case of BCP Chile, the accounting loss was due to the valuation of IM Trust’s investments at the end of 2013, which reflected an impairment of US$ 14.4 million in investments for Credicorp.</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Earnings contribution</w:t>
            </w:r>
          </w:p>
        </w:tc>
        <w:tc>
          <w:tcPr>
            <w:tcW w:w="1760" w:type="dxa"/>
            <w:vAlign w:val="bottom"/>
            <w:gridSpan w:val="3"/>
          </w:tcPr>
          <w:p>
            <w:pPr>
              <w:ind w:left="1020"/>
              <w:spacing w:after="0"/>
              <w:rPr>
                <w:sz w:val="20"/>
                <w:szCs w:val="20"/>
                <w:color w:val="auto"/>
              </w:rPr>
            </w:pPr>
            <w:r>
              <w:rPr>
                <w:rFonts w:ascii="Arial" w:cs="Arial" w:eastAsia="Arial" w:hAnsi="Arial"/>
                <w:sz w:val="18"/>
                <w:szCs w:val="18"/>
                <w:b w:val="1"/>
                <w:bCs w:val="1"/>
                <w:color w:val="auto"/>
              </w:rPr>
              <w:t>Quarter</w:t>
            </w: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 Change</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Year ended</w:t>
            </w:r>
          </w:p>
        </w:tc>
      </w:tr>
      <w:tr>
        <w:trPr>
          <w:trHeight w:val="234"/>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US$ 000</w:t>
            </w:r>
          </w:p>
        </w:tc>
        <w:tc>
          <w:tcPr>
            <w:tcW w:w="1760" w:type="dxa"/>
            <w:vAlign w:val="bottom"/>
            <w:gridSpan w:val="3"/>
          </w:tcPr>
          <w:p>
            <w:pPr>
              <w:ind w:left="420"/>
              <w:spacing w:after="0"/>
              <w:rPr>
                <w:sz w:val="20"/>
                <w:szCs w:val="20"/>
                <w:color w:val="auto"/>
              </w:rPr>
            </w:pPr>
            <w:r>
              <w:rPr>
                <w:rFonts w:ascii="Arial" w:cs="Arial" w:eastAsia="Arial" w:hAnsi="Arial"/>
                <w:sz w:val="18"/>
                <w:szCs w:val="18"/>
                <w:b w:val="1"/>
                <w:bCs w:val="1"/>
                <w:color w:val="auto"/>
              </w:rPr>
              <w:t>4Q13</w:t>
            </w:r>
          </w:p>
        </w:tc>
        <w:tc>
          <w:tcPr>
            <w:tcW w:w="540" w:type="dxa"/>
            <w:vAlign w:val="bottom"/>
          </w:tcPr>
          <w:p>
            <w:pPr>
              <w:ind w:left="100"/>
              <w:spacing w:after="0"/>
              <w:rPr>
                <w:sz w:val="20"/>
                <w:szCs w:val="20"/>
                <w:color w:val="auto"/>
              </w:rPr>
            </w:pPr>
            <w:r>
              <w:rPr>
                <w:rFonts w:ascii="Arial" w:cs="Arial" w:eastAsia="Arial" w:hAnsi="Arial"/>
                <w:sz w:val="18"/>
                <w:szCs w:val="18"/>
                <w:b w:val="1"/>
                <w:bCs w:val="1"/>
                <w:color w:val="auto"/>
                <w:w w:val="95"/>
              </w:rPr>
              <w:t>3Q13</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rPr>
              <w:t>QoQ</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Dec 13</w:t>
            </w:r>
          </w:p>
        </w:tc>
      </w:tr>
      <w:tr>
        <w:trPr>
          <w:trHeight w:val="210"/>
        </w:trPr>
        <w:tc>
          <w:tcPr>
            <w:tcW w:w="43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BCP Capital</w:t>
            </w:r>
          </w:p>
        </w:tc>
        <w:tc>
          <w:tcPr>
            <w:tcW w:w="10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1,863</w:t>
            </w:r>
          </w:p>
        </w:tc>
        <w:tc>
          <w:tcPr>
            <w:tcW w:w="20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18"/>
                <w:szCs w:val="18"/>
                <w:color w:val="auto"/>
              </w:rPr>
            </w:pPr>
          </w:p>
        </w:tc>
        <w:tc>
          <w:tcPr>
            <w:tcW w:w="540" w:type="dxa"/>
            <w:vAlign w:val="bottom"/>
            <w:tcBorders>
              <w:top w:val="single" w:sz="8" w:color="auto"/>
            </w:tcBorders>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-108</w:t>
            </w:r>
          </w:p>
        </w:tc>
        <w:tc>
          <w:tcPr>
            <w:tcW w:w="22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-1819.0%</w:t>
            </w:r>
          </w:p>
        </w:tc>
        <w:tc>
          <w:tcPr>
            <w:tcW w:w="32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3,409</w:t>
            </w:r>
          </w:p>
        </w:tc>
        <w:tc>
          <w:tcPr>
            <w:tcW w:w="120" w:type="dxa"/>
            <w:vAlign w:val="bottom"/>
            <w:tcBorders>
              <w:top w:val="single" w:sz="8" w:color="CCFFCC"/>
            </w:tcBorders>
            <w:shd w:val="clear" w:color="auto" w:fill="CCFFCC"/>
          </w:tcPr>
          <w:p>
            <w:pPr>
              <w:spacing w:after="0"/>
              <w:rPr>
                <w:sz w:val="18"/>
                <w:szCs w:val="18"/>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Credicorp Investments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-13,427</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991</w:t>
            </w:r>
          </w:p>
        </w:tc>
        <w:tc>
          <w:tcPr>
            <w:tcW w:w="1580" w:type="dxa"/>
            <w:vAlign w:val="bottom"/>
            <w:gridSpan w:val="2"/>
          </w:tcPr>
          <w:p>
            <w:pPr>
              <w:jc w:val="right"/>
              <w:ind w:right="70"/>
              <w:spacing w:after="0"/>
              <w:rPr>
                <w:sz w:val="20"/>
                <w:szCs w:val="20"/>
                <w:color w:val="auto"/>
              </w:rPr>
            </w:pPr>
            <w:r>
              <w:rPr>
                <w:rFonts w:ascii="Arial" w:cs="Arial" w:eastAsia="Arial" w:hAnsi="Arial"/>
                <w:sz w:val="18"/>
                <w:szCs w:val="18"/>
                <w:color w:val="auto"/>
              </w:rPr>
              <w:t>-1454.8%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-6,150</w:t>
            </w:r>
          </w:p>
        </w:tc>
      </w:tr>
      <w:tr>
        <w:trPr>
          <w:trHeight w:val="216"/>
        </w:trPr>
        <w:tc>
          <w:tcPr>
            <w:tcW w:w="44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Credicorp Investments (Holding)</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411</w:t>
            </w:r>
          </w:p>
        </w:tc>
        <w:tc>
          <w:tcPr>
            <w:tcW w:w="32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975</w:t>
            </w:r>
          </w:p>
        </w:tc>
        <w:tc>
          <w:tcPr>
            <w:tcW w:w="158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-57.8%</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3,171</w:t>
            </w:r>
          </w:p>
        </w:tc>
      </w:tr>
      <w:tr>
        <w:trPr>
          <w:trHeight w:val="216"/>
        </w:trPr>
        <w:tc>
          <w:tcPr>
            <w:tcW w:w="4420" w:type="dxa"/>
            <w:vAlign w:val="bottom"/>
            <w:gridSpan w:val="2"/>
          </w:tcPr>
          <w:p>
            <w:pPr>
              <w:ind w:left="180"/>
              <w:spacing w:after="0"/>
              <w:rPr>
                <w:sz w:val="20"/>
                <w:szCs w:val="20"/>
                <w:color w:val="auto"/>
              </w:rPr>
            </w:pPr>
            <w:r>
              <w:rPr>
                <w:rFonts w:ascii="Arial" w:cs="Arial" w:eastAsia="Arial" w:hAnsi="Arial"/>
                <w:sz w:val="18"/>
                <w:szCs w:val="18"/>
                <w:color w:val="auto"/>
              </w:rPr>
              <w:t>BCP Colombia (Correval)</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858</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558</w:t>
            </w:r>
          </w:p>
        </w:tc>
        <w:tc>
          <w:tcPr>
            <w:tcW w:w="1580" w:type="dxa"/>
            <w:vAlign w:val="bottom"/>
            <w:gridSpan w:val="2"/>
          </w:tcPr>
          <w:p>
            <w:pPr>
              <w:jc w:val="right"/>
              <w:ind w:right="70"/>
              <w:spacing w:after="0"/>
              <w:rPr>
                <w:sz w:val="20"/>
                <w:szCs w:val="20"/>
                <w:color w:val="auto"/>
              </w:rPr>
            </w:pPr>
            <w:r>
              <w:rPr>
                <w:rFonts w:ascii="Arial" w:cs="Arial" w:eastAsia="Arial" w:hAnsi="Arial"/>
                <w:sz w:val="18"/>
                <w:szCs w:val="18"/>
                <w:color w:val="auto"/>
              </w:rPr>
              <w:t>53.7%</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3,266</w:t>
            </w:r>
          </w:p>
        </w:tc>
      </w:tr>
      <w:tr>
        <w:trPr>
          <w:trHeight w:val="216"/>
        </w:trPr>
        <w:tc>
          <w:tcPr>
            <w:tcW w:w="44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BCP Chile (IM Trust)</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-14,648</w:t>
            </w:r>
          </w:p>
        </w:tc>
        <w:tc>
          <w:tcPr>
            <w:tcW w:w="32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-593</w:t>
            </w:r>
          </w:p>
        </w:tc>
        <w:tc>
          <w:tcPr>
            <w:tcW w:w="158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2369.6%</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-12,809</w:t>
            </w:r>
          </w:p>
        </w:tc>
      </w:tr>
      <w:tr>
        <w:trPr>
          <w:trHeight w:val="216"/>
        </w:trPr>
        <w:tc>
          <w:tcPr>
            <w:tcW w:w="4420" w:type="dxa"/>
            <w:vAlign w:val="bottom"/>
            <w:gridSpan w:val="2"/>
          </w:tcPr>
          <w:p>
            <w:pPr>
              <w:ind w:left="180"/>
              <w:spacing w:after="0"/>
              <w:rPr>
                <w:sz w:val="20"/>
                <w:szCs w:val="20"/>
                <w:color w:val="auto"/>
              </w:rPr>
            </w:pPr>
            <w:r>
              <w:rPr>
                <w:rFonts w:ascii="Arial" w:cs="Arial" w:eastAsia="Arial" w:hAnsi="Arial"/>
                <w:sz w:val="18"/>
                <w:szCs w:val="18"/>
                <w:color w:val="auto"/>
              </w:rPr>
              <w:t>CSI</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1580" w:type="dxa"/>
            <w:vAlign w:val="bottom"/>
            <w:gridSpan w:val="2"/>
          </w:tcPr>
          <w:p>
            <w:pPr>
              <w:jc w:val="right"/>
              <w:ind w:right="70"/>
              <w:spacing w:after="0"/>
              <w:rPr>
                <w:sz w:val="20"/>
                <w:szCs w:val="20"/>
                <w:color w:val="auto"/>
              </w:rPr>
            </w:pPr>
            <w:r>
              <w:rPr>
                <w:rFonts w:ascii="Arial" w:cs="Arial" w:eastAsia="Arial" w:hAnsi="Arial"/>
                <w:sz w:val="18"/>
                <w:szCs w:val="18"/>
                <w:color w:val="auto"/>
              </w:rPr>
              <w:t>-194.5%</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223</w:t>
            </w:r>
          </w:p>
        </w:tc>
      </w:tr>
      <w:tr>
        <w:trPr>
          <w:trHeight w:val="230"/>
        </w:trPr>
        <w:tc>
          <w:tcPr>
            <w:tcW w:w="442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Credicorp Capital</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-11,565</w:t>
            </w:r>
          </w:p>
        </w:tc>
        <w:tc>
          <w:tcPr>
            <w:tcW w:w="320" w:type="dxa"/>
            <w:vAlign w:val="bottom"/>
            <w:shd w:val="clear" w:color="auto" w:fill="CCFFCC"/>
          </w:tcPr>
          <w:p>
            <w:pPr>
              <w:spacing w:after="0"/>
              <w:rPr>
                <w:sz w:val="19"/>
                <w:szCs w:val="19"/>
                <w:color w:val="auto"/>
              </w:rPr>
            </w:pPr>
          </w:p>
        </w:tc>
        <w:tc>
          <w:tcPr>
            <w:tcW w:w="540" w:type="dxa"/>
            <w:vAlign w:val="bottom"/>
            <w:shd w:val="clear" w:color="auto" w:fill="CCFFCC"/>
          </w:tcPr>
          <w:p>
            <w:pPr>
              <w:spacing w:after="0"/>
              <w:rPr>
                <w:sz w:val="19"/>
                <w:szCs w:val="19"/>
                <w:color w:val="auto"/>
              </w:rPr>
            </w:pPr>
          </w:p>
        </w:tc>
        <w:tc>
          <w:tcPr>
            <w:tcW w:w="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883</w:t>
            </w:r>
          </w:p>
        </w:tc>
        <w:tc>
          <w:tcPr>
            <w:tcW w:w="158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b w:val="1"/>
                <w:bCs w:val="1"/>
                <w:color w:val="auto"/>
              </w:rPr>
              <w:t>-1410.1%</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-2,740</w:t>
            </w:r>
          </w:p>
        </w:tc>
      </w:tr>
      <w:tr>
        <w:trPr>
          <w:trHeight w:val="225"/>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Contribution to Credicorp (1)</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-11,608</w:t>
            </w:r>
          </w:p>
        </w:tc>
        <w:tc>
          <w:tcPr>
            <w:tcW w:w="2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885</w:t>
            </w:r>
          </w:p>
        </w:tc>
        <w:tc>
          <w:tcPr>
            <w:tcW w:w="22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-1411.6</w:t>
            </w:r>
          </w:p>
        </w:tc>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-2,820</w:t>
            </w: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-8890</wp:posOffset>
            </wp:positionV>
            <wp:extent cx="36449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 Proforma figures, according to IFRS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BCP Capital contributes with 97.66%; Credicorp investments and CSI with 100% of their results.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aforementioned led Credicorp Capital to post a contribution to Credicorp of -US$ 11.6 million in 4Q13. In accumulated terms at the end of December 2013, Credicorp Capital’s contribution to Credicorp was -US$ 2.8 million.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Non-financial income totaled US$ 20.9 million in 4Q13, which represented a decline of -44.4% with regard to 3Q13. The accounting loss was attributable to IM Trust’s recent valuation report, which concluded that the value of the shares is actually lower than the figure recorded on the books. This is registered as a net extraordinary loss on sales of securities. An analysis of the accumulated result indicates that non-financial income totaled US$ 139.7 million, of which 39% is attributable to the asset management business, 37% to the capital market business, 16% to corporate finance, and the remaining 8% to trust and treasury fees.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earnings of both BCP Capital and IM Trust were affected by a slowdown in economic growth and the fact that stock exchanges across the region posted declines. The situation in Peru was exacerbated by a drop in market liquidity and more dependence on base metals in a context marked by a deceleration in the Chinese economy. This had a particularly significant effect on equity transactions in the capital markets and fund management. In the latter case, the depreciation of the PEN, which was triggered mainly by expectations that the FED will taper its monetary stimulus, also affected business by generating a translation loss. Correval maintained its position due to the fact that a larger percentage of its business is in fixed income transactions, which allowed the capital markets division to fulfill its annual target. It is important to note that, in accumulated terms at year-end, BCP Capital, Correval and IM Trust consolidated their leadership in the local secondary fixed income market with shares of 46.9%, 22.5% and 27.7%, respectively. BCP Capital also led the local primary fixed income market with a 48% share.</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capital markets business is generated mainly through fixed income and equity transactions in the secondary market, which coincides with the fact that currencies and derivatives are playing an increasingly important role along with primary loans for bonds and shares. The asset management business stems primarily from mutual funds, followed by equity management, structured products and others. The income posted by corporate finance is associated with services to structure financing, capital market services and advisory services for mergers and acquisitions.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totaled US$ 33.8 million in 4Q13; salaries and employee benefits, administrative expenses and support expenses were the primary contributors to this result, which reflects a drop of -0.6% QoQ. Credicorp Capital’s efficiency ratio was situated at 148.2% in 4Q13. This result was affected mainly, and extraordinarily, by the aforementioned impairment. If we exclude this effect, the efficiency ratio situates at 90.8% versus 85.9% in 3Q13. In accumulated terms at the end of 2013, Operating Expenses totaled US$ 130.9 million, which led the accumulated efficiency ratio to situate at 88.2%. The upward trend seen throughout the year in the efficiency ratio was primarily attributable to a decrease in non-financial income due to the factors discussed above.</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6" w:name="page37"/>
    <w:bookmarkEnd w:id="36"/>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6246495</wp:posOffset>
            </wp:positionH>
            <wp:positionV relativeFrom="page">
              <wp:posOffset>568960</wp:posOffset>
            </wp:positionV>
            <wp:extent cx="1132205" cy="3086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In 2013, Credicorp Capital with the assistance of its Corporate Finance and Capital Market teams, acted as joint lead manager in a significant number of transactions in the international bond market (144A / RegS) for a total of US$ 4,244 million. In 4Q13, the most important transaction involved Andino Investment Holding (US$ 130 million).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end of 4Q13, Credicorp Capital held AuM for US$ 7,224 million, of which 58% corresponded to BCP Capital, 24% to Correval and 18% to IM Trust. Additionally, Credicorp Capital reported assets under custody (AuC) for US$ 12,114 million, 78% of which belonged to BCP Capital, 12% to Correval and 10% to IM Trust.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Credicorp Capital</w:t>
            </w:r>
          </w:p>
        </w:tc>
        <w:tc>
          <w:tcPr>
            <w:tcW w:w="1240" w:type="dxa"/>
            <w:vAlign w:val="bottom"/>
            <w:gridSpan w:val="3"/>
          </w:tcPr>
          <w:p>
            <w:pPr>
              <w:ind w:left="600"/>
              <w:spacing w:after="0"/>
              <w:rPr>
                <w:sz w:val="20"/>
                <w:szCs w:val="20"/>
                <w:color w:val="auto"/>
              </w:rPr>
            </w:pPr>
            <w:r>
              <w:rPr>
                <w:rFonts w:ascii="Arial" w:cs="Arial" w:eastAsia="Arial" w:hAnsi="Arial"/>
                <w:sz w:val="18"/>
                <w:szCs w:val="18"/>
                <w:b w:val="1"/>
                <w:bCs w:val="1"/>
                <w:color w:val="auto"/>
                <w:w w:val="95"/>
              </w:rPr>
              <w:t>Quarter</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w w:val="91"/>
              </w:rPr>
              <w:t>% Change</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6"/>
              </w:rPr>
              <w:t>Year ended</w:t>
            </w:r>
          </w:p>
        </w:tc>
      </w:tr>
      <w:tr>
        <w:trPr>
          <w:trHeight w:val="234"/>
        </w:trPr>
        <w:tc>
          <w:tcPr>
            <w:tcW w:w="7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US$ 000</w:t>
            </w:r>
          </w:p>
        </w:tc>
        <w:tc>
          <w:tcPr>
            <w:tcW w:w="100" w:type="dxa"/>
            <w:vAlign w:val="bottom"/>
            <w:tcBorders>
              <w:bottom w:val="single" w:sz="8" w:color="CCFFCC"/>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4Q13</w:t>
            </w:r>
          </w:p>
        </w:tc>
        <w:tc>
          <w:tcPr>
            <w:tcW w:w="280" w:type="dxa"/>
            <w:vAlign w:val="bottom"/>
            <w:tcBorders>
              <w:bottom w:val="single" w:sz="8" w:color="CCFF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6"/>
              </w:rPr>
              <w:t>3Q13</w:t>
            </w:r>
          </w:p>
        </w:tc>
        <w:tc>
          <w:tcPr>
            <w:tcW w:w="260" w:type="dxa"/>
            <w:vAlign w:val="bottom"/>
            <w:tcBorders>
              <w:bottom w:val="single" w:sz="8" w:color="CCFFCC"/>
            </w:tcBorders>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Dec 13</w:t>
            </w:r>
          </w:p>
        </w:tc>
        <w:tc>
          <w:tcPr>
            <w:tcW w:w="160" w:type="dxa"/>
            <w:vAlign w:val="bottom"/>
            <w:tcBorders>
              <w:bottom w:val="single" w:sz="8" w:color="CCFFCC"/>
            </w:tcBorders>
          </w:tcPr>
          <w:p>
            <w:pPr>
              <w:spacing w:after="0"/>
              <w:rPr>
                <w:sz w:val="20"/>
                <w:szCs w:val="20"/>
                <w:color w:val="auto"/>
              </w:rPr>
            </w:pPr>
          </w:p>
        </w:tc>
      </w:tr>
      <w:tr>
        <w:trPr>
          <w:trHeight w:val="210"/>
        </w:trPr>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Financial income</w:t>
            </w:r>
          </w:p>
        </w:tc>
        <w:tc>
          <w:tcPr>
            <w:tcW w:w="10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1,860</w:t>
            </w:r>
          </w:p>
        </w:tc>
        <w:tc>
          <w:tcPr>
            <w:tcW w:w="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1,917</w:t>
            </w: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-3.0%</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8,697</w:t>
            </w:r>
          </w:p>
        </w:tc>
        <w:tc>
          <w:tcPr>
            <w:tcW w:w="160" w:type="dxa"/>
            <w:vAlign w:val="bottom"/>
            <w:shd w:val="clear" w:color="auto" w:fill="CCFFCC"/>
          </w:tcPr>
          <w:p>
            <w:pPr>
              <w:spacing w:after="0"/>
              <w:rPr>
                <w:sz w:val="18"/>
                <w:szCs w:val="18"/>
                <w:color w:val="auto"/>
              </w:rPr>
            </w:pPr>
          </w:p>
        </w:tc>
      </w:tr>
      <w:tr>
        <w:trPr>
          <w:trHeight w:val="216"/>
        </w:trPr>
        <w:tc>
          <w:tcPr>
            <w:tcW w:w="7180" w:type="dxa"/>
            <w:vAlign w:val="bottom"/>
            <w:gridSpan w:val="2"/>
          </w:tcPr>
          <w:p>
            <w:pPr>
              <w:spacing w:after="0"/>
              <w:rPr>
                <w:sz w:val="20"/>
                <w:szCs w:val="20"/>
                <w:color w:val="auto"/>
              </w:rPr>
            </w:pPr>
            <w:r>
              <w:rPr>
                <w:rFonts w:ascii="Arial" w:cs="Arial" w:eastAsia="Arial" w:hAnsi="Arial"/>
                <w:sz w:val="18"/>
                <w:szCs w:val="18"/>
                <w:color w:val="auto"/>
              </w:rPr>
              <w:t>Non-financial income</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20,927</w:t>
            </w:r>
          </w:p>
        </w:tc>
        <w:tc>
          <w:tcPr>
            <w:tcW w:w="1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37,614</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-44.4%</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139,697</w:t>
            </w:r>
          </w:p>
        </w:tc>
      </w:tr>
      <w:tr>
        <w:trPr>
          <w:trHeight w:val="216"/>
        </w:trPr>
        <w:tc>
          <w:tcPr>
            <w:tcW w:w="71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Financial expense</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-1,764</w:t>
            </w:r>
          </w:p>
        </w:tc>
        <w:tc>
          <w:tcPr>
            <w:tcW w:w="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-2,223</w:t>
            </w:r>
          </w:p>
        </w:tc>
        <w:tc>
          <w:tcPr>
            <w:tcW w:w="11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-20.6%</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-6,863</w:t>
            </w:r>
          </w:p>
        </w:tc>
      </w:tr>
      <w:tr>
        <w:trPr>
          <w:trHeight w:val="230"/>
        </w:trPr>
        <w:tc>
          <w:tcPr>
            <w:tcW w:w="7180" w:type="dxa"/>
            <w:vAlign w:val="bottom"/>
            <w:gridSpan w:val="2"/>
          </w:tcPr>
          <w:p>
            <w:pPr>
              <w:spacing w:after="0"/>
              <w:rPr>
                <w:sz w:val="20"/>
                <w:szCs w:val="20"/>
                <w:color w:val="auto"/>
              </w:rPr>
            </w:pPr>
            <w:r>
              <w:rPr>
                <w:rFonts w:ascii="Arial" w:cs="Arial" w:eastAsia="Arial" w:hAnsi="Arial"/>
                <w:sz w:val="18"/>
                <w:szCs w:val="18"/>
                <w:color w:val="auto"/>
              </w:rPr>
              <w:t>Operating expense (1)</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-33,779</w:t>
            </w:r>
          </w:p>
        </w:tc>
        <w:tc>
          <w:tcPr>
            <w:tcW w:w="1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-33,973</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-0.6%</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-130,948</w:t>
            </w:r>
          </w:p>
        </w:tc>
      </w:tr>
      <w:tr>
        <w:trPr>
          <w:trHeight w:val="210"/>
        </w:trPr>
        <w:tc>
          <w:tcPr>
            <w:tcW w:w="718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Net income before income tax</w:t>
            </w:r>
          </w:p>
        </w:tc>
        <w:tc>
          <w:tcPr>
            <w:tcW w:w="7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-12,756</w:t>
            </w:r>
          </w:p>
        </w:tc>
        <w:tc>
          <w:tcPr>
            <w:tcW w:w="28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auto"/>
            </w:tcBorders>
            <w:shd w:val="clear" w:color="auto" w:fill="CCFFCC"/>
          </w:tcPr>
          <w:p>
            <w:pPr>
              <w:spacing w:after="0"/>
              <w:rPr>
                <w:sz w:val="18"/>
                <w:szCs w:val="18"/>
                <w:color w:val="auto"/>
              </w:rPr>
            </w:pPr>
          </w:p>
        </w:tc>
        <w:tc>
          <w:tcPr>
            <w:tcW w:w="6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3,335</w:t>
            </w:r>
          </w:p>
        </w:tc>
        <w:tc>
          <w:tcPr>
            <w:tcW w:w="260" w:type="dxa"/>
            <w:vAlign w:val="bottom"/>
            <w:tcBorders>
              <w:top w:val="single" w:sz="8" w:color="CCFFCC"/>
            </w:tcBorders>
            <w:shd w:val="clear" w:color="auto" w:fill="CCFFCC"/>
          </w:tcPr>
          <w:p>
            <w:pPr>
              <w:spacing w:after="0"/>
              <w:rPr>
                <w:sz w:val="18"/>
                <w:szCs w:val="18"/>
                <w:color w:val="auto"/>
              </w:rPr>
            </w:pPr>
          </w:p>
        </w:tc>
        <w:tc>
          <w:tcPr>
            <w:tcW w:w="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-482.5</w:t>
            </w:r>
          </w:p>
        </w:tc>
        <w:tc>
          <w:tcPr>
            <w:tcW w:w="3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10,584</w:t>
            </w:r>
          </w:p>
        </w:tc>
        <w:tc>
          <w:tcPr>
            <w:tcW w:w="160" w:type="dxa"/>
            <w:vAlign w:val="bottom"/>
            <w:tcBorders>
              <w:top w:val="single" w:sz="8" w:color="CCFFCC"/>
            </w:tcBorders>
            <w:shd w:val="clear" w:color="auto" w:fill="CCFFCC"/>
          </w:tcPr>
          <w:p>
            <w:pPr>
              <w:spacing w:after="0"/>
              <w:rPr>
                <w:sz w:val="18"/>
                <w:szCs w:val="18"/>
                <w:color w:val="auto"/>
              </w:rPr>
            </w:pPr>
          </w:p>
        </w:tc>
      </w:tr>
      <w:tr>
        <w:trPr>
          <w:trHeight w:val="210"/>
        </w:trPr>
        <w:tc>
          <w:tcPr>
            <w:tcW w:w="718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780" w:type="dxa"/>
            <w:vAlign w:val="bottom"/>
          </w:tcPr>
          <w:p>
            <w:pPr>
              <w:jc w:val="right"/>
              <w:spacing w:after="0"/>
              <w:rPr>
                <w:sz w:val="20"/>
                <w:szCs w:val="20"/>
                <w:color w:val="auto"/>
              </w:rPr>
            </w:pPr>
            <w:r>
              <w:rPr>
                <w:rFonts w:ascii="Arial" w:cs="Arial" w:eastAsia="Arial" w:hAnsi="Arial"/>
                <w:sz w:val="18"/>
                <w:szCs w:val="18"/>
                <w:color w:val="auto"/>
              </w:rPr>
              <w:t>-2,099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-1,140</w:t>
            </w:r>
          </w:p>
        </w:tc>
        <w:tc>
          <w:tcPr>
            <w:tcW w:w="260" w:type="dxa"/>
            <w:vAlign w:val="bottom"/>
          </w:tcPr>
          <w:p>
            <w:pPr>
              <w:spacing w:after="0"/>
              <w:rPr>
                <w:sz w:val="18"/>
                <w:szCs w:val="18"/>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84.1%</w:t>
            </w:r>
          </w:p>
        </w:tc>
        <w:tc>
          <w:tcPr>
            <w:tcW w:w="860" w:type="dxa"/>
            <w:vAlign w:val="bottom"/>
          </w:tcPr>
          <w:p>
            <w:pPr>
              <w:jc w:val="right"/>
              <w:spacing w:after="0"/>
              <w:rPr>
                <w:sz w:val="20"/>
                <w:szCs w:val="20"/>
                <w:color w:val="auto"/>
              </w:rPr>
            </w:pPr>
            <w:r>
              <w:rPr>
                <w:rFonts w:ascii="Arial" w:cs="Arial" w:eastAsia="Arial" w:hAnsi="Arial"/>
                <w:sz w:val="18"/>
                <w:szCs w:val="18"/>
                <w:color w:val="auto"/>
              </w:rPr>
              <w:t>-8,202</w:t>
            </w:r>
          </w:p>
        </w:tc>
        <w:tc>
          <w:tcPr>
            <w:tcW w:w="160" w:type="dxa"/>
            <w:vAlign w:val="bottom"/>
          </w:tcPr>
          <w:p>
            <w:pPr>
              <w:spacing w:after="0"/>
              <w:rPr>
                <w:sz w:val="18"/>
                <w:szCs w:val="18"/>
                <w:color w:val="auto"/>
              </w:rPr>
            </w:pPr>
          </w:p>
        </w:tc>
      </w:tr>
      <w:tr>
        <w:trPr>
          <w:trHeight w:val="216"/>
        </w:trPr>
        <w:tc>
          <w:tcPr>
            <w:tcW w:w="71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Translation results</w:t>
            </w:r>
          </w:p>
        </w:tc>
        <w:tc>
          <w:tcPr>
            <w:tcW w:w="10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-225</w:t>
            </w:r>
          </w:p>
        </w:tc>
        <w:tc>
          <w:tcPr>
            <w:tcW w:w="11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-48.9%</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-3,540</w:t>
            </w:r>
          </w:p>
        </w:tc>
      </w:tr>
      <w:tr>
        <w:trPr>
          <w:trHeight w:val="230"/>
        </w:trPr>
        <w:tc>
          <w:tcPr>
            <w:tcW w:w="7180" w:type="dxa"/>
            <w:vAlign w:val="bottom"/>
            <w:gridSpan w:val="2"/>
          </w:tcPr>
          <w:p>
            <w:pPr>
              <w:spacing w:after="0"/>
              <w:rPr>
                <w:sz w:val="20"/>
                <w:szCs w:val="20"/>
                <w:color w:val="auto"/>
              </w:rPr>
            </w:pPr>
            <w:r>
              <w:rPr>
                <w:rFonts w:ascii="Arial" w:cs="Arial" w:eastAsia="Arial" w:hAnsi="Arial"/>
                <w:sz w:val="18"/>
                <w:szCs w:val="18"/>
                <w:color w:val="auto"/>
              </w:rPr>
              <w:t>Minority interest (2)</w:t>
            </w:r>
          </w:p>
        </w:tc>
        <w:tc>
          <w:tcPr>
            <w:tcW w:w="780" w:type="dxa"/>
            <w:vAlign w:val="bottom"/>
          </w:tcPr>
          <w:p>
            <w:pPr>
              <w:jc w:val="right"/>
              <w:spacing w:after="0"/>
              <w:rPr>
                <w:sz w:val="20"/>
                <w:szCs w:val="20"/>
                <w:color w:val="auto"/>
              </w:rPr>
            </w:pPr>
            <w:r>
              <w:rPr>
                <w:rFonts w:ascii="Arial" w:cs="Arial" w:eastAsia="Arial" w:hAnsi="Arial"/>
                <w:sz w:val="18"/>
                <w:szCs w:val="18"/>
                <w:color w:val="auto"/>
              </w:rPr>
              <w:t>3,405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-1,087</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-413.2%</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-1,582</w:t>
            </w:r>
          </w:p>
        </w:tc>
      </w:tr>
      <w:tr>
        <w:trPr>
          <w:trHeight w:val="210"/>
        </w:trPr>
        <w:tc>
          <w:tcPr>
            <w:tcW w:w="718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7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-11,565</w:t>
            </w:r>
          </w:p>
        </w:tc>
        <w:tc>
          <w:tcPr>
            <w:tcW w:w="28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auto"/>
            </w:tcBorders>
            <w:shd w:val="clear" w:color="auto" w:fill="CCFFCC"/>
          </w:tcPr>
          <w:p>
            <w:pPr>
              <w:spacing w:after="0"/>
              <w:rPr>
                <w:sz w:val="18"/>
                <w:szCs w:val="18"/>
                <w:color w:val="auto"/>
              </w:rPr>
            </w:pPr>
          </w:p>
        </w:tc>
        <w:tc>
          <w:tcPr>
            <w:tcW w:w="6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883</w:t>
            </w:r>
          </w:p>
        </w:tc>
        <w:tc>
          <w:tcPr>
            <w:tcW w:w="260" w:type="dxa"/>
            <w:vAlign w:val="bottom"/>
            <w:tcBorders>
              <w:top w:val="single" w:sz="8" w:color="CCFFCC"/>
            </w:tcBorders>
            <w:shd w:val="clear" w:color="auto" w:fill="CCFFCC"/>
          </w:tcPr>
          <w:p>
            <w:pPr>
              <w:spacing w:after="0"/>
              <w:rPr>
                <w:sz w:val="18"/>
                <w:szCs w:val="18"/>
                <w:color w:val="auto"/>
              </w:rPr>
            </w:pPr>
          </w:p>
        </w:tc>
        <w:tc>
          <w:tcPr>
            <w:tcW w:w="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-1410.1</w:t>
            </w:r>
          </w:p>
        </w:tc>
        <w:tc>
          <w:tcPr>
            <w:tcW w:w="3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-2,740</w:t>
            </w:r>
          </w:p>
        </w:tc>
        <w:tc>
          <w:tcPr>
            <w:tcW w:w="160" w:type="dxa"/>
            <w:vAlign w:val="bottom"/>
            <w:tcBorders>
              <w:top w:val="single" w:sz="8" w:color="CCFFCC"/>
            </w:tcBorders>
            <w:shd w:val="clear" w:color="auto" w:fill="CCFFCC"/>
          </w:tcPr>
          <w:p>
            <w:pPr>
              <w:spacing w:after="0"/>
              <w:rPr>
                <w:sz w:val="18"/>
                <w:szCs w:val="18"/>
                <w:color w:val="auto"/>
              </w:rPr>
            </w:pPr>
          </w:p>
        </w:tc>
      </w:tr>
      <w:tr>
        <w:trPr>
          <w:trHeight w:val="210"/>
        </w:trPr>
        <w:tc>
          <w:tcPr>
            <w:tcW w:w="718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b w:val="1"/>
                <w:bCs w:val="1"/>
                <w:color w:val="auto"/>
              </w:rPr>
              <w:t>Contribution to Credicorp</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-11,608</w:t>
            </w:r>
          </w:p>
        </w:tc>
        <w:tc>
          <w:tcPr>
            <w:tcW w:w="280" w:type="dxa"/>
            <w:vAlign w:val="bottom"/>
            <w:tcBorders>
              <w:bottom w:val="single" w:sz="8" w:color="CCFFC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885</w:t>
            </w:r>
          </w:p>
        </w:tc>
        <w:tc>
          <w:tcPr>
            <w:tcW w:w="260" w:type="dxa"/>
            <w:vAlign w:val="bottom"/>
            <w:tcBorders>
              <w:bottom w:val="single" w:sz="8" w:color="CCFFCC"/>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-1411.6</w:t>
            </w:r>
          </w:p>
        </w:tc>
        <w:tc>
          <w:tcPr>
            <w:tcW w:w="30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-2,820</w:t>
            </w:r>
          </w:p>
        </w:tc>
        <w:tc>
          <w:tcPr>
            <w:tcW w:w="160" w:type="dxa"/>
            <w:vAlign w:val="bottom"/>
            <w:tcBorders>
              <w:bottom w:val="single" w:sz="8" w:color="CCFFCC"/>
            </w:tcBorders>
          </w:tcPr>
          <w:p>
            <w:pPr>
              <w:spacing w:after="0"/>
              <w:rPr>
                <w:sz w:val="18"/>
                <w:szCs w:val="18"/>
                <w:color w:val="auto"/>
              </w:rPr>
            </w:pPr>
          </w:p>
        </w:tc>
      </w:tr>
      <w:tr>
        <w:trPr>
          <w:trHeight w:val="210"/>
        </w:trPr>
        <w:tc>
          <w:tcPr>
            <w:tcW w:w="71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shareholders' equity (3)</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227,977</w:t>
            </w:r>
          </w:p>
        </w:tc>
        <w:tc>
          <w:tcPr>
            <w:tcW w:w="2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6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9"/>
              </w:rPr>
              <w:t>244,349</w:t>
            </w: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-6.7%</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227,977</w:t>
            </w:r>
          </w:p>
        </w:tc>
        <w:tc>
          <w:tcPr>
            <w:tcW w:w="160" w:type="dxa"/>
            <w:vAlign w:val="bottom"/>
            <w:shd w:val="clear" w:color="auto" w:fill="CCFFCC"/>
          </w:tcPr>
          <w:p>
            <w:pPr>
              <w:spacing w:after="0"/>
              <w:rPr>
                <w:sz w:val="18"/>
                <w:szCs w:val="18"/>
                <w:color w:val="auto"/>
              </w:rPr>
            </w:pPr>
          </w:p>
        </w:tc>
      </w:tr>
      <w:tr>
        <w:trPr>
          <w:trHeight w:val="216"/>
        </w:trPr>
        <w:tc>
          <w:tcPr>
            <w:tcW w:w="7180" w:type="dxa"/>
            <w:vAlign w:val="bottom"/>
            <w:gridSpan w:val="2"/>
          </w:tcPr>
          <w:p>
            <w:pPr>
              <w:spacing w:after="0"/>
              <w:rPr>
                <w:sz w:val="20"/>
                <w:szCs w:val="20"/>
                <w:color w:val="auto"/>
              </w:rPr>
            </w:pPr>
            <w:r>
              <w:rPr>
                <w:rFonts w:ascii="Arial" w:cs="Arial" w:eastAsia="Arial" w:hAnsi="Arial"/>
                <w:sz w:val="18"/>
                <w:szCs w:val="18"/>
                <w:color w:val="auto"/>
              </w:rPr>
              <w:t>Assets under Management (million)</w:t>
            </w:r>
          </w:p>
        </w:tc>
        <w:tc>
          <w:tcPr>
            <w:tcW w:w="780" w:type="dxa"/>
            <w:vAlign w:val="bottom"/>
          </w:tcPr>
          <w:p>
            <w:pPr>
              <w:jc w:val="right"/>
              <w:spacing w:after="0"/>
              <w:rPr>
                <w:sz w:val="20"/>
                <w:szCs w:val="20"/>
                <w:color w:val="auto"/>
              </w:rPr>
            </w:pPr>
            <w:r>
              <w:rPr>
                <w:rFonts w:ascii="Arial" w:cs="Arial" w:eastAsia="Arial" w:hAnsi="Arial"/>
                <w:sz w:val="18"/>
                <w:szCs w:val="18"/>
                <w:color w:val="auto"/>
              </w:rPr>
              <w:t>7,224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7,070</w:t>
            </w:r>
          </w:p>
        </w:tc>
        <w:tc>
          <w:tcPr>
            <w:tcW w:w="260" w:type="dxa"/>
            <w:vAlign w:val="bottom"/>
          </w:tcPr>
          <w:p>
            <w:pPr>
              <w:spacing w:after="0"/>
              <w:rPr>
                <w:sz w:val="18"/>
                <w:szCs w:val="18"/>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2.2%</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7,224</w:t>
            </w:r>
          </w:p>
        </w:tc>
      </w:tr>
      <w:tr>
        <w:trPr>
          <w:trHeight w:val="210"/>
        </w:trPr>
        <w:tc>
          <w:tcPr>
            <w:tcW w:w="718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Efficiency ratio (4)</w:t>
            </w:r>
          </w:p>
        </w:tc>
        <w:tc>
          <w:tcPr>
            <w:tcW w:w="1060" w:type="dxa"/>
            <w:vAlign w:val="bottom"/>
            <w:tcBorders>
              <w:top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148.2%</w:t>
            </w:r>
          </w:p>
        </w:tc>
        <w:tc>
          <w:tcPr>
            <w:tcW w:w="180" w:type="dxa"/>
            <w:vAlign w:val="bottom"/>
            <w:tcBorders>
              <w:top w:val="single" w:sz="8" w:color="CCFFCC"/>
            </w:tcBorders>
            <w:shd w:val="clear" w:color="auto" w:fill="CCFFCC"/>
          </w:tcPr>
          <w:p>
            <w:pPr>
              <w:spacing w:after="0"/>
              <w:rPr>
                <w:sz w:val="18"/>
                <w:szCs w:val="18"/>
                <w:color w:val="auto"/>
              </w:rPr>
            </w:pPr>
          </w:p>
        </w:tc>
        <w:tc>
          <w:tcPr>
            <w:tcW w:w="860" w:type="dxa"/>
            <w:vAlign w:val="bottom"/>
            <w:tcBorders>
              <w:top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85.9%</w:t>
            </w:r>
          </w:p>
        </w:tc>
        <w:tc>
          <w:tcPr>
            <w:tcW w:w="82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88.2%</w:t>
            </w:r>
          </w:p>
        </w:tc>
      </w:tr>
      <w:tr>
        <w:trPr>
          <w:trHeight w:val="230"/>
        </w:trPr>
        <w:tc>
          <w:tcPr>
            <w:tcW w:w="7180" w:type="dxa"/>
            <w:vAlign w:val="bottom"/>
            <w:gridSpan w:val="2"/>
          </w:tcPr>
          <w:p>
            <w:pPr>
              <w:spacing w:after="0"/>
              <w:rPr>
                <w:sz w:val="20"/>
                <w:szCs w:val="20"/>
                <w:color w:val="auto"/>
              </w:rPr>
            </w:pPr>
            <w:r>
              <w:rPr>
                <w:rFonts w:ascii="Arial" w:cs="Arial" w:eastAsia="Arial" w:hAnsi="Arial"/>
                <w:sz w:val="18"/>
                <w:szCs w:val="18"/>
                <w:color w:val="auto"/>
              </w:rPr>
              <w:t>Return on average equity (5)</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-19.6%</w:t>
            </w: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6600190</wp:posOffset>
            </wp:positionH>
            <wp:positionV relativeFrom="paragraph">
              <wp:posOffset>0</wp:posOffset>
            </wp:positionV>
            <wp:extent cx="54864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0</wp:posOffset>
            </wp:positionV>
            <wp:extent cx="116649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 Figures Proforma - Unaudited, according to IFRS.</w:t>
      </w:r>
    </w:p>
    <w:p>
      <w:pPr>
        <w:spacing w:after="0" w:line="22" w:lineRule="exact"/>
        <w:rPr>
          <w:sz w:val="20"/>
          <w:szCs w:val="20"/>
          <w:color w:val="auto"/>
        </w:rPr>
      </w:pPr>
    </w:p>
    <w:p>
      <w:pPr>
        <w:ind w:right="240" w:firstLine="8"/>
        <w:spacing w:after="0" w:line="250" w:lineRule="auto"/>
        <w:tabs>
          <w:tab w:leader="none" w:pos="255"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Salaries and employees benefits + Administrative expenses + Assigned expenses + Depreciation and amortization + Tax and contributions + Other expenses.</w:t>
      </w:r>
    </w:p>
    <w:p>
      <w:pPr>
        <w:ind w:left="260" w:hanging="252"/>
        <w:spacing w:after="0"/>
        <w:tabs>
          <w:tab w:leader="none" w:pos="26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 of Correval and IM Trust that is not owned by BCP Colombia and BCP Chile (49% and 39.4% respectively).</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Net shareholder's equity at Dec-12: US$ 250.8 million.</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Operating expenses / (Net financial income + Non financial income).</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ROAE = Annualized net income / average net shareholder's equity.</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7" w:name="page38"/>
    <w:bookmarkEnd w:id="37"/>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6246495</wp:posOffset>
            </wp:positionH>
            <wp:positionV relativeFrom="page">
              <wp:posOffset>568960</wp:posOffset>
            </wp:positionV>
            <wp:extent cx="1132205" cy="3086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VI. Atlantic Security Bank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Atlantic Security Bank (ASB) reported net income of US$ 12.0 million in 4Q13, which represented expansion of +22.4% QoQ. This increase was due primarily to higher income from sales of securities. The earnings posted this Q led to an annualized ROAE of 25.0%, which tops the 22.1% reported in 3Q13 but falls slightly below the 25.8% reported in 4Q12.</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Core income increased +3.7% QoQ with regard to 3Q13, which was due primarily to improvements in net interest income (+3.1%) and in fee income (+4.0%). Higher income is attributable mainly to an increase in the volume of profitable assets and to a larger activity in products and assets under management (AUMs) during the period. A YoY comparison indicates that core income was up +2.0% due to higher income for dividends and commissions for services.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quarter’s net income expanded +22.4% QoQ. This was primarily due to gains that were recognized in the investment portfolio, particularly those stemming from the progressive rebalancing of the portfolio in 2Q13 to improve net interest income.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accumulated terms at the end of December 2013, ASB’s contribution to Credicorp was US$ 50.7 million, which is +4.7% higher than the figure reported at the end of 2012. This increase was mainly associated with an increase in sales of securities (+64.9% YoY). At the end of 4Q13, total income (US$48 million) reported a marginal variation of +0.5% year-on-year (US$47.7 million).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ASB</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ind w:left="580"/>
              <w:spacing w:after="0"/>
              <w:rPr>
                <w:sz w:val="20"/>
                <w:szCs w:val="20"/>
                <w:color w:val="auto"/>
              </w:rPr>
            </w:pPr>
            <w:r>
              <w:rPr>
                <w:rFonts w:ascii="Arial" w:cs="Arial" w:eastAsia="Arial" w:hAnsi="Arial"/>
                <w:sz w:val="14"/>
                <w:szCs w:val="14"/>
                <w:b w:val="1"/>
                <w:bCs w:val="1"/>
                <w:color w:val="auto"/>
                <w:w w:val="97"/>
              </w:rPr>
              <w:t>Change %</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3"/>
          </w:tcPr>
          <w:p>
            <w:pPr>
              <w:ind w:left="560"/>
              <w:spacing w:after="0"/>
              <w:rPr>
                <w:sz w:val="20"/>
                <w:szCs w:val="20"/>
                <w:color w:val="auto"/>
              </w:rPr>
            </w:pPr>
            <w:r>
              <w:rPr>
                <w:rFonts w:ascii="Arial" w:cs="Arial" w:eastAsia="Arial" w:hAnsi="Arial"/>
                <w:sz w:val="14"/>
                <w:szCs w:val="14"/>
                <w:b w:val="1"/>
                <w:bCs w:val="1"/>
                <w:color w:val="auto"/>
                <w:w w:val="95"/>
              </w:rPr>
              <w:t>Year ended</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US$ million</w:t>
            </w:r>
          </w:p>
        </w:tc>
        <w:tc>
          <w:tcPr>
            <w:tcW w:w="10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4Q13</w:t>
            </w:r>
          </w:p>
        </w:tc>
        <w:tc>
          <w:tcPr>
            <w:tcW w:w="24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3Q13</w:t>
            </w:r>
          </w:p>
        </w:tc>
        <w:tc>
          <w:tcPr>
            <w:tcW w:w="22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4Q12</w:t>
            </w:r>
          </w:p>
        </w:tc>
        <w:tc>
          <w:tcPr>
            <w:tcW w:w="22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FFC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Dec 13</w:t>
            </w:r>
          </w:p>
        </w:tc>
        <w:tc>
          <w:tcPr>
            <w:tcW w:w="24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Dec 12</w:t>
            </w:r>
          </w:p>
        </w:tc>
        <w:tc>
          <w:tcPr>
            <w:tcW w:w="220" w:type="dxa"/>
            <w:vAlign w:val="bottom"/>
            <w:tcBorders>
              <w:bottom w:val="single" w:sz="8" w:color="CCFFCC"/>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Dec 13 / Dec 12</w:t>
            </w:r>
          </w:p>
        </w:tc>
        <w:tc>
          <w:tcPr>
            <w:tcW w:w="140" w:type="dxa"/>
            <w:vAlign w:val="bottom"/>
            <w:tcBorders>
              <w:bottom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8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Net interest income</w:t>
            </w:r>
          </w:p>
        </w:tc>
        <w:tc>
          <w:tcPr>
            <w:tcW w:w="10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9.7</w:t>
            </w: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9.4</w:t>
            </w:r>
          </w:p>
        </w:tc>
        <w:tc>
          <w:tcPr>
            <w:tcW w:w="22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9.7</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3.1%</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0.6%</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39.3</w:t>
            </w:r>
          </w:p>
        </w:tc>
        <w:tc>
          <w:tcPr>
            <w:tcW w:w="24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5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37.9</w:t>
            </w: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Dividend income</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0.4</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0.3</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0.2</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32.8%</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73.7%</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w:t>
            </w:r>
          </w:p>
        </w:tc>
        <w:tc>
          <w:tcPr>
            <w:tcW w:w="2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0.7</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81.6%</w:t>
            </w:r>
          </w:p>
        </w:tc>
        <w:tc>
          <w:tcPr>
            <w:tcW w:w="0" w:type="dxa"/>
            <w:vAlign w:val="bottom"/>
          </w:tcPr>
          <w:p>
            <w:pPr>
              <w:spacing w:after="0"/>
              <w:rPr>
                <w:sz w:val="1"/>
                <w:szCs w:val="1"/>
                <w:color w:val="auto"/>
              </w:rPr>
            </w:pPr>
          </w:p>
        </w:tc>
      </w:tr>
      <w:tr>
        <w:trPr>
          <w:trHeight w:val="149"/>
        </w:trPr>
        <w:tc>
          <w:tcPr>
            <w:tcW w:w="31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Fees and commissions from services</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2.3</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2.2</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2.2</w:t>
            </w: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4.0%</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5.1%</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8.6</w:t>
            </w:r>
          </w:p>
        </w:tc>
        <w:tc>
          <w:tcPr>
            <w:tcW w:w="28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9.2</w:t>
            </w: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Net gains on foreign exchange transactions</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-0.1</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-0.1</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0.0</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-56.9%</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-2414.2%</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w:t>
            </w:r>
          </w:p>
        </w:tc>
        <w:tc>
          <w:tcPr>
            <w:tcW w:w="2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-0.1</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1547.5%</w:t>
            </w:r>
          </w:p>
        </w:tc>
        <w:tc>
          <w:tcPr>
            <w:tcW w:w="0" w:type="dxa"/>
            <w:vAlign w:val="bottom"/>
          </w:tcPr>
          <w:p>
            <w:pPr>
              <w:spacing w:after="0"/>
              <w:rPr>
                <w:sz w:val="1"/>
                <w:szCs w:val="1"/>
                <w:color w:val="auto"/>
              </w:rPr>
            </w:pPr>
          </w:p>
        </w:tc>
      </w:tr>
      <w:tr>
        <w:trPr>
          <w:trHeight w:val="162"/>
        </w:trPr>
        <w:tc>
          <w:tcPr>
            <w:tcW w:w="3180" w:type="dxa"/>
            <w:vAlign w:val="bottom"/>
            <w:gridSpan w:val="2"/>
            <w:shd w:val="clear" w:color="auto" w:fill="CCFFCC"/>
          </w:tcPr>
          <w:p>
            <w:pPr>
              <w:spacing w:after="0"/>
              <w:rPr>
                <w:sz w:val="20"/>
                <w:szCs w:val="20"/>
                <w:color w:val="auto"/>
              </w:rPr>
            </w:pPr>
            <w:r>
              <w:rPr>
                <w:rFonts w:ascii="Arial" w:cs="Arial" w:eastAsia="Arial" w:hAnsi="Arial"/>
                <w:sz w:val="14"/>
                <w:szCs w:val="14"/>
                <w:b w:val="1"/>
                <w:bCs w:val="1"/>
                <w:color w:val="auto"/>
              </w:rPr>
              <w:t>Total earnings</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b w:val="1"/>
                <w:bCs w:val="1"/>
                <w:color w:val="auto"/>
              </w:rPr>
              <w:t>12.3</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11.8</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12.0</w:t>
            </w:r>
          </w:p>
        </w:tc>
        <w:tc>
          <w:tcPr>
            <w:tcW w:w="104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b w:val="1"/>
                <w:bCs w:val="1"/>
                <w:color w:val="auto"/>
              </w:rPr>
              <w:t>3.7%</w:t>
            </w:r>
          </w:p>
        </w:tc>
        <w:tc>
          <w:tcPr>
            <w:tcW w:w="22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b w:val="1"/>
                <w:bCs w:val="1"/>
                <w:color w:val="auto"/>
              </w:rPr>
              <w:t>2.0%</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b w:val="1"/>
                <w:bCs w:val="1"/>
                <w:color w:val="auto"/>
              </w:rPr>
              <w:t>48.0</w:t>
            </w:r>
          </w:p>
        </w:tc>
        <w:tc>
          <w:tcPr>
            <w:tcW w:w="280" w:type="dxa"/>
            <w:vAlign w:val="bottom"/>
            <w:shd w:val="clear" w:color="auto" w:fill="CCFFCC"/>
          </w:tcPr>
          <w:p>
            <w:pPr>
              <w:spacing w:after="0"/>
              <w:rPr>
                <w:sz w:val="14"/>
                <w:szCs w:val="14"/>
                <w:color w:val="auto"/>
              </w:rPr>
            </w:pPr>
          </w:p>
        </w:tc>
        <w:tc>
          <w:tcPr>
            <w:tcW w:w="7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47.7</w:t>
            </w: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4"/>
                <w:szCs w:val="14"/>
                <w:b w:val="1"/>
                <w:bCs w:val="1"/>
                <w:color w:val="auto"/>
              </w:rPr>
              <w:t>0.5%</w:t>
            </w: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rPr>
                <w:sz w:val="20"/>
                <w:szCs w:val="20"/>
                <w:color w:val="auto"/>
              </w:rPr>
            </w:pPr>
            <w:r>
              <w:rPr>
                <w:rFonts w:ascii="Arial" w:cs="Arial" w:eastAsia="Arial" w:hAnsi="Arial"/>
                <w:sz w:val="14"/>
                <w:szCs w:val="14"/>
                <w:color w:val="auto"/>
              </w:rPr>
              <w:t>Net Provisions</w:t>
            </w: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80" w:type="dxa"/>
            <w:vAlign w:val="bottom"/>
            <w:gridSpan w:val="2"/>
            <w:vMerge w:val="continue"/>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0.0</w:t>
            </w:r>
          </w:p>
        </w:tc>
        <w:tc>
          <w:tcPr>
            <w:tcW w:w="240" w:type="dxa"/>
            <w:vAlign w:val="bottom"/>
            <w:vMerge w:val="continue"/>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0.0</w:t>
            </w:r>
          </w:p>
        </w:tc>
        <w:tc>
          <w:tcPr>
            <w:tcW w:w="220" w:type="dxa"/>
            <w:vAlign w:val="bottom"/>
            <w:vMerge w:val="continue"/>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0.0</w:t>
            </w:r>
          </w:p>
        </w:tc>
        <w:tc>
          <w:tcPr>
            <w:tcW w:w="220" w:type="dxa"/>
            <w:vAlign w:val="bottom"/>
            <w:vMerge w:val="continue"/>
          </w:tcPr>
          <w:p>
            <w:pPr>
              <w:spacing w:after="0"/>
              <w:rPr>
                <w:sz w:val="12"/>
                <w:szCs w:val="12"/>
                <w:color w:val="auto"/>
              </w:rPr>
            </w:pPr>
          </w:p>
        </w:tc>
        <w:tc>
          <w:tcPr>
            <w:tcW w:w="104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0.0%</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0.0%</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-0.3</w:t>
            </w:r>
          </w:p>
        </w:tc>
        <w:tc>
          <w:tcPr>
            <w:tcW w:w="2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0.0</w:t>
            </w:r>
          </w:p>
        </w:tc>
        <w:tc>
          <w:tcPr>
            <w:tcW w:w="220" w:type="dxa"/>
            <w:vAlign w:val="bottom"/>
            <w:vMerge w:val="continue"/>
          </w:tcPr>
          <w:p>
            <w:pPr>
              <w:spacing w:after="0"/>
              <w:rPr>
                <w:sz w:val="12"/>
                <w:szCs w:val="12"/>
                <w:color w:val="auto"/>
              </w:rPr>
            </w:pPr>
          </w:p>
        </w:tc>
        <w:tc>
          <w:tcPr>
            <w:tcW w:w="11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31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Net gains on sale of securities</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2.6</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0.2</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2.3</w:t>
            </w: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948.4%</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13.2%</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12.7</w:t>
            </w:r>
          </w:p>
        </w:tc>
        <w:tc>
          <w:tcPr>
            <w:tcW w:w="28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7.7</w:t>
            </w: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64.4%</w:t>
            </w: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Other income</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0.0</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0.1</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-126.0%</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-100.8%</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0.2</w:t>
            </w:r>
          </w:p>
        </w:tc>
        <w:tc>
          <w:tcPr>
            <w:tcW w:w="2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-90.2%</w:t>
            </w:r>
          </w:p>
        </w:tc>
        <w:tc>
          <w:tcPr>
            <w:tcW w:w="0" w:type="dxa"/>
            <w:vAlign w:val="bottom"/>
          </w:tcPr>
          <w:p>
            <w:pPr>
              <w:spacing w:after="0"/>
              <w:rPr>
                <w:sz w:val="1"/>
                <w:szCs w:val="1"/>
                <w:color w:val="auto"/>
              </w:rPr>
            </w:pPr>
          </w:p>
        </w:tc>
      </w:tr>
      <w:tr>
        <w:trPr>
          <w:trHeight w:val="162"/>
        </w:trPr>
        <w:tc>
          <w:tcPr>
            <w:tcW w:w="3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Operating expenses</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-2.9</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-2.4</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-2.5</w:t>
            </w:r>
          </w:p>
        </w:tc>
        <w:tc>
          <w:tcPr>
            <w:tcW w:w="104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-21.1%</w:t>
            </w:r>
          </w:p>
        </w:tc>
        <w:tc>
          <w:tcPr>
            <w:tcW w:w="22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-13.8%</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-9.8</w:t>
            </w:r>
          </w:p>
        </w:tc>
        <w:tc>
          <w:tcPr>
            <w:tcW w:w="280" w:type="dxa"/>
            <w:vAlign w:val="bottom"/>
            <w:shd w:val="clear" w:color="auto" w:fill="CCFFCC"/>
          </w:tcPr>
          <w:p>
            <w:pPr>
              <w:spacing w:after="0"/>
              <w:rPr>
                <w:sz w:val="14"/>
                <w:szCs w:val="14"/>
                <w:color w:val="auto"/>
              </w:rPr>
            </w:pPr>
          </w:p>
        </w:tc>
        <w:tc>
          <w:tcPr>
            <w:tcW w:w="7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-8.8</w:t>
            </w: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42"/>
        </w:trPr>
        <w:tc>
          <w:tcPr>
            <w:tcW w:w="3180" w:type="dxa"/>
            <w:vAlign w:val="bottom"/>
            <w:tcBorders>
              <w:bottom w:val="single" w:sz="8" w:color="CCFFCC"/>
            </w:tcBorders>
            <w:gridSpan w:val="2"/>
          </w:tcPr>
          <w:p>
            <w:pPr>
              <w:spacing w:after="0" w:line="142" w:lineRule="exact"/>
              <w:rPr>
                <w:sz w:val="20"/>
                <w:szCs w:val="20"/>
                <w:color w:val="auto"/>
              </w:rPr>
            </w:pPr>
            <w:r>
              <w:rPr>
                <w:rFonts w:ascii="Arial" w:cs="Arial" w:eastAsia="Arial" w:hAnsi="Arial"/>
                <w:sz w:val="14"/>
                <w:szCs w:val="14"/>
                <w:b w:val="1"/>
                <w:bCs w:val="1"/>
                <w:color w:val="auto"/>
              </w:rPr>
              <w:t>Net income</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12.0</w:t>
            </w:r>
          </w:p>
        </w:tc>
        <w:tc>
          <w:tcPr>
            <w:tcW w:w="240" w:type="dxa"/>
            <w:vAlign w:val="bottom"/>
            <w:tcBorders>
              <w:bottom w:val="single" w:sz="8" w:color="CCFFC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9.8</w:t>
            </w:r>
          </w:p>
        </w:tc>
        <w:tc>
          <w:tcPr>
            <w:tcW w:w="220" w:type="dxa"/>
            <w:vAlign w:val="bottom"/>
            <w:tcBorders>
              <w:bottom w:val="single" w:sz="8" w:color="CCFFCC"/>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13.7</w:t>
            </w:r>
          </w:p>
        </w:tc>
        <w:tc>
          <w:tcPr>
            <w:tcW w:w="220" w:type="dxa"/>
            <w:vAlign w:val="bottom"/>
            <w:tcBorders>
              <w:bottom w:val="single" w:sz="8" w:color="CCFFC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22.4</w:t>
            </w:r>
          </w:p>
        </w:tc>
        <w:tc>
          <w:tcPr>
            <w:tcW w:w="260" w:type="dxa"/>
            <w:vAlign w:val="bottom"/>
            <w:tcBorders>
              <w:bottom w:val="single" w:sz="8" w:color="CCFFCC"/>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-12.7</w:t>
            </w:r>
          </w:p>
        </w:tc>
        <w:tc>
          <w:tcPr>
            <w:tcW w:w="260" w:type="dxa"/>
            <w:vAlign w:val="bottom"/>
            <w:tcBorders>
              <w:bottom w:val="single" w:sz="8" w:color="CCFFCC"/>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50.7</w:t>
            </w:r>
          </w:p>
        </w:tc>
        <w:tc>
          <w:tcPr>
            <w:tcW w:w="240" w:type="dxa"/>
            <w:vAlign w:val="bottom"/>
            <w:tcBorders>
              <w:bottom w:val="single" w:sz="8" w:color="CCFFCC"/>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48.4</w:t>
            </w:r>
          </w:p>
        </w:tc>
        <w:tc>
          <w:tcPr>
            <w:tcW w:w="220" w:type="dxa"/>
            <w:vAlign w:val="bottom"/>
            <w:tcBorders>
              <w:bottom w:val="single" w:sz="8" w:color="CCFFCC"/>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4.7</w:t>
            </w:r>
          </w:p>
        </w:tc>
        <w:tc>
          <w:tcPr>
            <w:tcW w:w="140" w:type="dxa"/>
            <w:vAlign w:val="bottom"/>
            <w:tcBorders>
              <w:bottom w:val="single" w:sz="8" w:color="CCFFCC"/>
            </w:tcBorders>
          </w:tcPr>
          <w:p>
            <w:pPr>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318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color w:val="auto"/>
              </w:rPr>
              <w:t>Net income / share</w:t>
            </w:r>
          </w:p>
        </w:tc>
        <w:tc>
          <w:tcPr>
            <w:tcW w:w="7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0.2</w:t>
            </w:r>
          </w:p>
        </w:tc>
        <w:tc>
          <w:tcPr>
            <w:tcW w:w="240" w:type="dxa"/>
            <w:vAlign w:val="bottom"/>
            <w:shd w:val="clear" w:color="auto" w:fill="CCFFCC"/>
          </w:tcPr>
          <w:p>
            <w:pPr>
              <w:spacing w:after="0"/>
              <w:rPr>
                <w:sz w:val="12"/>
                <w:szCs w:val="12"/>
                <w:color w:val="auto"/>
              </w:rPr>
            </w:pPr>
          </w:p>
        </w:tc>
        <w:tc>
          <w:tcPr>
            <w:tcW w:w="7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0.1</w:t>
            </w:r>
          </w:p>
        </w:tc>
        <w:tc>
          <w:tcPr>
            <w:tcW w:w="220" w:type="dxa"/>
            <w:vAlign w:val="bottom"/>
            <w:shd w:val="clear" w:color="auto" w:fill="CCFFCC"/>
          </w:tcPr>
          <w:p>
            <w:pPr>
              <w:spacing w:after="0"/>
              <w:rPr>
                <w:sz w:val="12"/>
                <w:szCs w:val="12"/>
                <w:color w:val="auto"/>
              </w:rPr>
            </w:pPr>
          </w:p>
        </w:tc>
        <w:tc>
          <w:tcPr>
            <w:tcW w:w="80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0.2</w:t>
            </w:r>
          </w:p>
        </w:tc>
        <w:tc>
          <w:tcPr>
            <w:tcW w:w="220" w:type="dxa"/>
            <w:vAlign w:val="bottom"/>
            <w:shd w:val="clear" w:color="auto" w:fill="CCFFCC"/>
          </w:tcPr>
          <w:p>
            <w:pPr>
              <w:spacing w:after="0"/>
              <w:rPr>
                <w:sz w:val="12"/>
                <w:szCs w:val="12"/>
                <w:color w:val="auto"/>
              </w:rPr>
            </w:pPr>
          </w:p>
        </w:tc>
        <w:tc>
          <w:tcPr>
            <w:tcW w:w="7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22.4</w:t>
            </w:r>
          </w:p>
        </w:tc>
        <w:tc>
          <w:tcPr>
            <w:tcW w:w="26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FFCC"/>
          </w:tcPr>
          <w:p>
            <w:pPr>
              <w:spacing w:after="0"/>
              <w:rPr>
                <w:sz w:val="12"/>
                <w:szCs w:val="12"/>
                <w:color w:val="auto"/>
              </w:rPr>
            </w:pPr>
          </w:p>
        </w:tc>
        <w:tc>
          <w:tcPr>
            <w:tcW w:w="56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-12.7</w:t>
            </w:r>
          </w:p>
        </w:tc>
        <w:tc>
          <w:tcPr>
            <w:tcW w:w="26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0.7</w:t>
            </w:r>
          </w:p>
        </w:tc>
        <w:tc>
          <w:tcPr>
            <w:tcW w:w="240" w:type="dxa"/>
            <w:vAlign w:val="bottom"/>
            <w:shd w:val="clear" w:color="auto" w:fill="CCFFCC"/>
          </w:tcPr>
          <w:p>
            <w:pPr>
              <w:spacing w:after="0"/>
              <w:rPr>
                <w:sz w:val="12"/>
                <w:szCs w:val="12"/>
                <w:color w:val="auto"/>
              </w:rPr>
            </w:pPr>
          </w:p>
        </w:tc>
        <w:tc>
          <w:tcPr>
            <w:tcW w:w="280" w:type="dxa"/>
            <w:vAlign w:val="bottom"/>
            <w:tcBorders>
              <w:bottom w:val="single" w:sz="8" w:color="auto"/>
            </w:tcBorders>
            <w:shd w:val="clear" w:color="auto" w:fill="CCFFCC"/>
          </w:tcPr>
          <w:p>
            <w:pPr>
              <w:spacing w:after="0"/>
              <w:rPr>
                <w:sz w:val="12"/>
                <w:szCs w:val="12"/>
                <w:color w:val="auto"/>
              </w:rPr>
            </w:pPr>
          </w:p>
        </w:tc>
        <w:tc>
          <w:tcPr>
            <w:tcW w:w="50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0.7</w:t>
            </w:r>
          </w:p>
        </w:tc>
        <w:tc>
          <w:tcPr>
            <w:tcW w:w="220" w:type="dxa"/>
            <w:vAlign w:val="bottom"/>
            <w:shd w:val="clear" w:color="auto" w:fill="CCFFCC"/>
          </w:tcPr>
          <w:p>
            <w:pPr>
              <w:spacing w:after="0"/>
              <w:rPr>
                <w:sz w:val="12"/>
                <w:szCs w:val="12"/>
                <w:color w:val="auto"/>
              </w:rPr>
            </w:pPr>
          </w:p>
        </w:tc>
        <w:tc>
          <w:tcPr>
            <w:tcW w:w="96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4.7</w:t>
            </w:r>
          </w:p>
        </w:tc>
        <w:tc>
          <w:tcPr>
            <w:tcW w:w="14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2"/>
        </w:trPr>
        <w:tc>
          <w:tcPr>
            <w:tcW w:w="3180" w:type="dxa"/>
            <w:vAlign w:val="bottom"/>
            <w:tcBorders>
              <w:bottom w:val="single" w:sz="8" w:color="CCFFCC"/>
            </w:tcBorders>
            <w:gridSpan w:val="2"/>
          </w:tcPr>
          <w:p>
            <w:pPr>
              <w:spacing w:after="0" w:line="142" w:lineRule="exact"/>
              <w:rPr>
                <w:sz w:val="20"/>
                <w:szCs w:val="20"/>
                <w:color w:val="auto"/>
              </w:rPr>
            </w:pPr>
            <w:r>
              <w:rPr>
                <w:rFonts w:ascii="Arial" w:cs="Arial" w:eastAsia="Arial" w:hAnsi="Arial"/>
                <w:sz w:val="14"/>
                <w:szCs w:val="14"/>
                <w:b w:val="1"/>
                <w:bCs w:val="1"/>
                <w:color w:val="auto"/>
              </w:rPr>
              <w:t>Contribution to Credicorp</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12.0</w:t>
            </w:r>
          </w:p>
        </w:tc>
        <w:tc>
          <w:tcPr>
            <w:tcW w:w="240" w:type="dxa"/>
            <w:vAlign w:val="bottom"/>
            <w:tcBorders>
              <w:bottom w:val="single" w:sz="8" w:color="CCFFCC"/>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9.8</w:t>
            </w:r>
          </w:p>
        </w:tc>
        <w:tc>
          <w:tcPr>
            <w:tcW w:w="220" w:type="dxa"/>
            <w:vAlign w:val="bottom"/>
            <w:tcBorders>
              <w:bottom w:val="single" w:sz="8" w:color="CCFFCC"/>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13.7</w:t>
            </w:r>
          </w:p>
        </w:tc>
        <w:tc>
          <w:tcPr>
            <w:tcW w:w="220" w:type="dxa"/>
            <w:vAlign w:val="bottom"/>
            <w:tcBorders>
              <w:bottom w:val="single" w:sz="8" w:color="CCFFCC"/>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22.4</w:t>
            </w:r>
          </w:p>
        </w:tc>
        <w:tc>
          <w:tcPr>
            <w:tcW w:w="260" w:type="dxa"/>
            <w:vAlign w:val="bottom"/>
            <w:tcBorders>
              <w:bottom w:val="single" w:sz="8" w:color="CCFFCC"/>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-12.7</w:t>
            </w:r>
          </w:p>
        </w:tc>
        <w:tc>
          <w:tcPr>
            <w:tcW w:w="260" w:type="dxa"/>
            <w:vAlign w:val="bottom"/>
            <w:tcBorders>
              <w:bottom w:val="single" w:sz="8" w:color="CCFFCC"/>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50.7</w:t>
            </w:r>
          </w:p>
        </w:tc>
        <w:tc>
          <w:tcPr>
            <w:tcW w:w="240" w:type="dxa"/>
            <w:vAlign w:val="bottom"/>
            <w:tcBorders>
              <w:bottom w:val="single" w:sz="8" w:color="CCFFC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48.4</w:t>
            </w:r>
          </w:p>
        </w:tc>
        <w:tc>
          <w:tcPr>
            <w:tcW w:w="220" w:type="dxa"/>
            <w:vAlign w:val="bottom"/>
            <w:tcBorders>
              <w:bottom w:val="single" w:sz="8" w:color="CCFFCC"/>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4.7</w:t>
            </w:r>
          </w:p>
        </w:tc>
        <w:tc>
          <w:tcPr>
            <w:tcW w:w="140" w:type="dxa"/>
            <w:vAlign w:val="bottom"/>
            <w:tcBorders>
              <w:bottom w:val="single" w:sz="8" w:color="CCFFCC"/>
            </w:tcBorders>
          </w:tcPr>
          <w:p>
            <w:pPr>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318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color w:val="auto"/>
              </w:rPr>
              <w:t>Total loans</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786.3</w:t>
            </w: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778.1</w:t>
            </w:r>
          </w:p>
        </w:tc>
        <w:tc>
          <w:tcPr>
            <w:tcW w:w="22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801.1</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1.1%</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-1.8%</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786.3</w:t>
            </w:r>
          </w:p>
        </w:tc>
        <w:tc>
          <w:tcPr>
            <w:tcW w:w="24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5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801.1</w:t>
            </w:r>
          </w:p>
        </w:tc>
        <w:tc>
          <w:tcPr>
            <w:tcW w:w="220" w:type="dxa"/>
            <w:vAlign w:val="bottom"/>
            <w:shd w:val="clear" w:color="auto" w:fill="CCFFCC"/>
          </w:tcPr>
          <w:p>
            <w:pPr>
              <w:spacing w:after="0"/>
              <w:rPr>
                <w:sz w:val="12"/>
                <w:szCs w:val="12"/>
                <w:color w:val="auto"/>
              </w:rPr>
            </w:pPr>
          </w:p>
        </w:tc>
        <w:tc>
          <w:tcPr>
            <w:tcW w:w="9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Total investments available for sale</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863.8</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825.7</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802.5</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4.6%</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7.6%</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863.8</w:t>
            </w:r>
          </w:p>
        </w:tc>
        <w:tc>
          <w:tcPr>
            <w:tcW w:w="2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802.5</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Total assets</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1,784.3</w:t>
            </w:r>
          </w:p>
        </w:tc>
        <w:tc>
          <w:tcPr>
            <w:tcW w:w="24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1,703.1</w:t>
            </w: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1,768.5</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4.8%</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0.9%</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1,784.3</w:t>
            </w:r>
          </w:p>
        </w:tc>
        <w:tc>
          <w:tcPr>
            <w:tcW w:w="280" w:type="dxa"/>
            <w:vAlign w:val="bottom"/>
            <w:shd w:val="clear" w:color="auto" w:fill="CCFFCC"/>
          </w:tcPr>
          <w:p>
            <w:pPr>
              <w:spacing w:after="0"/>
              <w:rPr>
                <w:sz w:val="12"/>
                <w:szCs w:val="12"/>
                <w:color w:val="auto"/>
              </w:rPr>
            </w:pPr>
          </w:p>
        </w:tc>
        <w:tc>
          <w:tcPr>
            <w:tcW w:w="5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1,768.5</w:t>
            </w:r>
          </w:p>
        </w:tc>
        <w:tc>
          <w:tcPr>
            <w:tcW w:w="220" w:type="dxa"/>
            <w:vAlign w:val="bottom"/>
            <w:shd w:val="clear" w:color="auto" w:fill="CCFFCC"/>
          </w:tcPr>
          <w:p>
            <w:pPr>
              <w:spacing w:after="0"/>
              <w:rPr>
                <w:sz w:val="12"/>
                <w:szCs w:val="12"/>
                <w:color w:val="auto"/>
              </w:rPr>
            </w:pPr>
          </w:p>
        </w:tc>
        <w:tc>
          <w:tcPr>
            <w:tcW w:w="9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Total deposits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1,444.7</w:t>
            </w:r>
          </w:p>
        </w:tc>
        <w:tc>
          <w:tcPr>
            <w:tcW w:w="24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1,349.1</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1,396.8</w:t>
            </w:r>
          </w:p>
        </w:tc>
        <w:tc>
          <w:tcPr>
            <w:tcW w:w="220" w:type="dxa"/>
            <w:vAlign w:val="bottom"/>
          </w:tcPr>
          <w:p>
            <w:pPr>
              <w:spacing w:after="0"/>
              <w:rPr>
                <w:sz w:val="12"/>
                <w:szCs w:val="12"/>
                <w:color w:val="auto"/>
              </w:rPr>
            </w:pP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7.1%</w:t>
            </w:r>
          </w:p>
        </w:tc>
        <w:tc>
          <w:tcPr>
            <w:tcW w:w="22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3.4%</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1,444.7</w:t>
            </w:r>
          </w:p>
        </w:tc>
        <w:tc>
          <w:tcPr>
            <w:tcW w:w="2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1,396.8</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Net shareholder's equity</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200.3</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182.5</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219.8</w:t>
            </w:r>
          </w:p>
        </w:tc>
        <w:tc>
          <w:tcPr>
            <w:tcW w:w="104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9.8%</w:t>
            </w:r>
          </w:p>
        </w:tc>
        <w:tc>
          <w:tcPr>
            <w:tcW w:w="22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-8.9%</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200.3</w:t>
            </w:r>
          </w:p>
        </w:tc>
        <w:tc>
          <w:tcPr>
            <w:tcW w:w="280" w:type="dxa"/>
            <w:vAlign w:val="bottom"/>
            <w:shd w:val="clear" w:color="auto" w:fill="CCFFCC"/>
          </w:tcPr>
          <w:p>
            <w:pPr>
              <w:spacing w:after="0"/>
              <w:rPr>
                <w:sz w:val="14"/>
                <w:szCs w:val="14"/>
                <w:color w:val="auto"/>
              </w:rPr>
            </w:pPr>
          </w:p>
        </w:tc>
        <w:tc>
          <w:tcPr>
            <w:tcW w:w="7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219.8</w:t>
            </w:r>
          </w:p>
        </w:tc>
        <w:tc>
          <w:tcPr>
            <w:tcW w:w="96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rPr>
                <w:sz w:val="20"/>
                <w:szCs w:val="20"/>
                <w:color w:val="auto"/>
              </w:rPr>
            </w:pPr>
            <w:r>
              <w:rPr>
                <w:rFonts w:ascii="Arial" w:cs="Arial" w:eastAsia="Arial" w:hAnsi="Arial"/>
                <w:sz w:val="14"/>
                <w:szCs w:val="14"/>
                <w:color w:val="auto"/>
              </w:rPr>
              <w:t>Net interest margin</w:t>
            </w: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80" w:type="dxa"/>
            <w:vAlign w:val="bottom"/>
            <w:gridSpan w:val="2"/>
            <w:vMerge w:val="continue"/>
          </w:tcPr>
          <w:p>
            <w:pPr>
              <w:spacing w:after="0"/>
              <w:rPr>
                <w:sz w:val="12"/>
                <w:szCs w:val="12"/>
                <w:color w:val="auto"/>
              </w:rPr>
            </w:pPr>
          </w:p>
        </w:tc>
        <w:tc>
          <w:tcPr>
            <w:tcW w:w="10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2.4%</w:t>
            </w:r>
          </w:p>
        </w:tc>
        <w:tc>
          <w:tcPr>
            <w:tcW w:w="10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2.3%</w:t>
            </w:r>
          </w:p>
        </w:tc>
        <w:tc>
          <w:tcPr>
            <w:tcW w:w="10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2.4%</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2.4%</w:t>
            </w:r>
          </w:p>
        </w:tc>
        <w:tc>
          <w:tcPr>
            <w:tcW w:w="280" w:type="dxa"/>
            <w:vAlign w:val="bottom"/>
          </w:tcPr>
          <w:p>
            <w:pPr>
              <w:spacing w:after="0"/>
              <w:rPr>
                <w:sz w:val="12"/>
                <w:szCs w:val="12"/>
                <w:color w:val="auto"/>
              </w:rPr>
            </w:pPr>
          </w:p>
        </w:tc>
        <w:tc>
          <w:tcPr>
            <w:tcW w:w="7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2.4%</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Efficiency ratio</w:t>
            </w: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19.3%</w:t>
            </w:r>
          </w:p>
        </w:tc>
        <w:tc>
          <w:tcPr>
            <w:tcW w:w="10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19.5%</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15.5%</w:t>
            </w: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16.2%</w:t>
            </w:r>
          </w:p>
        </w:tc>
        <w:tc>
          <w:tcPr>
            <w:tcW w:w="28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15.5%</w:t>
            </w:r>
          </w:p>
        </w:tc>
        <w:tc>
          <w:tcPr>
            <w:tcW w:w="9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Return on average equity</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25.0%</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22.1%</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25.8%</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24.1%</w:t>
            </w:r>
          </w:p>
        </w:tc>
        <w:tc>
          <w:tcPr>
            <w:tcW w:w="2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23.7%</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PDL / Total loans</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0.00</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0.00</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0.00</w:t>
            </w:r>
          </w:p>
        </w:tc>
        <w:tc>
          <w:tcPr>
            <w:tcW w:w="78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5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0.00</w:t>
            </w:r>
          </w:p>
        </w:tc>
        <w:tc>
          <w:tcPr>
            <w:tcW w:w="280" w:type="dxa"/>
            <w:vAlign w:val="bottom"/>
            <w:shd w:val="clear" w:color="auto" w:fill="CCFFCC"/>
          </w:tcPr>
          <w:p>
            <w:pPr>
              <w:spacing w:after="0"/>
              <w:rPr>
                <w:sz w:val="14"/>
                <w:szCs w:val="14"/>
                <w:color w:val="auto"/>
              </w:rPr>
            </w:pPr>
          </w:p>
        </w:tc>
        <w:tc>
          <w:tcPr>
            <w:tcW w:w="7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0.00</w:t>
            </w:r>
          </w:p>
        </w:tc>
        <w:tc>
          <w:tcPr>
            <w:tcW w:w="96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rPr>
                <w:sz w:val="20"/>
                <w:szCs w:val="20"/>
                <w:color w:val="auto"/>
              </w:rPr>
            </w:pPr>
            <w:r>
              <w:rPr>
                <w:rFonts w:ascii="Arial" w:cs="Arial" w:eastAsia="Arial" w:hAnsi="Arial"/>
                <w:sz w:val="14"/>
                <w:szCs w:val="14"/>
                <w:color w:val="auto"/>
              </w:rPr>
              <w:t>Coverage ratio</w:t>
            </w: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80" w:type="dxa"/>
            <w:vAlign w:val="bottom"/>
            <w:gridSpan w:val="2"/>
            <w:vMerge w:val="continue"/>
          </w:tcPr>
          <w:p>
            <w:pPr>
              <w:spacing w:after="0"/>
              <w:rPr>
                <w:sz w:val="12"/>
                <w:szCs w:val="12"/>
                <w:color w:val="auto"/>
              </w:rPr>
            </w:pPr>
          </w:p>
        </w:tc>
        <w:tc>
          <w:tcPr>
            <w:tcW w:w="10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0.1%</w:t>
            </w:r>
          </w:p>
        </w:tc>
        <w:tc>
          <w:tcPr>
            <w:tcW w:w="10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0.1%</w:t>
            </w:r>
          </w:p>
        </w:tc>
        <w:tc>
          <w:tcPr>
            <w:tcW w:w="10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0.1%</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0.1%</w:t>
            </w:r>
          </w:p>
        </w:tc>
        <w:tc>
          <w:tcPr>
            <w:tcW w:w="280" w:type="dxa"/>
            <w:vAlign w:val="bottom"/>
          </w:tcPr>
          <w:p>
            <w:pPr>
              <w:spacing w:after="0"/>
              <w:rPr>
                <w:sz w:val="12"/>
                <w:szCs w:val="12"/>
                <w:color w:val="auto"/>
              </w:rPr>
            </w:pPr>
          </w:p>
        </w:tc>
        <w:tc>
          <w:tcPr>
            <w:tcW w:w="7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0.1%</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BIS Ratio (*)</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15.51%</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15.37%</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16.86%</w:t>
            </w:r>
          </w:p>
        </w:tc>
        <w:tc>
          <w:tcPr>
            <w:tcW w:w="78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5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15.51%</w:t>
            </w:r>
          </w:p>
        </w:tc>
        <w:tc>
          <w:tcPr>
            <w:tcW w:w="280" w:type="dxa"/>
            <w:vAlign w:val="bottom"/>
            <w:shd w:val="clear" w:color="auto" w:fill="CCFFCC"/>
          </w:tcPr>
          <w:p>
            <w:pPr>
              <w:spacing w:after="0"/>
              <w:rPr>
                <w:sz w:val="14"/>
                <w:szCs w:val="14"/>
                <w:color w:val="auto"/>
              </w:rPr>
            </w:pPr>
          </w:p>
        </w:tc>
        <w:tc>
          <w:tcPr>
            <w:tcW w:w="7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16.79%</w:t>
            </w:r>
          </w:p>
        </w:tc>
        <w:tc>
          <w:tcPr>
            <w:tcW w:w="96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auto"/>
        <w:rPr>
          <w:sz w:val="20"/>
          <w:szCs w:val="20"/>
          <w:color w:val="auto"/>
        </w:rPr>
      </w:pPr>
      <w:r>
        <w:rPr>
          <w:rFonts w:ascii="Arial" w:cs="Arial" w:eastAsia="Arial" w:hAnsi="Arial"/>
          <w:sz w:val="17"/>
          <w:szCs w:val="17"/>
          <w:i w:val="1"/>
          <w:iCs w:val="1"/>
          <w:color w:val="auto"/>
        </w:rPr>
        <w:t xml:space="preserve">(*) Basel II Bis Ratio = (Regulatory Capital - deductions) / (RWA </w:t>
      </w:r>
      <w:r>
        <w:rPr>
          <w:rFonts w:ascii="Arial" w:cs="Arial" w:eastAsia="Arial" w:hAnsi="Arial"/>
          <w:sz w:val="28"/>
          <w:szCs w:val="28"/>
          <w:i w:val="1"/>
          <w:iCs w:val="1"/>
          <w:color w:val="auto"/>
          <w:vertAlign w:val="subscript"/>
        </w:rPr>
        <w:t>Credit risk</w:t>
      </w:r>
      <w:r>
        <w:rPr>
          <w:rFonts w:ascii="Arial" w:cs="Arial" w:eastAsia="Arial" w:hAnsi="Arial"/>
          <w:sz w:val="17"/>
          <w:szCs w:val="17"/>
          <w:i w:val="1"/>
          <w:iCs w:val="1"/>
          <w:color w:val="auto"/>
        </w:rPr>
        <w:t xml:space="preserve"> + Charge Operational risk + Charge Market risk).</w:t>
      </w:r>
    </w:p>
    <w:p>
      <w:pPr>
        <w:spacing w:after="0" w:line="1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ASB reported an efficiency ratio of 19.3% in 4Q13, which represents a decline of 20bps with regard to last quarter. This decrease is associated with an increase in earnings this Q given that in 3Q13, expenses were US$ 498 thousand higher. A YoY comparison indicates that the efficiency ratio increased by 70bps.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Interest-earning assets totaled US$ 1,657 million, as shown in the table below. A QoQ comparison reveals an increase of +4.4% and a decline of -2.6% with regard to 4Q12. This increase was due primarily to an improvement in Cash and Banks (+55.6% QoQ), which was in turn attributable to an increase in funds received from clients at the end of the quarter. The year-on-year comparison, however, indicates that these assets fell -26.1%. Total volumes increased US$70 million in net terms with regard to 3Q13. The loan portfolio and investment portfolio reported positive net variations of US$8 million and US$ 25 million respectively due to loan and investment transaction flow this Q.</w:t>
      </w:r>
    </w:p>
    <w:p>
      <w:pPr>
        <w:spacing w:after="0" w:line="200" w:lineRule="exact"/>
        <w:rPr>
          <w:sz w:val="20"/>
          <w:szCs w:val="20"/>
          <w:color w:val="auto"/>
        </w:rPr>
      </w:pPr>
    </w:p>
    <w:p>
      <w:pPr>
        <w:spacing w:after="0" w:line="20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8" w:name="page39"/>
    <w:bookmarkEnd w:id="38"/>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6246495</wp:posOffset>
            </wp:positionH>
            <wp:positionV relativeFrom="page">
              <wp:posOffset>568960</wp:posOffset>
            </wp:positionV>
            <wp:extent cx="1132205" cy="3086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spacing w:after="0" w:line="286" w:lineRule="auto"/>
        <w:rPr>
          <w:sz w:val="20"/>
          <w:szCs w:val="20"/>
          <w:color w:val="auto"/>
        </w:rPr>
      </w:pPr>
      <w:r>
        <w:rPr>
          <w:rFonts w:ascii="Arial" w:cs="Arial" w:eastAsia="Arial" w:hAnsi="Arial"/>
          <w:sz w:val="17"/>
          <w:szCs w:val="17"/>
          <w:color w:val="auto"/>
        </w:rPr>
        <w:t>A YoY analysis indicates that growth has been marginal in investments but the effect has been positive considering the volatility that the markets experienced in the first half of the year. Loans fell US$15 million in net terms this Q due to maturities that were posted in this first half of the year. It is important to note that ASB has consistently maintained an excellent risk profile, which is reflected in the fact that is loan portfolio is delinquency-free.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Quarter</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million</w:t>
            </w:r>
          </w:p>
        </w:tc>
        <w:tc>
          <w:tcPr>
            <w:tcW w:w="100" w:type="dxa"/>
            <w:vAlign w:val="bottom"/>
            <w:tcBorders>
              <w:bottom w:val="single" w:sz="8" w:color="CCFFCC"/>
            </w:tcBorders>
          </w:tcPr>
          <w:p>
            <w:pPr>
              <w:spacing w:after="0"/>
              <w:rPr>
                <w:sz w:val="20"/>
                <w:szCs w:val="20"/>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4Q13</w:t>
            </w:r>
          </w:p>
        </w:tc>
        <w:tc>
          <w:tcPr>
            <w:tcW w:w="220" w:type="dxa"/>
            <w:vAlign w:val="bottom"/>
            <w:tcBorders>
              <w:bottom w:val="single" w:sz="8" w:color="CCFFCC"/>
            </w:tcBorders>
          </w:tcPr>
          <w:p>
            <w:pPr>
              <w:spacing w:after="0"/>
              <w:rPr>
                <w:sz w:val="20"/>
                <w:szCs w:val="20"/>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3Q13</w:t>
            </w:r>
          </w:p>
        </w:tc>
        <w:tc>
          <w:tcPr>
            <w:tcW w:w="200" w:type="dxa"/>
            <w:vAlign w:val="bottom"/>
            <w:tcBorders>
              <w:bottom w:val="single" w:sz="8" w:color="CCFFCC"/>
            </w:tcBorders>
          </w:tcPr>
          <w:p>
            <w:pPr>
              <w:spacing w:after="0"/>
              <w:rPr>
                <w:sz w:val="20"/>
                <w:szCs w:val="20"/>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4Q12</w:t>
            </w:r>
          </w:p>
        </w:tc>
        <w:tc>
          <w:tcPr>
            <w:tcW w:w="220" w:type="dxa"/>
            <w:vAlign w:val="bottom"/>
            <w:tcBorders>
              <w:bottom w:val="single" w:sz="8" w:color="CCFFCC"/>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5820" w:type="dxa"/>
            <w:vAlign w:val="bottom"/>
            <w:shd w:val="clear" w:color="auto" w:fill="CCFFCC"/>
          </w:tcPr>
          <w:p>
            <w:pPr>
              <w:spacing w:after="0"/>
              <w:rPr>
                <w:sz w:val="20"/>
                <w:szCs w:val="20"/>
                <w:color w:val="auto"/>
              </w:rPr>
            </w:pPr>
            <w:r>
              <w:rPr>
                <w:rFonts w:ascii="Arial" w:cs="Arial" w:eastAsia="Arial" w:hAnsi="Arial"/>
                <w:sz w:val="18"/>
                <w:szCs w:val="18"/>
                <w:color w:val="auto"/>
              </w:rPr>
              <w:t>Due from banks</w:t>
            </w:r>
          </w:p>
        </w:tc>
        <w:tc>
          <w:tcPr>
            <w:tcW w:w="10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55.6%</w:t>
            </w: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-26.1%</w:t>
            </w: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Loans</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786</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778</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801</w:t>
            </w: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1.1%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59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Investments</w:t>
            </w:r>
          </w:p>
        </w:tc>
        <w:tc>
          <w:tcPr>
            <w:tcW w:w="9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769</w:t>
            </w: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744</w:t>
            </w:r>
          </w:p>
        </w:tc>
        <w:tc>
          <w:tcPr>
            <w:tcW w:w="9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763</w:t>
            </w:r>
          </w:p>
        </w:tc>
        <w:tc>
          <w:tcPr>
            <w:tcW w:w="10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3.3%</w:t>
            </w: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0.8%</w:t>
            </w:r>
          </w:p>
        </w:tc>
      </w:tr>
      <w:tr>
        <w:trPr>
          <w:trHeight w:val="225"/>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Total interest-earning assets</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1,657</w:t>
            </w:r>
          </w:p>
        </w:tc>
        <w:tc>
          <w:tcPr>
            <w:tcW w:w="2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1,587</w:t>
            </w:r>
          </w:p>
        </w:tc>
        <w:tc>
          <w:tcPr>
            <w:tcW w:w="2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1,701</w:t>
            </w:r>
          </w:p>
        </w:tc>
        <w:tc>
          <w:tcPr>
            <w:tcW w:w="2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-8890</wp:posOffset>
            </wp:positionV>
            <wp:extent cx="300164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 Excludes investments in equities and mutual funds.</w:t>
      </w:r>
    </w:p>
    <w:p>
      <w:pPr>
        <w:spacing w:after="0" w:line="20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With regard to the investment portfolio, it is worth noting that ASB’s investment policy prioritizes instruments with good risk profiles. Accordingly, 60% of the bank’s instruments have an investment grade, which is proof of ASB’s sustained and conservative strategy to concentrate on investments in high-quality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124460</wp:posOffset>
            </wp:positionV>
            <wp:extent cx="4682490" cy="22637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682490"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ASB exercises strict control over and follow-up on diversification strategies and the limits set for investment types. This helps maintain a healthy balance in its proprietary portfolio, ensure the quality of its investments and guarantee return levels that contribute to the financial margin- which has a subsequently positive impact on shareholders’ returns.</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Client deposits reflect an increase of +4.2% QoQ and +2.3% YoY. The QoQ increase in deposits is attributable to new fund captures and client investment flows, whose movements coincided with market conditions throughout the quarter. Other liabilities, which are primarily composed of financing, fell -18.8% QoQ and -8.2% YoY. The majority of the Bank’s financing obligations are used for short term working capital or to manage structural liquidity to maintain asset investment levels in coming quarters.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Quarter</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million</w:t>
            </w:r>
          </w:p>
        </w:tc>
        <w:tc>
          <w:tcPr>
            <w:tcW w:w="100" w:type="dxa"/>
            <w:vAlign w:val="bottom"/>
            <w:tcBorders>
              <w:bottom w:val="single" w:sz="8" w:color="CCFFCC"/>
            </w:tcBorders>
          </w:tcPr>
          <w:p>
            <w:pPr>
              <w:spacing w:after="0"/>
              <w:rPr>
                <w:sz w:val="20"/>
                <w:szCs w:val="20"/>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4Q13</w:t>
            </w:r>
          </w:p>
        </w:tc>
        <w:tc>
          <w:tcPr>
            <w:tcW w:w="220" w:type="dxa"/>
            <w:vAlign w:val="bottom"/>
            <w:tcBorders>
              <w:bottom w:val="single" w:sz="8" w:color="CCFFCC"/>
            </w:tcBorders>
          </w:tcPr>
          <w:p>
            <w:pPr>
              <w:spacing w:after="0"/>
              <w:rPr>
                <w:sz w:val="20"/>
                <w:szCs w:val="20"/>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3Q13</w:t>
            </w:r>
          </w:p>
        </w:tc>
        <w:tc>
          <w:tcPr>
            <w:tcW w:w="200" w:type="dxa"/>
            <w:vAlign w:val="bottom"/>
            <w:tcBorders>
              <w:bottom w:val="single" w:sz="8" w:color="CCFFCC"/>
            </w:tcBorders>
          </w:tcPr>
          <w:p>
            <w:pPr>
              <w:spacing w:after="0"/>
              <w:rPr>
                <w:sz w:val="20"/>
                <w:szCs w:val="20"/>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4Q12</w:t>
            </w:r>
          </w:p>
        </w:tc>
        <w:tc>
          <w:tcPr>
            <w:tcW w:w="220" w:type="dxa"/>
            <w:vAlign w:val="bottom"/>
            <w:tcBorders>
              <w:bottom w:val="single" w:sz="8" w:color="CCFFCC"/>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5820" w:type="dxa"/>
            <w:vAlign w:val="bottom"/>
            <w:shd w:val="clear" w:color="auto" w:fill="CCFFCC"/>
          </w:tcPr>
          <w:p>
            <w:pPr>
              <w:spacing w:after="0"/>
              <w:rPr>
                <w:sz w:val="20"/>
                <w:szCs w:val="20"/>
                <w:color w:val="auto"/>
              </w:rPr>
            </w:pPr>
            <w:r>
              <w:rPr>
                <w:rFonts w:ascii="Arial" w:cs="Arial" w:eastAsia="Arial" w:hAnsi="Arial"/>
                <w:sz w:val="18"/>
                <w:szCs w:val="18"/>
                <w:color w:val="auto"/>
              </w:rPr>
              <w:t>Deposits</w:t>
            </w:r>
          </w:p>
        </w:tc>
        <w:tc>
          <w:tcPr>
            <w:tcW w:w="10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1,445</w:t>
            </w:r>
          </w:p>
        </w:tc>
        <w:tc>
          <w:tcPr>
            <w:tcW w:w="22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1,349</w:t>
            </w:r>
          </w:p>
        </w:tc>
        <w:tc>
          <w:tcPr>
            <w:tcW w:w="20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1,397</w:t>
            </w:r>
          </w:p>
        </w:tc>
        <w:tc>
          <w:tcPr>
            <w:tcW w:w="2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7.1%</w:t>
            </w:r>
          </w:p>
        </w:tc>
        <w:tc>
          <w:tcPr>
            <w:tcW w:w="9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171</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-18.8%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210"/>
        </w:trPr>
        <w:tc>
          <w:tcPr>
            <w:tcW w:w="592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Liabilities</w:t>
            </w:r>
          </w:p>
        </w:tc>
        <w:tc>
          <w:tcPr>
            <w:tcW w:w="7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1,584</w:t>
            </w:r>
          </w:p>
        </w:tc>
        <w:tc>
          <w:tcPr>
            <w:tcW w:w="220" w:type="dxa"/>
            <w:vAlign w:val="bottom"/>
            <w:tcBorders>
              <w:top w:val="single" w:sz="8" w:color="CCFFCC"/>
            </w:tcBorders>
            <w:shd w:val="clear" w:color="auto" w:fill="CCFFCC"/>
          </w:tcPr>
          <w:p>
            <w:pPr>
              <w:spacing w:after="0"/>
              <w:rPr>
                <w:sz w:val="18"/>
                <w:szCs w:val="18"/>
                <w:color w:val="auto"/>
              </w:rPr>
            </w:pPr>
          </w:p>
        </w:tc>
        <w:tc>
          <w:tcPr>
            <w:tcW w:w="7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1,521</w:t>
            </w:r>
          </w:p>
        </w:tc>
        <w:tc>
          <w:tcPr>
            <w:tcW w:w="200" w:type="dxa"/>
            <w:vAlign w:val="bottom"/>
            <w:tcBorders>
              <w:top w:val="single" w:sz="8" w:color="CCFFCC"/>
            </w:tcBorders>
            <w:shd w:val="clear" w:color="auto" w:fill="CCFFCC"/>
          </w:tcPr>
          <w:p>
            <w:pPr>
              <w:spacing w:after="0"/>
              <w:rPr>
                <w:sz w:val="18"/>
                <w:szCs w:val="18"/>
                <w:color w:val="auto"/>
              </w:rPr>
            </w:pPr>
          </w:p>
        </w:tc>
        <w:tc>
          <w:tcPr>
            <w:tcW w:w="7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1,549</w:t>
            </w:r>
          </w:p>
        </w:tc>
        <w:tc>
          <w:tcPr>
            <w:tcW w:w="220" w:type="dxa"/>
            <w:vAlign w:val="bottom"/>
            <w:tcBorders>
              <w:top w:val="single" w:sz="8" w:color="CCFFCC"/>
            </w:tcBorders>
            <w:shd w:val="clear" w:color="auto" w:fill="CCFFCC"/>
          </w:tcPr>
          <w:p>
            <w:pPr>
              <w:spacing w:after="0"/>
              <w:rPr>
                <w:sz w:val="18"/>
                <w:szCs w:val="18"/>
                <w:color w:val="auto"/>
              </w:rPr>
            </w:pPr>
          </w:p>
        </w:tc>
        <w:tc>
          <w:tcPr>
            <w:tcW w:w="7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4.2</w:t>
            </w:r>
          </w:p>
        </w:tc>
        <w:tc>
          <w:tcPr>
            <w:tcW w:w="30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2.3</w:t>
            </w:r>
          </w:p>
        </w:tc>
        <w:tc>
          <w:tcPr>
            <w:tcW w:w="1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shareholders’ equity reported an increase of +9.8% QoQ, which was attributable to the earnings accumulated this quarter (US$12.0 million). Additionally, unrealized earnings on the investment portfolio, which are included in net shareholders’ equity, posted a positive change of 44.5% QoQ. This improvement was due to the fact that the market recovered after a volatile stretch at the end of 2Q13.</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9" w:name="page40"/>
    <w:bookmarkEnd w:id="39"/>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6246495</wp:posOffset>
            </wp:positionH>
            <wp:positionV relativeFrom="page">
              <wp:posOffset>568960</wp:posOffset>
            </wp:positionV>
            <wp:extent cx="1132205" cy="3086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The BIS ratio at the end of 4Q13 was situated at 15.5%, which represents a 0.9% increase with regard to 3Q13’s figure. The marginal increase in the BIS ratio is attributable to quarterly earnings and the increase posted in the value of risk-weighted assets (increase in investments and loans). It is important to note that the Bank’s minimum ratio requirement remains at 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Funds under Management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Funds under management, which include client deposits, investments in funds and custody of financial instruments, totaled US$5,216 million (market value) at quarter-end. This represents an increase of +2.4% with regard to 3Q13 but is -2.7% lower than the figure posted at the end of 2012. The QoQ result is due primarily to market valuations after deducting purchase and sales flows during the quarter. Despite a -1.8% QoQ decline in the stock of investments in securities, this item posted growth of +5.2% in annual terms. Along similar lines, deposits increases +3.4% YoY, which is proof that our clients trust us to manage their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128905</wp:posOffset>
            </wp:positionV>
            <wp:extent cx="3249930" cy="25215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49930" cy="252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0" w:name="page41"/>
    <w:bookmarkEnd w:id="40"/>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6246495</wp:posOffset>
            </wp:positionH>
            <wp:positionV relativeFrom="page">
              <wp:posOffset>568960</wp:posOffset>
            </wp:positionV>
            <wp:extent cx="1132205" cy="3086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VII. Pacifico Grupo Asegurador (PGA)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PGA</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3"/>
          </w:tcPr>
          <w:p>
            <w:pPr>
              <w:ind w:left="580"/>
              <w:spacing w:after="0"/>
              <w:rPr>
                <w:sz w:val="20"/>
                <w:szCs w:val="20"/>
                <w:color w:val="auto"/>
              </w:rPr>
            </w:pPr>
            <w:r>
              <w:rPr>
                <w:rFonts w:ascii="Arial" w:cs="Arial" w:eastAsia="Arial" w:hAnsi="Arial"/>
                <w:sz w:val="14"/>
                <w:szCs w:val="14"/>
                <w:b w:val="1"/>
                <w:bCs w:val="1"/>
                <w:color w:val="auto"/>
              </w:rPr>
              <w:t>% Change</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Year ended</w:t>
            </w:r>
          </w:p>
        </w:tc>
        <w:tc>
          <w:tcPr>
            <w:tcW w:w="110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US$ 000</w:t>
            </w:r>
          </w:p>
        </w:tc>
        <w:tc>
          <w:tcPr>
            <w:tcW w:w="10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4Q13</w:t>
            </w:r>
          </w:p>
        </w:tc>
        <w:tc>
          <w:tcPr>
            <w:tcW w:w="24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3Q13</w:t>
            </w:r>
          </w:p>
        </w:tc>
        <w:tc>
          <w:tcPr>
            <w:tcW w:w="220" w:type="dxa"/>
            <w:vAlign w:val="bottom"/>
            <w:tcBorders>
              <w:bottom w:val="single" w:sz="8" w:color="CCFFCC"/>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4Q12</w:t>
            </w:r>
          </w:p>
        </w:tc>
        <w:tc>
          <w:tcPr>
            <w:tcW w:w="22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FFC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93"/>
              </w:rPr>
              <w:t>Yoy</w:t>
            </w:r>
          </w:p>
        </w:tc>
        <w:tc>
          <w:tcPr>
            <w:tcW w:w="26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Dec 13</w:t>
            </w:r>
          </w:p>
        </w:tc>
        <w:tc>
          <w:tcPr>
            <w:tcW w:w="240" w:type="dxa"/>
            <w:vAlign w:val="bottom"/>
            <w:tcBorders>
              <w:bottom w:val="single" w:sz="8" w:color="CCFFCC"/>
            </w:tcBorders>
          </w:tcPr>
          <w:p>
            <w:pPr>
              <w:spacing w:after="0"/>
              <w:rPr>
                <w:sz w:val="14"/>
                <w:szCs w:val="14"/>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Dec 12</w:t>
            </w:r>
          </w:p>
        </w:tc>
        <w:tc>
          <w:tcPr>
            <w:tcW w:w="220" w:type="dxa"/>
            <w:vAlign w:val="bottom"/>
            <w:tcBorders>
              <w:bottom w:val="single" w:sz="8" w:color="CCFFCC"/>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Dec 13 / Dec 12</w:t>
            </w:r>
          </w:p>
        </w:tc>
        <w:tc>
          <w:tcPr>
            <w:tcW w:w="140" w:type="dxa"/>
            <w:vAlign w:val="bottom"/>
            <w:tcBorders>
              <w:bottom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8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Net earned premiums</w:t>
            </w:r>
          </w:p>
        </w:tc>
        <w:tc>
          <w:tcPr>
            <w:tcW w:w="10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194,000</w:t>
            </w: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209,362</w:t>
            </w:r>
          </w:p>
        </w:tc>
        <w:tc>
          <w:tcPr>
            <w:tcW w:w="22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194,790</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-7.3%</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-0.4%</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807,491</w:t>
            </w: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724,430</w:t>
            </w: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Net claims</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129,759</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138,410</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122,506</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-6.2%</w:t>
            </w:r>
          </w:p>
        </w:tc>
        <w:tc>
          <w:tcPr>
            <w:tcW w:w="24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5.9%</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538,382</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477,750</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49"/>
        </w:trPr>
        <w:tc>
          <w:tcPr>
            <w:tcW w:w="31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Net commissions</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37,118</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38,480</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31,711</w:t>
            </w: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-3.5%</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17.0%</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143,160</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119,423</w:t>
            </w: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62"/>
        </w:trPr>
        <w:tc>
          <w:tcPr>
            <w:tcW w:w="3180" w:type="dxa"/>
            <w:vAlign w:val="bottom"/>
            <w:gridSpan w:val="2"/>
          </w:tcPr>
          <w:p>
            <w:pPr>
              <w:spacing w:after="0"/>
              <w:rPr>
                <w:sz w:val="20"/>
                <w:szCs w:val="20"/>
                <w:color w:val="auto"/>
              </w:rPr>
            </w:pPr>
            <w:r>
              <w:rPr>
                <w:rFonts w:ascii="Arial" w:cs="Arial" w:eastAsia="Arial" w:hAnsi="Arial"/>
                <w:sz w:val="14"/>
                <w:szCs w:val="14"/>
                <w:color w:val="auto"/>
              </w:rPr>
              <w:t>Net underwriting expenses</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6,193</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5,643</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6,448</w:t>
            </w:r>
          </w:p>
        </w:tc>
        <w:tc>
          <w:tcPr>
            <w:tcW w:w="1040" w:type="dxa"/>
            <w:vAlign w:val="bottom"/>
            <w:gridSpan w:val="2"/>
          </w:tcPr>
          <w:p>
            <w:pPr>
              <w:jc w:val="right"/>
              <w:ind w:right="68"/>
              <w:spacing w:after="0"/>
              <w:rPr>
                <w:sz w:val="20"/>
                <w:szCs w:val="20"/>
                <w:color w:val="auto"/>
              </w:rPr>
            </w:pPr>
            <w:r>
              <w:rPr>
                <w:rFonts w:ascii="Arial" w:cs="Arial" w:eastAsia="Arial" w:hAnsi="Arial"/>
                <w:sz w:val="14"/>
                <w:szCs w:val="14"/>
                <w:color w:val="auto"/>
              </w:rPr>
              <w:t>9.7%</w:t>
            </w:r>
          </w:p>
        </w:tc>
        <w:tc>
          <w:tcPr>
            <w:tcW w:w="240" w:type="dxa"/>
            <w:vAlign w:val="bottom"/>
          </w:tcPr>
          <w:p>
            <w:pPr>
              <w:spacing w:after="0"/>
              <w:rPr>
                <w:sz w:val="14"/>
                <w:szCs w:val="14"/>
                <w:color w:val="auto"/>
              </w:rPr>
            </w:pPr>
          </w:p>
        </w:tc>
        <w:tc>
          <w:tcPr>
            <w:tcW w:w="800" w:type="dxa"/>
            <w:vAlign w:val="bottom"/>
            <w:gridSpan w:val="2"/>
          </w:tcPr>
          <w:p>
            <w:pPr>
              <w:jc w:val="right"/>
              <w:ind w:right="68"/>
              <w:spacing w:after="0"/>
              <w:rPr>
                <w:sz w:val="20"/>
                <w:szCs w:val="20"/>
                <w:color w:val="auto"/>
              </w:rPr>
            </w:pPr>
            <w:r>
              <w:rPr>
                <w:rFonts w:ascii="Arial" w:cs="Arial" w:eastAsia="Arial" w:hAnsi="Arial"/>
                <w:sz w:val="14"/>
                <w:szCs w:val="14"/>
                <w:color w:val="auto"/>
              </w:rPr>
              <w:t>-4.0%</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32,435</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31,148</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0"/>
        </w:trPr>
        <w:tc>
          <w:tcPr>
            <w:tcW w:w="3180" w:type="dxa"/>
            <w:vAlign w:val="bottom"/>
            <w:gridSpan w:val="2"/>
            <w:vMerge w:val="restart"/>
            <w:shd w:val="clear" w:color="auto" w:fill="CCFFCC"/>
          </w:tcPr>
          <w:p>
            <w:pPr>
              <w:spacing w:after="0"/>
              <w:rPr>
                <w:sz w:val="20"/>
                <w:szCs w:val="20"/>
                <w:color w:val="auto"/>
              </w:rPr>
            </w:pPr>
            <w:r>
              <w:rPr>
                <w:rFonts w:ascii="Arial" w:cs="Arial" w:eastAsia="Arial" w:hAnsi="Arial"/>
                <w:sz w:val="14"/>
                <w:szCs w:val="14"/>
                <w:b w:val="1"/>
                <w:bCs w:val="1"/>
                <w:color w:val="auto"/>
              </w:rPr>
              <w:t>Underwriting result</w:t>
            </w: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80" w:type="dxa"/>
            <w:vAlign w:val="bottom"/>
            <w:gridSpan w:val="2"/>
            <w:vMerge w:val="continue"/>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20,930</w:t>
            </w:r>
          </w:p>
        </w:tc>
        <w:tc>
          <w:tcPr>
            <w:tcW w:w="240" w:type="dxa"/>
            <w:vAlign w:val="bottom"/>
            <w:vMerge w:val="continue"/>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26,829</w:t>
            </w:r>
          </w:p>
        </w:tc>
        <w:tc>
          <w:tcPr>
            <w:tcW w:w="220" w:type="dxa"/>
            <w:vAlign w:val="bottom"/>
            <w:vMerge w:val="continue"/>
            <w:shd w:val="clear" w:color="auto" w:fill="CCFFCC"/>
          </w:tcPr>
          <w:p>
            <w:pPr>
              <w:spacing w:after="0"/>
              <w:rPr>
                <w:sz w:val="12"/>
                <w:szCs w:val="12"/>
                <w:color w:val="auto"/>
              </w:rPr>
            </w:pP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34,124</w:t>
            </w:r>
          </w:p>
        </w:tc>
        <w:tc>
          <w:tcPr>
            <w:tcW w:w="220" w:type="dxa"/>
            <w:vAlign w:val="bottom"/>
            <w:vMerge w:val="continue"/>
            <w:shd w:val="clear" w:color="auto" w:fill="CCFFCC"/>
          </w:tcPr>
          <w:p>
            <w:pPr>
              <w:spacing w:after="0"/>
              <w:rPr>
                <w:sz w:val="12"/>
                <w:szCs w:val="12"/>
                <w:color w:val="auto"/>
              </w:rPr>
            </w:pPr>
          </w:p>
        </w:tc>
        <w:tc>
          <w:tcPr>
            <w:tcW w:w="104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rPr>
              <w:t>-22.0%</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rPr>
              <w:t>-38.7%</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93,513</w:t>
            </w:r>
          </w:p>
        </w:tc>
        <w:tc>
          <w:tcPr>
            <w:tcW w:w="240" w:type="dxa"/>
            <w:vAlign w:val="bottom"/>
            <w:vMerge w:val="continue"/>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96,109</w:t>
            </w:r>
          </w:p>
        </w:tc>
        <w:tc>
          <w:tcPr>
            <w:tcW w:w="220" w:type="dxa"/>
            <w:vAlign w:val="bottom"/>
            <w:vMerge w:val="continue"/>
            <w:shd w:val="clear" w:color="auto" w:fill="CCFFCC"/>
          </w:tcPr>
          <w:p>
            <w:pPr>
              <w:spacing w:after="0"/>
              <w:rPr>
                <w:sz w:val="12"/>
                <w:szCs w:val="12"/>
                <w:color w:val="auto"/>
              </w:rPr>
            </w:pPr>
          </w:p>
        </w:tc>
        <w:tc>
          <w:tcPr>
            <w:tcW w:w="110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-2.7%</w:t>
            </w: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Medical Services technical result (1)</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4,656</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6,927</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7,378</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-32.8%</w:t>
            </w:r>
          </w:p>
        </w:tc>
        <w:tc>
          <w:tcPr>
            <w:tcW w:w="24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-36.9%</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23,582</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21,623</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9.1%</w:t>
            </w:r>
          </w:p>
        </w:tc>
        <w:tc>
          <w:tcPr>
            <w:tcW w:w="0" w:type="dxa"/>
            <w:vAlign w:val="bottom"/>
          </w:tcPr>
          <w:p>
            <w:pPr>
              <w:spacing w:after="0"/>
              <w:rPr>
                <w:sz w:val="1"/>
                <w:szCs w:val="1"/>
                <w:color w:val="auto"/>
              </w:rPr>
            </w:pPr>
          </w:p>
        </w:tc>
      </w:tr>
      <w:tr>
        <w:trPr>
          <w:trHeight w:val="162"/>
        </w:trPr>
        <w:tc>
          <w:tcPr>
            <w:tcW w:w="3180" w:type="dxa"/>
            <w:vAlign w:val="bottom"/>
            <w:gridSpan w:val="2"/>
            <w:shd w:val="clear" w:color="auto" w:fill="CCFFCC"/>
          </w:tcPr>
          <w:p>
            <w:pPr>
              <w:spacing w:after="0"/>
              <w:rPr>
                <w:sz w:val="20"/>
                <w:szCs w:val="20"/>
                <w:color w:val="auto"/>
              </w:rPr>
            </w:pPr>
            <w:r>
              <w:rPr>
                <w:rFonts w:ascii="Arial" w:cs="Arial" w:eastAsia="Arial" w:hAnsi="Arial"/>
                <w:sz w:val="14"/>
                <w:szCs w:val="14"/>
                <w:b w:val="1"/>
                <w:bCs w:val="1"/>
                <w:color w:val="auto"/>
              </w:rPr>
              <w:t>Total Underwriting result (1)</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b w:val="1"/>
                <w:bCs w:val="1"/>
                <w:color w:val="auto"/>
              </w:rPr>
              <w:t>25,585</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33,756</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41,502</w:t>
            </w:r>
          </w:p>
        </w:tc>
        <w:tc>
          <w:tcPr>
            <w:tcW w:w="104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b w:val="1"/>
                <w:bCs w:val="1"/>
                <w:color w:val="auto"/>
              </w:rPr>
              <w:t>-24.2%</w:t>
            </w:r>
          </w:p>
        </w:tc>
        <w:tc>
          <w:tcPr>
            <w:tcW w:w="24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b w:val="1"/>
                <w:bCs w:val="1"/>
                <w:color w:val="auto"/>
              </w:rPr>
              <w:t>-38.4%</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b w:val="1"/>
                <w:bCs w:val="1"/>
                <w:color w:val="auto"/>
              </w:rPr>
              <w:t>117,095</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117,732</w:t>
            </w: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4"/>
                <w:szCs w:val="14"/>
                <w:b w:val="1"/>
                <w:bCs w:val="1"/>
                <w:color w:val="auto"/>
              </w:rPr>
              <w:t>-0.5%</w:t>
            </w: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rPr>
                <w:sz w:val="20"/>
                <w:szCs w:val="20"/>
                <w:color w:val="auto"/>
              </w:rPr>
            </w:pPr>
            <w:r>
              <w:rPr>
                <w:rFonts w:ascii="Arial" w:cs="Arial" w:eastAsia="Arial" w:hAnsi="Arial"/>
                <w:sz w:val="14"/>
                <w:szCs w:val="14"/>
                <w:color w:val="auto"/>
              </w:rPr>
              <w:t>Financial income, net</w:t>
            </w: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80" w:type="dxa"/>
            <w:vAlign w:val="bottom"/>
            <w:gridSpan w:val="2"/>
            <w:vMerge w:val="continue"/>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26,939</w:t>
            </w:r>
          </w:p>
        </w:tc>
        <w:tc>
          <w:tcPr>
            <w:tcW w:w="240" w:type="dxa"/>
            <w:vAlign w:val="bottom"/>
            <w:vMerge w:val="continue"/>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33,583</w:t>
            </w:r>
          </w:p>
        </w:tc>
        <w:tc>
          <w:tcPr>
            <w:tcW w:w="220" w:type="dxa"/>
            <w:vAlign w:val="bottom"/>
            <w:vMerge w:val="continue"/>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28,516</w:t>
            </w:r>
          </w:p>
        </w:tc>
        <w:tc>
          <w:tcPr>
            <w:tcW w:w="220" w:type="dxa"/>
            <w:vAlign w:val="bottom"/>
            <w:vMerge w:val="continue"/>
          </w:tcPr>
          <w:p>
            <w:pPr>
              <w:spacing w:after="0"/>
              <w:rPr>
                <w:sz w:val="12"/>
                <w:szCs w:val="12"/>
                <w:color w:val="auto"/>
              </w:rPr>
            </w:pPr>
          </w:p>
        </w:tc>
        <w:tc>
          <w:tcPr>
            <w:tcW w:w="104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-19.8%</w:t>
            </w:r>
          </w:p>
        </w:tc>
        <w:tc>
          <w:tcPr>
            <w:tcW w:w="240" w:type="dxa"/>
            <w:vAlign w:val="bottom"/>
          </w:tcPr>
          <w:p>
            <w:pPr>
              <w:spacing w:after="0"/>
              <w:rPr>
                <w:sz w:val="12"/>
                <w:szCs w:val="12"/>
                <w:color w:val="auto"/>
              </w:rPr>
            </w:pPr>
          </w:p>
        </w:tc>
        <w:tc>
          <w:tcPr>
            <w:tcW w:w="80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-5.5%</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122,465</w:t>
            </w:r>
          </w:p>
        </w:tc>
        <w:tc>
          <w:tcPr>
            <w:tcW w:w="240" w:type="dxa"/>
            <w:vAlign w:val="bottom"/>
            <w:vMerge w:val="continue"/>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121,250</w:t>
            </w:r>
          </w:p>
        </w:tc>
        <w:tc>
          <w:tcPr>
            <w:tcW w:w="220" w:type="dxa"/>
            <w:vAlign w:val="bottom"/>
            <w:vMerge w:val="continue"/>
          </w:tcPr>
          <w:p>
            <w:pPr>
              <w:spacing w:after="0"/>
              <w:rPr>
                <w:sz w:val="12"/>
                <w:szCs w:val="12"/>
                <w:color w:val="auto"/>
              </w:rPr>
            </w:pPr>
          </w:p>
        </w:tc>
        <w:tc>
          <w:tcPr>
            <w:tcW w:w="11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31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Opertating expenses</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49,999</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47,991</w:t>
            </w:r>
          </w:p>
        </w:tc>
        <w:tc>
          <w:tcPr>
            <w:tcW w:w="10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53,276</w:t>
            </w: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4.2%</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-6.2%</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194,498</w:t>
            </w: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174,792</w:t>
            </w: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Traslations results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309</w:t>
            </w:r>
          </w:p>
        </w:tc>
        <w:tc>
          <w:tcPr>
            <w:tcW w:w="24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235</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2,724</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31.5%</w:t>
            </w:r>
          </w:p>
        </w:tc>
        <w:tc>
          <w:tcPr>
            <w:tcW w:w="24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-89%</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-7,863</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7,360</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-206.8%</w:t>
            </w:r>
          </w:p>
        </w:tc>
        <w:tc>
          <w:tcPr>
            <w:tcW w:w="0" w:type="dxa"/>
            <w:vAlign w:val="bottom"/>
          </w:tcPr>
          <w:p>
            <w:pPr>
              <w:spacing w:after="0"/>
              <w:rPr>
                <w:sz w:val="1"/>
                <w:szCs w:val="1"/>
                <w:color w:val="auto"/>
              </w:rPr>
            </w:pPr>
          </w:p>
        </w:tc>
      </w:tr>
      <w:tr>
        <w:trPr>
          <w:trHeight w:val="162"/>
        </w:trPr>
        <w:tc>
          <w:tcPr>
            <w:tcW w:w="3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Income tax</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2,032</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2,792</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3,145</w:t>
            </w:r>
          </w:p>
        </w:tc>
        <w:tc>
          <w:tcPr>
            <w:tcW w:w="104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-27.2%</w:t>
            </w:r>
          </w:p>
        </w:tc>
        <w:tc>
          <w:tcPr>
            <w:tcW w:w="24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-35%</w:t>
            </w:r>
          </w:p>
        </w:tc>
        <w:tc>
          <w:tcPr>
            <w:tcW w:w="10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3,158</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8,815</w:t>
            </w: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-64.2%</w:t>
            </w:r>
          </w:p>
        </w:tc>
        <w:tc>
          <w:tcPr>
            <w:tcW w:w="0" w:type="dxa"/>
            <w:vAlign w:val="bottom"/>
          </w:tcPr>
          <w:p>
            <w:pPr>
              <w:spacing w:after="0"/>
              <w:rPr>
                <w:sz w:val="1"/>
                <w:szCs w:val="1"/>
                <w:color w:val="auto"/>
              </w:rPr>
            </w:pPr>
          </w:p>
        </w:tc>
      </w:tr>
      <w:tr>
        <w:trPr>
          <w:trHeight w:val="142"/>
        </w:trPr>
        <w:tc>
          <w:tcPr>
            <w:tcW w:w="3180" w:type="dxa"/>
            <w:vAlign w:val="bottom"/>
            <w:tcBorders>
              <w:bottom w:val="single" w:sz="8" w:color="CCFFCC"/>
            </w:tcBorders>
            <w:gridSpan w:val="2"/>
          </w:tcPr>
          <w:p>
            <w:pPr>
              <w:spacing w:after="0" w:line="142" w:lineRule="exact"/>
              <w:rPr>
                <w:sz w:val="20"/>
                <w:szCs w:val="20"/>
                <w:color w:val="auto"/>
              </w:rPr>
            </w:pPr>
            <w:r>
              <w:rPr>
                <w:rFonts w:ascii="Arial" w:cs="Arial" w:eastAsia="Arial" w:hAnsi="Arial"/>
                <w:sz w:val="14"/>
                <w:szCs w:val="14"/>
                <w:b w:val="1"/>
                <w:bCs w:val="1"/>
                <w:color w:val="auto"/>
              </w:rPr>
              <w:t>Income before minority interest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4,243</w:t>
            </w:r>
          </w:p>
        </w:tc>
        <w:tc>
          <w:tcPr>
            <w:tcW w:w="240" w:type="dxa"/>
            <w:vAlign w:val="bottom"/>
            <w:tcBorders>
              <w:bottom w:val="single" w:sz="8" w:color="CCFFC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18,176</w:t>
            </w:r>
          </w:p>
        </w:tc>
        <w:tc>
          <w:tcPr>
            <w:tcW w:w="220" w:type="dxa"/>
            <w:vAlign w:val="bottom"/>
            <w:tcBorders>
              <w:bottom w:val="single" w:sz="8" w:color="CCFFCC"/>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16,941</w:t>
            </w:r>
          </w:p>
        </w:tc>
        <w:tc>
          <w:tcPr>
            <w:tcW w:w="220" w:type="dxa"/>
            <w:vAlign w:val="bottom"/>
            <w:tcBorders>
              <w:bottom w:val="single" w:sz="8" w:color="CCFFC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-76.7</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2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-75.0</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39,336</w:t>
            </w:r>
          </w:p>
        </w:tc>
        <w:tc>
          <w:tcPr>
            <w:tcW w:w="240" w:type="dxa"/>
            <w:vAlign w:val="bottom"/>
            <w:tcBorders>
              <w:bottom w:val="single" w:sz="8" w:color="CCFFC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67,078</w:t>
            </w:r>
          </w:p>
        </w:tc>
        <w:tc>
          <w:tcPr>
            <w:tcW w:w="220" w:type="dxa"/>
            <w:vAlign w:val="bottom"/>
            <w:tcBorders>
              <w:bottom w:val="single" w:sz="8" w:color="CCFFCC"/>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-41.4</w:t>
            </w:r>
          </w:p>
        </w:tc>
        <w:tc>
          <w:tcPr>
            <w:tcW w:w="140" w:type="dxa"/>
            <w:vAlign w:val="bottom"/>
            <w:tcBorders>
              <w:bottom w:val="single" w:sz="8" w:color="CCFFCC"/>
            </w:tcBorders>
          </w:tcPr>
          <w:p>
            <w:pPr>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2"/>
        </w:trPr>
        <w:tc>
          <w:tcPr>
            <w:tcW w:w="318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Net income</w:t>
            </w:r>
          </w:p>
        </w:tc>
        <w:tc>
          <w:tcPr>
            <w:tcW w:w="7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3,567</w:t>
            </w:r>
          </w:p>
        </w:tc>
        <w:tc>
          <w:tcPr>
            <w:tcW w:w="240" w:type="dxa"/>
            <w:vAlign w:val="bottom"/>
            <w:shd w:val="clear" w:color="auto" w:fill="CCFFCC"/>
          </w:tcPr>
          <w:p>
            <w:pPr>
              <w:spacing w:after="0"/>
              <w:rPr>
                <w:sz w:val="12"/>
                <w:szCs w:val="12"/>
                <w:color w:val="auto"/>
              </w:rPr>
            </w:pPr>
          </w:p>
        </w:tc>
        <w:tc>
          <w:tcPr>
            <w:tcW w:w="7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16,214</w:t>
            </w:r>
          </w:p>
        </w:tc>
        <w:tc>
          <w:tcPr>
            <w:tcW w:w="220" w:type="dxa"/>
            <w:vAlign w:val="bottom"/>
            <w:shd w:val="clear" w:color="auto" w:fill="CCFFCC"/>
          </w:tcPr>
          <w:p>
            <w:pPr>
              <w:spacing w:after="0"/>
              <w:rPr>
                <w:sz w:val="12"/>
                <w:szCs w:val="12"/>
                <w:color w:val="auto"/>
              </w:rPr>
            </w:pPr>
          </w:p>
        </w:tc>
        <w:tc>
          <w:tcPr>
            <w:tcW w:w="80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14,840</w:t>
            </w:r>
          </w:p>
        </w:tc>
        <w:tc>
          <w:tcPr>
            <w:tcW w:w="220" w:type="dxa"/>
            <w:vAlign w:val="bottom"/>
            <w:shd w:val="clear" w:color="auto" w:fill="CCFFCC"/>
          </w:tcPr>
          <w:p>
            <w:pPr>
              <w:spacing w:after="0"/>
              <w:rPr>
                <w:sz w:val="12"/>
                <w:szCs w:val="12"/>
                <w:color w:val="auto"/>
              </w:rPr>
            </w:pPr>
          </w:p>
        </w:tc>
        <w:tc>
          <w:tcPr>
            <w:tcW w:w="7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-78.0</w:t>
            </w:r>
          </w:p>
        </w:tc>
        <w:tc>
          <w:tcPr>
            <w:tcW w:w="260" w:type="dxa"/>
            <w:vAlign w:val="bottom"/>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240" w:type="dxa"/>
            <w:vAlign w:val="bottom"/>
            <w:tcBorders>
              <w:bottom w:val="single" w:sz="8" w:color="auto"/>
            </w:tcBorders>
            <w:shd w:val="clear" w:color="auto" w:fill="CCFFCC"/>
          </w:tcPr>
          <w:p>
            <w:pPr>
              <w:spacing w:after="0"/>
              <w:rPr>
                <w:sz w:val="12"/>
                <w:szCs w:val="12"/>
                <w:color w:val="auto"/>
              </w:rPr>
            </w:pPr>
          </w:p>
        </w:tc>
        <w:tc>
          <w:tcPr>
            <w:tcW w:w="54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-76.0</w:t>
            </w:r>
          </w:p>
        </w:tc>
        <w:tc>
          <w:tcPr>
            <w:tcW w:w="260" w:type="dxa"/>
            <w:vAlign w:val="bottom"/>
            <w:shd w:val="clear" w:color="auto" w:fill="CCFFCC"/>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33,095</w:t>
            </w:r>
          </w:p>
        </w:tc>
        <w:tc>
          <w:tcPr>
            <w:tcW w:w="240" w:type="dxa"/>
            <w:vAlign w:val="bottom"/>
            <w:shd w:val="clear" w:color="auto" w:fill="CCFFCC"/>
          </w:tcPr>
          <w:p>
            <w:pPr>
              <w:spacing w:after="0"/>
              <w:rPr>
                <w:sz w:val="12"/>
                <w:szCs w:val="12"/>
                <w:color w:val="auto"/>
              </w:rPr>
            </w:pPr>
          </w:p>
        </w:tc>
        <w:tc>
          <w:tcPr>
            <w:tcW w:w="7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58,982</w:t>
            </w:r>
          </w:p>
        </w:tc>
        <w:tc>
          <w:tcPr>
            <w:tcW w:w="220" w:type="dxa"/>
            <w:vAlign w:val="bottom"/>
            <w:shd w:val="clear" w:color="auto" w:fill="CCFFCC"/>
          </w:tcPr>
          <w:p>
            <w:pPr>
              <w:spacing w:after="0"/>
              <w:rPr>
                <w:sz w:val="12"/>
                <w:szCs w:val="12"/>
                <w:color w:val="auto"/>
              </w:rPr>
            </w:pPr>
          </w:p>
        </w:tc>
        <w:tc>
          <w:tcPr>
            <w:tcW w:w="96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-43.9</w:t>
            </w:r>
          </w:p>
        </w:tc>
        <w:tc>
          <w:tcPr>
            <w:tcW w:w="140" w:type="dxa"/>
            <w:vAlign w:val="bottom"/>
            <w:shd w:val="clear" w:color="auto" w:fill="CCFFCC"/>
          </w:tcPr>
          <w:p>
            <w:pPr>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3180" w:type="dxa"/>
            <w:vAlign w:val="bottom"/>
            <w:tcBorders>
              <w:bottom w:val="single" w:sz="8" w:color="CCFFCC"/>
            </w:tcBorders>
            <w:gridSpan w:val="2"/>
          </w:tcPr>
          <w:p>
            <w:pPr>
              <w:spacing w:after="0" w:line="142" w:lineRule="exact"/>
              <w:rPr>
                <w:sz w:val="20"/>
                <w:szCs w:val="20"/>
                <w:color w:val="auto"/>
              </w:rPr>
            </w:pPr>
            <w:r>
              <w:rPr>
                <w:rFonts w:ascii="Arial" w:cs="Arial" w:eastAsia="Arial" w:hAnsi="Arial"/>
                <w:sz w:val="14"/>
                <w:szCs w:val="14"/>
                <w:b w:val="1"/>
                <w:bCs w:val="1"/>
                <w:color w:val="auto"/>
              </w:rPr>
              <w:t>Contribution to Credicorp</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4,723</w:t>
            </w:r>
          </w:p>
        </w:tc>
        <w:tc>
          <w:tcPr>
            <w:tcW w:w="240" w:type="dxa"/>
            <w:vAlign w:val="bottom"/>
            <w:tcBorders>
              <w:bottom w:val="single" w:sz="8" w:color="CCFFCC"/>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18,458</w:t>
            </w:r>
          </w:p>
        </w:tc>
        <w:tc>
          <w:tcPr>
            <w:tcW w:w="220" w:type="dxa"/>
            <w:vAlign w:val="bottom"/>
            <w:tcBorders>
              <w:bottom w:val="single" w:sz="8" w:color="CCFFCC"/>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16,895</w:t>
            </w:r>
          </w:p>
        </w:tc>
        <w:tc>
          <w:tcPr>
            <w:tcW w:w="220" w:type="dxa"/>
            <w:vAlign w:val="bottom"/>
            <w:tcBorders>
              <w:bottom w:val="single" w:sz="8" w:color="CCFFCC"/>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-74.4</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-72.0</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39,899</w:t>
            </w:r>
          </w:p>
        </w:tc>
        <w:tc>
          <w:tcPr>
            <w:tcW w:w="240" w:type="dxa"/>
            <w:vAlign w:val="bottom"/>
            <w:tcBorders>
              <w:bottom w:val="single" w:sz="8" w:color="CCFFCC"/>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65,998</w:t>
            </w:r>
          </w:p>
        </w:tc>
        <w:tc>
          <w:tcPr>
            <w:tcW w:w="220" w:type="dxa"/>
            <w:vAlign w:val="bottom"/>
            <w:tcBorders>
              <w:bottom w:val="single" w:sz="8" w:color="CCFFCC"/>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-39.5</w:t>
            </w:r>
          </w:p>
        </w:tc>
        <w:tc>
          <w:tcPr>
            <w:tcW w:w="140" w:type="dxa"/>
            <w:vAlign w:val="bottom"/>
            <w:tcBorders>
              <w:bottom w:val="single" w:sz="8" w:color="CCFFCC"/>
            </w:tcBorders>
          </w:tcPr>
          <w:p>
            <w:pPr>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318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color w:val="auto"/>
              </w:rPr>
              <w:t>Total assets</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2,763,250</w:t>
            </w: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2,718,080</w:t>
            </w:r>
          </w:p>
        </w:tc>
        <w:tc>
          <w:tcPr>
            <w:tcW w:w="22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2,678,717</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1.7%</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3.2%</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2,763,250</w:t>
            </w:r>
          </w:p>
        </w:tc>
        <w:tc>
          <w:tcPr>
            <w:tcW w:w="24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2,678,717</w:t>
            </w: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Invesment on securities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1,701,161</w:t>
            </w:r>
          </w:p>
        </w:tc>
        <w:tc>
          <w:tcPr>
            <w:tcW w:w="24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1,666,733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1,782,381</w:t>
            </w:r>
          </w:p>
        </w:tc>
        <w:tc>
          <w:tcPr>
            <w:tcW w:w="220" w:type="dxa"/>
            <w:vAlign w:val="bottom"/>
          </w:tcPr>
          <w:p>
            <w:pPr>
              <w:spacing w:after="0"/>
              <w:rPr>
                <w:sz w:val="12"/>
                <w:szCs w:val="12"/>
                <w:color w:val="auto"/>
              </w:rPr>
            </w:pP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2.1%</w:t>
            </w:r>
          </w:p>
        </w:tc>
        <w:tc>
          <w:tcPr>
            <w:tcW w:w="24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-4.6%</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1,701,161</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1,782,381</w:t>
            </w:r>
          </w:p>
        </w:tc>
        <w:tc>
          <w:tcPr>
            <w:tcW w:w="22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31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Technical reserves</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1,786,588</w:t>
            </w:r>
          </w:p>
        </w:tc>
        <w:tc>
          <w:tcPr>
            <w:tcW w:w="240" w:type="dxa"/>
            <w:vAlign w:val="bottom"/>
            <w:shd w:val="clear" w:color="auto" w:fill="CCFFCC"/>
          </w:tcPr>
          <w:p>
            <w:pPr>
              <w:spacing w:after="0"/>
              <w:rPr>
                <w:sz w:val="12"/>
                <w:szCs w:val="12"/>
                <w:color w:val="auto"/>
              </w:rPr>
            </w:pPr>
          </w:p>
        </w:tc>
        <w:tc>
          <w:tcPr>
            <w:tcW w:w="10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1,739,872</w:t>
            </w: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1,616,229</w:t>
            </w:r>
          </w:p>
        </w:tc>
        <w:tc>
          <w:tcPr>
            <w:tcW w:w="22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2.7%</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10.5%</w:t>
            </w:r>
          </w:p>
        </w:tc>
        <w:tc>
          <w:tcPr>
            <w:tcW w:w="10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1,786,588</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1,616,229</w:t>
            </w:r>
          </w:p>
        </w:tc>
        <w:tc>
          <w:tcPr>
            <w:tcW w:w="22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62"/>
        </w:trPr>
        <w:tc>
          <w:tcPr>
            <w:tcW w:w="3180" w:type="dxa"/>
            <w:vAlign w:val="bottom"/>
            <w:gridSpan w:val="2"/>
          </w:tcPr>
          <w:p>
            <w:pPr>
              <w:spacing w:after="0"/>
              <w:rPr>
                <w:sz w:val="20"/>
                <w:szCs w:val="20"/>
                <w:color w:val="auto"/>
              </w:rPr>
            </w:pPr>
            <w:r>
              <w:rPr>
                <w:rFonts w:ascii="Arial" w:cs="Arial" w:eastAsia="Arial" w:hAnsi="Arial"/>
                <w:sz w:val="14"/>
                <w:szCs w:val="14"/>
                <w:color w:val="auto"/>
              </w:rPr>
              <w:t>Net equity</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496,120</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501,810</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632,025</w:t>
            </w:r>
          </w:p>
        </w:tc>
        <w:tc>
          <w:tcPr>
            <w:tcW w:w="1040" w:type="dxa"/>
            <w:vAlign w:val="bottom"/>
            <w:gridSpan w:val="2"/>
          </w:tcPr>
          <w:p>
            <w:pPr>
              <w:jc w:val="right"/>
              <w:ind w:right="68"/>
              <w:spacing w:after="0"/>
              <w:rPr>
                <w:sz w:val="20"/>
                <w:szCs w:val="20"/>
                <w:color w:val="auto"/>
              </w:rPr>
            </w:pPr>
            <w:r>
              <w:rPr>
                <w:rFonts w:ascii="Arial" w:cs="Arial" w:eastAsia="Arial" w:hAnsi="Arial"/>
                <w:sz w:val="14"/>
                <w:szCs w:val="14"/>
                <w:color w:val="auto"/>
              </w:rPr>
              <w:t>-1.1%</w:t>
            </w:r>
          </w:p>
        </w:tc>
        <w:tc>
          <w:tcPr>
            <w:tcW w:w="240" w:type="dxa"/>
            <w:vAlign w:val="bottom"/>
          </w:tcPr>
          <w:p>
            <w:pPr>
              <w:spacing w:after="0"/>
              <w:rPr>
                <w:sz w:val="14"/>
                <w:szCs w:val="14"/>
                <w:color w:val="auto"/>
              </w:rPr>
            </w:pPr>
          </w:p>
        </w:tc>
        <w:tc>
          <w:tcPr>
            <w:tcW w:w="800" w:type="dxa"/>
            <w:vAlign w:val="bottom"/>
            <w:gridSpan w:val="2"/>
          </w:tcPr>
          <w:p>
            <w:pPr>
              <w:jc w:val="right"/>
              <w:ind w:right="68"/>
              <w:spacing w:after="0"/>
              <w:rPr>
                <w:sz w:val="20"/>
                <w:szCs w:val="20"/>
                <w:color w:val="auto"/>
              </w:rPr>
            </w:pPr>
            <w:r>
              <w:rPr>
                <w:rFonts w:ascii="Arial" w:cs="Arial" w:eastAsia="Arial" w:hAnsi="Arial"/>
                <w:sz w:val="14"/>
                <w:szCs w:val="14"/>
                <w:color w:val="auto"/>
              </w:rPr>
              <w:t>-21.5%</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496,120</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632,025</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20"/>
        </w:trPr>
        <w:tc>
          <w:tcPr>
            <w:tcW w:w="3180" w:type="dxa"/>
            <w:vAlign w:val="bottom"/>
            <w:gridSpan w:val="2"/>
            <w:vMerge w:val="restart"/>
            <w:shd w:val="clear" w:color="auto" w:fill="CCFFCC"/>
          </w:tcPr>
          <w:p>
            <w:pPr>
              <w:spacing w:after="0"/>
              <w:rPr>
                <w:sz w:val="20"/>
                <w:szCs w:val="20"/>
                <w:color w:val="auto"/>
              </w:rPr>
            </w:pPr>
            <w:r>
              <w:rPr>
                <w:rFonts w:ascii="Arial" w:cs="Arial" w:eastAsia="Arial" w:hAnsi="Arial"/>
                <w:sz w:val="14"/>
                <w:szCs w:val="14"/>
                <w:color w:val="auto"/>
              </w:rPr>
              <w:t>Loss ratio</w:t>
            </w: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80" w:type="dxa"/>
            <w:vAlign w:val="bottom"/>
            <w:gridSpan w:val="2"/>
            <w:vMerge w:val="continue"/>
            <w:shd w:val="clear" w:color="auto" w:fill="CCFFCC"/>
          </w:tcPr>
          <w:p>
            <w:pPr>
              <w:spacing w:after="0"/>
              <w:rPr>
                <w:sz w:val="12"/>
                <w:szCs w:val="12"/>
                <w:color w:val="auto"/>
              </w:rPr>
            </w:pPr>
          </w:p>
        </w:tc>
        <w:tc>
          <w:tcPr>
            <w:tcW w:w="102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66.9%</w:t>
            </w:r>
          </w:p>
        </w:tc>
        <w:tc>
          <w:tcPr>
            <w:tcW w:w="100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66.1%</w:t>
            </w:r>
          </w:p>
        </w:tc>
        <w:tc>
          <w:tcPr>
            <w:tcW w:w="102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62.9%</w:t>
            </w:r>
          </w:p>
        </w:tc>
        <w:tc>
          <w:tcPr>
            <w:tcW w:w="7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66.7%</w:t>
            </w:r>
          </w:p>
        </w:tc>
        <w:tc>
          <w:tcPr>
            <w:tcW w:w="100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65.9%</w:t>
            </w:r>
          </w:p>
        </w:tc>
        <w:tc>
          <w:tcPr>
            <w:tcW w:w="96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gridSpan w:val="2"/>
          </w:tcPr>
          <w:p>
            <w:pPr>
              <w:spacing w:after="0" w:line="149" w:lineRule="exact"/>
              <w:rPr>
                <w:sz w:val="20"/>
                <w:szCs w:val="20"/>
                <w:color w:val="auto"/>
              </w:rPr>
            </w:pPr>
            <w:r>
              <w:rPr>
                <w:rFonts w:ascii="Arial" w:cs="Arial" w:eastAsia="Arial" w:hAnsi="Arial"/>
                <w:sz w:val="14"/>
                <w:szCs w:val="14"/>
                <w:color w:val="auto"/>
              </w:rPr>
              <w:t>Return on equity (2)(3)(4)</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13.1%</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9.8%</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5.9%</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10.8%</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Combined ratio of PPS + PS (4)</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104.8%</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102.1%</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101.9%</w:t>
            </w:r>
          </w:p>
        </w:tc>
        <w:tc>
          <w:tcPr>
            <w:tcW w:w="78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54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105.2%</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104.9%</w:t>
            </w:r>
          </w:p>
        </w:tc>
        <w:tc>
          <w:tcPr>
            <w:tcW w:w="96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With consolidated adjustments between insurance companies and medical services.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Exclude GNR from net equity.</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Average are determined as the average of period - beginning and period ending.</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Without consolidated adjustments.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Pacifico Insurance Group reported net income before minority interest of US$ 4.2 million in 4Q13, which is -76.7% less than the US$ 18.2 million obtained in 3Q13 and -75.0% lower than the US$ 16.9 posted in 4Q12. This decline is due to a drop in the underwriting results of all businesses (PPS, EPS and PV), a decrease in financial income (in the PPS and PV businesses) and a higer level of general expenses in the Medical Subsidiaries.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decline in the underwriting result, which was situated at US$ 20.9 million (-22.0% QoQ and -38.7% YoY), is due primarily to changes in regulations for the insurance market, whose impact is seen in the last period of the year. PV was affected by lower premiums after the reform for obligatory insurance that led to the culmination of the group’s contract with AFP Prima (October 2013). PPS, on the other hand, felt the impact of more claims due to reserve adjustments after the Superintendence of Banking, Insurance and AFP (SBS) made obligatory for insurers to constitute an Unallocated loss adjustment expense (ULAE), a regulatory reserve requirements made to cover administrative expenses for claims management in the case that the insurer should cease operations. High loss ratios in the group insurance business (EPS) were the result of an increase in the number of winter-related cases that were treated, which is a seasonal effect present every 4Q.</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Underwriting expenses increased US$ 0.6 million in 4Q13, which was due primarily to an increase in premium turnover and an accounting reclassification that led this item to drop last quarter.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income totaled US$ 27.0 million in 4Q13, which falls below the US$ 33.6 million posted in 3Q13, when PPS reported extraordinary income for the sale of real estate assets (Curacao for US$ 7.7 million and Oeschle for US$ 5.3 million). Additionally, this Q lower interest was registered on fixed income and gains on sales of fixed income and equity securities at PV in 4Q13.</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General expenses posted an increase, going from US$ 48.0 million in 3Q13 to US$ 50.0 million in 4Q13. This expansion was primarily attributable to the Medical Subsidiary business and is related to expenses associated with the post-acquisition reordering process.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context, the contribution to Credicorp was US$ 4.7 million in 4Q13, which falls below the US$18.5 million reported in 3Q13 and the figure of US$16.9 million observed in 4Q12.</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1" w:name="page42"/>
    <w:bookmarkEnd w:id="41"/>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6246495</wp:posOffset>
            </wp:positionH>
            <wp:positionV relativeFrom="page">
              <wp:posOffset>568960</wp:posOffset>
            </wp:positionV>
            <wp:extent cx="1132205" cy="3086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PGA</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Net income *</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3"/>
          </w:tcPr>
          <w:p>
            <w:pPr>
              <w:ind w:left="580"/>
              <w:spacing w:after="0"/>
              <w:rPr>
                <w:sz w:val="20"/>
                <w:szCs w:val="20"/>
                <w:color w:val="auto"/>
              </w:rPr>
            </w:pPr>
            <w:r>
              <w:rPr>
                <w:rFonts w:ascii="Arial" w:cs="Arial" w:eastAsia="Arial" w:hAnsi="Arial"/>
                <w:sz w:val="14"/>
                <w:szCs w:val="14"/>
                <w:b w:val="1"/>
                <w:bCs w:val="1"/>
                <w:color w:val="auto"/>
              </w:rPr>
              <w:t>% Change</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Year ended</w:t>
            </w:r>
          </w:p>
        </w:tc>
        <w:tc>
          <w:tcPr>
            <w:tcW w:w="100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200" w:type="dxa"/>
            <w:vAlign w:val="bottom"/>
          </w:tcPr>
          <w:p>
            <w:pPr>
              <w:spacing w:after="0"/>
              <w:rPr>
                <w:sz w:val="20"/>
                <w:szCs w:val="20"/>
                <w:color w:val="auto"/>
              </w:rPr>
            </w:pPr>
            <w:r>
              <w:rPr>
                <w:rFonts w:ascii="Arial" w:cs="Arial" w:eastAsia="Arial" w:hAnsi="Arial"/>
                <w:sz w:val="14"/>
                <w:szCs w:val="14"/>
                <w:color w:val="auto"/>
              </w:rPr>
              <w:t>US$ 000</w:t>
            </w:r>
          </w:p>
        </w:tc>
        <w:tc>
          <w:tcPr>
            <w:tcW w:w="140" w:type="dxa"/>
            <w:vAlign w:val="bottom"/>
          </w:tcPr>
          <w:p>
            <w:pPr>
              <w:spacing w:after="0"/>
              <w:rPr>
                <w:sz w:val="14"/>
                <w:szCs w:val="14"/>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b w:val="1"/>
                <w:bCs w:val="1"/>
                <w:color w:val="auto"/>
              </w:rPr>
              <w:t>4T13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3T13</w:t>
            </w:r>
          </w:p>
        </w:tc>
        <w:tc>
          <w:tcPr>
            <w:tcW w:w="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4T12</w:t>
            </w:r>
          </w:p>
        </w:tc>
        <w:tc>
          <w:tcPr>
            <w:tcW w:w="220" w:type="dxa"/>
            <w:vAlign w:val="bottom"/>
          </w:tcPr>
          <w:p>
            <w:pPr>
              <w:spacing w:after="0"/>
              <w:rPr>
                <w:sz w:val="14"/>
                <w:szCs w:val="14"/>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b w:val="1"/>
                <w:bCs w:val="1"/>
                <w:color w:val="auto"/>
              </w:rPr>
              <w:t>QoQ</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jc w:val="right"/>
              <w:ind w:right="188"/>
              <w:spacing w:after="0"/>
              <w:rPr>
                <w:sz w:val="20"/>
                <w:szCs w:val="20"/>
                <w:color w:val="auto"/>
              </w:rPr>
            </w:pPr>
            <w:r>
              <w:rPr>
                <w:rFonts w:ascii="Arial" w:cs="Arial" w:eastAsia="Arial" w:hAnsi="Arial"/>
                <w:sz w:val="14"/>
                <w:szCs w:val="14"/>
                <w:b w:val="1"/>
                <w:bCs w:val="1"/>
                <w:color w:val="auto"/>
                <w:w w:val="95"/>
              </w:rPr>
              <w:t>YoY</w:t>
            </w:r>
          </w:p>
        </w:tc>
        <w:tc>
          <w:tcPr>
            <w:tcW w:w="260" w:type="dxa"/>
            <w:vAlign w:val="bottom"/>
          </w:tcPr>
          <w:p>
            <w:pPr>
              <w:spacing w:after="0"/>
              <w:rPr>
                <w:sz w:val="14"/>
                <w:szCs w:val="14"/>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Dic 13</w:t>
            </w:r>
          </w:p>
        </w:tc>
        <w:tc>
          <w:tcPr>
            <w:tcW w:w="220" w:type="dxa"/>
            <w:vAlign w:val="bottom"/>
          </w:tcPr>
          <w:p>
            <w:pPr>
              <w:spacing w:after="0"/>
              <w:rPr>
                <w:sz w:val="14"/>
                <w:szCs w:val="14"/>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rPr>
              <w:t>Dic 12</w:t>
            </w:r>
          </w:p>
        </w:tc>
        <w:tc>
          <w:tcPr>
            <w:tcW w:w="220" w:type="dxa"/>
            <w:vAlign w:val="bottom"/>
          </w:tcPr>
          <w:p>
            <w:pPr>
              <w:spacing w:after="0"/>
              <w:rPr>
                <w:sz w:val="14"/>
                <w:szCs w:val="14"/>
                <w:color w:val="auto"/>
              </w:rPr>
            </w:pPr>
          </w:p>
        </w:tc>
        <w:tc>
          <w:tcPr>
            <w:tcW w:w="10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w w:val="91"/>
              </w:rPr>
              <w:t>Dic 13 / Dic 12</w:t>
            </w:r>
          </w:p>
        </w:tc>
        <w:tc>
          <w:tcPr>
            <w:tcW w:w="0" w:type="dxa"/>
            <w:vAlign w:val="bottom"/>
          </w:tcPr>
          <w:p>
            <w:pPr>
              <w:spacing w:after="0"/>
              <w:rPr>
                <w:sz w:val="1"/>
                <w:szCs w:val="1"/>
                <w:color w:val="auto"/>
              </w:rPr>
            </w:pPr>
          </w:p>
        </w:tc>
      </w:tr>
      <w:tr>
        <w:trPr>
          <w:trHeight w:val="20"/>
        </w:trPr>
        <w:tc>
          <w:tcPr>
            <w:tcW w:w="32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12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PPS</w:t>
            </w:r>
          </w:p>
        </w:tc>
        <w:tc>
          <w:tcPr>
            <w:tcW w:w="140" w:type="dxa"/>
            <w:vAlign w:val="bottom"/>
            <w:vMerge w:val="continue"/>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2,488</w:t>
            </w:r>
          </w:p>
        </w:tc>
        <w:tc>
          <w:tcPr>
            <w:tcW w:w="100" w:type="dxa"/>
            <w:vAlign w:val="bottom"/>
            <w:vMerge w:val="continue"/>
            <w:shd w:val="clear" w:color="auto" w:fill="CCFFCC"/>
          </w:tcPr>
          <w:p>
            <w:pPr>
              <w:spacing w:after="0"/>
              <w:rPr>
                <w:sz w:val="12"/>
                <w:szCs w:val="12"/>
                <w:color w:val="auto"/>
              </w:rPr>
            </w:pPr>
          </w:p>
        </w:tc>
        <w:tc>
          <w:tcPr>
            <w:tcW w:w="120" w:type="dxa"/>
            <w:vAlign w:val="bottom"/>
            <w:vMerge w:val="continue"/>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7,581</w:t>
            </w:r>
          </w:p>
        </w:tc>
        <w:tc>
          <w:tcPr>
            <w:tcW w:w="220" w:type="dxa"/>
            <w:vAlign w:val="bottom"/>
            <w:vMerge w:val="continue"/>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4,911</w:t>
            </w:r>
          </w:p>
        </w:tc>
        <w:tc>
          <w:tcPr>
            <w:tcW w:w="220" w:type="dxa"/>
            <w:vAlign w:val="bottom"/>
            <w:vMerge w:val="continue"/>
            <w:shd w:val="clear" w:color="auto" w:fill="CCFFCC"/>
          </w:tcPr>
          <w:p>
            <w:pPr>
              <w:spacing w:after="0"/>
              <w:rPr>
                <w:sz w:val="12"/>
                <w:szCs w:val="12"/>
                <w:color w:val="auto"/>
              </w:rPr>
            </w:pPr>
          </w:p>
        </w:tc>
        <w:tc>
          <w:tcPr>
            <w:tcW w:w="104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-67.2%</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-49.3%</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-1,387</w:t>
            </w:r>
          </w:p>
        </w:tc>
        <w:tc>
          <w:tcPr>
            <w:tcW w:w="220" w:type="dxa"/>
            <w:vAlign w:val="bottom"/>
            <w:vMerge w:val="continue"/>
            <w:shd w:val="clear" w:color="auto" w:fill="CCFFCC"/>
          </w:tcPr>
          <w:p>
            <w:pPr>
              <w:spacing w:after="0"/>
              <w:rPr>
                <w:sz w:val="12"/>
                <w:szCs w:val="12"/>
                <w:color w:val="auto"/>
              </w:rPr>
            </w:pP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13,740</w:t>
            </w:r>
          </w:p>
        </w:tc>
        <w:tc>
          <w:tcPr>
            <w:tcW w:w="220" w:type="dxa"/>
            <w:vAlign w:val="bottom"/>
            <w:vMerge w:val="continue"/>
            <w:shd w:val="clear" w:color="auto" w:fill="CCFFCC"/>
          </w:tcPr>
          <w:p>
            <w:pPr>
              <w:spacing w:after="0"/>
              <w:rPr>
                <w:sz w:val="12"/>
                <w:szCs w:val="12"/>
                <w:color w:val="auto"/>
              </w:rPr>
            </w:pPr>
          </w:p>
        </w:tc>
        <w:tc>
          <w:tcPr>
            <w:tcW w:w="100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-110.1%</w:t>
            </w: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PV</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7,713</w:t>
            </w:r>
          </w:p>
        </w:tc>
        <w:tc>
          <w:tcPr>
            <w:tcW w:w="11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13,827</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16,890</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-44.2%</w:t>
            </w:r>
          </w:p>
        </w:tc>
        <w:tc>
          <w:tcPr>
            <w:tcW w:w="24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-54.3%</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50,302</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59,645</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62"/>
        </w:trPr>
        <w:tc>
          <w:tcPr>
            <w:tcW w:w="33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EPS **</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-5,372</w:t>
            </w:r>
          </w:p>
        </w:tc>
        <w:tc>
          <w:tcPr>
            <w:tcW w:w="1120" w:type="dxa"/>
            <w:vAlign w:val="bottom"/>
            <w:gridSpan w:val="3"/>
            <w:shd w:val="clear" w:color="auto" w:fill="CCFFCC"/>
          </w:tcPr>
          <w:p>
            <w:pPr>
              <w:jc w:val="right"/>
              <w:ind w:right="220"/>
              <w:spacing w:after="0"/>
              <w:rPr>
                <w:sz w:val="20"/>
                <w:szCs w:val="20"/>
                <w:color w:val="auto"/>
              </w:rPr>
            </w:pPr>
            <w:r>
              <w:rPr>
                <w:rFonts w:ascii="Arial" w:cs="Arial" w:eastAsia="Arial" w:hAnsi="Arial"/>
                <w:sz w:val="14"/>
                <w:szCs w:val="14"/>
                <w:color w:val="auto"/>
              </w:rPr>
              <w:t>401</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-4,574</w:t>
            </w:r>
          </w:p>
        </w:tc>
        <w:tc>
          <w:tcPr>
            <w:tcW w:w="104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-1439.9%</w:t>
            </w:r>
          </w:p>
        </w:tc>
        <w:tc>
          <w:tcPr>
            <w:tcW w:w="24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17.4%</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-4,672</w:t>
            </w:r>
          </w:p>
        </w:tc>
        <w:tc>
          <w:tcPr>
            <w:tcW w:w="10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-5,717</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42"/>
        </w:trPr>
        <w:tc>
          <w:tcPr>
            <w:tcW w:w="3340" w:type="dxa"/>
            <w:vAlign w:val="bottom"/>
            <w:tcBorders>
              <w:bottom w:val="single" w:sz="8" w:color="CCFFCC"/>
            </w:tcBorders>
            <w:gridSpan w:val="2"/>
          </w:tcPr>
          <w:p>
            <w:pPr>
              <w:spacing w:after="0" w:line="142" w:lineRule="exact"/>
              <w:rPr>
                <w:sz w:val="20"/>
                <w:szCs w:val="20"/>
                <w:color w:val="auto"/>
              </w:rPr>
            </w:pPr>
            <w:r>
              <w:rPr>
                <w:rFonts w:ascii="Arial" w:cs="Arial" w:eastAsia="Arial" w:hAnsi="Arial"/>
                <w:sz w:val="14"/>
                <w:szCs w:val="14"/>
                <w:b w:val="1"/>
                <w:bCs w:val="1"/>
                <w:color w:val="auto"/>
              </w:rPr>
              <w:t>PGA</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4,243</w:t>
            </w:r>
          </w:p>
        </w:tc>
        <w:tc>
          <w:tcPr>
            <w:tcW w:w="100" w:type="dxa"/>
            <w:vAlign w:val="bottom"/>
            <w:tcBorders>
              <w:bottom w:val="single" w:sz="8" w:color="CCFFCC"/>
            </w:tcBorders>
          </w:tcPr>
          <w:p>
            <w:pPr>
              <w:spacing w:after="0"/>
              <w:rPr>
                <w:sz w:val="12"/>
                <w:szCs w:val="12"/>
                <w:color w:val="auto"/>
              </w:rPr>
            </w:pPr>
          </w:p>
        </w:tc>
        <w:tc>
          <w:tcPr>
            <w:tcW w:w="120" w:type="dxa"/>
            <w:vAlign w:val="bottom"/>
            <w:tcBorders>
              <w:bottom w:val="single" w:sz="8" w:color="CCFFC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18,176</w:t>
            </w:r>
          </w:p>
        </w:tc>
        <w:tc>
          <w:tcPr>
            <w:tcW w:w="220" w:type="dxa"/>
            <w:vAlign w:val="bottom"/>
            <w:tcBorders>
              <w:bottom w:val="single" w:sz="8" w:color="CCFFC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16,941</w:t>
            </w:r>
          </w:p>
        </w:tc>
        <w:tc>
          <w:tcPr>
            <w:tcW w:w="220" w:type="dxa"/>
            <w:vAlign w:val="bottom"/>
            <w:tcBorders>
              <w:bottom w:val="single" w:sz="8" w:color="CCFFC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-76.7</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2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-75.0</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39,336</w:t>
            </w:r>
          </w:p>
        </w:tc>
        <w:tc>
          <w:tcPr>
            <w:tcW w:w="220" w:type="dxa"/>
            <w:vAlign w:val="bottom"/>
            <w:tcBorders>
              <w:bottom w:val="single" w:sz="8" w:color="CCFFCC"/>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67,079</w:t>
            </w:r>
          </w:p>
        </w:tc>
        <w:tc>
          <w:tcPr>
            <w:tcW w:w="220" w:type="dxa"/>
            <w:vAlign w:val="bottom"/>
            <w:tcBorders>
              <w:bottom w:val="single" w:sz="8" w:color="CCFFCC"/>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-41.4</w:t>
            </w:r>
          </w:p>
        </w:tc>
        <w:tc>
          <w:tcPr>
            <w:tcW w:w="120" w:type="dxa"/>
            <w:vAlign w:val="bottom"/>
            <w:tcBorders>
              <w:bottom w:val="single" w:sz="8" w:color="CCFFCC"/>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334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color w:val="auto"/>
              </w:rPr>
              <w:t>Adjustment for consolidation</w:t>
            </w:r>
          </w:p>
        </w:tc>
        <w:tc>
          <w:tcPr>
            <w:tcW w:w="7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480</w:t>
            </w: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282</w:t>
            </w:r>
          </w:p>
        </w:tc>
        <w:tc>
          <w:tcPr>
            <w:tcW w:w="220" w:type="dxa"/>
            <w:vAlign w:val="bottom"/>
            <w:shd w:val="clear" w:color="auto" w:fill="CCFFCC"/>
          </w:tcPr>
          <w:p>
            <w:pPr>
              <w:spacing w:after="0"/>
              <w:rPr>
                <w:sz w:val="12"/>
                <w:szCs w:val="12"/>
                <w:color w:val="auto"/>
              </w:rPr>
            </w:pPr>
          </w:p>
        </w:tc>
        <w:tc>
          <w:tcPr>
            <w:tcW w:w="7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-46</w:t>
            </w:r>
          </w:p>
        </w:tc>
        <w:tc>
          <w:tcPr>
            <w:tcW w:w="220" w:type="dxa"/>
            <w:vAlign w:val="bottom"/>
            <w:shd w:val="clear" w:color="auto" w:fill="CCFFCC"/>
          </w:tcPr>
          <w:p>
            <w:pPr>
              <w:spacing w:after="0"/>
              <w:rPr>
                <w:sz w:val="12"/>
                <w:szCs w:val="12"/>
                <w:color w:val="auto"/>
              </w:rPr>
            </w:pPr>
          </w:p>
        </w:tc>
        <w:tc>
          <w:tcPr>
            <w:tcW w:w="7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FFCC"/>
          </w:tcPr>
          <w:p>
            <w:pPr>
              <w:spacing w:after="0"/>
              <w:rPr>
                <w:sz w:val="12"/>
                <w:szCs w:val="12"/>
                <w:color w:val="auto"/>
              </w:rPr>
            </w:pPr>
          </w:p>
        </w:tc>
        <w:tc>
          <w:tcPr>
            <w:tcW w:w="240" w:type="dxa"/>
            <w:vAlign w:val="bottom"/>
            <w:tcBorders>
              <w:bottom w:val="single" w:sz="8" w:color="auto"/>
            </w:tcBorders>
            <w:shd w:val="clear" w:color="auto" w:fill="CCFFCC"/>
          </w:tcPr>
          <w:p>
            <w:pPr>
              <w:spacing w:after="0"/>
              <w:rPr>
                <w:sz w:val="12"/>
                <w:szCs w:val="12"/>
                <w:color w:val="auto"/>
              </w:rPr>
            </w:pPr>
          </w:p>
        </w:tc>
        <w:tc>
          <w:tcPr>
            <w:tcW w:w="54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FFCC"/>
          </w:tcPr>
          <w:p>
            <w:pPr>
              <w:spacing w:after="0"/>
              <w:rPr>
                <w:sz w:val="12"/>
                <w:szCs w:val="12"/>
                <w:color w:val="auto"/>
              </w:rPr>
            </w:pPr>
          </w:p>
        </w:tc>
        <w:tc>
          <w:tcPr>
            <w:tcW w:w="7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563</w:t>
            </w:r>
          </w:p>
        </w:tc>
        <w:tc>
          <w:tcPr>
            <w:tcW w:w="220" w:type="dxa"/>
            <w:vAlign w:val="bottom"/>
            <w:shd w:val="clear" w:color="auto" w:fill="CCFFCC"/>
          </w:tcPr>
          <w:p>
            <w:pPr>
              <w:spacing w:after="0"/>
              <w:rPr>
                <w:sz w:val="12"/>
                <w:szCs w:val="12"/>
                <w:color w:val="auto"/>
              </w:rPr>
            </w:pPr>
          </w:p>
        </w:tc>
        <w:tc>
          <w:tcPr>
            <w:tcW w:w="7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-1,081</w:t>
            </w:r>
          </w:p>
        </w:tc>
        <w:tc>
          <w:tcPr>
            <w:tcW w:w="220" w:type="dxa"/>
            <w:vAlign w:val="bottom"/>
            <w:shd w:val="clear" w:color="auto" w:fill="CCFFCC"/>
          </w:tcPr>
          <w:p>
            <w:pPr>
              <w:spacing w:after="0"/>
              <w:rPr>
                <w:sz w:val="12"/>
                <w:szCs w:val="12"/>
                <w:color w:val="auto"/>
              </w:rPr>
            </w:pPr>
          </w:p>
        </w:tc>
        <w:tc>
          <w:tcPr>
            <w:tcW w:w="8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34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Contribution to Credicorp</w:t>
            </w:r>
          </w:p>
        </w:tc>
        <w:tc>
          <w:tcPr>
            <w:tcW w:w="78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4,723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18,458</w:t>
            </w:r>
          </w:p>
        </w:tc>
        <w:tc>
          <w:tcPr>
            <w:tcW w:w="22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16,895</w:t>
            </w:r>
          </w:p>
        </w:tc>
        <w:tc>
          <w:tcPr>
            <w:tcW w:w="22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-74.4</w:t>
            </w:r>
          </w:p>
        </w:tc>
        <w:tc>
          <w:tcPr>
            <w:tcW w:w="260" w:type="dxa"/>
            <w:vAlign w:val="bottom"/>
          </w:tcPr>
          <w:p>
            <w:pPr>
              <w:jc w:val="right"/>
              <w:ind w:right="48"/>
              <w:spacing w:after="0" w:line="157" w:lineRule="exact"/>
              <w:rPr>
                <w:sz w:val="20"/>
                <w:szCs w:val="20"/>
                <w:color w:val="auto"/>
              </w:rPr>
            </w:pPr>
            <w:r>
              <w:rPr>
                <w:rFonts w:ascii="Arial" w:cs="Arial" w:eastAsia="Arial" w:hAnsi="Arial"/>
                <w:sz w:val="14"/>
                <w:szCs w:val="14"/>
                <w:b w:val="1"/>
                <w:bCs w:val="1"/>
                <w:color w:val="auto"/>
                <w:w w:val="96"/>
              </w:rPr>
              <w:t>%</w:t>
            </w:r>
          </w:p>
        </w:tc>
        <w:tc>
          <w:tcPr>
            <w:tcW w:w="240" w:type="dxa"/>
            <w:vAlign w:val="bottom"/>
          </w:tcPr>
          <w:p>
            <w:pPr>
              <w:spacing w:after="0"/>
              <w:rPr>
                <w:sz w:val="13"/>
                <w:szCs w:val="13"/>
                <w:color w:val="auto"/>
              </w:rPr>
            </w:pPr>
          </w:p>
        </w:tc>
        <w:tc>
          <w:tcPr>
            <w:tcW w:w="54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-72.0</w:t>
            </w:r>
          </w:p>
        </w:tc>
        <w:tc>
          <w:tcPr>
            <w:tcW w:w="260" w:type="dxa"/>
            <w:vAlign w:val="bottom"/>
          </w:tcPr>
          <w:p>
            <w:pPr>
              <w:jc w:val="right"/>
              <w:ind w:right="48"/>
              <w:spacing w:after="0" w:line="157" w:lineRule="exact"/>
              <w:rPr>
                <w:sz w:val="20"/>
                <w:szCs w:val="20"/>
                <w:color w:val="auto"/>
              </w:rPr>
            </w:pPr>
            <w:r>
              <w:rPr>
                <w:rFonts w:ascii="Arial" w:cs="Arial" w:eastAsia="Arial" w:hAnsi="Arial"/>
                <w:sz w:val="14"/>
                <w:szCs w:val="14"/>
                <w:b w:val="1"/>
                <w:bCs w:val="1"/>
                <w:color w:val="auto"/>
                <w:w w:val="96"/>
              </w:rPr>
              <w:t>%</w:t>
            </w:r>
          </w:p>
        </w:tc>
        <w:tc>
          <w:tcPr>
            <w:tcW w:w="78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39,899</w:t>
            </w:r>
          </w:p>
        </w:tc>
        <w:tc>
          <w:tcPr>
            <w:tcW w:w="22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65,998</w:t>
            </w:r>
          </w:p>
        </w:tc>
        <w:tc>
          <w:tcPr>
            <w:tcW w:w="22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-39.5</w:t>
            </w:r>
          </w:p>
        </w:tc>
        <w:tc>
          <w:tcPr>
            <w:tcW w:w="120" w:type="dxa"/>
            <w:vAlign w:val="bottom"/>
          </w:tcPr>
          <w:p>
            <w:pPr>
              <w:jc w:val="right"/>
              <w:spacing w:after="0" w:line="157"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-8890</wp:posOffset>
            </wp:positionV>
            <wp:extent cx="50596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05968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 Before minoritary interest.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Medical subsidiaries results.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earnings obtained in 2013 are -41.4% below thus obtained last year (US$ 39.3 million versus US$ 67.1 million in 2012). This result is due to: (i) the increase posted in the net loss ratio in Property and Casualty insurance (+5.9 pp) due to higher costs for claims processing in the Car Insurance Line and to a lesser extent in the Personal Lines; (ii) the 11.3% increase in general expenses (US$ 194.5 million versus US$ 174.8 million in 2012) due to growth in Medical Subsidiaries as well as higher expenses in the Property and Casualty business (growth in new channels and system development); (iii) the translation effect that generated a variation of –206.8% (US$ -7.9 million against US$7.4 million in 2012); and finally, (iv) the effect of reserves adjustments due to the ULAE regulatory requirement US$5.3 million mentioned above.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terms of premium turnover, PGA reported direct premiums of US$ 1,136 million and net earned premiums for US$ 807.5 million, which represent an increase of 11.5% respectively with regard to 2012. This growth in turnover was evident in three businesses: PPS (US$ 50.7 million), EPS (US$ 31.7 million) and PVIDA (US$ 32.4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Pacifico Property and Casualty (PPS)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PPS reported net earnings of US$ 2.5 million (-67.2% QoQ) due to a lower underwriting result (-US$ 3.2 million QoQ), lower financial income (-US$ 4.2 million QoQ) and lower miscellaneous income (-US$ 2.3 million QoQ). These results were offset by a decrease in general expenses (-US$ 2.2 million QoQ) due to lower expenses for salaries and employee benefits due to the reversal of provisions for annual bonuses as well as a decrease in income tax paid (-US$ 2.1 million QoQ).</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underwriting result reported a drop of -17.6% QoQ that was due primarily to an increase in the loss ratio (+4.4%) in the car insurance line due to an increase in IBNR reserves (incurred but not reported) of US$ 1.0 million in 4Q13 and the fact that ULAE reserves were set aside in 4Q13 (US$ 1.2 million). This Q, the underwriting result posted an increase over last quarter’s result (+US$ 2.9 million) due to higher premium turnover and the fact that an accounting reclassification was made last Q that reduced this account’s amount.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income fell given that in 3Q13, extraordinary income was reported for the sale of real estate assets (Curacao for US$ 7.7 million and Oeschle for US$ 5.3 million) despite the fact that in 4Q13, shares in Inversiones Centenario were sold (US$ 8.2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Finally, miscellaneous expenses totaled US$ 1.7 million. This amount was attributable primarily to charge-offs associated with intangibles relative to discontinued information and technology projects.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Below, we describe the results of the business lines for Property and Casualty insurance: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Underwriting Result by Business Unit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17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4Q13</w:t>
            </w:r>
          </w:p>
        </w:tc>
        <w:tc>
          <w:tcPr>
            <w:tcW w:w="58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1"/>
                <w:szCs w:val="11"/>
                <w:b w:val="1"/>
                <w:bCs w:val="1"/>
                <w:color w:val="auto"/>
              </w:rPr>
              <w:t>3Q13</w:t>
            </w:r>
          </w:p>
        </w:tc>
        <w:tc>
          <w:tcPr>
            <w:tcW w:w="58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1"/>
                <w:szCs w:val="11"/>
                <w:b w:val="1"/>
                <w:bCs w:val="1"/>
                <w:color w:val="auto"/>
              </w:rPr>
              <w:t>4Q12</w:t>
            </w:r>
          </w:p>
        </w:tc>
        <w:tc>
          <w:tcPr>
            <w:tcW w:w="64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gridSpan w:val="2"/>
          </w:tcPr>
          <w:p>
            <w:pPr>
              <w:jc w:val="center"/>
              <w:ind w:right="180"/>
              <w:spacing w:after="0" w:line="102" w:lineRule="exact"/>
              <w:rPr>
                <w:sz w:val="20"/>
                <w:szCs w:val="20"/>
                <w:color w:val="auto"/>
              </w:rPr>
            </w:pPr>
            <w:r>
              <w:rPr>
                <w:rFonts w:ascii="Arial" w:cs="Arial" w:eastAsia="Arial" w:hAnsi="Arial"/>
                <w:sz w:val="11"/>
                <w:szCs w:val="11"/>
                <w:b w:val="1"/>
                <w:bCs w:val="1"/>
                <w:color w:val="auto"/>
                <w:w w:val="92"/>
              </w:rPr>
              <w:t>Private</w:t>
            </w: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w w:val="92"/>
              </w:rPr>
              <w:t>Private</w:t>
            </w: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gridSpan w:val="2"/>
          </w:tcPr>
          <w:p>
            <w:pPr>
              <w:jc w:val="center"/>
              <w:ind w:right="180"/>
              <w:spacing w:after="0" w:line="102" w:lineRule="exact"/>
              <w:rPr>
                <w:sz w:val="20"/>
                <w:szCs w:val="20"/>
                <w:color w:val="auto"/>
              </w:rPr>
            </w:pPr>
            <w:r>
              <w:rPr>
                <w:rFonts w:ascii="Arial" w:cs="Arial" w:eastAsia="Arial" w:hAnsi="Arial"/>
                <w:sz w:val="11"/>
                <w:szCs w:val="11"/>
                <w:b w:val="1"/>
                <w:bCs w:val="1"/>
                <w:color w:val="auto"/>
                <w:w w:val="92"/>
              </w:rPr>
              <w:t>Private</w:t>
            </w: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w w:val="92"/>
              </w:rPr>
              <w:t>Underwriting Result by Business Unit</w:t>
            </w:r>
          </w:p>
        </w:tc>
        <w:tc>
          <w:tcPr>
            <w:tcW w:w="780" w:type="dxa"/>
            <w:vAlign w:val="bottom"/>
            <w:gridSpan w:val="2"/>
          </w:tcPr>
          <w:p>
            <w:pPr>
              <w:jc w:val="right"/>
              <w:ind w:right="320"/>
              <w:spacing w:after="0" w:line="122" w:lineRule="exact"/>
              <w:rPr>
                <w:sz w:val="20"/>
                <w:szCs w:val="20"/>
                <w:color w:val="auto"/>
              </w:rPr>
            </w:pPr>
            <w:r>
              <w:rPr>
                <w:rFonts w:ascii="Arial" w:cs="Arial" w:eastAsia="Arial" w:hAnsi="Arial"/>
                <w:sz w:val="11"/>
                <w:szCs w:val="11"/>
                <w:b w:val="1"/>
                <w:bCs w:val="1"/>
                <w:color w:val="auto"/>
              </w:rPr>
              <w:t>Vehicle</w:t>
            </w:r>
          </w:p>
        </w:tc>
        <w:tc>
          <w:tcPr>
            <w:tcW w:w="84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5"/>
              </w:rPr>
              <w:t>Health</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TOTAL</w:t>
            </w:r>
          </w:p>
        </w:tc>
        <w:tc>
          <w:tcPr>
            <w:tcW w:w="840" w:type="dxa"/>
            <w:vAlign w:val="bottom"/>
            <w:gridSpan w:val="2"/>
          </w:tcPr>
          <w:p>
            <w:pPr>
              <w:jc w:val="right"/>
              <w:ind w:right="360"/>
              <w:spacing w:after="0" w:line="122" w:lineRule="exact"/>
              <w:rPr>
                <w:sz w:val="20"/>
                <w:szCs w:val="20"/>
                <w:color w:val="auto"/>
              </w:rPr>
            </w:pPr>
            <w:r>
              <w:rPr>
                <w:rFonts w:ascii="Arial" w:cs="Arial" w:eastAsia="Arial" w:hAnsi="Arial"/>
                <w:sz w:val="11"/>
                <w:szCs w:val="11"/>
                <w:b w:val="1"/>
                <w:bCs w:val="1"/>
                <w:color w:val="auto"/>
              </w:rPr>
              <w:t>Vehicle</w:t>
            </w:r>
          </w:p>
        </w:tc>
        <w:tc>
          <w:tcPr>
            <w:tcW w:w="8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Health</w:t>
            </w: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TOTAL</w:t>
            </w:r>
          </w:p>
        </w:tc>
        <w:tc>
          <w:tcPr>
            <w:tcW w:w="860" w:type="dxa"/>
            <w:vAlign w:val="bottom"/>
            <w:gridSpan w:val="2"/>
          </w:tcPr>
          <w:p>
            <w:pPr>
              <w:jc w:val="right"/>
              <w:ind w:right="360"/>
              <w:spacing w:after="0" w:line="122" w:lineRule="exact"/>
              <w:rPr>
                <w:sz w:val="20"/>
                <w:szCs w:val="20"/>
                <w:color w:val="auto"/>
              </w:rPr>
            </w:pPr>
            <w:r>
              <w:rPr>
                <w:rFonts w:ascii="Arial" w:cs="Arial" w:eastAsia="Arial" w:hAnsi="Arial"/>
                <w:sz w:val="11"/>
                <w:szCs w:val="11"/>
                <w:b w:val="1"/>
                <w:bCs w:val="1"/>
                <w:color w:val="auto"/>
              </w:rPr>
              <w:t>Vehicle</w:t>
            </w:r>
          </w:p>
        </w:tc>
        <w:tc>
          <w:tcPr>
            <w:tcW w:w="84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5"/>
              </w:rPr>
              <w:t>Health</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5"/>
        </w:trPr>
        <w:tc>
          <w:tcPr>
            <w:tcW w:w="1840" w:type="dxa"/>
            <w:vAlign w:val="bottom"/>
            <w:gridSpan w:val="2"/>
          </w:tcPr>
          <w:p>
            <w:pPr>
              <w:spacing w:after="0"/>
              <w:rPr>
                <w:sz w:val="20"/>
                <w:szCs w:val="20"/>
                <w:color w:val="auto"/>
              </w:rPr>
            </w:pPr>
            <w:r>
              <w:rPr>
                <w:rFonts w:ascii="Arial" w:cs="Arial" w:eastAsia="Arial" w:hAnsi="Arial"/>
                <w:sz w:val="11"/>
                <w:szCs w:val="11"/>
                <w:color w:val="auto"/>
              </w:rPr>
              <w:t>US$ million</w:t>
            </w:r>
          </w:p>
        </w:tc>
        <w:tc>
          <w:tcPr>
            <w:tcW w:w="78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96"/>
              </w:rPr>
              <w:t>Insurance</w:t>
            </w:r>
          </w:p>
        </w:tc>
        <w:tc>
          <w:tcPr>
            <w:tcW w:w="8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Insurance</w:t>
            </w:r>
          </w:p>
        </w:tc>
        <w:tc>
          <w:tcPr>
            <w:tcW w:w="78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P&amp;C</w:t>
            </w:r>
          </w:p>
        </w:tc>
        <w:tc>
          <w:tcPr>
            <w:tcW w:w="800" w:type="dxa"/>
            <w:vAlign w:val="bottom"/>
            <w:gridSpan w:val="2"/>
          </w:tcPr>
          <w:p>
            <w:pPr>
              <w:ind w:left="200"/>
              <w:spacing w:after="0"/>
              <w:rPr>
                <w:sz w:val="20"/>
                <w:szCs w:val="20"/>
                <w:color w:val="auto"/>
              </w:rPr>
            </w:pPr>
            <w:r>
              <w:rPr>
                <w:rFonts w:ascii="Arial" w:cs="Arial" w:eastAsia="Arial" w:hAnsi="Arial"/>
                <w:sz w:val="11"/>
                <w:szCs w:val="11"/>
                <w:b w:val="1"/>
                <w:bCs w:val="1"/>
                <w:color w:val="auto"/>
              </w:rPr>
              <w:t>PPS</w:t>
            </w:r>
          </w:p>
        </w:tc>
        <w:tc>
          <w:tcPr>
            <w:tcW w:w="84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Insurance</w:t>
            </w:r>
          </w:p>
        </w:tc>
        <w:tc>
          <w:tcPr>
            <w:tcW w:w="8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Insurance</w:t>
            </w:r>
          </w:p>
        </w:tc>
        <w:tc>
          <w:tcPr>
            <w:tcW w:w="800" w:type="dxa"/>
            <w:vAlign w:val="bottom"/>
            <w:gridSpan w:val="2"/>
          </w:tcPr>
          <w:p>
            <w:pPr>
              <w:ind w:left="180"/>
              <w:spacing w:after="0"/>
              <w:rPr>
                <w:sz w:val="20"/>
                <w:szCs w:val="20"/>
                <w:color w:val="auto"/>
              </w:rPr>
            </w:pPr>
            <w:r>
              <w:rPr>
                <w:rFonts w:ascii="Arial" w:cs="Arial" w:eastAsia="Arial" w:hAnsi="Arial"/>
                <w:sz w:val="11"/>
                <w:szCs w:val="11"/>
                <w:b w:val="1"/>
                <w:bCs w:val="1"/>
                <w:color w:val="auto"/>
              </w:rPr>
              <w:t>P&amp;C</w:t>
            </w:r>
          </w:p>
        </w:tc>
        <w:tc>
          <w:tcPr>
            <w:tcW w:w="820" w:type="dxa"/>
            <w:vAlign w:val="bottom"/>
            <w:gridSpan w:val="2"/>
          </w:tcPr>
          <w:p>
            <w:pPr>
              <w:ind w:left="220"/>
              <w:spacing w:after="0"/>
              <w:rPr>
                <w:sz w:val="20"/>
                <w:szCs w:val="20"/>
                <w:color w:val="auto"/>
              </w:rPr>
            </w:pPr>
            <w:r>
              <w:rPr>
                <w:rFonts w:ascii="Arial" w:cs="Arial" w:eastAsia="Arial" w:hAnsi="Arial"/>
                <w:sz w:val="11"/>
                <w:szCs w:val="11"/>
                <w:b w:val="1"/>
                <w:bCs w:val="1"/>
                <w:color w:val="auto"/>
              </w:rPr>
              <w:t>PPS</w:t>
            </w:r>
          </w:p>
        </w:tc>
        <w:tc>
          <w:tcPr>
            <w:tcW w:w="86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Insurance</w:t>
            </w:r>
          </w:p>
        </w:tc>
        <w:tc>
          <w:tcPr>
            <w:tcW w:w="8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Insurance</w:t>
            </w:r>
          </w:p>
        </w:tc>
        <w:tc>
          <w:tcPr>
            <w:tcW w:w="840" w:type="dxa"/>
            <w:vAlign w:val="bottom"/>
            <w:gridSpan w:val="2"/>
          </w:tcPr>
          <w:p>
            <w:pPr>
              <w:ind w:left="200"/>
              <w:spacing w:after="0"/>
              <w:rPr>
                <w:sz w:val="20"/>
                <w:szCs w:val="20"/>
                <w:color w:val="auto"/>
              </w:rPr>
            </w:pPr>
            <w:r>
              <w:rPr>
                <w:rFonts w:ascii="Arial" w:cs="Arial" w:eastAsia="Arial" w:hAnsi="Arial"/>
                <w:sz w:val="11"/>
                <w:szCs w:val="11"/>
                <w:b w:val="1"/>
                <w:bCs w:val="1"/>
                <w:color w:val="auto"/>
              </w:rPr>
              <w:t>P&amp;C</w:t>
            </w:r>
          </w:p>
        </w:tc>
        <w:tc>
          <w:tcPr>
            <w:tcW w:w="520" w:type="dxa"/>
            <w:vAlign w:val="bottom"/>
            <w:gridSpan w:val="2"/>
          </w:tcPr>
          <w:p>
            <w:pPr>
              <w:ind w:left="100"/>
              <w:spacing w:after="0"/>
              <w:rPr>
                <w:sz w:val="20"/>
                <w:szCs w:val="20"/>
                <w:color w:val="auto"/>
              </w:rPr>
            </w:pPr>
            <w:r>
              <w:rPr>
                <w:rFonts w:ascii="Arial" w:cs="Arial" w:eastAsia="Arial" w:hAnsi="Arial"/>
                <w:sz w:val="11"/>
                <w:szCs w:val="11"/>
                <w:b w:val="1"/>
                <w:bCs w:val="1"/>
                <w:color w:val="auto"/>
              </w:rPr>
              <w:t>PPS</w:t>
            </w:r>
          </w:p>
        </w:tc>
        <w:tc>
          <w:tcPr>
            <w:tcW w:w="0" w:type="dxa"/>
            <w:vAlign w:val="bottom"/>
          </w:tcPr>
          <w:p>
            <w:pPr>
              <w:spacing w:after="0"/>
              <w:rPr>
                <w:sz w:val="1"/>
                <w:szCs w:val="1"/>
                <w:color w:val="auto"/>
              </w:rPr>
            </w:pPr>
          </w:p>
        </w:tc>
      </w:tr>
      <w:tr>
        <w:trPr>
          <w:trHeight w:val="115"/>
        </w:trPr>
        <w:tc>
          <w:tcPr>
            <w:tcW w:w="1760" w:type="dxa"/>
            <w:vAlign w:val="bottom"/>
            <w:tcBorders>
              <w:top w:val="single" w:sz="8" w:color="auto"/>
            </w:tcBorders>
            <w:shd w:val="clear" w:color="auto" w:fill="CCFFCC"/>
          </w:tcPr>
          <w:p>
            <w:pPr>
              <w:spacing w:after="0" w:line="115" w:lineRule="exact"/>
              <w:rPr>
                <w:sz w:val="20"/>
                <w:szCs w:val="20"/>
                <w:color w:val="auto"/>
              </w:rPr>
            </w:pPr>
            <w:r>
              <w:rPr>
                <w:rFonts w:ascii="Arial" w:cs="Arial" w:eastAsia="Arial" w:hAnsi="Arial"/>
                <w:sz w:val="11"/>
                <w:szCs w:val="11"/>
                <w:color w:val="auto"/>
              </w:rPr>
              <w:t>Net earned premiums</w:t>
            </w:r>
          </w:p>
        </w:tc>
        <w:tc>
          <w:tcPr>
            <w:tcW w:w="80" w:type="dxa"/>
            <w:vAlign w:val="bottom"/>
            <w:tcBorders>
              <w:top w:val="single" w:sz="8" w:color="CCFFCC"/>
            </w:tcBorders>
            <w:shd w:val="clear" w:color="auto" w:fill="CCFFCC"/>
          </w:tcPr>
          <w:p>
            <w:pPr>
              <w:spacing w:after="0"/>
              <w:rPr>
                <w:sz w:val="10"/>
                <w:szCs w:val="10"/>
                <w:color w:val="auto"/>
              </w:rPr>
            </w:pPr>
          </w:p>
        </w:tc>
        <w:tc>
          <w:tcPr>
            <w:tcW w:w="60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31.6</w:t>
            </w:r>
          </w:p>
        </w:tc>
        <w:tc>
          <w:tcPr>
            <w:tcW w:w="180" w:type="dxa"/>
            <w:vAlign w:val="bottom"/>
            <w:tcBorders>
              <w:top w:val="single" w:sz="8" w:color="CCFFCC"/>
            </w:tcBorders>
            <w:shd w:val="clear" w:color="auto" w:fill="CCFFCC"/>
          </w:tcPr>
          <w:p>
            <w:pPr>
              <w:spacing w:after="0"/>
              <w:rPr>
                <w:sz w:val="10"/>
                <w:szCs w:val="10"/>
                <w:color w:val="auto"/>
              </w:rPr>
            </w:pPr>
          </w:p>
        </w:tc>
        <w:tc>
          <w:tcPr>
            <w:tcW w:w="64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27.3</w:t>
            </w:r>
          </w:p>
        </w:tc>
        <w:tc>
          <w:tcPr>
            <w:tcW w:w="200" w:type="dxa"/>
            <w:vAlign w:val="bottom"/>
            <w:tcBorders>
              <w:top w:val="single" w:sz="8" w:color="CCFFCC"/>
            </w:tcBorders>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17.4</w:t>
            </w:r>
          </w:p>
        </w:tc>
        <w:tc>
          <w:tcPr>
            <w:tcW w:w="200" w:type="dxa"/>
            <w:vAlign w:val="bottom"/>
            <w:tcBorders>
              <w:top w:val="single" w:sz="8" w:color="CCFFCC"/>
            </w:tcBorders>
            <w:shd w:val="clear" w:color="auto" w:fill="CCFFCC"/>
          </w:tcPr>
          <w:p>
            <w:pPr>
              <w:spacing w:after="0"/>
              <w:rPr>
                <w:sz w:val="10"/>
                <w:szCs w:val="10"/>
                <w:color w:val="auto"/>
              </w:rPr>
            </w:pPr>
          </w:p>
        </w:tc>
        <w:tc>
          <w:tcPr>
            <w:tcW w:w="600" w:type="dxa"/>
            <w:vAlign w:val="bottom"/>
            <w:tcBorders>
              <w:top w:val="single" w:sz="8" w:color="auto"/>
            </w:tcBorders>
            <w:shd w:val="clear" w:color="auto" w:fill="CCFFCC"/>
          </w:tcPr>
          <w:p>
            <w:pPr>
              <w:ind w:left="420"/>
              <w:spacing w:after="0" w:line="115" w:lineRule="exact"/>
              <w:rPr>
                <w:sz w:val="20"/>
                <w:szCs w:val="20"/>
                <w:color w:val="auto"/>
              </w:rPr>
            </w:pPr>
            <w:r>
              <w:rPr>
                <w:rFonts w:ascii="Arial" w:cs="Arial" w:eastAsia="Arial" w:hAnsi="Arial"/>
                <w:sz w:val="11"/>
                <w:szCs w:val="11"/>
                <w:b w:val="1"/>
                <w:bCs w:val="1"/>
                <w:color w:val="auto"/>
                <w:w w:val="74"/>
              </w:rPr>
              <w:t>76.2</w:t>
            </w:r>
          </w:p>
        </w:tc>
        <w:tc>
          <w:tcPr>
            <w:tcW w:w="200" w:type="dxa"/>
            <w:vAlign w:val="bottom"/>
            <w:tcBorders>
              <w:top w:val="single" w:sz="8" w:color="CCFFCC"/>
            </w:tcBorders>
            <w:shd w:val="clear" w:color="auto" w:fill="CCFFCC"/>
          </w:tcPr>
          <w:p>
            <w:pPr>
              <w:spacing w:after="0"/>
              <w:rPr>
                <w:sz w:val="10"/>
                <w:szCs w:val="10"/>
                <w:color w:val="auto"/>
              </w:rPr>
            </w:pPr>
          </w:p>
        </w:tc>
        <w:tc>
          <w:tcPr>
            <w:tcW w:w="64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31.8</w:t>
            </w:r>
          </w:p>
        </w:tc>
        <w:tc>
          <w:tcPr>
            <w:tcW w:w="200" w:type="dxa"/>
            <w:vAlign w:val="bottom"/>
            <w:tcBorders>
              <w:top w:val="single" w:sz="8" w:color="CCFFCC"/>
            </w:tcBorders>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25.7</w:t>
            </w:r>
          </w:p>
        </w:tc>
        <w:tc>
          <w:tcPr>
            <w:tcW w:w="200" w:type="dxa"/>
            <w:vAlign w:val="bottom"/>
            <w:tcBorders>
              <w:top w:val="single" w:sz="8" w:color="CCFFCC"/>
            </w:tcBorders>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ind w:left="400"/>
              <w:spacing w:after="0" w:line="115" w:lineRule="exact"/>
              <w:rPr>
                <w:sz w:val="20"/>
                <w:szCs w:val="20"/>
                <w:color w:val="auto"/>
              </w:rPr>
            </w:pPr>
            <w:r>
              <w:rPr>
                <w:rFonts w:ascii="Arial" w:cs="Arial" w:eastAsia="Arial" w:hAnsi="Arial"/>
                <w:sz w:val="11"/>
                <w:szCs w:val="11"/>
                <w:color w:val="auto"/>
                <w:w w:val="74"/>
              </w:rPr>
              <w:t>18.9</w:t>
            </w:r>
          </w:p>
        </w:tc>
        <w:tc>
          <w:tcPr>
            <w:tcW w:w="220" w:type="dxa"/>
            <w:vAlign w:val="bottom"/>
            <w:tcBorders>
              <w:top w:val="single" w:sz="8" w:color="CCFFCC"/>
            </w:tcBorders>
            <w:shd w:val="clear" w:color="auto" w:fill="CCFFCC"/>
          </w:tcPr>
          <w:p>
            <w:pPr>
              <w:spacing w:after="0"/>
              <w:rPr>
                <w:sz w:val="10"/>
                <w:szCs w:val="10"/>
                <w:color w:val="auto"/>
              </w:rPr>
            </w:pPr>
          </w:p>
        </w:tc>
        <w:tc>
          <w:tcPr>
            <w:tcW w:w="620" w:type="dxa"/>
            <w:vAlign w:val="bottom"/>
            <w:tcBorders>
              <w:top w:val="single" w:sz="8" w:color="auto"/>
            </w:tcBorders>
            <w:shd w:val="clear" w:color="auto" w:fill="CCFFCC"/>
          </w:tcPr>
          <w:p>
            <w:pPr>
              <w:ind w:left="440"/>
              <w:spacing w:after="0" w:line="115" w:lineRule="exact"/>
              <w:rPr>
                <w:sz w:val="20"/>
                <w:szCs w:val="20"/>
                <w:color w:val="auto"/>
              </w:rPr>
            </w:pPr>
            <w:r>
              <w:rPr>
                <w:rFonts w:ascii="Arial" w:cs="Arial" w:eastAsia="Arial" w:hAnsi="Arial"/>
                <w:sz w:val="11"/>
                <w:szCs w:val="11"/>
                <w:b w:val="1"/>
                <w:bCs w:val="1"/>
                <w:color w:val="auto"/>
                <w:w w:val="74"/>
              </w:rPr>
              <w:t>76.4</w:t>
            </w:r>
          </w:p>
        </w:tc>
        <w:tc>
          <w:tcPr>
            <w:tcW w:w="200" w:type="dxa"/>
            <w:vAlign w:val="bottom"/>
            <w:tcBorders>
              <w:top w:val="single" w:sz="8" w:color="CCFFCC"/>
            </w:tcBorders>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28.7</w:t>
            </w:r>
          </w:p>
        </w:tc>
        <w:tc>
          <w:tcPr>
            <w:tcW w:w="200" w:type="dxa"/>
            <w:vAlign w:val="bottom"/>
            <w:tcBorders>
              <w:top w:val="single" w:sz="8" w:color="CCFFCC"/>
            </w:tcBorders>
            <w:shd w:val="clear" w:color="auto" w:fill="CCFFCC"/>
          </w:tcPr>
          <w:p>
            <w:pPr>
              <w:spacing w:after="0"/>
              <w:rPr>
                <w:sz w:val="10"/>
                <w:szCs w:val="10"/>
                <w:color w:val="auto"/>
              </w:rPr>
            </w:pPr>
          </w:p>
        </w:tc>
        <w:tc>
          <w:tcPr>
            <w:tcW w:w="64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24.4</w:t>
            </w:r>
          </w:p>
        </w:tc>
        <w:tc>
          <w:tcPr>
            <w:tcW w:w="200" w:type="dxa"/>
            <w:vAlign w:val="bottom"/>
            <w:tcBorders>
              <w:top w:val="single" w:sz="8" w:color="CCFFCC"/>
            </w:tcBorders>
            <w:shd w:val="clear" w:color="auto" w:fill="CCFFCC"/>
          </w:tcPr>
          <w:p>
            <w:pPr>
              <w:spacing w:after="0"/>
              <w:rPr>
                <w:sz w:val="10"/>
                <w:szCs w:val="10"/>
                <w:color w:val="auto"/>
              </w:rPr>
            </w:pPr>
          </w:p>
        </w:tc>
        <w:tc>
          <w:tcPr>
            <w:tcW w:w="640" w:type="dxa"/>
            <w:vAlign w:val="bottom"/>
            <w:tcBorders>
              <w:top w:val="single" w:sz="8" w:color="auto"/>
            </w:tcBorders>
            <w:shd w:val="clear" w:color="auto" w:fill="CCFFCC"/>
          </w:tcPr>
          <w:p>
            <w:pPr>
              <w:ind w:left="440"/>
              <w:spacing w:after="0" w:line="115" w:lineRule="exact"/>
              <w:rPr>
                <w:sz w:val="20"/>
                <w:szCs w:val="20"/>
                <w:color w:val="auto"/>
              </w:rPr>
            </w:pPr>
            <w:r>
              <w:rPr>
                <w:rFonts w:ascii="Arial" w:cs="Arial" w:eastAsia="Arial" w:hAnsi="Arial"/>
                <w:sz w:val="11"/>
                <w:szCs w:val="11"/>
                <w:color w:val="auto"/>
                <w:w w:val="83"/>
              </w:rPr>
              <w:t>18.2</w:t>
            </w:r>
          </w:p>
        </w:tc>
        <w:tc>
          <w:tcPr>
            <w:tcW w:w="200" w:type="dxa"/>
            <w:vAlign w:val="bottom"/>
            <w:tcBorders>
              <w:top w:val="single" w:sz="8" w:color="CCFFCC"/>
            </w:tcBorders>
            <w:shd w:val="clear" w:color="auto" w:fill="CCFFCC"/>
          </w:tcPr>
          <w:p>
            <w:pPr>
              <w:spacing w:after="0"/>
              <w:rPr>
                <w:sz w:val="10"/>
                <w:szCs w:val="10"/>
                <w:color w:val="auto"/>
              </w:rPr>
            </w:pPr>
          </w:p>
        </w:tc>
        <w:tc>
          <w:tcPr>
            <w:tcW w:w="440" w:type="dxa"/>
            <w:vAlign w:val="bottom"/>
            <w:tcBorders>
              <w:top w:val="single" w:sz="8" w:color="auto"/>
              <w:right w:val="single" w:sz="8" w:color="CCFFCC"/>
            </w:tcBorders>
            <w:shd w:val="clear" w:color="auto" w:fill="CCFFCC"/>
          </w:tcPr>
          <w:p>
            <w:pPr>
              <w:ind w:left="220"/>
              <w:spacing w:after="0" w:line="115" w:lineRule="exact"/>
              <w:rPr>
                <w:sz w:val="20"/>
                <w:szCs w:val="20"/>
                <w:color w:val="auto"/>
              </w:rPr>
            </w:pPr>
            <w:r>
              <w:rPr>
                <w:rFonts w:ascii="Arial" w:cs="Arial" w:eastAsia="Arial" w:hAnsi="Arial"/>
                <w:sz w:val="11"/>
                <w:szCs w:val="11"/>
                <w:b w:val="1"/>
                <w:bCs w:val="1"/>
                <w:color w:val="auto"/>
                <w:w w:val="83"/>
              </w:rPr>
              <w:t>71.3</w:t>
            </w:r>
          </w:p>
        </w:tc>
        <w:tc>
          <w:tcPr>
            <w:tcW w:w="80" w:type="dxa"/>
            <w:vAlign w:val="bottom"/>
            <w:tcBorders>
              <w:top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Underwriting results</w:t>
            </w: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1.2</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5.0</w:t>
            </w:r>
          </w:p>
        </w:tc>
        <w:tc>
          <w:tcPr>
            <w:tcW w:w="20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8.7</w:t>
            </w:r>
          </w:p>
        </w:tc>
        <w:tc>
          <w:tcPr>
            <w:tcW w:w="800" w:type="dxa"/>
            <w:vAlign w:val="bottom"/>
            <w:gridSpan w:val="2"/>
          </w:tcPr>
          <w:p>
            <w:pPr>
              <w:ind w:left="420"/>
              <w:spacing w:after="0" w:line="122" w:lineRule="exact"/>
              <w:rPr>
                <w:sz w:val="20"/>
                <w:szCs w:val="20"/>
                <w:color w:val="auto"/>
              </w:rPr>
            </w:pPr>
            <w:r>
              <w:rPr>
                <w:rFonts w:ascii="Arial" w:cs="Arial" w:eastAsia="Arial" w:hAnsi="Arial"/>
                <w:sz w:val="11"/>
                <w:szCs w:val="11"/>
                <w:b w:val="1"/>
                <w:bCs w:val="1"/>
                <w:color w:val="auto"/>
              </w:rPr>
              <w:t>15.0</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2.9</w:t>
            </w:r>
          </w:p>
        </w:tc>
        <w:tc>
          <w:tcPr>
            <w:tcW w:w="2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4.5</w:t>
            </w:r>
          </w:p>
        </w:tc>
        <w:tc>
          <w:tcPr>
            <w:tcW w:w="200" w:type="dxa"/>
            <w:vAlign w:val="bottom"/>
          </w:tcPr>
          <w:p>
            <w:pPr>
              <w:spacing w:after="0"/>
              <w:rPr>
                <w:sz w:val="10"/>
                <w:szCs w:val="10"/>
                <w:color w:val="auto"/>
              </w:rPr>
            </w:pPr>
          </w:p>
        </w:tc>
        <w:tc>
          <w:tcPr>
            <w:tcW w:w="580" w:type="dxa"/>
            <w:vAlign w:val="bottom"/>
          </w:tcPr>
          <w:p>
            <w:pPr>
              <w:ind w:left="400"/>
              <w:spacing w:after="0" w:line="122" w:lineRule="exact"/>
              <w:rPr>
                <w:sz w:val="20"/>
                <w:szCs w:val="20"/>
                <w:color w:val="auto"/>
              </w:rPr>
            </w:pPr>
            <w:r>
              <w:rPr>
                <w:rFonts w:ascii="Arial" w:cs="Arial" w:eastAsia="Arial" w:hAnsi="Arial"/>
                <w:sz w:val="11"/>
                <w:szCs w:val="11"/>
                <w:color w:val="auto"/>
                <w:w w:val="74"/>
              </w:rPr>
              <w:t>10.7</w:t>
            </w:r>
          </w:p>
        </w:tc>
        <w:tc>
          <w:tcPr>
            <w:tcW w:w="220" w:type="dxa"/>
            <w:vAlign w:val="bottom"/>
          </w:tcPr>
          <w:p>
            <w:pPr>
              <w:spacing w:after="0"/>
              <w:rPr>
                <w:sz w:val="10"/>
                <w:szCs w:val="10"/>
                <w:color w:val="auto"/>
              </w:rPr>
            </w:pPr>
          </w:p>
        </w:tc>
        <w:tc>
          <w:tcPr>
            <w:tcW w:w="820" w:type="dxa"/>
            <w:vAlign w:val="bottom"/>
            <w:gridSpan w:val="2"/>
          </w:tcPr>
          <w:p>
            <w:pPr>
              <w:ind w:left="440"/>
              <w:spacing w:after="0" w:line="122" w:lineRule="exact"/>
              <w:rPr>
                <w:sz w:val="20"/>
                <w:szCs w:val="20"/>
                <w:color w:val="auto"/>
              </w:rPr>
            </w:pPr>
            <w:r>
              <w:rPr>
                <w:rFonts w:ascii="Arial" w:cs="Arial" w:eastAsia="Arial" w:hAnsi="Arial"/>
                <w:sz w:val="11"/>
                <w:szCs w:val="11"/>
                <w:b w:val="1"/>
                <w:bCs w:val="1"/>
                <w:color w:val="auto"/>
              </w:rPr>
              <w:t>18.2</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6.9</w:t>
            </w:r>
          </w:p>
        </w:tc>
        <w:tc>
          <w:tcPr>
            <w:tcW w:w="2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4.4</w:t>
            </w:r>
          </w:p>
        </w:tc>
        <w:tc>
          <w:tcPr>
            <w:tcW w:w="200" w:type="dxa"/>
            <w:vAlign w:val="bottom"/>
          </w:tcPr>
          <w:p>
            <w:pPr>
              <w:spacing w:after="0"/>
              <w:rPr>
                <w:sz w:val="10"/>
                <w:szCs w:val="10"/>
                <w:color w:val="auto"/>
              </w:rPr>
            </w:pPr>
          </w:p>
        </w:tc>
        <w:tc>
          <w:tcPr>
            <w:tcW w:w="640" w:type="dxa"/>
            <w:vAlign w:val="bottom"/>
          </w:tcPr>
          <w:p>
            <w:pPr>
              <w:ind w:left="440"/>
              <w:spacing w:after="0" w:line="122" w:lineRule="exact"/>
              <w:rPr>
                <w:sz w:val="20"/>
                <w:szCs w:val="20"/>
                <w:color w:val="auto"/>
              </w:rPr>
            </w:pPr>
            <w:r>
              <w:rPr>
                <w:rFonts w:ascii="Arial" w:cs="Arial" w:eastAsia="Arial" w:hAnsi="Arial"/>
                <w:sz w:val="11"/>
                <w:szCs w:val="11"/>
                <w:color w:val="auto"/>
                <w:w w:val="83"/>
              </w:rPr>
              <w:t>10.6</w:t>
            </w:r>
          </w:p>
        </w:tc>
        <w:tc>
          <w:tcPr>
            <w:tcW w:w="200" w:type="dxa"/>
            <w:vAlign w:val="bottom"/>
          </w:tcPr>
          <w:p>
            <w:pPr>
              <w:spacing w:after="0"/>
              <w:rPr>
                <w:sz w:val="10"/>
                <w:szCs w:val="10"/>
                <w:color w:val="auto"/>
              </w:rPr>
            </w:pPr>
          </w:p>
        </w:tc>
        <w:tc>
          <w:tcPr>
            <w:tcW w:w="440" w:type="dxa"/>
            <w:vAlign w:val="bottom"/>
          </w:tcPr>
          <w:p>
            <w:pPr>
              <w:ind w:left="220"/>
              <w:spacing w:after="0" w:line="122" w:lineRule="exact"/>
              <w:rPr>
                <w:sz w:val="20"/>
                <w:szCs w:val="20"/>
                <w:color w:val="auto"/>
              </w:rPr>
            </w:pPr>
            <w:r>
              <w:rPr>
                <w:rFonts w:ascii="Arial" w:cs="Arial" w:eastAsia="Arial" w:hAnsi="Arial"/>
                <w:sz w:val="11"/>
                <w:szCs w:val="11"/>
                <w:b w:val="1"/>
                <w:bCs w:val="1"/>
                <w:color w:val="auto"/>
                <w:w w:val="83"/>
              </w:rPr>
              <w:t>21.9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40" w:type="dxa"/>
            <w:vAlign w:val="bottom"/>
            <w:gridSpan w:val="2"/>
            <w:shd w:val="clear" w:color="auto" w:fill="CCFFCC"/>
          </w:tcPr>
          <w:p>
            <w:pPr>
              <w:spacing w:after="0" w:line="122" w:lineRule="exact"/>
              <w:rPr>
                <w:sz w:val="20"/>
                <w:szCs w:val="20"/>
                <w:color w:val="auto"/>
              </w:rPr>
            </w:pPr>
            <w:r>
              <w:rPr>
                <w:rFonts w:ascii="Arial" w:cs="Arial" w:eastAsia="Arial" w:hAnsi="Arial"/>
                <w:sz w:val="11"/>
                <w:szCs w:val="11"/>
                <w:color w:val="auto"/>
              </w:rPr>
              <w:t>Loss ratio</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70.4%</w:t>
            </w:r>
          </w:p>
        </w:tc>
        <w:tc>
          <w:tcPr>
            <w:tcW w:w="84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72.9%</w:t>
            </w:r>
          </w:p>
        </w:tc>
        <w:tc>
          <w:tcPr>
            <w:tcW w:w="7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30.2%</w:t>
            </w:r>
          </w:p>
        </w:tc>
        <w:tc>
          <w:tcPr>
            <w:tcW w:w="800" w:type="dxa"/>
            <w:vAlign w:val="bottom"/>
            <w:gridSpan w:val="2"/>
            <w:shd w:val="clear" w:color="auto" w:fill="CCFFCC"/>
          </w:tcPr>
          <w:p>
            <w:pPr>
              <w:ind w:left="420"/>
              <w:spacing w:after="0" w:line="122" w:lineRule="exact"/>
              <w:rPr>
                <w:sz w:val="20"/>
                <w:szCs w:val="20"/>
                <w:color w:val="auto"/>
              </w:rPr>
            </w:pPr>
            <w:r>
              <w:rPr>
                <w:rFonts w:ascii="Arial" w:cs="Arial" w:eastAsia="Arial" w:hAnsi="Arial"/>
                <w:sz w:val="11"/>
                <w:szCs w:val="11"/>
                <w:b w:val="1"/>
                <w:bCs w:val="1"/>
                <w:color w:val="auto"/>
              </w:rPr>
              <w:t>62.1%</w:t>
            </w:r>
          </w:p>
        </w:tc>
        <w:tc>
          <w:tcPr>
            <w:tcW w:w="84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64.5%</w:t>
            </w:r>
          </w:p>
        </w:tc>
        <w:tc>
          <w:tcPr>
            <w:tcW w:w="86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73.1%</w:t>
            </w:r>
          </w:p>
        </w:tc>
        <w:tc>
          <w:tcPr>
            <w:tcW w:w="800" w:type="dxa"/>
            <w:vAlign w:val="bottom"/>
            <w:gridSpan w:val="2"/>
            <w:shd w:val="clear" w:color="auto" w:fill="CCFFCC"/>
          </w:tcPr>
          <w:p>
            <w:pPr>
              <w:ind w:left="400"/>
              <w:spacing w:after="0" w:line="122" w:lineRule="exact"/>
              <w:rPr>
                <w:sz w:val="20"/>
                <w:szCs w:val="20"/>
                <w:color w:val="auto"/>
              </w:rPr>
            </w:pPr>
            <w:r>
              <w:rPr>
                <w:rFonts w:ascii="Arial" w:cs="Arial" w:eastAsia="Arial" w:hAnsi="Arial"/>
                <w:sz w:val="11"/>
                <w:szCs w:val="11"/>
                <w:color w:val="auto"/>
              </w:rPr>
              <w:t>32.1%</w:t>
            </w:r>
          </w:p>
        </w:tc>
        <w:tc>
          <w:tcPr>
            <w:tcW w:w="820" w:type="dxa"/>
            <w:vAlign w:val="bottom"/>
            <w:gridSpan w:val="2"/>
            <w:shd w:val="clear" w:color="auto" w:fill="CCFFCC"/>
          </w:tcPr>
          <w:p>
            <w:pPr>
              <w:ind w:left="440"/>
              <w:spacing w:after="0" w:line="122" w:lineRule="exact"/>
              <w:rPr>
                <w:sz w:val="20"/>
                <w:szCs w:val="20"/>
                <w:color w:val="auto"/>
              </w:rPr>
            </w:pPr>
            <w:r>
              <w:rPr>
                <w:rFonts w:ascii="Arial" w:cs="Arial" w:eastAsia="Arial" w:hAnsi="Arial"/>
                <w:sz w:val="11"/>
                <w:szCs w:val="11"/>
                <w:b w:val="1"/>
                <w:bCs w:val="1"/>
                <w:color w:val="auto"/>
              </w:rPr>
              <w:t>59.4%</w:t>
            </w:r>
          </w:p>
        </w:tc>
        <w:tc>
          <w:tcPr>
            <w:tcW w:w="86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50.3%</w:t>
            </w:r>
          </w:p>
        </w:tc>
        <w:tc>
          <w:tcPr>
            <w:tcW w:w="84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71.7%</w:t>
            </w:r>
          </w:p>
        </w:tc>
        <w:tc>
          <w:tcPr>
            <w:tcW w:w="840" w:type="dxa"/>
            <w:vAlign w:val="bottom"/>
            <w:gridSpan w:val="2"/>
            <w:shd w:val="clear" w:color="auto" w:fill="CCFFCC"/>
          </w:tcPr>
          <w:p>
            <w:pPr>
              <w:ind w:left="440"/>
              <w:spacing w:after="0" w:line="122" w:lineRule="exact"/>
              <w:rPr>
                <w:sz w:val="20"/>
                <w:szCs w:val="20"/>
                <w:color w:val="auto"/>
              </w:rPr>
            </w:pPr>
            <w:r>
              <w:rPr>
                <w:rFonts w:ascii="Arial" w:cs="Arial" w:eastAsia="Arial" w:hAnsi="Arial"/>
                <w:sz w:val="11"/>
                <w:szCs w:val="11"/>
                <w:color w:val="auto"/>
              </w:rPr>
              <w:t>25.4%</w:t>
            </w:r>
          </w:p>
        </w:tc>
        <w:tc>
          <w:tcPr>
            <w:tcW w:w="520" w:type="dxa"/>
            <w:vAlign w:val="bottom"/>
            <w:gridSpan w:val="2"/>
            <w:shd w:val="clear" w:color="auto" w:fill="CCFFCC"/>
          </w:tcPr>
          <w:p>
            <w:pPr>
              <w:ind w:left="220"/>
              <w:spacing w:after="0" w:line="122" w:lineRule="exact"/>
              <w:rPr>
                <w:sz w:val="20"/>
                <w:szCs w:val="20"/>
                <w:color w:val="auto"/>
              </w:rPr>
            </w:pPr>
            <w:r>
              <w:rPr>
                <w:rFonts w:ascii="Arial" w:cs="Arial" w:eastAsia="Arial" w:hAnsi="Arial"/>
                <w:sz w:val="11"/>
                <w:szCs w:val="11"/>
                <w:b w:val="1"/>
                <w:bCs w:val="1"/>
                <w:color w:val="auto"/>
                <w:w w:val="89"/>
              </w:rPr>
              <w:t>51.3%</w:t>
            </w:r>
          </w:p>
        </w:tc>
        <w:tc>
          <w:tcPr>
            <w:tcW w:w="0" w:type="dxa"/>
            <w:vAlign w:val="bottom"/>
          </w:tcPr>
          <w:p>
            <w:pPr>
              <w:spacing w:after="0"/>
              <w:rPr>
                <w:sz w:val="1"/>
                <w:szCs w:val="1"/>
                <w:color w:val="auto"/>
              </w:rPr>
            </w:pPr>
          </w:p>
        </w:tc>
      </w:tr>
      <w:tr>
        <w:trPr>
          <w:trHeight w:val="112"/>
        </w:trPr>
        <w:tc>
          <w:tcPr>
            <w:tcW w:w="1840" w:type="dxa"/>
            <w:vAlign w:val="bottom"/>
            <w:gridSpan w:val="2"/>
          </w:tcPr>
          <w:p>
            <w:pPr>
              <w:spacing w:after="0" w:line="112" w:lineRule="exact"/>
              <w:rPr>
                <w:sz w:val="20"/>
                <w:szCs w:val="20"/>
                <w:color w:val="auto"/>
              </w:rPr>
            </w:pPr>
            <w:r>
              <w:rPr>
                <w:rFonts w:ascii="Arial" w:cs="Arial" w:eastAsia="Arial" w:hAnsi="Arial"/>
                <w:sz w:val="11"/>
                <w:szCs w:val="11"/>
                <w:color w:val="auto"/>
              </w:rPr>
              <w:t>Underwriting results / net earned</w:t>
            </w: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gridSpan w:val="2"/>
            <w:vMerge w:val="restart"/>
          </w:tcPr>
          <w:p>
            <w:pPr>
              <w:ind w:left="420"/>
              <w:spacing w:after="0"/>
              <w:rPr>
                <w:sz w:val="20"/>
                <w:szCs w:val="20"/>
                <w:color w:val="auto"/>
              </w:rPr>
            </w:pPr>
            <w:r>
              <w:rPr>
                <w:rFonts w:ascii="Arial" w:cs="Arial" w:eastAsia="Arial" w:hAnsi="Arial"/>
                <w:sz w:val="11"/>
                <w:szCs w:val="11"/>
                <w:b w:val="1"/>
                <w:bCs w:val="1"/>
                <w:color w:val="auto"/>
              </w:rPr>
              <w:t>19.6%</w:t>
            </w: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gridSpan w:val="2"/>
            <w:vMerge w:val="restart"/>
          </w:tcPr>
          <w:p>
            <w:pPr>
              <w:ind w:left="440"/>
              <w:spacing w:after="0"/>
              <w:rPr>
                <w:sz w:val="20"/>
                <w:szCs w:val="20"/>
                <w:color w:val="auto"/>
              </w:rPr>
            </w:pPr>
            <w:r>
              <w:rPr>
                <w:rFonts w:ascii="Arial" w:cs="Arial" w:eastAsia="Arial" w:hAnsi="Arial"/>
                <w:sz w:val="11"/>
                <w:szCs w:val="11"/>
                <w:b w:val="1"/>
                <w:bCs w:val="1"/>
                <w:color w:val="auto"/>
              </w:rPr>
              <w:t>23.8%</w:t>
            </w: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w w:val="89"/>
              </w:rPr>
              <w:t>30.7%</w:t>
            </w:r>
          </w:p>
        </w:tc>
        <w:tc>
          <w:tcPr>
            <w:tcW w:w="0" w:type="dxa"/>
            <w:vAlign w:val="bottom"/>
          </w:tcPr>
          <w:p>
            <w:pPr>
              <w:spacing w:after="0"/>
              <w:rPr>
                <w:sz w:val="1"/>
                <w:szCs w:val="1"/>
                <w:color w:val="auto"/>
              </w:rPr>
            </w:pPr>
          </w:p>
        </w:tc>
      </w:tr>
      <w:tr>
        <w:trPr>
          <w:trHeight w:val="145"/>
        </w:trPr>
        <w:tc>
          <w:tcPr>
            <w:tcW w:w="1840" w:type="dxa"/>
            <w:vAlign w:val="bottom"/>
            <w:gridSpan w:val="2"/>
          </w:tcPr>
          <w:p>
            <w:pPr>
              <w:spacing w:after="0"/>
              <w:rPr>
                <w:sz w:val="20"/>
                <w:szCs w:val="20"/>
                <w:color w:val="auto"/>
              </w:rPr>
            </w:pPr>
            <w:r>
              <w:rPr>
                <w:rFonts w:ascii="Arial" w:cs="Arial" w:eastAsia="Arial" w:hAnsi="Arial"/>
                <w:sz w:val="11"/>
                <w:szCs w:val="11"/>
                <w:color w:val="auto"/>
              </w:rPr>
              <w:t>premiums</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3.8%</w:t>
            </w: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18.3%</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50.3%</w:t>
            </w:r>
          </w:p>
        </w:tc>
        <w:tc>
          <w:tcPr>
            <w:tcW w:w="800" w:type="dxa"/>
            <w:vAlign w:val="bottom"/>
            <w:gridSpan w:val="2"/>
            <w:vMerge w:val="continue"/>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9.2%</w:t>
            </w: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17.5%</w:t>
            </w:r>
          </w:p>
        </w:tc>
        <w:tc>
          <w:tcPr>
            <w:tcW w:w="800" w:type="dxa"/>
            <w:vAlign w:val="bottom"/>
            <w:gridSpan w:val="2"/>
          </w:tcPr>
          <w:p>
            <w:pPr>
              <w:ind w:left="400"/>
              <w:spacing w:after="0"/>
              <w:rPr>
                <w:sz w:val="20"/>
                <w:szCs w:val="20"/>
                <w:color w:val="auto"/>
              </w:rPr>
            </w:pPr>
            <w:r>
              <w:rPr>
                <w:rFonts w:ascii="Arial" w:cs="Arial" w:eastAsia="Arial" w:hAnsi="Arial"/>
                <w:sz w:val="11"/>
                <w:szCs w:val="11"/>
                <w:color w:val="auto"/>
              </w:rPr>
              <w:t>56.7%</w:t>
            </w:r>
          </w:p>
        </w:tc>
        <w:tc>
          <w:tcPr>
            <w:tcW w:w="820" w:type="dxa"/>
            <w:vAlign w:val="bottom"/>
            <w:gridSpan w:val="2"/>
            <w:vMerge w:val="continue"/>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24.1%</w:t>
            </w: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18.0%</w:t>
            </w:r>
          </w:p>
        </w:tc>
        <w:tc>
          <w:tcPr>
            <w:tcW w:w="840" w:type="dxa"/>
            <w:vAlign w:val="bottom"/>
            <w:gridSpan w:val="2"/>
          </w:tcPr>
          <w:p>
            <w:pPr>
              <w:ind w:left="440"/>
              <w:spacing w:after="0"/>
              <w:rPr>
                <w:sz w:val="20"/>
                <w:szCs w:val="20"/>
                <w:color w:val="auto"/>
              </w:rPr>
            </w:pPr>
            <w:r>
              <w:rPr>
                <w:rFonts w:ascii="Arial" w:cs="Arial" w:eastAsia="Arial" w:hAnsi="Arial"/>
                <w:sz w:val="11"/>
                <w:szCs w:val="11"/>
                <w:color w:val="auto"/>
              </w:rPr>
              <w:t>57.9%</w:t>
            </w:r>
          </w:p>
        </w:tc>
        <w:tc>
          <w:tcPr>
            <w:tcW w:w="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040" w:hanging="384"/>
        <w:spacing w:after="0" w:line="312" w:lineRule="auto"/>
        <w:tabs>
          <w:tab w:leader="none" w:pos="10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Car Insurance line reported an underwriting result of US$ 1.2 million in 4Q13 (-58.5% QoQ and -82.5% YoY) due to a higher loss ratio this period. The main impact on the loss ratio was generated by an increase in the IBNR reserve and the move the set aside ULAE reserves. If we exclude these adjustments, the underwriting result would have been US$ 2.8 million, which is similar to that posted in 3Q13.</w:t>
      </w:r>
    </w:p>
    <w:p>
      <w:pPr>
        <w:spacing w:after="0" w:line="363"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2" w:name="page43"/>
    <w:bookmarkEnd w:id="42"/>
    <w:p>
      <w:pPr>
        <w:spacing w:after="0" w:line="3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723265</wp:posOffset>
            </wp:positionV>
            <wp:extent cx="1132205" cy="3086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ind w:left="1280" w:hanging="394"/>
        <w:spacing w:after="0" w:line="286" w:lineRule="auto"/>
        <w:tabs>
          <w:tab w:leader="none" w:pos="12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Private Medical line posted an underwriting result of US$ 5.0 million in 4Q13 (+11.2% QoQ) due to a decrease in fee income after provisions associated with incentives for brokers were released. In year-on-year terms, the underwriting result increased +13.6% due to growth in the net earned premium (+11.8%) associated with new product launchings and affiliate captures.</w:t>
      </w:r>
    </w:p>
    <w:p>
      <w:pPr>
        <w:spacing w:after="0" w:line="165" w:lineRule="exact"/>
        <w:rPr>
          <w:rFonts w:ascii="Arial" w:cs="Arial" w:eastAsia="Arial" w:hAnsi="Arial"/>
          <w:sz w:val="17"/>
          <w:szCs w:val="17"/>
          <w:color w:val="auto"/>
        </w:rPr>
      </w:pPr>
    </w:p>
    <w:p>
      <w:pPr>
        <w:jc w:val="both"/>
        <w:ind w:left="1280" w:hanging="394"/>
        <w:spacing w:after="0" w:line="269" w:lineRule="auto"/>
        <w:tabs>
          <w:tab w:leader="none" w:pos="1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Property and Casualty business (P &amp; C) reported an underwriting result of US$ 8.7 million in 4Q13 (-18.5% QoQ and -17.2% YoY) due to a decrease in net earned premiums, particularly in the Fire line, due to an increase in ceded premiums as stipulated by the new quota contract</w:t>
      </w:r>
      <w:r>
        <w:rPr>
          <w:rFonts w:ascii="Arial" w:cs="Arial" w:eastAsia="Arial" w:hAnsi="Arial"/>
          <w:sz w:val="30"/>
          <w:szCs w:val="30"/>
          <w:color w:val="auto"/>
          <w:vertAlign w:val="superscript"/>
        </w:rPr>
        <w:t>3</w:t>
      </w:r>
      <w:r>
        <w:rPr>
          <w:rFonts w:ascii="Arial" w:cs="Arial" w:eastAsia="Arial" w:hAnsi="Arial"/>
          <w:sz w:val="18"/>
          <w:szCs w:val="18"/>
          <w:color w:val="auto"/>
        </w:rPr>
        <w:t>.</w:t>
      </w:r>
    </w:p>
    <w:p>
      <w:pPr>
        <w:spacing w:after="0" w:line="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these results, PPS obtained a combined ratio in 4Q13 of 107.8%, which can be broken down into 62.1 points for net claims (loss ratio), 18.3 points for business acquisition costs, and 27.4 points for general expenses.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2013 a loss of – US$ 1.4 million was reported, which contrasts with earnings of US$ 13.7 million in 2012. This result was due to an increase in the loss ratio in the Car Insurance line (66.9% in 2013 versus 50% in 2012) due to higher costs for claims processing in the market. A translation loss was also reported, which generated a –US$ 6.4 million variation in the result (US$ 2.7 million reported in 2012 versus –US$ 3.7 million in 2013). These effects were partially mitigated by an increase in financial income associated with real estate sales (Oeschle US$ 5.3 million and Curacao US$ 7.7 million) and the sale of a shares in Inversiones Centenario for US$ 8.2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Pacifico Vida (PV)</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Pacifico Life reported net earnings of US$7.7 million (-44.2% QoQ) due to a decrease in its underwriting result (-US$2.0 million QoQ), which was associated with lower premiums (AFP and Annuities), and a drop in financial income (-US$ 3.6 million QoQ). These results were offset by a decrease in claims (AFP) (US$ -14.8 million QoQ), reserves (-US$ 8.3 million QoQ) and underwriting expenses (-US$ 2.1 million QoQ). The business lines that led to a drop in net earnings were AFP and Group Life.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YoY analysis indicates that net earnings fell -54.4% due to a decline in the underwriting result (-US$ 7.5 million) due to lower premiums, primarily relative to the AFP, and higher acquisition costs. Financial income in 4Q13 was lower than that reported in 4Q12 (US$ 20.7 million vs US$ 21.9 million) due to lower results for fixed income and equity sales (US$ 1.8 million vs US$ - 81 thousand) due to transactions in the last quarter of 2012, primarily in the share portfolio.</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Premiums in 4Q13 fell -23.4% QoQ given that the contract with AFP Prima culminated in October 2013, which meant that the company ceased to perceive approximately US$ 24.0 million for this business line. This Q, premiums also fell due to a decrease in premium turnover in Annuities, which was associated with a drop in market share.</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Financial income in 4Q13 (US$ 20.7 million) fell in 3Q13 (US$ 24.4 million), which was due primarily to: i) lower interest on fixed income, which was in turn affected by a lower inflation adjustment on VAC assets in the fourth quarter than in the third (US$ 3.5 million in 3Q13 vs US$ 0.6 million in 4Q12), and</w:t>
      </w:r>
    </w:p>
    <w:p>
      <w:pPr>
        <w:ind w:right="20" w:firstLine="8"/>
        <w:spacing w:after="0" w:line="261" w:lineRule="auto"/>
        <w:tabs>
          <w:tab w:leader="none" w:pos="207"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decrease in income for sales of fixed income and equity securities (US$ 1.1 million in 3Q13 vs US$ -81 thousand in 4Q12) given that in the third quarter of the year, efforts continued to recompose the portfolio (reducing duration) that led to gains on these transactions.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the other hand, it is important to note that the loss ratio in 4Q13 dropped due to a reserves reversal in the AFP business after the contract with AFP Prima culminated. This improvement was achieved despite the increase in ULAE reserves, which totaled US$ 2.9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217805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18" w:lineRule="exact"/>
        <w:rPr>
          <w:sz w:val="20"/>
          <w:szCs w:val="20"/>
          <w:color w:val="auto"/>
        </w:rPr>
      </w:pPr>
    </w:p>
    <w:p>
      <w:pPr>
        <w:ind w:firstLine="8"/>
        <w:spacing w:after="0" w:line="221" w:lineRule="auto"/>
        <w:tabs>
          <w:tab w:leader="none" w:pos="124" w:val="left"/>
        </w:tabs>
        <w:numPr>
          <w:ilvl w:val="0"/>
          <w:numId w:val="35"/>
        </w:numPr>
        <w:rPr>
          <w:rFonts w:ascii="Arial" w:cs="Arial" w:eastAsia="Arial" w:hAnsi="Arial"/>
          <w:sz w:val="26"/>
          <w:szCs w:val="26"/>
          <w:color w:val="auto"/>
          <w:vertAlign w:val="superscript"/>
        </w:rPr>
      </w:pPr>
      <w:r>
        <w:rPr>
          <w:rFonts w:ascii="Arial" w:cs="Arial" w:eastAsia="Arial" w:hAnsi="Arial"/>
          <w:sz w:val="16"/>
          <w:szCs w:val="16"/>
          <w:color w:val="auto"/>
        </w:rPr>
        <w:t>The inclusion of a quota contract is part of the company’s reinsurance strategy. This type of contract reduces exposure to severe claims by transferring 55% of the portfolio risk associated with the Fire and Technical Lines to the reinsurance market. This allows the company to improve its underwriting policy.</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3" w:name="page44"/>
    <w:bookmarkEnd w:id="43"/>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tbl>
      <w:tblPr>
        <w:tblLayout w:type="fixed"/>
        <w:tblInd w:w="70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Pacífico Vida</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27"/>
        </w:trPr>
        <w:tc>
          <w:tcPr>
            <w:tcW w:w="3140" w:type="dxa"/>
            <w:vAlign w:val="bottom"/>
            <w:gridSpan w:val="2"/>
          </w:tcPr>
          <w:p>
            <w:pPr>
              <w:spacing w:after="0"/>
              <w:rPr>
                <w:sz w:val="20"/>
                <w:szCs w:val="20"/>
                <w:color w:val="auto"/>
              </w:rPr>
            </w:pPr>
            <w:r>
              <w:rPr>
                <w:rFonts w:ascii="Arial" w:cs="Arial" w:eastAsia="Arial" w:hAnsi="Arial"/>
                <w:sz w:val="18"/>
                <w:szCs w:val="18"/>
                <w:b w:val="1"/>
                <w:bCs w:val="1"/>
                <w:color w:val="auto"/>
              </w:rPr>
              <w:t>Products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Total Premiums</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gridSpan w:val="3"/>
          </w:tcPr>
          <w:p>
            <w:pPr>
              <w:ind w:left="880"/>
              <w:spacing w:after="0"/>
              <w:rPr>
                <w:sz w:val="20"/>
                <w:szCs w:val="20"/>
                <w:color w:val="auto"/>
              </w:rPr>
            </w:pPr>
            <w:r>
              <w:rPr>
                <w:rFonts w:ascii="Arial" w:cs="Arial" w:eastAsia="Arial" w:hAnsi="Arial"/>
                <w:sz w:val="18"/>
                <w:szCs w:val="18"/>
                <w:b w:val="1"/>
                <w:bCs w:val="1"/>
                <w:color w:val="auto"/>
                <w:w w:val="98"/>
              </w:rPr>
              <w:t>% Change</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million</w:t>
            </w:r>
          </w:p>
        </w:tc>
        <w:tc>
          <w:tcPr>
            <w:tcW w:w="180" w:type="dxa"/>
            <w:vAlign w:val="bottom"/>
            <w:tcBorders>
              <w:bottom w:val="single" w:sz="8" w:color="CCFFCC"/>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4Q13</w:t>
            </w:r>
          </w:p>
        </w:tc>
        <w:tc>
          <w:tcPr>
            <w:tcW w:w="100" w:type="dxa"/>
            <w:vAlign w:val="bottom"/>
            <w:tcBorders>
              <w:bottom w:val="single" w:sz="8" w:color="CCFFCC"/>
            </w:tcBorders>
          </w:tcPr>
          <w:p>
            <w:pPr>
              <w:spacing w:after="0"/>
              <w:rPr>
                <w:sz w:val="20"/>
                <w:szCs w:val="20"/>
                <w:color w:val="auto"/>
              </w:rPr>
            </w:pPr>
          </w:p>
        </w:tc>
        <w:tc>
          <w:tcPr>
            <w:tcW w:w="180" w:type="dxa"/>
            <w:vAlign w:val="bottom"/>
            <w:tcBorders>
              <w:bottom w:val="single" w:sz="8" w:color="CCFFCC"/>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3Q13</w:t>
            </w:r>
          </w:p>
        </w:tc>
        <w:tc>
          <w:tcPr>
            <w:tcW w:w="280" w:type="dxa"/>
            <w:vAlign w:val="bottom"/>
            <w:tcBorders>
              <w:bottom w:val="single" w:sz="8" w:color="CCFFCC"/>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4Q12</w:t>
            </w:r>
          </w:p>
        </w:tc>
        <w:tc>
          <w:tcPr>
            <w:tcW w:w="280" w:type="dxa"/>
            <w:vAlign w:val="bottom"/>
            <w:tcBorders>
              <w:bottom w:val="single" w:sz="8" w:color="CCFFCC"/>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QoQ</w:t>
            </w:r>
          </w:p>
        </w:tc>
        <w:tc>
          <w:tcPr>
            <w:tcW w:w="360" w:type="dxa"/>
            <w:vAlign w:val="bottom"/>
            <w:tcBorders>
              <w:bottom w:val="single" w:sz="8" w:color="CCFFC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FFCC"/>
            </w:tcBorders>
          </w:tcPr>
          <w:p>
            <w:pPr>
              <w:spacing w:after="0"/>
              <w:rPr>
                <w:sz w:val="20"/>
                <w:szCs w:val="20"/>
                <w:color w:val="auto"/>
              </w:rPr>
            </w:pPr>
          </w:p>
        </w:tc>
      </w:tr>
      <w:tr>
        <w:trPr>
          <w:trHeight w:val="210"/>
        </w:trPr>
        <w:tc>
          <w:tcPr>
            <w:tcW w:w="2960" w:type="dxa"/>
            <w:vAlign w:val="bottom"/>
            <w:shd w:val="clear" w:color="auto" w:fill="CCFFCC"/>
          </w:tcPr>
          <w:p>
            <w:pPr>
              <w:spacing w:after="0"/>
              <w:rPr>
                <w:sz w:val="20"/>
                <w:szCs w:val="20"/>
                <w:color w:val="auto"/>
              </w:rPr>
            </w:pPr>
            <w:r>
              <w:rPr>
                <w:rFonts w:ascii="Arial" w:cs="Arial" w:eastAsia="Arial" w:hAnsi="Arial"/>
                <w:sz w:val="18"/>
                <w:szCs w:val="18"/>
                <w:color w:val="auto"/>
              </w:rPr>
              <w:t>Individual life</w:t>
            </w: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21.2</w:t>
            </w:r>
          </w:p>
        </w:tc>
        <w:tc>
          <w:tcPr>
            <w:tcW w:w="28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19.7</w:t>
            </w:r>
          </w:p>
        </w:tc>
        <w:tc>
          <w:tcPr>
            <w:tcW w:w="28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Individual annuity</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1560" w:type="dxa"/>
            <w:vAlign w:val="bottom"/>
            <w:gridSpan w:val="3"/>
          </w:tcPr>
          <w:p>
            <w:pPr>
              <w:jc w:val="right"/>
              <w:ind w:right="280"/>
              <w:spacing w:after="0"/>
              <w:rPr>
                <w:sz w:val="20"/>
                <w:szCs w:val="20"/>
                <w:color w:val="auto"/>
              </w:rPr>
            </w:pPr>
            <w:r>
              <w:rPr>
                <w:rFonts w:ascii="Arial" w:cs="Arial" w:eastAsia="Arial" w:hAnsi="Arial"/>
                <w:sz w:val="18"/>
                <w:szCs w:val="18"/>
                <w:color w:val="auto"/>
              </w:rPr>
              <w:t>29.0</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25.5</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-15.0%</w:t>
            </w: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31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Disability &amp; survivor (Pension)</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w:t>
            </w:r>
          </w:p>
        </w:tc>
        <w:tc>
          <w:tcPr>
            <w:tcW w:w="156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23.7</w:t>
            </w:r>
          </w:p>
        </w:tc>
        <w:tc>
          <w:tcPr>
            <w:tcW w:w="13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19.6</w:t>
            </w:r>
          </w:p>
        </w:tc>
        <w:tc>
          <w:tcPr>
            <w:tcW w:w="14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-94.7%</w:t>
            </w:r>
          </w:p>
        </w:tc>
        <w:tc>
          <w:tcPr>
            <w:tcW w:w="3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-93.6%</w:t>
            </w: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Credit Life</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1560" w:type="dxa"/>
            <w:vAlign w:val="bottom"/>
            <w:gridSpan w:val="3"/>
          </w:tcPr>
          <w:p>
            <w:pPr>
              <w:jc w:val="right"/>
              <w:ind w:right="280"/>
              <w:spacing w:after="0"/>
              <w:rPr>
                <w:sz w:val="20"/>
                <w:szCs w:val="20"/>
                <w:color w:val="auto"/>
              </w:rPr>
            </w:pPr>
            <w:r>
              <w:rPr>
                <w:rFonts w:ascii="Arial" w:cs="Arial" w:eastAsia="Arial" w:hAnsi="Arial"/>
                <w:sz w:val="18"/>
                <w:szCs w:val="18"/>
                <w:color w:val="auto"/>
              </w:rPr>
              <w:t>20.7</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17.8</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22.0%</w:t>
            </w:r>
          </w:p>
        </w:tc>
      </w:tr>
      <w:tr>
        <w:trPr>
          <w:trHeight w:val="216"/>
        </w:trPr>
        <w:tc>
          <w:tcPr>
            <w:tcW w:w="31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Personal accidents</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w:t>
            </w:r>
          </w:p>
        </w:tc>
        <w:tc>
          <w:tcPr>
            <w:tcW w:w="156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5.0</w:t>
            </w:r>
          </w:p>
        </w:tc>
        <w:tc>
          <w:tcPr>
            <w:tcW w:w="13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4.9</w:t>
            </w:r>
          </w:p>
        </w:tc>
        <w:tc>
          <w:tcPr>
            <w:tcW w:w="14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3140" w:type="dxa"/>
            <w:vAlign w:val="bottom"/>
            <w:gridSpan w:val="2"/>
          </w:tcPr>
          <w:p>
            <w:pPr>
              <w:spacing w:after="0"/>
              <w:rPr>
                <w:sz w:val="20"/>
                <w:szCs w:val="20"/>
                <w:color w:val="auto"/>
              </w:rPr>
            </w:pPr>
            <w:r>
              <w:rPr>
                <w:rFonts w:ascii="Arial" w:cs="Arial" w:eastAsia="Arial" w:hAnsi="Arial"/>
                <w:sz w:val="18"/>
                <w:szCs w:val="18"/>
                <w:color w:val="auto"/>
              </w:rPr>
              <w:t>Group life</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1560" w:type="dxa"/>
            <w:vAlign w:val="bottom"/>
            <w:gridSpan w:val="3"/>
          </w:tcPr>
          <w:p>
            <w:pPr>
              <w:jc w:val="right"/>
              <w:ind w:right="280"/>
              <w:spacing w:after="0"/>
              <w:rPr>
                <w:sz w:val="20"/>
                <w:szCs w:val="20"/>
                <w:color w:val="auto"/>
              </w:rPr>
            </w:pPr>
            <w:r>
              <w:rPr>
                <w:rFonts w:ascii="Arial" w:cs="Arial" w:eastAsia="Arial" w:hAnsi="Arial"/>
                <w:sz w:val="18"/>
                <w:szCs w:val="18"/>
                <w:color w:val="auto"/>
              </w:rPr>
              <w:t>14.9</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13.8</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0"/>
        </w:trPr>
        <w:tc>
          <w:tcPr>
            <w:tcW w:w="314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87.8</w:t>
            </w:r>
          </w:p>
        </w:tc>
        <w:tc>
          <w:tcPr>
            <w:tcW w:w="10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114.6</w:t>
            </w:r>
          </w:p>
        </w:tc>
        <w:tc>
          <w:tcPr>
            <w:tcW w:w="280" w:type="dxa"/>
            <w:vAlign w:val="bottom"/>
            <w:tcBorders>
              <w:top w:val="single" w:sz="8" w:color="CCFFCC"/>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101.4</w:t>
            </w:r>
          </w:p>
        </w:tc>
        <w:tc>
          <w:tcPr>
            <w:tcW w:w="280" w:type="dxa"/>
            <w:vAlign w:val="bottom"/>
            <w:tcBorders>
              <w:top w:val="single" w:sz="8" w:color="CCFFCC"/>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-23.4</w:t>
            </w:r>
          </w:p>
        </w:tc>
        <w:tc>
          <w:tcPr>
            <w:tcW w:w="360" w:type="dxa"/>
            <w:vAlign w:val="bottom"/>
            <w:tcBorders>
              <w:top w:val="single" w:sz="8" w:color="CCFFCC"/>
            </w:tcBorders>
            <w:shd w:val="clear" w:color="auto" w:fill="CCFFCC"/>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shd w:val="clear" w:color="auto" w:fill="CCFFCC"/>
          </w:tcPr>
          <w:p>
            <w:pPr>
              <w:spacing w:after="0"/>
              <w:rPr>
                <w:sz w:val="18"/>
                <w:szCs w:val="18"/>
                <w:color w:val="auto"/>
              </w:rPr>
            </w:pPr>
          </w:p>
        </w:tc>
        <w:tc>
          <w:tcPr>
            <w:tcW w:w="8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-13.4</w:t>
            </w:r>
          </w:p>
        </w:tc>
        <w:tc>
          <w:tcPr>
            <w:tcW w:w="2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Pacifico Life, net earnings in 2013 totaled US$ 50.3 million versus US$ 59.6 million in 2012. This drop was due primarily to a translation loss, which generated a variation of –US$ 11.4 million (US$ 5.3 million reported in 2012 versus -US$ 6.1 million in 2013).</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Underwriting Result in 2013 was US$ 0.3 million versus US$ 1.5 million in 2012, which was due to an increase in claims (Group Life, Annuities and Credit Life), higher commissions (Credit Life) and higher underwriting expenses that offset the increase in premiums in 2013 (8.2%).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It is important to note that financial income increased 9.6% YoY, which offset the 11.0% increase in general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earnings before translation totaled US$ 56.3 million versus US$ 54.4 million last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Pacifico Health (EPS)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EPS reported a loss of US$0.2 million in 4Q13 (-117.8% QoQ) due to an increase in the net loss ratio (+US$ 6.0 million QoQ) relative to: i) group health (+US$ 4.4 million) due to an increase in the number of cases treated in winter (seasonal effect); and ii) SCTR Health (complementary insurance for high risk occupations) (+US$ 1.5 millones) due to higher treatment costs. This increase in the net loss ratio was partially offset by higher premiums due to the regularization of contributions in group health as well as income connected to a reserves release from an escrow account (US$ 1.1 million) associated with the acquisition of Clinica San Borja.</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YoY terms, income posted a smaller loss (-US$ 0.24 million versus –US$ 1.9 million in 4Q12) due to the aforementioned reserve release as well as a decrease in general expenses associated with expenses for salaries and employee benefits and other provisions.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2013, net earnings totaled US$ 4.6 million in comparison to a loss of -US$ 4.3 million in 2012. This improved result is due to a decrease in the net loss ratio (82.6% versus 83.6% 2012), which was due to the application of adequate underwriting policies. These policies will remain in place in coming years to guarantee that loss ratios remain within adequate levels. It is also important to mention the growth of +14.7% in the net earned premium (+US$ 31.0 million), the -11.7% drop in general expenses (-US$ 2.9 million), and a positive translation result (+US$ 1.9 million). This effect was offset by an increase in income tax (US$ 2.9 million versus US$ 0.5 million in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Medical Subsidiaries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Medical Subsidiaries reported a loss of US$ 3.5 million in 4Q13, which represents growth of +456% with regard to the loss reported in 3Q13 (US$ 0.64 million). This result was due to an increase in general expenses (+US$ 3.3 million) due to higher provisions and accounting adjustments due to the process to reorder operations after the medical subsidiaries’ acquisition.</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underwriting result increased 7.1% QoQ (US$9.25 million versus US$ 8.63 million in 3Q13). In YoY terms, the underwriting result fell given that costs increased (+9.85%) increased more than income due to accounting adjustments, which represented US$ 0.3 million in 4Q13 versus US$ 0.2 million in 4Q12.</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4" w:name="page45"/>
    <w:bookmarkEnd w:id="44"/>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Finally, it is important to note that we are expecting results to improve in coming quarters (2014) due to: (1) more use of outpatient and hospital capacities;</w:t>
      </w:r>
    </w:p>
    <w:p>
      <w:pPr>
        <w:spacing w:after="0" w:line="46" w:lineRule="exact"/>
        <w:rPr>
          <w:sz w:val="20"/>
          <w:szCs w:val="20"/>
          <w:color w:val="auto"/>
        </w:rPr>
      </w:pPr>
    </w:p>
    <w:p>
      <w:pPr>
        <w:ind w:firstLine="8"/>
        <w:spacing w:after="0" w:line="261" w:lineRule="auto"/>
        <w:tabs>
          <w:tab w:leader="none" w:pos="26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culmination of infrastructure projects at some businesses (mainly Clínica Sánchez Ferrer); and (3) the onset of operations at new businesses (Centro Médico La Molina).</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ind w:left="120"/>
              <w:spacing w:after="0"/>
              <w:rPr>
                <w:sz w:val="20"/>
                <w:szCs w:val="20"/>
                <w:color w:val="auto"/>
              </w:rPr>
            </w:pPr>
            <w:r>
              <w:rPr>
                <w:rFonts w:ascii="Arial" w:cs="Arial" w:eastAsia="Arial" w:hAnsi="Arial"/>
                <w:sz w:val="18"/>
                <w:szCs w:val="18"/>
                <w:b w:val="1"/>
                <w:bCs w:val="1"/>
                <w:color w:val="auto"/>
              </w:rPr>
              <w:t>Quarter</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3"/>
          </w:tcPr>
          <w:p>
            <w:pPr>
              <w:ind w:left="600"/>
              <w:spacing w:after="0"/>
              <w:rPr>
                <w:sz w:val="20"/>
                <w:szCs w:val="20"/>
                <w:color w:val="auto"/>
              </w:rPr>
            </w:pPr>
            <w:r>
              <w:rPr>
                <w:rFonts w:ascii="Arial" w:cs="Arial" w:eastAsia="Arial" w:hAnsi="Arial"/>
                <w:sz w:val="18"/>
                <w:szCs w:val="18"/>
                <w:b w:val="1"/>
                <w:bCs w:val="1"/>
                <w:color w:val="auto"/>
                <w:w w:val="91"/>
              </w:rPr>
              <w:t>% Change</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(US$ 000)</w:t>
            </w:r>
          </w:p>
        </w:tc>
        <w:tc>
          <w:tcPr>
            <w:tcW w:w="100" w:type="dxa"/>
            <w:vAlign w:val="bottom"/>
            <w:tcBorders>
              <w:bottom w:val="single" w:sz="8" w:color="CCFFCC"/>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4Q13</w:t>
            </w:r>
          </w:p>
        </w:tc>
        <w:tc>
          <w:tcPr>
            <w:tcW w:w="180" w:type="dxa"/>
            <w:vAlign w:val="bottom"/>
            <w:tcBorders>
              <w:bottom w:val="single" w:sz="8" w:color="CCFFCC"/>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3Q13</w:t>
            </w:r>
          </w:p>
        </w:tc>
        <w:tc>
          <w:tcPr>
            <w:tcW w:w="180" w:type="dxa"/>
            <w:vAlign w:val="bottom"/>
            <w:tcBorders>
              <w:bottom w:val="single" w:sz="8" w:color="CCFFCC"/>
            </w:tcBorders>
          </w:tcPr>
          <w:p>
            <w:pPr>
              <w:spacing w:after="0"/>
              <w:rPr>
                <w:sz w:val="20"/>
                <w:szCs w:val="20"/>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4Q12</w:t>
            </w:r>
          </w:p>
        </w:tc>
        <w:tc>
          <w:tcPr>
            <w:tcW w:w="200" w:type="dxa"/>
            <w:vAlign w:val="bottom"/>
            <w:tcBorders>
              <w:bottom w:val="single" w:sz="8" w:color="CCFFCC"/>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FF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4400" w:type="dxa"/>
            <w:vAlign w:val="bottom"/>
            <w:shd w:val="clear" w:color="auto" w:fill="CCFFCC"/>
          </w:tcPr>
          <w:p>
            <w:pPr>
              <w:spacing w:after="0"/>
              <w:rPr>
                <w:sz w:val="20"/>
                <w:szCs w:val="20"/>
                <w:color w:val="auto"/>
              </w:rPr>
            </w:pPr>
            <w:r>
              <w:rPr>
                <w:rFonts w:ascii="Arial" w:cs="Arial" w:eastAsia="Arial" w:hAnsi="Arial"/>
                <w:sz w:val="18"/>
                <w:szCs w:val="18"/>
                <w:color w:val="auto"/>
              </w:rPr>
              <w:t>Technical result*</w:t>
            </w: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9,250</w:t>
            </w:r>
          </w:p>
        </w:tc>
        <w:tc>
          <w:tcPr>
            <w:tcW w:w="18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8,639</w:t>
            </w:r>
          </w:p>
        </w:tc>
        <w:tc>
          <w:tcPr>
            <w:tcW w:w="18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10,361</w:t>
            </w:r>
          </w:p>
        </w:tc>
        <w:tc>
          <w:tcPr>
            <w:tcW w:w="2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Financial income**</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212</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117</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-668</w:t>
            </w: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-415%</w:t>
            </w:r>
          </w:p>
        </w:tc>
      </w:tr>
      <w:tr>
        <w:trPr>
          <w:trHeight w:val="216"/>
        </w:trPr>
        <w:tc>
          <w:tcPr>
            <w:tcW w:w="45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Operating expense</w:t>
            </w: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13,441</w:t>
            </w: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10,124</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14,080</w:t>
            </w:r>
          </w:p>
        </w:tc>
        <w:tc>
          <w:tcPr>
            <w:tcW w:w="11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Income before minority interest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-4,233</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-704</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-2,661</w:t>
            </w: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-501%</w:t>
            </w:r>
          </w:p>
        </w:tc>
        <w:tc>
          <w:tcPr>
            <w:tcW w:w="2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10"/>
        </w:trPr>
        <w:tc>
          <w:tcPr>
            <w:tcW w:w="450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-3,545</w:t>
            </w:r>
          </w:p>
        </w:tc>
        <w:tc>
          <w:tcPr>
            <w:tcW w:w="180" w:type="dxa"/>
            <w:vAlign w:val="bottom"/>
            <w:tcBorders>
              <w:top w:val="single" w:sz="8" w:color="CCFFCC"/>
            </w:tcBorders>
            <w:shd w:val="clear" w:color="auto" w:fill="CCFFCC"/>
          </w:tcPr>
          <w:p>
            <w:pPr>
              <w:spacing w:after="0"/>
              <w:rPr>
                <w:sz w:val="18"/>
                <w:szCs w:val="18"/>
                <w:color w:val="auto"/>
              </w:rPr>
            </w:pP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-638</w:t>
            </w:r>
          </w:p>
        </w:tc>
        <w:tc>
          <w:tcPr>
            <w:tcW w:w="180" w:type="dxa"/>
            <w:vAlign w:val="bottom"/>
            <w:tcBorders>
              <w:top w:val="single" w:sz="8" w:color="CCFFCC"/>
            </w:tcBorders>
            <w:shd w:val="clear" w:color="auto" w:fill="CCFFCC"/>
          </w:tcPr>
          <w:p>
            <w:pPr>
              <w:spacing w:after="0"/>
              <w:rPr>
                <w:sz w:val="18"/>
                <w:szCs w:val="18"/>
                <w:color w:val="auto"/>
              </w:rPr>
            </w:pP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-2,284</w:t>
            </w:r>
          </w:p>
        </w:tc>
        <w:tc>
          <w:tcPr>
            <w:tcW w:w="200" w:type="dxa"/>
            <w:vAlign w:val="bottom"/>
            <w:tcBorders>
              <w:top w:val="single" w:sz="8" w:color="CCFFCC"/>
            </w:tcBorders>
            <w:shd w:val="clear" w:color="auto" w:fill="CCFFCC"/>
          </w:tcPr>
          <w:p>
            <w:pPr>
              <w:spacing w:after="0"/>
              <w:rPr>
                <w:sz w:val="18"/>
                <w:szCs w:val="18"/>
                <w:color w:val="auto"/>
              </w:rPr>
            </w:pP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-456</w:t>
            </w:r>
          </w:p>
        </w:tc>
        <w:tc>
          <w:tcPr>
            <w:tcW w:w="280" w:type="dxa"/>
            <w:vAlign w:val="bottom"/>
            <w:tcBorders>
              <w:top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bottom w:val="single" w:sz="8" w:color="auto"/>
            </w:tcBorders>
            <w:shd w:val="clear" w:color="auto" w:fill="CCFFCC"/>
          </w:tcPr>
          <w:p>
            <w:pPr>
              <w:spacing w:after="0"/>
              <w:rPr>
                <w:sz w:val="18"/>
                <w:szCs w:val="18"/>
                <w:color w:val="auto"/>
              </w:rPr>
            </w:pPr>
          </w:p>
        </w:tc>
        <w:tc>
          <w:tcPr>
            <w:tcW w:w="6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-36</w:t>
            </w:r>
          </w:p>
        </w:tc>
        <w:tc>
          <w:tcPr>
            <w:tcW w:w="1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bl>
    <w:p>
      <w:pPr>
        <w:ind w:left="660" w:right="6520" w:hanging="4"/>
        <w:spacing w:after="0" w:line="261" w:lineRule="auto"/>
        <w:tabs>
          <w:tab w:leader="none" w:pos="795"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Income from medical service - cost from medical service. ** Considers Other income.</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5" w:name="page46"/>
    <w:bookmarkEnd w:id="45"/>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VIII. Prima AFP</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Main financial indicators</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Quarter</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3"/>
          </w:tcPr>
          <w:p>
            <w:pPr>
              <w:ind w:left="460"/>
              <w:spacing w:after="0"/>
              <w:rPr>
                <w:sz w:val="20"/>
                <w:szCs w:val="20"/>
                <w:color w:val="auto"/>
              </w:rPr>
            </w:pPr>
            <w:r>
              <w:rPr>
                <w:rFonts w:ascii="Arial" w:cs="Arial" w:eastAsia="Arial" w:hAnsi="Arial"/>
                <w:sz w:val="14"/>
                <w:szCs w:val="14"/>
                <w:b w:val="1"/>
                <w:bCs w:val="1"/>
                <w:color w:val="auto"/>
                <w:w w:val="94"/>
              </w:rPr>
              <w:t>% Change</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Year ended</w:t>
            </w:r>
          </w:p>
        </w:tc>
        <w:tc>
          <w:tcPr>
            <w:tcW w:w="108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 Change</w:t>
            </w:r>
          </w:p>
        </w:tc>
      </w:tr>
      <w:tr>
        <w:trPr>
          <w:trHeight w:val="171"/>
        </w:trPr>
        <w:tc>
          <w:tcPr>
            <w:tcW w:w="3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(US$ thousand) (1)</w:t>
            </w:r>
          </w:p>
        </w:tc>
        <w:tc>
          <w:tcPr>
            <w:tcW w:w="100" w:type="dxa"/>
            <w:vAlign w:val="bottom"/>
            <w:tcBorders>
              <w:bottom w:val="single" w:sz="8" w:color="CCFFCC"/>
            </w:tcBorders>
          </w:tcPr>
          <w:p>
            <w:pPr>
              <w:spacing w:after="0"/>
              <w:rPr>
                <w:sz w:val="14"/>
                <w:szCs w:val="1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4Q13</w:t>
            </w:r>
          </w:p>
        </w:tc>
        <w:tc>
          <w:tcPr>
            <w:tcW w:w="260" w:type="dxa"/>
            <w:vAlign w:val="bottom"/>
            <w:tcBorders>
              <w:bottom w:val="single" w:sz="8" w:color="CCFFCC"/>
            </w:tcBorders>
          </w:tcPr>
          <w:p>
            <w:pPr>
              <w:spacing w:after="0"/>
              <w:rPr>
                <w:sz w:val="14"/>
                <w:szCs w:val="1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3Q13</w:t>
            </w:r>
          </w:p>
        </w:tc>
        <w:tc>
          <w:tcPr>
            <w:tcW w:w="240" w:type="dxa"/>
            <w:vAlign w:val="bottom"/>
            <w:tcBorders>
              <w:bottom w:val="single" w:sz="8" w:color="CCFFCC"/>
            </w:tcBorders>
          </w:tcPr>
          <w:p>
            <w:pPr>
              <w:spacing w:after="0"/>
              <w:rPr>
                <w:sz w:val="14"/>
                <w:szCs w:val="1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4Q12</w:t>
            </w:r>
          </w:p>
        </w:tc>
        <w:tc>
          <w:tcPr>
            <w:tcW w:w="260" w:type="dxa"/>
            <w:vAlign w:val="bottom"/>
            <w:tcBorders>
              <w:bottom w:val="single" w:sz="8" w:color="CCFFCC"/>
            </w:tcBorders>
          </w:tcPr>
          <w:p>
            <w:pPr>
              <w:spacing w:after="0"/>
              <w:rPr>
                <w:sz w:val="14"/>
                <w:szCs w:val="14"/>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FFC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87"/>
              </w:rPr>
              <w:t>YoY</w:t>
            </w:r>
          </w:p>
        </w:tc>
        <w:tc>
          <w:tcPr>
            <w:tcW w:w="260" w:type="dxa"/>
            <w:vAlign w:val="bottom"/>
            <w:tcBorders>
              <w:bottom w:val="single" w:sz="8" w:color="CCFFCC"/>
            </w:tcBorders>
          </w:tcPr>
          <w:p>
            <w:pPr>
              <w:spacing w:after="0"/>
              <w:rPr>
                <w:sz w:val="14"/>
                <w:szCs w:val="14"/>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Dec 13</w:t>
            </w:r>
          </w:p>
        </w:tc>
        <w:tc>
          <w:tcPr>
            <w:tcW w:w="240" w:type="dxa"/>
            <w:vAlign w:val="bottom"/>
            <w:tcBorders>
              <w:bottom w:val="single" w:sz="8" w:color="CCFFCC"/>
            </w:tcBorders>
          </w:tcPr>
          <w:p>
            <w:pPr>
              <w:spacing w:after="0"/>
              <w:rPr>
                <w:sz w:val="14"/>
                <w:szCs w:val="1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Dec 12</w:t>
            </w:r>
          </w:p>
        </w:tc>
        <w:tc>
          <w:tcPr>
            <w:tcW w:w="260" w:type="dxa"/>
            <w:vAlign w:val="bottom"/>
            <w:tcBorders>
              <w:bottom w:val="single" w:sz="8" w:color="CCFFCC"/>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Dec 13 / Dec 12</w:t>
            </w:r>
          </w:p>
        </w:tc>
        <w:tc>
          <w:tcPr>
            <w:tcW w:w="140" w:type="dxa"/>
            <w:vAlign w:val="bottom"/>
            <w:tcBorders>
              <w:bottom w:val="single" w:sz="8" w:color="CCFFCC"/>
            </w:tcBorders>
          </w:tcPr>
          <w:p>
            <w:pPr>
              <w:spacing w:after="0"/>
              <w:rPr>
                <w:sz w:val="14"/>
                <w:szCs w:val="14"/>
                <w:color w:val="auto"/>
              </w:rPr>
            </w:pPr>
          </w:p>
        </w:tc>
      </w:tr>
      <w:tr>
        <w:trPr>
          <w:trHeight w:val="142"/>
        </w:trPr>
        <w:tc>
          <w:tcPr>
            <w:tcW w:w="374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Income from commissions</w:t>
            </w: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34,714</w:t>
            </w: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34,294</w:t>
            </w:r>
          </w:p>
        </w:tc>
        <w:tc>
          <w:tcPr>
            <w:tcW w:w="24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24,616</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1.2%</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41.0%</w:t>
            </w: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135,968</w:t>
            </w:r>
          </w:p>
        </w:tc>
        <w:tc>
          <w:tcPr>
            <w:tcW w:w="24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117,157</w:t>
            </w:r>
          </w:p>
        </w:tc>
        <w:tc>
          <w:tcPr>
            <w:tcW w:w="26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16.1%</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Administrative and sale expenses</w:t>
            </w:r>
          </w:p>
        </w:tc>
        <w:tc>
          <w:tcPr>
            <w:tcW w:w="9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(14,788)</w:t>
            </w:r>
          </w:p>
        </w:tc>
        <w:tc>
          <w:tcPr>
            <w:tcW w:w="9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(12,988)</w:t>
            </w:r>
          </w:p>
        </w:tc>
        <w:tc>
          <w:tcPr>
            <w:tcW w:w="94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(15,787)</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13.9%</w:t>
            </w:r>
          </w:p>
        </w:tc>
        <w:tc>
          <w:tcPr>
            <w:tcW w:w="20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-6.3%</w:t>
            </w:r>
          </w:p>
        </w:tc>
        <w:tc>
          <w:tcPr>
            <w:tcW w:w="9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(55,912)</w:t>
            </w:r>
          </w:p>
        </w:tc>
        <w:tc>
          <w:tcPr>
            <w:tcW w:w="94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(53,187)</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w:t>
            </w:r>
          </w:p>
        </w:tc>
      </w:tr>
      <w:tr>
        <w:trPr>
          <w:trHeight w:val="149"/>
        </w:trPr>
        <w:tc>
          <w:tcPr>
            <w:tcW w:w="38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94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(1,777)</w:t>
            </w:r>
          </w:p>
        </w:tc>
        <w:tc>
          <w:tcPr>
            <w:tcW w:w="92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(1,755)</w:t>
            </w:r>
          </w:p>
        </w:tc>
        <w:tc>
          <w:tcPr>
            <w:tcW w:w="94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(2,202)</w:t>
            </w:r>
          </w:p>
        </w:tc>
        <w:tc>
          <w:tcPr>
            <w:tcW w:w="9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1.2%</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-19.3%</w:t>
            </w:r>
          </w:p>
        </w:tc>
        <w:tc>
          <w:tcPr>
            <w:tcW w:w="92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(7,053)</w:t>
            </w:r>
          </w:p>
        </w:tc>
        <w:tc>
          <w:tcPr>
            <w:tcW w:w="94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(8,542)</w:t>
            </w:r>
          </w:p>
        </w:tc>
        <w:tc>
          <w:tcPr>
            <w:tcW w:w="10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-17.4%</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94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18,149</w:t>
            </w:r>
          </w:p>
        </w:tc>
        <w:tc>
          <w:tcPr>
            <w:tcW w:w="920" w:type="dxa"/>
            <w:vAlign w:val="bottom"/>
            <w:gridSpan w:val="2"/>
          </w:tcPr>
          <w:p>
            <w:pPr>
              <w:jc w:val="right"/>
              <w:ind w:right="168"/>
              <w:spacing w:after="0" w:line="149" w:lineRule="exact"/>
              <w:rPr>
                <w:sz w:val="20"/>
                <w:szCs w:val="20"/>
                <w:color w:val="auto"/>
              </w:rPr>
            </w:pPr>
            <w:r>
              <w:rPr>
                <w:rFonts w:ascii="Arial" w:cs="Arial" w:eastAsia="Arial" w:hAnsi="Arial"/>
                <w:sz w:val="14"/>
                <w:szCs w:val="14"/>
                <w:b w:val="1"/>
                <w:bCs w:val="1"/>
                <w:color w:val="auto"/>
              </w:rPr>
              <w:t>19,551</w:t>
            </w:r>
          </w:p>
        </w:tc>
        <w:tc>
          <w:tcPr>
            <w:tcW w:w="94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6,627</w:t>
            </w:r>
          </w:p>
        </w:tc>
        <w:tc>
          <w:tcPr>
            <w:tcW w:w="92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-7.2%</w:t>
            </w:r>
          </w:p>
        </w:tc>
        <w:tc>
          <w:tcPr>
            <w:tcW w:w="200" w:type="dxa"/>
            <w:vAlign w:val="bottom"/>
          </w:tcPr>
          <w:p>
            <w:pPr>
              <w:spacing w:after="0"/>
              <w:rPr>
                <w:sz w:val="12"/>
                <w:szCs w:val="12"/>
                <w:color w:val="auto"/>
              </w:rPr>
            </w:pPr>
          </w:p>
        </w:tc>
        <w:tc>
          <w:tcPr>
            <w:tcW w:w="72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173.9%</w:t>
            </w:r>
          </w:p>
        </w:tc>
        <w:tc>
          <w:tcPr>
            <w:tcW w:w="920" w:type="dxa"/>
            <w:vAlign w:val="bottom"/>
            <w:gridSpan w:val="2"/>
          </w:tcPr>
          <w:p>
            <w:pPr>
              <w:jc w:val="right"/>
              <w:ind w:right="168"/>
              <w:spacing w:after="0" w:line="149" w:lineRule="exact"/>
              <w:rPr>
                <w:sz w:val="20"/>
                <w:szCs w:val="20"/>
                <w:color w:val="auto"/>
              </w:rPr>
            </w:pPr>
            <w:r>
              <w:rPr>
                <w:rFonts w:ascii="Arial" w:cs="Arial" w:eastAsia="Arial" w:hAnsi="Arial"/>
                <w:sz w:val="14"/>
                <w:szCs w:val="14"/>
                <w:b w:val="1"/>
                <w:bCs w:val="1"/>
                <w:color w:val="auto"/>
              </w:rPr>
              <w:t>73,004</w:t>
            </w:r>
          </w:p>
        </w:tc>
        <w:tc>
          <w:tcPr>
            <w:tcW w:w="94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55,428</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31.7%</w:t>
            </w:r>
          </w:p>
        </w:tc>
      </w:tr>
      <w:tr>
        <w:trPr>
          <w:trHeight w:val="149"/>
        </w:trPr>
        <w:tc>
          <w:tcPr>
            <w:tcW w:w="38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Other income and expenses, net</w:t>
            </w:r>
          </w:p>
        </w:tc>
        <w:tc>
          <w:tcPr>
            <w:tcW w:w="94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(926)</w:t>
            </w:r>
          </w:p>
        </w:tc>
        <w:tc>
          <w:tcPr>
            <w:tcW w:w="92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(577)</w:t>
            </w:r>
          </w:p>
        </w:tc>
        <w:tc>
          <w:tcPr>
            <w:tcW w:w="9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2,755</w:t>
            </w:r>
          </w:p>
        </w:tc>
        <w:tc>
          <w:tcPr>
            <w:tcW w:w="9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60.5%</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-133.6%</w:t>
            </w:r>
          </w:p>
        </w:tc>
        <w:tc>
          <w:tcPr>
            <w:tcW w:w="920" w:type="dxa"/>
            <w:vAlign w:val="bottom"/>
            <w:gridSpan w:val="2"/>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(1,773)</w:t>
            </w:r>
          </w:p>
        </w:tc>
        <w:tc>
          <w:tcPr>
            <w:tcW w:w="9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rPr>
              <w:t>1,153</w:t>
            </w:r>
          </w:p>
        </w:tc>
        <w:tc>
          <w:tcPr>
            <w:tcW w:w="10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-253.8%</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Income tax</w:t>
            </w:r>
          </w:p>
        </w:tc>
        <w:tc>
          <w:tcPr>
            <w:tcW w:w="9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(4,971)</w:t>
            </w:r>
          </w:p>
        </w:tc>
        <w:tc>
          <w:tcPr>
            <w:tcW w:w="9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(6,365)</w:t>
            </w:r>
          </w:p>
        </w:tc>
        <w:tc>
          <w:tcPr>
            <w:tcW w:w="94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(1,615)</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-21.9%</w:t>
            </w:r>
          </w:p>
        </w:tc>
        <w:tc>
          <w:tcPr>
            <w:tcW w:w="20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207.8%</w:t>
            </w:r>
          </w:p>
        </w:tc>
        <w:tc>
          <w:tcPr>
            <w:tcW w:w="9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(21,472)</w:t>
            </w:r>
          </w:p>
        </w:tc>
        <w:tc>
          <w:tcPr>
            <w:tcW w:w="94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(18,547)</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15.8%</w:t>
            </w:r>
          </w:p>
        </w:tc>
      </w:tr>
      <w:tr>
        <w:trPr>
          <w:trHeight w:val="149"/>
        </w:trPr>
        <w:tc>
          <w:tcPr>
            <w:tcW w:w="38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income before translation results</w:t>
            </w:r>
          </w:p>
        </w:tc>
        <w:tc>
          <w:tcPr>
            <w:tcW w:w="9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b w:val="1"/>
                <w:bCs w:val="1"/>
                <w:color w:val="auto"/>
              </w:rPr>
              <w:t>12,252</w:t>
            </w:r>
          </w:p>
        </w:tc>
        <w:tc>
          <w:tcPr>
            <w:tcW w:w="92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b w:val="1"/>
                <w:bCs w:val="1"/>
                <w:color w:val="auto"/>
              </w:rPr>
              <w:t>12,609</w:t>
            </w:r>
          </w:p>
        </w:tc>
        <w:tc>
          <w:tcPr>
            <w:tcW w:w="9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b w:val="1"/>
                <w:bCs w:val="1"/>
                <w:color w:val="auto"/>
              </w:rPr>
              <w:t>7,767</w:t>
            </w:r>
          </w:p>
        </w:tc>
        <w:tc>
          <w:tcPr>
            <w:tcW w:w="92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b w:val="1"/>
                <w:bCs w:val="1"/>
                <w:color w:val="auto"/>
              </w:rPr>
              <w:t>-2.8%</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b w:val="1"/>
                <w:bCs w:val="1"/>
                <w:color w:val="auto"/>
              </w:rPr>
              <w:t>57.8%</w:t>
            </w:r>
          </w:p>
        </w:tc>
        <w:tc>
          <w:tcPr>
            <w:tcW w:w="920" w:type="dxa"/>
            <w:vAlign w:val="bottom"/>
            <w:gridSpan w:val="2"/>
            <w:shd w:val="clear" w:color="auto" w:fill="CCFFCC"/>
          </w:tcPr>
          <w:p>
            <w:pPr>
              <w:jc w:val="right"/>
              <w:ind w:right="168"/>
              <w:spacing w:after="0" w:line="149" w:lineRule="exact"/>
              <w:rPr>
                <w:sz w:val="20"/>
                <w:szCs w:val="20"/>
                <w:color w:val="auto"/>
              </w:rPr>
            </w:pPr>
            <w:r>
              <w:rPr>
                <w:rFonts w:ascii="Arial" w:cs="Arial" w:eastAsia="Arial" w:hAnsi="Arial"/>
                <w:sz w:val="14"/>
                <w:szCs w:val="14"/>
                <w:b w:val="1"/>
                <w:bCs w:val="1"/>
                <w:color w:val="auto"/>
              </w:rPr>
              <w:t>49,759</w:t>
            </w:r>
          </w:p>
        </w:tc>
        <w:tc>
          <w:tcPr>
            <w:tcW w:w="940" w:type="dxa"/>
            <w:vAlign w:val="bottom"/>
            <w:gridSpan w:val="2"/>
            <w:shd w:val="clear" w:color="auto" w:fill="CCFFCC"/>
          </w:tcPr>
          <w:p>
            <w:pPr>
              <w:jc w:val="right"/>
              <w:ind w:right="188"/>
              <w:spacing w:after="0" w:line="149" w:lineRule="exact"/>
              <w:rPr>
                <w:sz w:val="20"/>
                <w:szCs w:val="20"/>
                <w:color w:val="auto"/>
              </w:rPr>
            </w:pPr>
            <w:r>
              <w:rPr>
                <w:rFonts w:ascii="Arial" w:cs="Arial" w:eastAsia="Arial" w:hAnsi="Arial"/>
                <w:sz w:val="14"/>
                <w:szCs w:val="14"/>
                <w:b w:val="1"/>
                <w:bCs w:val="1"/>
                <w:color w:val="auto"/>
              </w:rPr>
              <w:t>38,033</w:t>
            </w:r>
          </w:p>
        </w:tc>
        <w:tc>
          <w:tcPr>
            <w:tcW w:w="10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30.8%</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Translations results and deferred liabilities</w:t>
            </w:r>
          </w:p>
        </w:tc>
        <w:tc>
          <w:tcPr>
            <w:tcW w:w="9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16</w:t>
            </w:r>
          </w:p>
        </w:tc>
        <w:tc>
          <w:tcPr>
            <w:tcW w:w="9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(67)</w:t>
            </w:r>
          </w:p>
        </w:tc>
        <w:tc>
          <w:tcPr>
            <w:tcW w:w="9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355</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-123.1%</w:t>
            </w:r>
          </w:p>
        </w:tc>
        <w:tc>
          <w:tcPr>
            <w:tcW w:w="20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-95.6%</w:t>
            </w:r>
          </w:p>
        </w:tc>
        <w:tc>
          <w:tcPr>
            <w:tcW w:w="9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1,039</w:t>
            </w:r>
          </w:p>
        </w:tc>
        <w:tc>
          <w:tcPr>
            <w:tcW w:w="9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152</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584.3%</w:t>
            </w:r>
          </w:p>
        </w:tc>
      </w:tr>
      <w:tr>
        <w:trPr>
          <w:trHeight w:val="162"/>
        </w:trPr>
        <w:tc>
          <w:tcPr>
            <w:tcW w:w="3840" w:type="dxa"/>
            <w:vAlign w:val="bottom"/>
            <w:gridSpan w:val="2"/>
            <w:shd w:val="clear" w:color="auto" w:fill="CCFFCC"/>
          </w:tcPr>
          <w:p>
            <w:pPr>
              <w:spacing w:after="0"/>
              <w:rPr>
                <w:sz w:val="20"/>
                <w:szCs w:val="20"/>
                <w:color w:val="auto"/>
              </w:rPr>
            </w:pPr>
            <w:r>
              <w:rPr>
                <w:rFonts w:ascii="Arial" w:cs="Arial" w:eastAsia="Arial" w:hAnsi="Arial"/>
                <w:sz w:val="14"/>
                <w:szCs w:val="14"/>
                <w:b w:val="1"/>
                <w:bCs w:val="1"/>
                <w:color w:val="auto"/>
              </w:rPr>
              <w:t>Net income</w:t>
            </w:r>
          </w:p>
        </w:tc>
        <w:tc>
          <w:tcPr>
            <w:tcW w:w="940" w:type="dxa"/>
            <w:vAlign w:val="bottom"/>
            <w:gridSpan w:val="2"/>
            <w:shd w:val="clear" w:color="auto" w:fill="CCFFCC"/>
          </w:tcPr>
          <w:p>
            <w:pPr>
              <w:jc w:val="right"/>
              <w:ind w:right="188"/>
              <w:spacing w:after="0"/>
              <w:rPr>
                <w:sz w:val="20"/>
                <w:szCs w:val="20"/>
                <w:color w:val="auto"/>
              </w:rPr>
            </w:pPr>
            <w:r>
              <w:rPr>
                <w:rFonts w:ascii="Arial" w:cs="Arial" w:eastAsia="Arial" w:hAnsi="Arial"/>
                <w:sz w:val="14"/>
                <w:szCs w:val="14"/>
                <w:b w:val="1"/>
                <w:bCs w:val="1"/>
                <w:color w:val="auto"/>
              </w:rPr>
              <w:t>12,268</w:t>
            </w:r>
          </w:p>
        </w:tc>
        <w:tc>
          <w:tcPr>
            <w:tcW w:w="920" w:type="dxa"/>
            <w:vAlign w:val="bottom"/>
            <w:gridSpan w:val="2"/>
            <w:shd w:val="clear" w:color="auto" w:fill="CCFFCC"/>
          </w:tcPr>
          <w:p>
            <w:pPr>
              <w:jc w:val="right"/>
              <w:ind w:right="168"/>
              <w:spacing w:after="0"/>
              <w:rPr>
                <w:sz w:val="20"/>
                <w:szCs w:val="20"/>
                <w:color w:val="auto"/>
              </w:rPr>
            </w:pPr>
            <w:r>
              <w:rPr>
                <w:rFonts w:ascii="Arial" w:cs="Arial" w:eastAsia="Arial" w:hAnsi="Arial"/>
                <w:sz w:val="14"/>
                <w:szCs w:val="14"/>
                <w:b w:val="1"/>
                <w:bCs w:val="1"/>
                <w:color w:val="auto"/>
              </w:rPr>
              <w:t>12,542</w:t>
            </w:r>
          </w:p>
        </w:tc>
        <w:tc>
          <w:tcPr>
            <w:tcW w:w="940" w:type="dxa"/>
            <w:vAlign w:val="bottom"/>
            <w:gridSpan w:val="2"/>
            <w:shd w:val="clear" w:color="auto" w:fill="CCFFCC"/>
          </w:tcPr>
          <w:p>
            <w:pPr>
              <w:jc w:val="right"/>
              <w:ind w:right="188"/>
              <w:spacing w:after="0"/>
              <w:rPr>
                <w:sz w:val="20"/>
                <w:szCs w:val="20"/>
                <w:color w:val="auto"/>
              </w:rPr>
            </w:pPr>
            <w:r>
              <w:rPr>
                <w:rFonts w:ascii="Arial" w:cs="Arial" w:eastAsia="Arial" w:hAnsi="Arial"/>
                <w:sz w:val="14"/>
                <w:szCs w:val="14"/>
                <w:b w:val="1"/>
                <w:bCs w:val="1"/>
                <w:color w:val="auto"/>
              </w:rPr>
              <w:t>8,122</w:t>
            </w:r>
          </w:p>
        </w:tc>
        <w:tc>
          <w:tcPr>
            <w:tcW w:w="92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-2.2%</w:t>
            </w:r>
          </w:p>
        </w:tc>
        <w:tc>
          <w:tcPr>
            <w:tcW w:w="200" w:type="dxa"/>
            <w:vAlign w:val="bottom"/>
            <w:shd w:val="clear" w:color="auto" w:fill="CCFFCC"/>
          </w:tcPr>
          <w:p>
            <w:pPr>
              <w:spacing w:after="0"/>
              <w:rPr>
                <w:sz w:val="14"/>
                <w:szCs w:val="14"/>
                <w:color w:val="auto"/>
              </w:rPr>
            </w:pPr>
          </w:p>
        </w:tc>
        <w:tc>
          <w:tcPr>
            <w:tcW w:w="72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51.0%</w:t>
            </w:r>
          </w:p>
        </w:tc>
        <w:tc>
          <w:tcPr>
            <w:tcW w:w="920" w:type="dxa"/>
            <w:vAlign w:val="bottom"/>
            <w:gridSpan w:val="2"/>
            <w:shd w:val="clear" w:color="auto" w:fill="CCFFCC"/>
          </w:tcPr>
          <w:p>
            <w:pPr>
              <w:jc w:val="right"/>
              <w:ind w:right="168"/>
              <w:spacing w:after="0"/>
              <w:rPr>
                <w:sz w:val="20"/>
                <w:szCs w:val="20"/>
                <w:color w:val="auto"/>
              </w:rPr>
            </w:pPr>
            <w:r>
              <w:rPr>
                <w:rFonts w:ascii="Arial" w:cs="Arial" w:eastAsia="Arial" w:hAnsi="Arial"/>
                <w:sz w:val="14"/>
                <w:szCs w:val="14"/>
                <w:b w:val="1"/>
                <w:bCs w:val="1"/>
                <w:color w:val="auto"/>
              </w:rPr>
              <w:t>50,798</w:t>
            </w:r>
          </w:p>
        </w:tc>
        <w:tc>
          <w:tcPr>
            <w:tcW w:w="940" w:type="dxa"/>
            <w:vAlign w:val="bottom"/>
            <w:gridSpan w:val="2"/>
            <w:shd w:val="clear" w:color="auto" w:fill="CCFFCC"/>
          </w:tcPr>
          <w:p>
            <w:pPr>
              <w:jc w:val="right"/>
              <w:ind w:right="188"/>
              <w:spacing w:after="0"/>
              <w:rPr>
                <w:sz w:val="20"/>
                <w:szCs w:val="20"/>
                <w:color w:val="auto"/>
              </w:rPr>
            </w:pPr>
            <w:r>
              <w:rPr>
                <w:rFonts w:ascii="Arial" w:cs="Arial" w:eastAsia="Arial" w:hAnsi="Arial"/>
                <w:sz w:val="14"/>
                <w:szCs w:val="14"/>
                <w:b w:val="1"/>
                <w:bCs w:val="1"/>
                <w:color w:val="auto"/>
              </w:rPr>
              <w:t>38,185</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33.0%</w:t>
            </w:r>
          </w:p>
        </w:tc>
      </w:tr>
      <w:tr>
        <w:trPr>
          <w:trHeight w:val="142"/>
        </w:trPr>
        <w:tc>
          <w:tcPr>
            <w:tcW w:w="3840" w:type="dxa"/>
            <w:vAlign w:val="bottom"/>
            <w:tcBorders>
              <w:bottom w:val="single" w:sz="8" w:color="CCFFCC"/>
            </w:tcBorders>
            <w:gridSpan w:val="2"/>
          </w:tcPr>
          <w:p>
            <w:pPr>
              <w:spacing w:after="0" w:line="142" w:lineRule="exact"/>
              <w:rPr>
                <w:sz w:val="20"/>
                <w:szCs w:val="20"/>
                <w:color w:val="auto"/>
              </w:rPr>
            </w:pPr>
            <w:r>
              <w:rPr>
                <w:rFonts w:ascii="Arial" w:cs="Arial" w:eastAsia="Arial" w:hAnsi="Arial"/>
                <w:sz w:val="14"/>
                <w:szCs w:val="14"/>
                <w:b w:val="1"/>
                <w:bCs w:val="1"/>
                <w:color w:val="auto"/>
              </w:rPr>
              <w:t>ROAE (2)</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28.6</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31.7</w:t>
            </w:r>
          </w:p>
        </w:tc>
        <w:tc>
          <w:tcPr>
            <w:tcW w:w="240" w:type="dxa"/>
            <w:vAlign w:val="bottom"/>
            <w:tcBorders>
              <w:bottom w:val="single" w:sz="8" w:color="CCFFCC"/>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18.3</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-10.0</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2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55.8</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31.4</w:t>
            </w:r>
          </w:p>
        </w:tc>
        <w:tc>
          <w:tcPr>
            <w:tcW w:w="240" w:type="dxa"/>
            <w:vAlign w:val="bottom"/>
            <w:tcBorders>
              <w:bottom w:val="single" w:sz="8" w:color="CCFFCC"/>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22.0</w:t>
            </w:r>
          </w:p>
        </w:tc>
        <w:tc>
          <w:tcPr>
            <w:tcW w:w="260" w:type="dxa"/>
            <w:vAlign w:val="bottom"/>
            <w:tcBorders>
              <w:bottom w:val="single" w:sz="8" w:color="CCFFCC"/>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9.4</w:t>
            </w:r>
          </w:p>
        </w:tc>
        <w:tc>
          <w:tcPr>
            <w:tcW w:w="140" w:type="dxa"/>
            <w:vAlign w:val="bottom"/>
            <w:tcBorders>
              <w:bottom w:val="single" w:sz="8" w:color="CCFFCC"/>
            </w:tcBorders>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r>
      <w:tr>
        <w:trPr>
          <w:trHeight w:val="142"/>
        </w:trPr>
        <w:tc>
          <w:tcPr>
            <w:tcW w:w="384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color w:val="auto"/>
              </w:rPr>
              <w:t>Total assets</w:t>
            </w: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291,834</w:t>
            </w: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273,595</w:t>
            </w:r>
          </w:p>
        </w:tc>
        <w:tc>
          <w:tcPr>
            <w:tcW w:w="24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310,821</w:t>
            </w:r>
          </w:p>
        </w:tc>
        <w:tc>
          <w:tcPr>
            <w:tcW w:w="26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6.7%</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68"/>
              <w:spacing w:after="0" w:line="142" w:lineRule="exact"/>
              <w:rPr>
                <w:sz w:val="20"/>
                <w:szCs w:val="20"/>
                <w:color w:val="auto"/>
              </w:rPr>
            </w:pPr>
            <w:r>
              <w:rPr>
                <w:rFonts w:ascii="Arial" w:cs="Arial" w:eastAsia="Arial" w:hAnsi="Arial"/>
                <w:sz w:val="14"/>
                <w:szCs w:val="14"/>
                <w:color w:val="auto"/>
              </w:rPr>
              <w:t>-6.1%</w:t>
            </w:r>
          </w:p>
        </w:tc>
        <w:tc>
          <w:tcPr>
            <w:tcW w:w="6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Total liabilities</w:t>
            </w:r>
          </w:p>
        </w:tc>
        <w:tc>
          <w:tcPr>
            <w:tcW w:w="9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112,761</w:t>
            </w:r>
          </w:p>
        </w:tc>
        <w:tc>
          <w:tcPr>
            <w:tcW w:w="9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108,963</w:t>
            </w:r>
          </w:p>
        </w:tc>
        <w:tc>
          <w:tcPr>
            <w:tcW w:w="9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141,713</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3.5%</w:t>
            </w:r>
          </w:p>
        </w:tc>
        <w:tc>
          <w:tcPr>
            <w:tcW w:w="20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-20.4%</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62"/>
        </w:trPr>
        <w:tc>
          <w:tcPr>
            <w:tcW w:w="384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Net shareholders' equity</w:t>
            </w:r>
          </w:p>
        </w:tc>
        <w:tc>
          <w:tcPr>
            <w:tcW w:w="6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179,073</w:t>
            </w:r>
          </w:p>
        </w:tc>
        <w:tc>
          <w:tcPr>
            <w:tcW w:w="260" w:type="dxa"/>
            <w:vAlign w:val="bottom"/>
            <w:shd w:val="clear" w:color="auto" w:fill="CCFFCC"/>
          </w:tcPr>
          <w:p>
            <w:pPr>
              <w:spacing w:after="0"/>
              <w:rPr>
                <w:sz w:val="14"/>
                <w:szCs w:val="14"/>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164,632</w:t>
            </w:r>
          </w:p>
        </w:tc>
        <w:tc>
          <w:tcPr>
            <w:tcW w:w="240" w:type="dxa"/>
            <w:vAlign w:val="bottom"/>
            <w:shd w:val="clear" w:color="auto" w:fill="CCFFCC"/>
          </w:tcPr>
          <w:p>
            <w:pPr>
              <w:spacing w:after="0"/>
              <w:rPr>
                <w:sz w:val="14"/>
                <w:szCs w:val="14"/>
                <w:color w:val="auto"/>
              </w:rPr>
            </w:pPr>
          </w:p>
        </w:tc>
        <w:tc>
          <w:tcPr>
            <w:tcW w:w="940" w:type="dxa"/>
            <w:vAlign w:val="bottom"/>
            <w:gridSpan w:val="2"/>
            <w:shd w:val="clear" w:color="auto" w:fill="CCFFCC"/>
          </w:tcPr>
          <w:p>
            <w:pPr>
              <w:jc w:val="right"/>
              <w:ind w:right="188"/>
              <w:spacing w:after="0"/>
              <w:rPr>
                <w:sz w:val="20"/>
                <w:szCs w:val="20"/>
                <w:color w:val="auto"/>
              </w:rPr>
            </w:pPr>
            <w:r>
              <w:rPr>
                <w:rFonts w:ascii="Arial" w:cs="Arial" w:eastAsia="Arial" w:hAnsi="Arial"/>
                <w:sz w:val="14"/>
                <w:szCs w:val="14"/>
                <w:color w:val="auto"/>
              </w:rPr>
              <w:t>169,108</w:t>
            </w:r>
          </w:p>
        </w:tc>
        <w:tc>
          <w:tcPr>
            <w:tcW w:w="92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8.8%</w:t>
            </w:r>
          </w:p>
        </w:tc>
        <w:tc>
          <w:tcPr>
            <w:tcW w:w="200" w:type="dxa"/>
            <w:vAlign w:val="bottom"/>
            <w:shd w:val="clear" w:color="auto" w:fill="CCFFCC"/>
          </w:tcPr>
          <w:p>
            <w:pPr>
              <w:spacing w:after="0"/>
              <w:rPr>
                <w:sz w:val="14"/>
                <w:szCs w:val="14"/>
                <w:color w:val="auto"/>
              </w:rPr>
            </w:pPr>
          </w:p>
        </w:tc>
        <w:tc>
          <w:tcPr>
            <w:tcW w:w="72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5.9%</w:t>
            </w:r>
          </w:p>
        </w:tc>
        <w:tc>
          <w:tcPr>
            <w:tcW w:w="68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4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IFRS.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Net shareholder's equity include unrealized gains from Prima's investment portfolio.</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the last quarter of 2013, PRIMA AFP’s net income was US$ 12.3 million. This represents a 2.2% decline with regard to 2013’s figure (US$ 12.5 million). The aforementioned drop was due to an increase in expenses for third party services, which were in turn attributable to external advisory services that were used this Q. Expenses were also up this quarter due to provisions for marketing campaigns at year-end.</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terms of accumulated results at the end of December 2013, Prima AFP’s net income totaled US$ 50.8 million. This represents growth of 33.0% YoY (US$ 38.2 million), which was primarily attributable to: i) growth in our client portfolio (more than 200 thousand new affiliates during the assignment period, which ended in May 2013), ii) natural growth in the income base of our affiliates and iii) a devaluation in local currency of close to 9.6%, which generated almost 1 million US Dollars in translation gains. This noteworthy improvement in profitability led ROAE to jump from 22% in 2012 to 31.4% in 2013 and was due to efficiencies that were achieved by managing higher collection and fee income, with a structure that allowed Prima to keep administrative expenses very stable.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contains information on the main indicators for Prima AFP and the SPP:</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PRIMA</w:t>
            </w:r>
          </w:p>
        </w:tc>
        <w:tc>
          <w:tcPr>
            <w:tcW w:w="1060" w:type="dxa"/>
            <w:vAlign w:val="bottom"/>
            <w:gridSpan w:val="2"/>
          </w:tcPr>
          <w:p>
            <w:pPr>
              <w:ind w:left="120"/>
              <w:spacing w:after="0"/>
              <w:rPr>
                <w:sz w:val="20"/>
                <w:szCs w:val="20"/>
                <w:color w:val="auto"/>
              </w:rPr>
            </w:pPr>
            <w:r>
              <w:rPr>
                <w:rFonts w:ascii="Arial" w:cs="Arial" w:eastAsia="Arial" w:hAnsi="Arial"/>
                <w:sz w:val="18"/>
                <w:szCs w:val="18"/>
                <w:b w:val="1"/>
                <w:bCs w:val="1"/>
                <w:color w:val="auto"/>
              </w:rPr>
              <w:t>System</w:t>
            </w: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 Share</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PRIMA</w:t>
            </w:r>
          </w:p>
        </w:tc>
        <w:tc>
          <w:tcPr>
            <w:tcW w:w="1060" w:type="dxa"/>
            <w:vAlign w:val="bottom"/>
            <w:gridSpan w:val="2"/>
          </w:tcPr>
          <w:p>
            <w:pPr>
              <w:ind w:left="120"/>
              <w:spacing w:after="0"/>
              <w:rPr>
                <w:sz w:val="20"/>
                <w:szCs w:val="20"/>
                <w:color w:val="auto"/>
              </w:rPr>
            </w:pPr>
            <w:r>
              <w:rPr>
                <w:rFonts w:ascii="Arial" w:cs="Arial" w:eastAsia="Arial" w:hAnsi="Arial"/>
                <w:sz w:val="18"/>
                <w:szCs w:val="18"/>
                <w:b w:val="1"/>
                <w:bCs w:val="1"/>
                <w:color w:val="auto"/>
              </w:rPr>
              <w:t>System</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 Share</w:t>
            </w:r>
          </w:p>
        </w:tc>
      </w:tr>
      <w:tr>
        <w:trPr>
          <w:trHeight w:val="234"/>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Quarterly main indicators and market share</w:t>
            </w:r>
          </w:p>
        </w:tc>
        <w:tc>
          <w:tcPr>
            <w:tcW w:w="100" w:type="dxa"/>
            <w:vAlign w:val="bottom"/>
            <w:tcBorders>
              <w:bottom w:val="single" w:sz="8" w:color="CCFFCC"/>
            </w:tcBorders>
          </w:tcPr>
          <w:p>
            <w:pPr>
              <w:spacing w:after="0"/>
              <w:rPr>
                <w:sz w:val="20"/>
                <w:szCs w:val="20"/>
                <w:color w:val="auto"/>
              </w:rPr>
            </w:pP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4Q13</w:t>
            </w:r>
          </w:p>
        </w:tc>
        <w:tc>
          <w:tcPr>
            <w:tcW w:w="220" w:type="dxa"/>
            <w:vAlign w:val="bottom"/>
            <w:tcBorders>
              <w:bottom w:val="single" w:sz="8" w:color="CCFFCC"/>
            </w:tcBorders>
          </w:tcPr>
          <w:p>
            <w:pPr>
              <w:spacing w:after="0"/>
              <w:rPr>
                <w:sz w:val="20"/>
                <w:szCs w:val="20"/>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4Q13</w:t>
            </w:r>
          </w:p>
        </w:tc>
        <w:tc>
          <w:tcPr>
            <w:tcW w:w="220" w:type="dxa"/>
            <w:vAlign w:val="bottom"/>
            <w:tcBorders>
              <w:bottom w:val="single" w:sz="8" w:color="CCFFCC"/>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4Q13</w:t>
            </w:r>
          </w:p>
        </w:tc>
        <w:tc>
          <w:tcPr>
            <w:tcW w:w="260" w:type="dxa"/>
            <w:vAlign w:val="bottom"/>
            <w:tcBorders>
              <w:bottom w:val="single" w:sz="8" w:color="CCFFCC"/>
            </w:tcBorders>
          </w:tcPr>
          <w:p>
            <w:pPr>
              <w:spacing w:after="0"/>
              <w:rPr>
                <w:sz w:val="20"/>
                <w:szCs w:val="20"/>
                <w:color w:val="auto"/>
              </w:rPr>
            </w:pP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3Q13</w:t>
            </w:r>
          </w:p>
        </w:tc>
        <w:tc>
          <w:tcPr>
            <w:tcW w:w="220" w:type="dxa"/>
            <w:vAlign w:val="bottom"/>
            <w:tcBorders>
              <w:bottom w:val="single" w:sz="8" w:color="CCFFCC"/>
            </w:tcBorders>
          </w:tcPr>
          <w:p>
            <w:pPr>
              <w:spacing w:after="0"/>
              <w:rPr>
                <w:sz w:val="20"/>
                <w:szCs w:val="20"/>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3Q13</w:t>
            </w:r>
          </w:p>
        </w:tc>
        <w:tc>
          <w:tcPr>
            <w:tcW w:w="220" w:type="dxa"/>
            <w:vAlign w:val="bottom"/>
            <w:tcBorders>
              <w:bottom w:val="single" w:sz="8" w:color="CCFFCC"/>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3Q13</w:t>
            </w:r>
          </w:p>
        </w:tc>
        <w:tc>
          <w:tcPr>
            <w:tcW w:w="160" w:type="dxa"/>
            <w:vAlign w:val="bottom"/>
            <w:tcBorders>
              <w:bottom w:val="single" w:sz="8" w:color="CCFFCC"/>
            </w:tcBorders>
          </w:tcPr>
          <w:p>
            <w:pPr>
              <w:spacing w:after="0"/>
              <w:rPr>
                <w:sz w:val="20"/>
                <w:szCs w:val="20"/>
                <w:color w:val="auto"/>
              </w:rPr>
            </w:pPr>
          </w:p>
        </w:tc>
      </w:tr>
      <w:tr>
        <w:trPr>
          <w:trHeight w:val="210"/>
        </w:trPr>
        <w:tc>
          <w:tcPr>
            <w:tcW w:w="5100" w:type="dxa"/>
            <w:vAlign w:val="bottom"/>
            <w:shd w:val="clear" w:color="auto" w:fill="CCFFCC"/>
          </w:tcPr>
          <w:p>
            <w:pPr>
              <w:spacing w:after="0"/>
              <w:rPr>
                <w:sz w:val="20"/>
                <w:szCs w:val="20"/>
                <w:color w:val="auto"/>
              </w:rPr>
            </w:pPr>
            <w:r>
              <w:rPr>
                <w:rFonts w:ascii="Arial" w:cs="Arial" w:eastAsia="Arial" w:hAnsi="Arial"/>
                <w:sz w:val="18"/>
                <w:szCs w:val="18"/>
                <w:color w:val="auto"/>
              </w:rPr>
              <w:t>Affiliates</w:t>
            </w:r>
          </w:p>
        </w:tc>
        <w:tc>
          <w:tcPr>
            <w:tcW w:w="10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1,473,196</w:t>
            </w: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5,481,770</w:t>
            </w:r>
          </w:p>
        </w:tc>
        <w:tc>
          <w:tcPr>
            <w:tcW w:w="2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26.9%</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1,477,358</w:t>
            </w: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5,448,441</w:t>
            </w:r>
          </w:p>
        </w:tc>
        <w:tc>
          <w:tcPr>
            <w:tcW w:w="2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27.1%</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New affiliations (1)</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42,843</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62,328</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52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Funds under management US$ million</w:t>
            </w:r>
          </w:p>
        </w:tc>
        <w:tc>
          <w:tcPr>
            <w:tcW w:w="1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11,579</w:t>
            </w:r>
          </w:p>
        </w:tc>
        <w:tc>
          <w:tcPr>
            <w:tcW w:w="1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36,508</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31.7%</w:t>
            </w:r>
          </w:p>
        </w:tc>
        <w:tc>
          <w:tcPr>
            <w:tcW w:w="1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11,112</w:t>
            </w:r>
          </w:p>
        </w:tc>
        <w:tc>
          <w:tcPr>
            <w:tcW w:w="1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35,260</w:t>
            </w: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31.5%</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Collections US$ million (1)</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241</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692</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34.9%</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237</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703</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33.7%</w:t>
            </w:r>
          </w:p>
        </w:tc>
      </w:tr>
      <w:tr>
        <w:trPr>
          <w:trHeight w:val="216"/>
        </w:trPr>
        <w:tc>
          <w:tcPr>
            <w:tcW w:w="52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Voluntary contributions US$ million</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205</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43.0%</w:t>
            </w:r>
          </w:p>
        </w:tc>
        <w:tc>
          <w:tcPr>
            <w:tcW w:w="1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89</w:t>
            </w:r>
          </w:p>
        </w:tc>
        <w:tc>
          <w:tcPr>
            <w:tcW w:w="1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206</w:t>
            </w: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43.0%</w:t>
            </w: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RAM US$ million (2)</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705</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2,049</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34.4%</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692</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2,032</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3307080</wp:posOffset>
            </wp:positionH>
            <wp:positionV relativeFrom="paragraph">
              <wp:posOffset>0</wp:posOffset>
            </wp:positionV>
            <wp:extent cx="384175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Source: Superintendencia de Banca, Seguros y AFP</w:t>
      </w:r>
    </w:p>
    <w:p>
      <w:pPr>
        <w:spacing w:after="0" w:line="22" w:lineRule="exact"/>
        <w:rPr>
          <w:sz w:val="20"/>
          <w:szCs w:val="20"/>
          <w:color w:val="auto"/>
        </w:rPr>
      </w:pPr>
    </w:p>
    <w:p>
      <w:pPr>
        <w:ind w:left="260" w:hanging="252"/>
        <w:spacing w:after="0"/>
        <w:tabs>
          <w:tab w:leader="none" w:pos="26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Accumulated to the Quarter.</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9"/>
        </w:numPr>
        <w:rPr>
          <w:rFonts w:ascii="Arial" w:cs="Arial" w:eastAsia="Arial" w:hAnsi="Arial"/>
          <w:sz w:val="17"/>
          <w:szCs w:val="17"/>
          <w:i w:val="1"/>
          <w:iCs w:val="1"/>
          <w:color w:val="auto"/>
        </w:rPr>
      </w:pPr>
      <w:r>
        <w:rPr>
          <w:rFonts w:ascii="Arial" w:cs="Arial" w:eastAsia="Arial" w:hAnsi="Arial"/>
          <w:sz w:val="17"/>
          <w:szCs w:val="17"/>
          <w:i w:val="1"/>
          <w:iCs w:val="1"/>
          <w:color w:val="auto"/>
        </w:rPr>
        <w:t>PRIMA AFP estimates: average of aggregated income during the last 4 months excluding special collections and voluntary contribution fees.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Results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the end of 4Q13, the SPP had 5.5 million affiliates. It is important to note that, as of June 2013, the AFP that won the tender held in December 2012 obtained the exclusive right to affiliate new clients for the June 2013- May 2015 period. In 4Q13, the volume of new affiliations to the System totaled 42,843.</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the end of December 2013, Prima AFP’s funds under management totaled US$ 11,579 million, which represent 31.7% of the System’s total portfolio. The portfolio managed by the company in 3Q13 (US$ 11,112 million) grew 4.2% in 4Q13.</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Prima AFP’s collections of new contributions totaled US$ 241.0 million in the fourth quarter of this year, which represents 34.9% of the total collections made in SPP. This result indicates a 1.8% increase QoQ but reflects 6.7% growth YoY.</w:t>
      </w:r>
    </w:p>
    <w:p>
      <w:pPr>
        <w:spacing w:after="0" w:line="174" w:lineRule="exact"/>
        <w:rPr>
          <w:sz w:val="20"/>
          <w:szCs w:val="20"/>
          <w:color w:val="auto"/>
        </w:rPr>
      </w:pPr>
    </w:p>
    <w:p>
      <w:pPr>
        <w:spacing w:after="0" w:line="210" w:lineRule="auto"/>
        <w:rPr>
          <w:sz w:val="20"/>
          <w:szCs w:val="20"/>
          <w:color w:val="auto"/>
        </w:rPr>
      </w:pPr>
      <w:r>
        <w:rPr>
          <w:rFonts w:ascii="Arial" w:cs="Arial" w:eastAsia="Arial" w:hAnsi="Arial"/>
          <w:sz w:val="18"/>
          <w:szCs w:val="18"/>
          <w:color w:val="auto"/>
        </w:rPr>
        <w:t>In terms of the RAM indicator</w:t>
      </w:r>
      <w:r>
        <w:rPr>
          <w:rFonts w:ascii="Arial" w:cs="Arial" w:eastAsia="Arial" w:hAnsi="Arial"/>
          <w:sz w:val="30"/>
          <w:szCs w:val="30"/>
          <w:color w:val="auto"/>
          <w:vertAlign w:val="superscript"/>
        </w:rPr>
        <w:t>4</w:t>
      </w:r>
      <w:r>
        <w:rPr>
          <w:rFonts w:ascii="Arial" w:cs="Arial" w:eastAsia="Arial" w:hAnsi="Arial"/>
          <w:sz w:val="18"/>
          <w:szCs w:val="18"/>
          <w:color w:val="auto"/>
        </w:rPr>
        <w:t xml:space="preserve"> (monthly insurable remuneration, which is the AFPs’ income base), the company posted a result of US$705.2 million at the end of November 2013 and a market share of 34.4%.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217805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35" w:lineRule="exact"/>
        <w:rPr>
          <w:sz w:val="20"/>
          <w:szCs w:val="20"/>
          <w:color w:val="auto"/>
        </w:rPr>
      </w:pPr>
    </w:p>
    <w:p>
      <w:pPr>
        <w:ind w:left="120" w:hanging="112"/>
        <w:spacing w:after="0"/>
        <w:tabs>
          <w:tab w:leader="none" w:pos="120" w:val="left"/>
        </w:tabs>
        <w:numPr>
          <w:ilvl w:val="0"/>
          <w:numId w:val="40"/>
        </w:numPr>
        <w:rPr>
          <w:rFonts w:ascii="Arial" w:cs="Arial" w:eastAsia="Arial" w:hAnsi="Arial"/>
          <w:sz w:val="30"/>
          <w:szCs w:val="30"/>
          <w:color w:val="auto"/>
          <w:vertAlign w:val="superscript"/>
        </w:rPr>
      </w:pPr>
      <w:r>
        <w:rPr>
          <w:rFonts w:ascii="Arial" w:cs="Arial" w:eastAsia="Arial" w:hAnsi="Arial"/>
          <w:sz w:val="18"/>
          <w:szCs w:val="18"/>
          <w:color w:val="auto"/>
        </w:rPr>
        <w:t>Information available for the three funds (dec 2013/ dec 2006)</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6" w:name="page47"/>
    <w:bookmarkEnd w:id="46"/>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These results reaffirm the fact that Prima AFP continues to make steady progress and is consolidating its position in the market with a large portfolio of clients to back its growth and ensure sustainability.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international ambit in the fourth quarter of 2013, the Federal Reserve of the United States announced the beginning of its program to progressively taper the monetary stimulus that has been in place since 2008. Additionally, the Chinese government announced a series of structural reforms for its economy to ensure more stable and sustainable growth in the long-term based on private consumption rather than public investment.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the local scene, although the Peruvian economy’s indicators posted mixed results in October-November, the quarterly indicator at the end of December is expected to show recovery. In this context, Prima AFP has a prudent investment strategy, which will focus on the regions with better outlooks and on some businesses with more solid fundamentals.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2013, the local market was one of the hardest hit in the world. The General Index of the Lima Stock Exchange drew back 24% due to the expectations generated by the possibility that the Federal Reserve may taper its monetary stimulus (confirmed in December 2013) and fears of a slowdown in the Chinese economy. In this scenario, Prima AFP focused on emerging markets; nevertheless, the prices of fixed income and equity instruments in these markets fell and evolved negatively in 2013, which led to poorer-than-expected results. Additionally, in 2013 the local currency depreciated 9.6% against the US Dollar.</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events affected the profitability of our funds under management, which in the last 12 months (December 2013/December 2012) posted results of 0.1%, -2.4% y -2.8% for Funds 1, 2 and 3 respectively. In this scenario, Prima AFP is situated second in Fund 1 and third in Funds 2 and 3 in the system’s profitability ranking.</w:t>
      </w:r>
    </w:p>
    <w:p>
      <w:pPr>
        <w:spacing w:after="0" w:line="185"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With regard to the long term, for the period relative to the last 7 years (December 2013 / 2006</w:t>
      </w:r>
      <w:r>
        <w:rPr>
          <w:rFonts w:ascii="Arial" w:cs="Arial" w:eastAsia="Arial" w:hAnsi="Arial"/>
          <w:sz w:val="30"/>
          <w:szCs w:val="30"/>
          <w:color w:val="auto"/>
          <w:vertAlign w:val="superscript"/>
        </w:rPr>
        <w:t>5)</w:t>
      </w:r>
      <w:r>
        <w:rPr>
          <w:rFonts w:ascii="Arial" w:cs="Arial" w:eastAsia="Arial" w:hAnsi="Arial"/>
          <w:sz w:val="18"/>
          <w:szCs w:val="18"/>
          <w:color w:val="auto"/>
        </w:rPr>
        <w:t xml:space="preserve"> the nominal annualized profitability of the funds managed by Prima AFP has been 6.32%, 7.12% and 6.94% for Funds 1, 2 and 3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the following table, you can find the structure of the portfolio managed by PRIMA AFP at the end of the fourth quarter of 2013:</w:t>
      </w:r>
    </w:p>
    <w:p>
      <w:pPr>
        <w:spacing w:after="0" w:line="235"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6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Funds under management as of December 2013</w:t>
            </w:r>
          </w:p>
        </w:tc>
        <w:tc>
          <w:tcPr>
            <w:tcW w:w="120" w:type="dxa"/>
            <w:vAlign w:val="bottom"/>
            <w:tcBorders>
              <w:bottom w:val="single" w:sz="8" w:color="CCFFCC"/>
            </w:tcBorders>
          </w:tcPr>
          <w:p>
            <w:pPr>
              <w:spacing w:after="0"/>
              <w:rPr>
                <w:sz w:val="20"/>
                <w:szCs w:val="20"/>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Dec 13</w:t>
            </w:r>
          </w:p>
        </w:tc>
        <w:tc>
          <w:tcPr>
            <w:tcW w:w="200" w:type="dxa"/>
            <w:vAlign w:val="bottom"/>
            <w:tcBorders>
              <w:bottom w:val="single" w:sz="8" w:color="CCFFCC"/>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Share</w:t>
            </w:r>
          </w:p>
        </w:tc>
        <w:tc>
          <w:tcPr>
            <w:tcW w:w="260" w:type="dxa"/>
            <w:vAlign w:val="bottom"/>
            <w:tcBorders>
              <w:bottom w:val="single" w:sz="8" w:color="CCFFCC"/>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Sep 13</w:t>
            </w:r>
          </w:p>
        </w:tc>
        <w:tc>
          <w:tcPr>
            <w:tcW w:w="200" w:type="dxa"/>
            <w:vAlign w:val="bottom"/>
            <w:tcBorders>
              <w:bottom w:val="single" w:sz="8" w:color="CCFFCC"/>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Share</w:t>
            </w:r>
          </w:p>
        </w:tc>
        <w:tc>
          <w:tcPr>
            <w:tcW w:w="160" w:type="dxa"/>
            <w:vAlign w:val="bottom"/>
            <w:tcBorders>
              <w:bottom w:val="single" w:sz="8" w:color="CCFFCC"/>
            </w:tcBorders>
          </w:tcPr>
          <w:p>
            <w:pPr>
              <w:spacing w:after="0"/>
              <w:rPr>
                <w:sz w:val="20"/>
                <w:szCs w:val="20"/>
                <w:color w:val="auto"/>
              </w:rPr>
            </w:pPr>
          </w:p>
        </w:tc>
      </w:tr>
      <w:tr>
        <w:trPr>
          <w:trHeight w:val="210"/>
        </w:trPr>
        <w:tc>
          <w:tcPr>
            <w:tcW w:w="6000" w:type="dxa"/>
            <w:vAlign w:val="bottom"/>
            <w:shd w:val="clear" w:color="auto" w:fill="CCFFCC"/>
          </w:tcPr>
          <w:p>
            <w:pPr>
              <w:spacing w:after="0"/>
              <w:rPr>
                <w:sz w:val="20"/>
                <w:szCs w:val="20"/>
                <w:color w:val="auto"/>
              </w:rPr>
            </w:pPr>
            <w:r>
              <w:rPr>
                <w:rFonts w:ascii="Arial" w:cs="Arial" w:eastAsia="Arial" w:hAnsi="Arial"/>
                <w:sz w:val="18"/>
                <w:szCs w:val="18"/>
                <w:color w:val="auto"/>
              </w:rPr>
              <w:t>Fund 1</w:t>
            </w:r>
          </w:p>
        </w:tc>
        <w:tc>
          <w:tcPr>
            <w:tcW w:w="12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1,339</w:t>
            </w:r>
          </w:p>
        </w:tc>
        <w:tc>
          <w:tcPr>
            <w:tcW w:w="2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11.6%</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1,275</w:t>
            </w:r>
          </w:p>
        </w:tc>
        <w:tc>
          <w:tcPr>
            <w:tcW w:w="2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Fund 2</w:t>
            </w:r>
          </w:p>
        </w:tc>
        <w:tc>
          <w:tcPr>
            <w:tcW w:w="960" w:type="dxa"/>
            <w:vAlign w:val="bottom"/>
          </w:tcPr>
          <w:p>
            <w:pPr>
              <w:jc w:val="right"/>
              <w:spacing w:after="0"/>
              <w:rPr>
                <w:sz w:val="20"/>
                <w:szCs w:val="20"/>
                <w:color w:val="auto"/>
              </w:rPr>
            </w:pPr>
            <w:r>
              <w:rPr>
                <w:rFonts w:ascii="Arial" w:cs="Arial" w:eastAsia="Arial" w:hAnsi="Arial"/>
                <w:sz w:val="18"/>
                <w:szCs w:val="18"/>
                <w:color w:val="auto"/>
              </w:rPr>
              <w:t>7,577</w:t>
            </w:r>
          </w:p>
        </w:tc>
        <w:tc>
          <w:tcPr>
            <w:tcW w:w="200" w:type="dxa"/>
            <w:vAlign w:val="bottom"/>
          </w:tcPr>
          <w:p>
            <w:pPr>
              <w:spacing w:after="0"/>
              <w:rPr>
                <w:sz w:val="18"/>
                <w:szCs w:val="18"/>
                <w:color w:val="auto"/>
              </w:rPr>
            </w:pP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65.4%</w:t>
            </w:r>
          </w:p>
        </w:tc>
        <w:tc>
          <w:tcPr>
            <w:tcW w:w="940" w:type="dxa"/>
            <w:vAlign w:val="bottom"/>
          </w:tcPr>
          <w:p>
            <w:pPr>
              <w:jc w:val="right"/>
              <w:spacing w:after="0"/>
              <w:rPr>
                <w:sz w:val="20"/>
                <w:szCs w:val="20"/>
                <w:color w:val="auto"/>
              </w:rPr>
            </w:pPr>
            <w:r>
              <w:rPr>
                <w:rFonts w:ascii="Arial" w:cs="Arial" w:eastAsia="Arial" w:hAnsi="Arial"/>
                <w:sz w:val="18"/>
                <w:szCs w:val="18"/>
                <w:color w:val="auto"/>
              </w:rPr>
              <w:t>7,306</w:t>
            </w:r>
          </w:p>
        </w:tc>
        <w:tc>
          <w:tcPr>
            <w:tcW w:w="2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65.7%</w:t>
            </w:r>
          </w:p>
        </w:tc>
      </w:tr>
      <w:tr>
        <w:trPr>
          <w:trHeight w:val="230"/>
        </w:trPr>
        <w:tc>
          <w:tcPr>
            <w:tcW w:w="6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Fund 3</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2,663</w:t>
            </w:r>
          </w:p>
        </w:tc>
        <w:tc>
          <w:tcPr>
            <w:tcW w:w="20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23.0%</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2,531</w:t>
            </w:r>
          </w:p>
        </w:tc>
        <w:tc>
          <w:tcPr>
            <w:tcW w:w="200" w:type="dxa"/>
            <w:vAlign w:val="bottom"/>
            <w:shd w:val="clear" w:color="auto" w:fill="CCFFCC"/>
          </w:tcPr>
          <w:p>
            <w:pPr>
              <w:spacing w:after="0"/>
              <w:rPr>
                <w:sz w:val="19"/>
                <w:szCs w:val="19"/>
                <w:color w:val="auto"/>
              </w:rPr>
            </w:pP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22.8%</w:t>
            </w:r>
          </w:p>
        </w:tc>
      </w:tr>
      <w:tr>
        <w:trPr>
          <w:trHeight w:val="224"/>
        </w:trPr>
        <w:tc>
          <w:tcPr>
            <w:tcW w:w="6120" w:type="dxa"/>
            <w:vAlign w:val="bottom"/>
            <w:gridSpan w:val="2"/>
          </w:tcPr>
          <w:p>
            <w:pPr>
              <w:spacing w:after="0"/>
              <w:rPr>
                <w:sz w:val="20"/>
                <w:szCs w:val="20"/>
                <w:color w:val="auto"/>
              </w:rPr>
            </w:pPr>
            <w:r>
              <w:rPr>
                <w:rFonts w:ascii="Arial" w:cs="Arial" w:eastAsia="Arial" w:hAnsi="Arial"/>
                <w:sz w:val="18"/>
                <w:szCs w:val="18"/>
                <w:color w:val="auto"/>
              </w:rPr>
              <w:t>Total US$ millon</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11,579</w:t>
            </w:r>
          </w:p>
        </w:tc>
        <w:tc>
          <w:tcPr>
            <w:tcW w:w="20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11,112</w:t>
            </w:r>
          </w:p>
        </w:tc>
        <w:tc>
          <w:tcPr>
            <w:tcW w:w="20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-8255</wp:posOffset>
            </wp:positionV>
            <wp:extent cx="282130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ind w:left="400"/>
        <w:spacing w:after="0"/>
        <w:rPr>
          <w:sz w:val="20"/>
          <w:szCs w:val="20"/>
          <w:color w:val="auto"/>
        </w:rPr>
      </w:pPr>
      <w:r>
        <w:rPr>
          <w:rFonts w:ascii="Arial" w:cs="Arial" w:eastAsia="Arial" w:hAnsi="Arial"/>
          <w:sz w:val="18"/>
          <w:szCs w:val="18"/>
          <w:i w:val="1"/>
          <w:iCs w:val="1"/>
          <w:color w:val="auto"/>
        </w:rPr>
        <w:t>Source: Superintendencia de Banca, Seguros y AFP.</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Prima AFP’s fee income in 4Q13 totaled US$ 34.7 million, which represents a 1.2% increase QoQ and 41.0% YoY. This expansion was due to the solid growth of RAM (the income base) due to the dynamism of the Peruvian economy and the commercial efforts that the company made to capture new affiliates, which were bolstered by the fact that Prima AFP won the tender for affiliates for the October 2012 – May 2013 period, as well as endeavors to maintain the current client portfolio.</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analyze the company’s income it is necessary to consider the current commission schemes available to affiliates (one of the two options below must be chosen):</w:t>
      </w:r>
    </w:p>
    <w:p>
      <w:pPr>
        <w:spacing w:after="0" w:line="170" w:lineRule="exact"/>
        <w:rPr>
          <w:sz w:val="20"/>
          <w:szCs w:val="20"/>
          <w:color w:val="auto"/>
        </w:rPr>
      </w:pPr>
    </w:p>
    <w:p>
      <w:pPr>
        <w:ind w:left="1280" w:hanging="381"/>
        <w:spacing w:after="0"/>
        <w:tabs>
          <w:tab w:leader="none" w:pos="1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Commission for flow: 1.60% applied to the affiliates’ monthly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217805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5</w:t>
      </w:r>
      <w:r>
        <w:rPr>
          <w:rFonts w:ascii="Arial" w:cs="Arial" w:eastAsia="Arial" w:hAnsi="Arial"/>
          <w:sz w:val="18"/>
          <w:szCs w:val="18"/>
          <w:color w:val="auto"/>
        </w:rPr>
        <w:t xml:space="preserve">The oldest information posted on </w:t>
      </w:r>
      <w:r>
        <w:rPr>
          <w:rFonts w:ascii="Arial" w:cs="Arial" w:eastAsia="Arial" w:hAnsi="Arial"/>
          <w:sz w:val="18"/>
          <w:szCs w:val="18"/>
          <w:u w:val="single" w:color="auto"/>
          <w:color w:val="auto"/>
        </w:rPr>
        <w:t>www.sbs.gob.pe</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7" w:name="page48"/>
    <w:bookmarkEnd w:id="47"/>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ind w:left="1280" w:hanging="381"/>
        <w:spacing w:after="0" w:line="264" w:lineRule="auto"/>
        <w:tabs>
          <w:tab w:leader="none" w:pos="1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Mixed Commission: Mixed commission: composed of a flow commission of 1.51%, which is applied to affiliates’ monthly remuneration, plus a commission of 1.25% a year, which is applied to the new balance (generated as of February 2013 for new affiliates to the system and beginning in June 2013 for old affiliates who have chosen this commission scheme).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Administrative and sales expenses in the fourth quarter of 2013 totaled US$14.8 million, which represented a 13.9% increase QoQ that was due primarily to marketing expenses for end-of-year campaigns and third party services for external advisory services that used this Q. Nevertheless, a YoY analysis of these expenses reveals a drop of 6.3%.</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expenses totaled US$ 1.8 million this quarter, including charges for the amortization of intangible assets (obtained in the framework of the merger with Union Vida) as well as depreciation and amortization of real estate, equipment and systems.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income in 4Q13 totaled US$ 18.1 million, which represents a 7.2% decrease with regard to 3Q13’s figure. Nevertheless, in the YoY comparison, this result indicates an increase of 173.9% (in 4Q12 an expense deferral was reported for US$ 7.8 MM). After deducting other income and expenses, as well as provisions for income tax, net income was $ 12.3 million. In comparison to the last quarter, net income fell 2.2% as a result of expenses for advertising and external consultancy. Net income with regard to 4Q12 (YoY) was up 51.0%.</w:t>
      </w:r>
    </w:p>
    <w:p>
      <w:pPr>
        <w:spacing w:after="0" w:line="191"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In 4Q13, return on average equity (ROAE)</w:t>
      </w:r>
      <w:r>
        <w:rPr>
          <w:rFonts w:ascii="Arial" w:cs="Arial" w:eastAsia="Arial" w:hAnsi="Arial"/>
          <w:sz w:val="30"/>
          <w:szCs w:val="30"/>
          <w:color w:val="auto"/>
          <w:vertAlign w:val="superscript"/>
        </w:rPr>
        <w:t>6</w:t>
      </w:r>
      <w:r>
        <w:rPr>
          <w:rFonts w:ascii="Arial" w:cs="Arial" w:eastAsia="Arial" w:hAnsi="Arial"/>
          <w:sz w:val="18"/>
          <w:szCs w:val="18"/>
          <w:color w:val="auto"/>
        </w:rPr>
        <w:t xml:space="preserve"> was situated at 28.6% while the accumulated result at the end of December 2013 reached 31.4%, which tops the figure registered for the same period last year (22.0%).</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December 2013, Prima AFP reported an asset level of US$ 291.8 million, net shareholders’ equity of US$ 179.0 million and liabilities for a total of US$ 112.8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Other relevant aspects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December 2013, the Central Reserve Bank of Peru approved a measure to lift the AFPs’ foreign investment limit from 36% to 40%. This increase is meant to be gradual. It began on December 15, 2013 and will run until July 2014 (the limit is subject to a 0.5% increase every month). BCR’s decision to lift these limits will allow AFPs to further diversify their investment portfolios.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important to note that in this new juncture, Prima AFP has remained competitive given that it continues to manage one of the highest monthly insurable remuneration bases in the system (basis for AFP income), which will ensure its growth and stability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217805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6</w:t>
      </w:r>
      <w:r>
        <w:rPr>
          <w:rFonts w:ascii="Arial" w:cs="Arial" w:eastAsia="Arial" w:hAnsi="Arial"/>
          <w:sz w:val="18"/>
          <w:szCs w:val="18"/>
          <w:color w:val="auto"/>
        </w:rPr>
        <w:t>Calculation of ROAE to total assets (includes unrealized gains on reserves).</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8" w:name="page49"/>
    <w:bookmarkEnd w:id="48"/>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IX. Economic 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Activity</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Peruvian economy grew 4.8% in November after having expanded 5.4% in October; as such, as of this month, accumulated growth was situated at 4.9%. This result continues to reflect the negative contribution of the external sector, which nonetheless is performing better than several months ago, and moderate growth in internal demand. At the sector level, the non-primary segments continue to display differentiated performance, which has moderated their pace of growth, while the primary segment has grown at a more dynamic pace due to the impact of the mining sector. It is important to note that in November, the primary sector grew at a higher rate than the non-primary sectors, which has not been the case since June 2012.</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terms of components of expenditure, growth in private expenditure continued to moderate. In this context, private investment and household consumption grew 2.1% and 5.1% respectively. This explains, to a large extent, the deceleration seen in the growth of internal demand, which reported growth similar to GDP growth (for the first time since 2011). Public expenditure grew at a slower pace than in 2Q13 and reported a more accentuated moderation in the investment rate than in the consumption rate.</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It is important to note that despite this moderation in growth, business expectations rebounded at year-end to situate firmly in the terrain associated with expansion. Given that this variable is an advance indicator of growth in private investment, we expect it to consolidate its recovery in coming quarters.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Despite the deceleration in growth posted in November, advance indicators of economic activity indicate a rebound in December; as such, we expect expansion to situate close to 5.2% in 2013 and 5.5% in 2014. Whether this scenario takes place or not will depend on a recovery in export volumes and a sustained rebound in business and consumer expectations in coming months.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Gross Domestic Product and Internal Demand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(Annualized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142875</wp:posOffset>
            </wp:positionV>
            <wp:extent cx="2521585" cy="21355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21585"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External Sector</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January-November 2013 the trade balance accumulated a deficit of US$ 908 million, which falls below the US$ 5,101 million reported during the same period in 2012. In this context, exports totaled US$ 38,139 million, which represented a decline of 9.6% YoY. This drop was due primarily to a 10.8% decrease in the sales volume of non-traditional products, which was attributable to lower production and less favorable prices for exported minerals. Non-traditional exports fell 2.4%, which was due primarily to a drop in exports of textile products (-11.6%) and chemical products (-8.0%).</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Imports totaled US$ 39,048 million, which represents 2.8% growth with regard to the same period in 2012. The import volume posted a 5.5% increase in January-November of 2013 while the price of imports fell 2.6%. In this context, the accumulated trade balance in the last twelve months was situated at -US$ 280.3, which is the lowest level recorded since October 2001.</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9" w:name="page50"/>
    <w:bookmarkEnd w:id="49"/>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On December 31, 2013, INR totaled US$ 65,663 million, which reflects a US$ 1,672 million increase with regard to the figure at the end of 2012 but falls below 3Q13’s figure by US$ 1,060 million. The increase in INR in 2013 was attributable to an increase in deposits by financial intermediaries (US$ 4,315 million), which was almost entirely offset by sales of US Dollars to the public sector.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Exports and Imports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month moving average annual % var.)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142875</wp:posOffset>
            </wp:positionV>
            <wp:extent cx="2555875" cy="21526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55875" cy="215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Prices and the Exchange Rate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annual rate of inflation was situated at 2.86% in 2013, which fell within BCR’s target range (2% +/- 1pp). Some of the internal supply shocks, which had affected the evolution of the prices of some food stuffs and fuels, began to dissipate. The prices of goods that depend on international prices evolved in a similar pattern and posted a decline in the last few months of the year. This contributed to the deceleration of the annual rate of inflation. The monetary authority expects inflation to converge at 2% at the end of 2014, which is slightly below our projection (2.4%) in a context in which inflationary pressures on the demand side remain moderate.</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2014, the BCR is expected to maintain reference rate (4.00% at year-end). This is due to the fact that: i) expectations for inflation are within the target range given that temporary supply factors have reversed; and ii) the economy’s growth rate is below its potential. Reserve requirements will continue to be the main monetary instrument to sustain growth in credit in Nuevos Soles. Nevertheless, we do not discard the possibility that internal demand, and private investment in particular, may deteriorate further, forcing the BCR to take additional measures of expansive monetary policy. If this situation should arise, the reference rate may drop to 25bps and we can expect additional cuts in reserve rates.</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Upward pressures on the exchange rate accentuated in 4Q13 due to the fact that the FED initiated its efforts to cut monetary stimuli (QE3). In this context, the exchange rate was situated at S/. 2.80 at the end of December; by year-end, the Nuevo Sol had depreciated 9.8%. This evolution was consistent with the weakening that other currencies in emerging countries experienced against the US Dollar beginning in April 2013, when fears arose that the FED would begin tapering earlier than expected. In September-October, the depreciatory pressures on the currencies of emerging economies fell after the FED announced that it would maintain its program to purchase assets. In this context, non-resident agents offered US Dollars primarily in the forward market and the demand for US Dollars in the non-financial sector fell while the BCR reduced its pace of intervention in the exchange rate market. Nevertheless, as of November, after the FED indicated in its meeting minutes that is was not discarding the possibility of reducing its asset purchase program and eventually announced that cuts would begin in December, the demand for US Dollars increased. This led foreign investors and the AFPs to seek out US Dollars in the foreign exchange market, and the forward market in particular. In this context, the BCR sold US$ 1,891million and placed Re-adjustable Certificates of Deposit (CDR-BCRP) for S/. 3,321 million (US$ 1,190 million) in 4Q13.</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0" w:name="page51"/>
    <w:bookmarkEnd w:id="50"/>
    <w:p>
      <w:pPr>
        <w:spacing w:after="0" w:line="140" w:lineRule="exact"/>
        <w:rPr>
          <w:sz w:val="20"/>
          <w:szCs w:val="20"/>
          <w:color w:val="auto"/>
        </w:rPr>
      </w:pPr>
    </w:p>
    <w:p>
      <w:pPr>
        <w:jc w:val="center"/>
        <w:ind w:right="1440"/>
        <w:spacing w:after="0"/>
        <w:rPr>
          <w:sz w:val="20"/>
          <w:szCs w:val="20"/>
          <w:color w:val="auto"/>
        </w:rPr>
      </w:pPr>
      <w:r>
        <w:rPr>
          <w:rFonts w:ascii="Arial" w:cs="Arial" w:eastAsia="Arial" w:hAnsi="Arial"/>
          <w:sz w:val="18"/>
          <w:szCs w:val="18"/>
          <w:b w:val="1"/>
          <w:bCs w:val="1"/>
          <w:color w:val="auto"/>
        </w:rPr>
        <w:t>Consumer Price Index</w:t>
      </w:r>
    </w:p>
    <w:p>
      <w:pPr>
        <w:spacing w:after="0" w:line="27" w:lineRule="exact"/>
        <w:rPr>
          <w:sz w:val="20"/>
          <w:szCs w:val="20"/>
          <w:color w:val="auto"/>
        </w:rPr>
      </w:pPr>
    </w:p>
    <w:p>
      <w:pPr>
        <w:jc w:val="center"/>
        <w:ind w:right="1440"/>
        <w:spacing w:after="0"/>
        <w:rPr>
          <w:sz w:val="20"/>
          <w:szCs w:val="20"/>
          <w:color w:val="auto"/>
        </w:rPr>
      </w:pPr>
      <w:r>
        <w:rPr>
          <w:rFonts w:ascii="Arial" w:cs="Arial" w:eastAsia="Arial" w:hAnsi="Arial"/>
          <w:sz w:val="16"/>
          <w:szCs w:val="16"/>
          <w:color w:val="auto"/>
        </w:rPr>
        <w:t>(Annual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2512695" cy="22980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12695" cy="2298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ind w:right="1940"/>
        <w:spacing w:after="0"/>
        <w:rPr>
          <w:sz w:val="20"/>
          <w:szCs w:val="20"/>
          <w:color w:val="auto"/>
        </w:rPr>
      </w:pPr>
      <w:r>
        <w:rPr>
          <w:rFonts w:ascii="Arial" w:cs="Arial" w:eastAsia="Arial" w:hAnsi="Arial"/>
          <w:sz w:val="18"/>
          <w:szCs w:val="18"/>
          <w:b w:val="1"/>
          <w:bCs w:val="1"/>
          <w:color w:val="auto"/>
        </w:rPr>
        <w:t>Exchange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-565150</wp:posOffset>
            </wp:positionV>
            <wp:extent cx="1132205" cy="3086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line="7" w:lineRule="exact"/>
        <w:rPr>
          <w:sz w:val="20"/>
          <w:szCs w:val="20"/>
          <w:color w:val="auto"/>
        </w:rPr>
      </w:pPr>
    </w:p>
    <w:p>
      <w:pPr>
        <w:jc w:val="center"/>
        <w:ind w:right="19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Nuevos Soles</w:t>
      </w:r>
      <w:r>
        <w:rPr>
          <w:rFonts w:ascii="Arial" w:cs="Arial" w:eastAsia="Arial" w:hAnsi="Arial"/>
          <w:sz w:val="16"/>
          <w:szCs w:val="16"/>
          <w:color w:val="auto"/>
        </w:rPr>
        <w:t xml:space="preserve"> for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-1238250</wp:posOffset>
            </wp:positionH>
            <wp:positionV relativeFrom="paragraph">
              <wp:posOffset>157480</wp:posOffset>
            </wp:positionV>
            <wp:extent cx="2538730" cy="19894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38730" cy="19894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60" w:space="720"/>
            <w:col w:w="3640"/>
          </w:cols>
          <w:pgMar w:left="24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Sector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November 2013, the non-financial public sector reported an economic surplus of S/. 13,304 million, which is S/. 5,951 million less than the level observed for the same period in 2012.</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Central Government’s accumulated current income at the end of November was S/.110,420 million, which represents a real increase of 3.6% YoY. This indicates that collections have picked up speed this quarter. The aforementioned is attributable to a slight 2.9% increase in tax revenues and 5.7% expansion in non-tax income. The behavior of tax revenues mainly reflects the evolution of income tax, which in the first eleven months of the year fell 5.1% due to a decrease in tax collections from companies (-5.1%) and regularization (-31.2%), which were not offset by the increase in collections from individuals (9.7%). The decrease in the first two components of collections is due to a drop in revenues from the mining sector in a context characterized by lower prices for our export minerals and lower production. In the case of third category income tax, payments from the mining sector fell 47.3% in the first eleven months of the year with regard to the same period in 2012. Nevertheless, the majority of the economic sectors posted growth, with noteworthy improvements in the service sector (6.3%), commerce (14.7%) and construction (19.9%), which coincides with the dynamism, although more moderate, seen in the local economy. The remainder of internal taxes continued to expand; the most noteworthy performer in this regard was IGV, which posted accumulated growth of 6.7% in January-November.</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general government’s non-financial expenditures (S/. 92,166 million) registered real growth of 11.5% due to higher expenditure at all three government levels (12.7% at the national government level, 12.1% at the regional government level and 8.1% at the local government level). Current expenditure grew 9.2% in the first eleven months of the year, which was due primarily to higher expenditure on salaries and employee benefits at the national government level (17.2%) and the regional government level (12.7%). The increase registered for this component was due to the fact that a new salary structure was approved in December 2012 for the personnel of the Armed Forces, the National Police of Peru and the Education Sector. At the three government levels, there was a noteworthy increase in expenditure for gross capital formation (21.6% at the national government level, 16.4% at the regional government level and 11.9% at the local government level) due to an increase in the number of investment projects executed.</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51" w:name="page52"/>
    <w:bookmarkEnd w:id="51"/>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Based on the evolution of revenues and the increase in non-financial expenditure, which is associated with higher expenditure on salaries and employee benefits and more expenditure on gross capital formation, we estimate that the fiscal surplus at the end of 2013 was situated at 0.4% of GDP, which falls below the figure registered in 2012 (2.1% of GDP).</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Income of the Central Government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(Annualized in </w:t>
      </w:r>
      <w:r>
        <w:rPr>
          <w:rFonts w:ascii="Arial" w:cs="Arial" w:eastAsia="Arial" w:hAnsi="Arial"/>
          <w:sz w:val="18"/>
          <w:szCs w:val="18"/>
          <w:i w:val="1"/>
          <w:iCs w:val="1"/>
          <w:color w:val="auto"/>
        </w:rPr>
        <w:t>Nuevos Soles</w:t>
      </w:r>
      <w:r>
        <w:rPr>
          <w:rFonts w:ascii="Arial" w:cs="Arial" w:eastAsia="Arial" w:hAnsi="Arial"/>
          <w:sz w:val="18"/>
          <w:szCs w:val="18"/>
          <w:color w:val="auto"/>
        </w:rPr>
        <w:t xml:space="preserve">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142875</wp:posOffset>
            </wp:positionV>
            <wp:extent cx="2598420" cy="22040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98420" cy="220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Sector</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the end of November, the credit granted by financial entities that are authorized to capture deposits expanded at an annual rate of 14.7%, which tops the pace posted the previous month (13.9%). This result was attributable to growth in credit denominated in local currency (23.1%), which offset the moderation seen in credit in foreign currency 3.5%). Higher growth in credit in national currency reflected a perception that it is riskier to incur debt in US Dollars, which was in turn spurred by more uncertainty in the international financial market as well as the effect of BCR’s measures to increase reserve requirements to reduce the banks’ incentive to give credit in US Dollars. As such, credit dollarization levels fell from 40.5% in August to 38.9% in November. This strengthens the financial system given that it reduces the risk associated with currency mismatches on economic agents’ balance sheet.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Main Economic Indicators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700" w:type="dxa"/>
            <w:vAlign w:val="bottom"/>
          </w:tcPr>
          <w:p>
            <w:pPr>
              <w:ind w:left="200"/>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340" w:type="dxa"/>
            <w:vAlign w:val="bottom"/>
          </w:tcPr>
          <w:p>
            <w:pPr>
              <w:spacing w:after="0"/>
              <w:rPr>
                <w:sz w:val="14"/>
                <w:szCs w:val="14"/>
                <w:color w:val="auto"/>
              </w:rPr>
            </w:pPr>
          </w:p>
        </w:tc>
        <w:tc>
          <w:tcPr>
            <w:tcW w:w="940" w:type="dxa"/>
            <w:vAlign w:val="bottom"/>
            <w:gridSpan w:val="2"/>
          </w:tcPr>
          <w:p>
            <w:pPr>
              <w:ind w:left="200"/>
              <w:spacing w:after="0"/>
              <w:rPr>
                <w:sz w:val="20"/>
                <w:szCs w:val="20"/>
                <w:color w:val="auto"/>
              </w:rPr>
            </w:pPr>
            <w:r>
              <w:rPr>
                <w:rFonts w:ascii="Arial" w:cs="Arial" w:eastAsia="Arial" w:hAnsi="Arial"/>
                <w:sz w:val="14"/>
                <w:szCs w:val="14"/>
                <w:b w:val="1"/>
                <w:bCs w:val="1"/>
                <w:color w:val="auto"/>
              </w:rPr>
              <w:t>Year</w:t>
            </w:r>
          </w:p>
        </w:tc>
        <w:tc>
          <w:tcPr>
            <w:tcW w:w="940" w:type="dxa"/>
            <w:vAlign w:val="bottom"/>
            <w:gridSpan w:val="2"/>
          </w:tcPr>
          <w:p>
            <w:pPr>
              <w:ind w:left="260"/>
              <w:spacing w:after="0"/>
              <w:rPr>
                <w:sz w:val="20"/>
                <w:szCs w:val="20"/>
                <w:color w:val="auto"/>
              </w:rPr>
            </w:pPr>
            <w:r>
              <w:rPr>
                <w:rFonts w:ascii="Arial" w:cs="Arial" w:eastAsia="Arial" w:hAnsi="Arial"/>
                <w:sz w:val="14"/>
                <w:szCs w:val="14"/>
                <w:b w:val="1"/>
                <w:bCs w:val="1"/>
                <w:color w:val="auto"/>
              </w:rPr>
              <w:t>IQ</w:t>
            </w: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IIQ</w:t>
            </w:r>
          </w:p>
        </w:tc>
        <w:tc>
          <w:tcPr>
            <w:tcW w:w="920" w:type="dxa"/>
            <w:vAlign w:val="bottom"/>
            <w:gridSpan w:val="2"/>
          </w:tcPr>
          <w:p>
            <w:pPr>
              <w:ind w:left="220"/>
              <w:spacing w:after="0"/>
              <w:rPr>
                <w:sz w:val="20"/>
                <w:szCs w:val="20"/>
                <w:color w:val="auto"/>
              </w:rPr>
            </w:pPr>
            <w:r>
              <w:rPr>
                <w:rFonts w:ascii="Arial" w:cs="Arial" w:eastAsia="Arial" w:hAnsi="Arial"/>
                <w:sz w:val="14"/>
                <w:szCs w:val="14"/>
                <w:b w:val="1"/>
                <w:bCs w:val="1"/>
                <w:color w:val="auto"/>
              </w:rPr>
              <w:t>IIIQ</w:t>
            </w: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IVQ</w:t>
            </w:r>
          </w:p>
        </w:tc>
        <w:tc>
          <w:tcPr>
            <w:tcW w:w="900" w:type="dxa"/>
            <w:vAlign w:val="bottom"/>
            <w:gridSpan w:val="2"/>
          </w:tcPr>
          <w:p>
            <w:pPr>
              <w:ind w:left="200"/>
              <w:spacing w:after="0"/>
              <w:rPr>
                <w:sz w:val="20"/>
                <w:szCs w:val="20"/>
                <w:color w:val="auto"/>
              </w:rPr>
            </w:pPr>
            <w:r>
              <w:rPr>
                <w:rFonts w:ascii="Arial" w:cs="Arial" w:eastAsia="Arial" w:hAnsi="Arial"/>
                <w:sz w:val="14"/>
                <w:szCs w:val="14"/>
                <w:b w:val="1"/>
                <w:bCs w:val="1"/>
                <w:color w:val="auto"/>
              </w:rPr>
              <w:t>Year</w:t>
            </w: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IIQ</w:t>
            </w: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IIQ</w:t>
            </w:r>
          </w:p>
        </w:tc>
        <w:tc>
          <w:tcPr>
            <w:tcW w:w="780" w:type="dxa"/>
            <w:vAlign w:val="bottom"/>
            <w:gridSpan w:val="2"/>
          </w:tcPr>
          <w:p>
            <w:pPr>
              <w:ind w:left="200"/>
              <w:spacing w:after="0"/>
              <w:rPr>
                <w:sz w:val="20"/>
                <w:szCs w:val="20"/>
                <w:color w:val="auto"/>
              </w:rPr>
            </w:pPr>
            <w:r>
              <w:rPr>
                <w:rFonts w:ascii="Arial" w:cs="Arial" w:eastAsia="Arial" w:hAnsi="Arial"/>
                <w:sz w:val="14"/>
                <w:szCs w:val="14"/>
                <w:b w:val="1"/>
                <w:bCs w:val="1"/>
                <w:color w:val="auto"/>
              </w:rPr>
              <w:t>IIIQ</w:t>
            </w:r>
          </w:p>
        </w:tc>
      </w:tr>
      <w:tr>
        <w:trPr>
          <w:trHeight w:val="142"/>
        </w:trPr>
        <w:tc>
          <w:tcPr>
            <w:tcW w:w="3340" w:type="dxa"/>
            <w:vAlign w:val="bottom"/>
            <w:tcBorders>
              <w:top w:val="single" w:sz="8" w:color="CCFFCC"/>
            </w:tcBorders>
            <w:shd w:val="clear" w:color="auto" w:fill="CCFFCC"/>
          </w:tcPr>
          <w:p>
            <w:pPr>
              <w:spacing w:after="0" w:line="142" w:lineRule="exact"/>
              <w:rPr>
                <w:sz w:val="20"/>
                <w:szCs w:val="20"/>
                <w:color w:val="auto"/>
              </w:rPr>
            </w:pPr>
            <w:r>
              <w:rPr>
                <w:rFonts w:ascii="Arial" w:cs="Arial" w:eastAsia="Arial" w:hAnsi="Arial"/>
                <w:sz w:val="14"/>
                <w:szCs w:val="14"/>
                <w:color w:val="auto"/>
              </w:rPr>
              <w:t>GDP (US$ MM)</w:t>
            </w:r>
          </w:p>
        </w:tc>
        <w:tc>
          <w:tcPr>
            <w:tcW w:w="70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176,761</w:t>
            </w:r>
          </w:p>
        </w:tc>
        <w:tc>
          <w:tcPr>
            <w:tcW w:w="240" w:type="dxa"/>
            <w:vAlign w:val="bottom"/>
            <w:tcBorders>
              <w:top w:val="single" w:sz="8" w:color="CCFFCC"/>
            </w:tcBorders>
            <w:shd w:val="clear" w:color="auto" w:fill="CCFFCC"/>
          </w:tcPr>
          <w:p>
            <w:pPr>
              <w:spacing w:after="0"/>
              <w:rPr>
                <w:sz w:val="12"/>
                <w:szCs w:val="12"/>
                <w:color w:val="auto"/>
              </w:rPr>
            </w:pPr>
          </w:p>
        </w:tc>
        <w:tc>
          <w:tcPr>
            <w:tcW w:w="70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46,793</w:t>
            </w:r>
          </w:p>
        </w:tc>
        <w:tc>
          <w:tcPr>
            <w:tcW w:w="240" w:type="dxa"/>
            <w:vAlign w:val="bottom"/>
            <w:tcBorders>
              <w:top w:val="single" w:sz="8" w:color="CCFFCC"/>
            </w:tcBorders>
            <w:shd w:val="clear" w:color="auto" w:fill="CCFFCC"/>
          </w:tcPr>
          <w:p>
            <w:pPr>
              <w:spacing w:after="0"/>
              <w:rPr>
                <w:sz w:val="12"/>
                <w:szCs w:val="12"/>
                <w:color w:val="auto"/>
              </w:rPr>
            </w:pPr>
          </w:p>
        </w:tc>
        <w:tc>
          <w:tcPr>
            <w:tcW w:w="70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50,335</w:t>
            </w:r>
          </w:p>
        </w:tc>
        <w:tc>
          <w:tcPr>
            <w:tcW w:w="240" w:type="dxa"/>
            <w:vAlign w:val="bottom"/>
            <w:tcBorders>
              <w:top w:val="single" w:sz="8" w:color="CCFFCC"/>
            </w:tcBorders>
            <w:shd w:val="clear" w:color="auto" w:fill="CCFFCC"/>
          </w:tcPr>
          <w:p>
            <w:pPr>
              <w:spacing w:after="0"/>
              <w:rPr>
                <w:sz w:val="12"/>
                <w:szCs w:val="12"/>
                <w:color w:val="auto"/>
              </w:rPr>
            </w:pPr>
          </w:p>
        </w:tc>
        <w:tc>
          <w:tcPr>
            <w:tcW w:w="70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49,970</w:t>
            </w:r>
          </w:p>
        </w:tc>
        <w:tc>
          <w:tcPr>
            <w:tcW w:w="220" w:type="dxa"/>
            <w:vAlign w:val="bottom"/>
            <w:tcBorders>
              <w:top w:val="single" w:sz="8" w:color="CCFFCC"/>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52,584</w:t>
            </w:r>
          </w:p>
        </w:tc>
        <w:tc>
          <w:tcPr>
            <w:tcW w:w="220" w:type="dxa"/>
            <w:vAlign w:val="bottom"/>
            <w:tcBorders>
              <w:top w:val="single" w:sz="8" w:color="CCFFCC"/>
            </w:tcBorders>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199,682</w:t>
            </w:r>
          </w:p>
        </w:tc>
        <w:tc>
          <w:tcPr>
            <w:tcW w:w="220" w:type="dxa"/>
            <w:vAlign w:val="bottom"/>
            <w:tcBorders>
              <w:top w:val="single" w:sz="8" w:color="CCFFCC"/>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51,190</w:t>
            </w:r>
          </w:p>
        </w:tc>
        <w:tc>
          <w:tcPr>
            <w:tcW w:w="220" w:type="dxa"/>
            <w:vAlign w:val="bottom"/>
            <w:tcBorders>
              <w:top w:val="single" w:sz="8" w:color="CCFFCC"/>
            </w:tcBorders>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53,670</w:t>
            </w:r>
          </w:p>
        </w:tc>
        <w:tc>
          <w:tcPr>
            <w:tcW w:w="220" w:type="dxa"/>
            <w:vAlign w:val="bottom"/>
            <w:tcBorders>
              <w:top w:val="single" w:sz="8" w:color="CCFFCC"/>
            </w:tcBorders>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49,701</w:t>
            </w:r>
          </w:p>
        </w:tc>
        <w:tc>
          <w:tcPr>
            <w:tcW w:w="100" w:type="dxa"/>
            <w:vAlign w:val="bottom"/>
            <w:tcBorders>
              <w:top w:val="single" w:sz="8" w:color="CCFFCC"/>
            </w:tcBorders>
            <w:shd w:val="clear" w:color="auto" w:fill="CCFFCC"/>
          </w:tcPr>
          <w:p>
            <w:pPr>
              <w:spacing w:after="0"/>
              <w:rPr>
                <w:sz w:val="12"/>
                <w:szCs w:val="12"/>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Real GDP (var. %)</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6.9</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6.0</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6.4</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6.8</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5.9</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6.3</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5.6</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w:t>
            </w:r>
          </w:p>
        </w:tc>
      </w:tr>
      <w:tr>
        <w:trPr>
          <w:trHeight w:val="149"/>
        </w:trPr>
        <w:tc>
          <w:tcPr>
            <w:tcW w:w="33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GDP per-capita (US$)</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5,904</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6,218</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6,674</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6,611</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6,941</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6,611</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6,742</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7,053</w:t>
            </w: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6,517</w:t>
            </w:r>
          </w:p>
        </w:tc>
      </w:tr>
      <w:tr>
        <w:trPr>
          <w:trHeight w:val="149"/>
        </w:trPr>
        <w:tc>
          <w:tcPr>
            <w:tcW w:w="3340" w:type="dxa"/>
            <w:vAlign w:val="bottom"/>
          </w:tcPr>
          <w:p>
            <w:pPr>
              <w:ind w:left="180"/>
              <w:spacing w:after="0" w:line="149" w:lineRule="exact"/>
              <w:rPr>
                <w:sz w:val="20"/>
                <w:szCs w:val="20"/>
                <w:color w:val="auto"/>
              </w:rPr>
            </w:pPr>
            <w:r>
              <w:rPr>
                <w:rFonts w:ascii="Arial" w:cs="Arial" w:eastAsia="Arial" w:hAnsi="Arial"/>
                <w:sz w:val="14"/>
                <w:szCs w:val="14"/>
                <w:color w:val="auto"/>
              </w:rPr>
              <w:t>Domestic demand (var. %)</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7.2</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4.7</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7.5</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9.8</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7.6</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7.4</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8.4</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6.4</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w:t>
            </w:r>
          </w:p>
        </w:tc>
      </w:tr>
      <w:tr>
        <w:trPr>
          <w:trHeight w:val="149"/>
        </w:trPr>
        <w:tc>
          <w:tcPr>
            <w:tcW w:w="334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rPr>
              <w:t>Consumption (var. %)</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6.4</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6.0</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5.8</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5.8</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5.8</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5.8</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5.5</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5.3</w:t>
            </w: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5.1</w:t>
            </w:r>
          </w:p>
        </w:tc>
      </w:tr>
      <w:tr>
        <w:trPr>
          <w:trHeight w:val="149"/>
        </w:trPr>
        <w:tc>
          <w:tcPr>
            <w:tcW w:w="3340" w:type="dxa"/>
            <w:vAlign w:val="bottom"/>
          </w:tcPr>
          <w:p>
            <w:pPr>
              <w:ind w:left="180"/>
              <w:spacing w:after="0" w:line="149" w:lineRule="exact"/>
              <w:rPr>
                <w:sz w:val="20"/>
                <w:szCs w:val="20"/>
                <w:color w:val="auto"/>
              </w:rPr>
            </w:pPr>
            <w:r>
              <w:rPr>
                <w:rFonts w:ascii="Arial" w:cs="Arial" w:eastAsia="Arial" w:hAnsi="Arial"/>
                <w:sz w:val="14"/>
                <w:szCs w:val="14"/>
                <w:color w:val="auto"/>
              </w:rPr>
              <w:t>Private Investment (var. %)</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5.1</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16.3</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15.7</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17.1</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11.3</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14.9</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14.7</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12.1</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w:t>
            </w:r>
          </w:p>
        </w:tc>
      </w:tr>
      <w:tr>
        <w:trPr>
          <w:trHeight w:val="149"/>
        </w:trPr>
        <w:tc>
          <w:tcPr>
            <w:tcW w:w="33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CPI (annual change, %)</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4.7</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4.2</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4.0</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3.7</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2.6</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2.6</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2.6</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2.77</w:t>
            </w: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3.12</w:t>
            </w: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Exchange rate, eop (S/. per US$)</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2.70</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2.67</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2.67</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2.60</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2.55</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2.6</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2.59</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2.75</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2.78</w:t>
            </w:r>
          </w:p>
        </w:tc>
      </w:tr>
      <w:tr>
        <w:trPr>
          <w:trHeight w:val="149"/>
        </w:trPr>
        <w:tc>
          <w:tcPr>
            <w:tcW w:w="33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Devaluation (annual change, %)</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-4.4</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-4.8</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-2.8</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-6.3</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-5.4</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-5.4</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-3.0</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2.86</w:t>
            </w: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6.99</w:t>
            </w: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Exchange rate, average (S/. per US$)</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2.75</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2.67</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2.67</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2.60</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2.57</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2.6</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2.59</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2.66</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2.78</w:t>
            </w:r>
          </w:p>
        </w:tc>
      </w:tr>
      <w:tr>
        <w:trPr>
          <w:trHeight w:val="149"/>
        </w:trPr>
        <w:tc>
          <w:tcPr>
            <w:tcW w:w="33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Non-Financial Public Sector (% of GDP)</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1.9</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7.1</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6.8</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-6.0</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2.2</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5.9</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3.9</w:t>
            </w: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-0.1</w:t>
            </w:r>
          </w:p>
        </w:tc>
      </w:tr>
      <w:tr>
        <w:trPr>
          <w:trHeight w:val="149"/>
        </w:trPr>
        <w:tc>
          <w:tcPr>
            <w:tcW w:w="3340" w:type="dxa"/>
            <w:vAlign w:val="bottom"/>
          </w:tcPr>
          <w:p>
            <w:pPr>
              <w:ind w:left="180"/>
              <w:spacing w:after="0" w:line="149" w:lineRule="exact"/>
              <w:rPr>
                <w:sz w:val="20"/>
                <w:szCs w:val="20"/>
                <w:color w:val="auto"/>
              </w:rPr>
            </w:pPr>
            <w:r>
              <w:rPr>
                <w:rFonts w:ascii="Arial" w:cs="Arial" w:eastAsia="Arial" w:hAnsi="Arial"/>
                <w:sz w:val="14"/>
                <w:szCs w:val="14"/>
                <w:color w:val="auto"/>
              </w:rPr>
              <w:t>Central government current revenues (% of GDP)</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18.1</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19.2</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19.6</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17.6</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17.7</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18.5</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19.2</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18.6</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17.9</w:t>
            </w:r>
          </w:p>
        </w:tc>
      </w:tr>
      <w:tr>
        <w:trPr>
          <w:trHeight w:val="149"/>
        </w:trPr>
        <w:tc>
          <w:tcPr>
            <w:tcW w:w="334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rPr>
              <w:t>Tax Income (% of GDP)</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15.5</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16.7</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16.5</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15.3</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15.5</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16</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16.5</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15.8</w:t>
            </w: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15.7</w:t>
            </w:r>
          </w:p>
        </w:tc>
      </w:tr>
      <w:tr>
        <w:trPr>
          <w:trHeight w:val="149"/>
        </w:trPr>
        <w:tc>
          <w:tcPr>
            <w:tcW w:w="3340" w:type="dxa"/>
            <w:vAlign w:val="bottom"/>
          </w:tcPr>
          <w:p>
            <w:pPr>
              <w:ind w:left="180"/>
              <w:spacing w:after="0" w:line="149" w:lineRule="exact"/>
              <w:rPr>
                <w:sz w:val="20"/>
                <w:szCs w:val="20"/>
                <w:color w:val="auto"/>
              </w:rPr>
            </w:pPr>
            <w:r>
              <w:rPr>
                <w:rFonts w:ascii="Arial" w:cs="Arial" w:eastAsia="Arial" w:hAnsi="Arial"/>
                <w:sz w:val="14"/>
                <w:szCs w:val="14"/>
                <w:color w:val="auto"/>
              </w:rPr>
              <w:t>Non Tax Income (% of GDP)</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2.6</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w:t>
            </w:r>
          </w:p>
        </w:tc>
      </w:tr>
      <w:tr>
        <w:trPr>
          <w:trHeight w:val="149"/>
        </w:trPr>
        <w:tc>
          <w:tcPr>
            <w:tcW w:w="334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rPr>
              <w:t>Current expenditures (% of GDP)</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12.0</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10.0</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9.9</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13.9</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14.2</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12</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10.3</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10.9</w:t>
            </w: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13.6</w:t>
            </w:r>
          </w:p>
        </w:tc>
      </w:tr>
      <w:tr>
        <w:trPr>
          <w:trHeight w:val="149"/>
        </w:trPr>
        <w:tc>
          <w:tcPr>
            <w:tcW w:w="3340" w:type="dxa"/>
            <w:vAlign w:val="bottom"/>
          </w:tcPr>
          <w:p>
            <w:pPr>
              <w:ind w:left="180"/>
              <w:spacing w:after="0" w:line="149" w:lineRule="exact"/>
              <w:rPr>
                <w:sz w:val="20"/>
                <w:szCs w:val="20"/>
                <w:color w:val="auto"/>
              </w:rPr>
            </w:pPr>
            <w:r>
              <w:rPr>
                <w:rFonts w:ascii="Arial" w:cs="Arial" w:eastAsia="Arial" w:hAnsi="Arial"/>
                <w:sz w:val="14"/>
                <w:szCs w:val="14"/>
                <w:color w:val="auto"/>
              </w:rPr>
              <w:t>Capital expenditures (% of GDP)</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4.2</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3.5</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6.2</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5.6</w:t>
            </w:r>
          </w:p>
        </w:tc>
      </w:tr>
      <w:tr>
        <w:trPr>
          <w:trHeight w:val="149"/>
        </w:trPr>
        <w:tc>
          <w:tcPr>
            <w:tcW w:w="33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Trade Balance (US$ MM)</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9,302</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2,401</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585</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594</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946</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4,527</w:t>
            </w:r>
          </w:p>
        </w:tc>
        <w:tc>
          <w:tcPr>
            <w:tcW w:w="6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-18</w:t>
            </w:r>
          </w:p>
        </w:tc>
        <w:tc>
          <w:tcPr>
            <w:tcW w:w="2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-712</w:t>
            </w: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-169</w:t>
            </w:r>
          </w:p>
        </w:tc>
      </w:tr>
      <w:tr>
        <w:trPr>
          <w:trHeight w:val="149"/>
        </w:trPr>
        <w:tc>
          <w:tcPr>
            <w:tcW w:w="3340" w:type="dxa"/>
            <w:vAlign w:val="bottom"/>
          </w:tcPr>
          <w:p>
            <w:pPr>
              <w:ind w:left="180"/>
              <w:spacing w:after="0" w:line="149" w:lineRule="exact"/>
              <w:rPr>
                <w:sz w:val="20"/>
                <w:szCs w:val="20"/>
                <w:color w:val="auto"/>
              </w:rPr>
            </w:pPr>
            <w:r>
              <w:rPr>
                <w:rFonts w:ascii="Arial" w:cs="Arial" w:eastAsia="Arial" w:hAnsi="Arial"/>
                <w:sz w:val="14"/>
                <w:szCs w:val="14"/>
                <w:color w:val="auto"/>
              </w:rPr>
              <w:t>Exports (US$ MM)</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46,268</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11,974</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10,586</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11,611</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11,468</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45,639</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10,183</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9,808</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10,962</w:t>
            </w:r>
          </w:p>
        </w:tc>
      </w:tr>
      <w:tr>
        <w:trPr>
          <w:trHeight w:val="149"/>
        </w:trPr>
        <w:tc>
          <w:tcPr>
            <w:tcW w:w="334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rPr>
              <w:t>Imports (US$ MM)</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36,967</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9,573</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10,001</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11,017</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10,522</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-41,113</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10,202</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10,520</w:t>
            </w:r>
          </w:p>
        </w:tc>
        <w:tc>
          <w:tcPr>
            <w:tcW w:w="7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-11,130</w:t>
            </w: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Current Account Balance (US$ MM)</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-3,341</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-671</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-1,927</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-2,626</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-1,913</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-7,136</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-2,670</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-3,065</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-2,819</w:t>
            </w:r>
          </w:p>
        </w:tc>
      </w:tr>
      <w:tr>
        <w:trPr>
          <w:trHeight w:val="162"/>
        </w:trPr>
        <w:tc>
          <w:tcPr>
            <w:tcW w:w="3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Current Account Balance (% of GDP)</w:t>
            </w: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-1.9</w:t>
            </w:r>
          </w:p>
        </w:tc>
        <w:tc>
          <w:tcPr>
            <w:tcW w:w="240" w:type="dxa"/>
            <w:vAlign w:val="bottom"/>
            <w:shd w:val="clear" w:color="auto" w:fill="CCFFCC"/>
          </w:tcPr>
          <w:p>
            <w:pPr>
              <w:spacing w:after="0"/>
              <w:rPr>
                <w:sz w:val="14"/>
                <w:szCs w:val="14"/>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-1.4</w:t>
            </w:r>
          </w:p>
        </w:tc>
        <w:tc>
          <w:tcPr>
            <w:tcW w:w="240" w:type="dxa"/>
            <w:vAlign w:val="bottom"/>
            <w:shd w:val="clear" w:color="auto" w:fill="CCFFCC"/>
          </w:tcPr>
          <w:p>
            <w:pPr>
              <w:spacing w:after="0"/>
              <w:rPr>
                <w:sz w:val="14"/>
                <w:szCs w:val="14"/>
                <w:color w:val="auto"/>
              </w:rPr>
            </w:pP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-3.8</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-5.3</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-3.6</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-3.6</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-5.2</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-5.7</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-5.7</w:t>
            </w:r>
          </w:p>
        </w:tc>
      </w:tr>
      <w:tr>
        <w:trPr>
          <w:trHeight w:val="20"/>
        </w:trPr>
        <w:tc>
          <w:tcPr>
            <w:tcW w:w="3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Source: BCR, INEI, estimated by BCP.</w:t>
      </w:r>
    </w:p>
    <w:p>
      <w:pPr>
        <w:spacing w:after="0" w:line="200" w:lineRule="exact"/>
        <w:rPr>
          <w:sz w:val="20"/>
          <w:szCs w:val="20"/>
          <w:color w:val="auto"/>
        </w:rPr>
      </w:pPr>
    </w:p>
    <w:p>
      <w:pPr>
        <w:spacing w:after="0" w:line="22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2" w:name="page53"/>
    <w:bookmarkEnd w:id="52"/>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Company Description: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Credicorp Ltd. (NYSE: BAP) is the leading financial services holding company in Peru. It primarily operates via its four principal Subsidiaries: Banco de Crédito del Peru (BCP), Atlantic Security Holding Corporation (ASHC), El Pacífico-Peruano Suiza Compañía de Seguros y Reaseguros (PPS) and Grupo Credito.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services, asset management, trust, custody and securitization services, trading and investment). BCP is the Company's primary subsidiary.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for Forward-Looking Statements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3" w:name="page54"/>
    <w:bookmarkEnd w:id="53"/>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US$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As of</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Dec 13</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Sep 13</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Dec 12</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QoQ</w:t>
            </w:r>
          </w:p>
        </w:tc>
        <w:tc>
          <w:tcPr>
            <w:tcW w:w="96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FFCC"/>
            </w:tcBorders>
            <w:shd w:val="clear" w:color="auto" w:fill="CCFFCC"/>
          </w:tcPr>
          <w:p>
            <w:pPr>
              <w:jc w:val="center"/>
              <w:ind w:right="30"/>
              <w:spacing w:after="0"/>
              <w:rPr>
                <w:sz w:val="20"/>
                <w:szCs w:val="20"/>
                <w:color w:val="auto"/>
              </w:rPr>
            </w:pPr>
            <w:r>
              <w:rPr>
                <w:rFonts w:ascii="Arial" w:cs="Arial" w:eastAsia="Arial" w:hAnsi="Arial"/>
                <w:sz w:val="18"/>
                <w:szCs w:val="18"/>
                <w:b w:val="1"/>
                <w:bCs w:val="1"/>
                <w:color w:val="auto"/>
                <w:w w:val="91"/>
              </w:rPr>
              <w:t>ASSETS</w:t>
            </w:r>
          </w:p>
        </w:tc>
        <w:tc>
          <w:tcPr>
            <w:tcW w:w="90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76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78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Non-interest bearing</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1,543,595</w:t>
            </w: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1,169,426</w:t>
            </w: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985,101</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32.0%</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20"/>
              <w:spacing w:after="0"/>
              <w:rPr>
                <w:sz w:val="20"/>
                <w:szCs w:val="20"/>
                <w:color w:val="auto"/>
              </w:rPr>
            </w:pPr>
            <w:r>
              <w:rPr>
                <w:rFonts w:ascii="Arial" w:cs="Arial" w:eastAsia="Arial" w:hAnsi="Arial"/>
                <w:sz w:val="18"/>
                <w:szCs w:val="18"/>
                <w:color w:val="auto"/>
              </w:rPr>
              <w:t>Interest bearing</w:t>
            </w:r>
          </w:p>
        </w:tc>
        <w:tc>
          <w:tcPr>
            <w:tcW w:w="900" w:type="dxa"/>
            <w:vAlign w:val="bottom"/>
          </w:tcPr>
          <w:p>
            <w:pPr>
              <w:jc w:val="right"/>
              <w:spacing w:after="0"/>
              <w:rPr>
                <w:sz w:val="20"/>
                <w:szCs w:val="20"/>
                <w:color w:val="auto"/>
              </w:rPr>
            </w:pPr>
            <w:r>
              <w:rPr>
                <w:rFonts w:ascii="Arial" w:cs="Arial" w:eastAsia="Arial" w:hAnsi="Arial"/>
                <w:sz w:val="18"/>
                <w:szCs w:val="18"/>
                <w:color w:val="auto"/>
              </w:rPr>
              <w:t>6,299,804</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6,559,888</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6,770,828</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FFCC"/>
          </w:tcPr>
          <w:p>
            <w:pPr>
              <w:jc w:val="center"/>
              <w:ind w:right="50"/>
              <w:spacing w:after="0"/>
              <w:rPr>
                <w:sz w:val="20"/>
                <w:szCs w:val="20"/>
                <w:color w:val="auto"/>
              </w:rPr>
            </w:pPr>
            <w:r>
              <w:rPr>
                <w:rFonts w:ascii="Arial" w:cs="Arial" w:eastAsia="Arial" w:hAnsi="Arial"/>
                <w:sz w:val="18"/>
                <w:szCs w:val="18"/>
                <w:b w:val="1"/>
                <w:bCs w:val="1"/>
                <w:color w:val="auto"/>
                <w:w w:val="89"/>
              </w:rPr>
              <w:t>Total cash and due from banks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7,843,399</w:t>
            </w: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7,729,315</w:t>
            </w: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7,755,929</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1.5%</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Marketable securities, net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623,862</w:t>
            </w: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284,334</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272,512</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119.4%</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128.9%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Loans</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7"/>
              </w:rPr>
              <w:t>23,003,306</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22,414,876</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21,476,520</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2.6%</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20"/>
              <w:spacing w:after="0"/>
              <w:rPr>
                <w:sz w:val="20"/>
                <w:szCs w:val="20"/>
                <w:color w:val="auto"/>
              </w:rPr>
            </w:pPr>
            <w:r>
              <w:rPr>
                <w:rFonts w:ascii="Arial" w:cs="Arial" w:eastAsia="Arial" w:hAnsi="Arial"/>
                <w:sz w:val="18"/>
                <w:szCs w:val="18"/>
                <w:color w:val="auto"/>
              </w:rPr>
              <w:t>Current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22,489,095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21,926,198</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21,104,158</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Past due</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514,211</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488,678</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372,362</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5.2%</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20"/>
              <w:spacing w:after="0"/>
              <w:rPr>
                <w:sz w:val="20"/>
                <w:szCs w:val="20"/>
                <w:color w:val="auto"/>
              </w:rPr>
            </w:pPr>
            <w:r>
              <w:rPr>
                <w:rFonts w:ascii="Arial" w:cs="Arial" w:eastAsia="Arial" w:hAnsi="Arial"/>
                <w:sz w:val="18"/>
                <w:szCs w:val="18"/>
                <w:color w:val="auto"/>
              </w:rPr>
              <w:t>Less - net provisions for possible loan losses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(809,892)</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(794,660)</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(699,022)</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Loans, net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7"/>
              </w:rPr>
              <w:t>22,193,414</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21,620,215</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20,777,499</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2.7%</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Investments securities available for sale</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6,817,272</w:t>
            </w: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6,777,445</w:t>
            </w: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7,700,915</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0.6%</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rPr>
              <w:t>Reinsurance assets</w:t>
            </w:r>
          </w:p>
        </w:tc>
        <w:tc>
          <w:tcPr>
            <w:tcW w:w="900" w:type="dxa"/>
            <w:vAlign w:val="bottom"/>
          </w:tcPr>
          <w:p>
            <w:pPr>
              <w:jc w:val="right"/>
              <w:spacing w:after="0"/>
              <w:rPr>
                <w:sz w:val="20"/>
                <w:szCs w:val="20"/>
                <w:color w:val="auto"/>
              </w:rPr>
            </w:pPr>
            <w:r>
              <w:rPr>
                <w:rFonts w:ascii="Arial" w:cs="Arial" w:eastAsia="Arial" w:hAnsi="Arial"/>
                <w:sz w:val="18"/>
                <w:szCs w:val="18"/>
                <w:color w:val="auto"/>
              </w:rPr>
              <w:t>207,056</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193,636</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167,460</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6.9%</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Premiums and other policyholder receivables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206,100</w:t>
            </w: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208,404</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183,983</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-1.1%</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900" w:type="dxa"/>
            <w:vAlign w:val="bottom"/>
          </w:tcPr>
          <w:p>
            <w:pPr>
              <w:jc w:val="right"/>
              <w:spacing w:after="0"/>
              <w:rPr>
                <w:sz w:val="20"/>
                <w:szCs w:val="20"/>
                <w:color w:val="auto"/>
              </w:rPr>
            </w:pPr>
            <w:r>
              <w:rPr>
                <w:rFonts w:ascii="Arial" w:cs="Arial" w:eastAsia="Arial" w:hAnsi="Arial"/>
                <w:sz w:val="18"/>
                <w:szCs w:val="18"/>
                <w:color w:val="auto"/>
              </w:rPr>
              <w:t>707,003</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644,358</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563,856</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9.7%</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Due from customers on acceptances</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67,688</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64,605</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100,768</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4.8%</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900" w:type="dxa"/>
            <w:vAlign w:val="bottom"/>
          </w:tcPr>
          <w:p>
            <w:pPr>
              <w:jc w:val="right"/>
              <w:spacing w:after="0"/>
              <w:rPr>
                <w:sz w:val="20"/>
                <w:szCs w:val="20"/>
                <w:color w:val="auto"/>
              </w:rPr>
            </w:pPr>
            <w:r>
              <w:rPr>
                <w:rFonts w:ascii="Arial" w:cs="Arial" w:eastAsia="Arial" w:hAnsi="Arial"/>
                <w:sz w:val="18"/>
                <w:szCs w:val="18"/>
                <w:color w:val="auto"/>
              </w:rPr>
              <w:t>2,315,769</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2,671,253</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3,623,710</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-13.3%</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Total assets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40,981,562</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40,193,565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41,146,632</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jc w:val="center"/>
              <w:ind w:right="50"/>
              <w:spacing w:after="0"/>
              <w:rPr>
                <w:sz w:val="20"/>
                <w:szCs w:val="20"/>
                <w:color w:val="auto"/>
              </w:rPr>
            </w:pPr>
            <w:r>
              <w:rPr>
                <w:rFonts w:ascii="Arial" w:cs="Arial" w:eastAsia="Arial" w:hAnsi="Arial"/>
                <w:sz w:val="18"/>
                <w:szCs w:val="18"/>
                <w:b w:val="1"/>
                <w:bCs w:val="1"/>
                <w:color w:val="auto"/>
              </w:rPr>
              <w:t>LIABILITIES AND NET SHAREHOLDERS' EQUITY</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rPr>
              <w:t>Deposits and Obligations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Non-interest bearing</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6,589,545</w:t>
            </w: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6,138,638</w:t>
            </w: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6,634,744</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7.3%</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20"/>
              <w:spacing w:after="0"/>
              <w:rPr>
                <w:sz w:val="20"/>
                <w:szCs w:val="20"/>
                <w:color w:val="auto"/>
              </w:rPr>
            </w:pPr>
            <w:r>
              <w:rPr>
                <w:rFonts w:ascii="Arial" w:cs="Arial" w:eastAsia="Arial" w:hAnsi="Arial"/>
                <w:sz w:val="18"/>
                <w:szCs w:val="18"/>
                <w:color w:val="auto"/>
              </w:rPr>
              <w:t>Interest bearing</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17,893,899</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17,889,362</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17,416,036</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FFCC"/>
          </w:tcPr>
          <w:p>
            <w:pPr>
              <w:ind w:left="320"/>
              <w:spacing w:after="0"/>
              <w:rPr>
                <w:sz w:val="20"/>
                <w:szCs w:val="20"/>
                <w:color w:val="auto"/>
              </w:rPr>
            </w:pPr>
            <w:r>
              <w:rPr>
                <w:rFonts w:ascii="Arial" w:cs="Arial" w:eastAsia="Arial" w:hAnsi="Arial"/>
                <w:sz w:val="18"/>
                <w:szCs w:val="18"/>
                <w:b w:val="1"/>
                <w:bCs w:val="1"/>
                <w:color w:val="auto"/>
              </w:rPr>
              <w:t>Total deposits and Obligations</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7"/>
              </w:rPr>
              <w:t>24,483,444</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24,028,000</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24,050,779</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1.9%</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Due to banks and correspondents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3,547,673</w:t>
            </w: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3,037,039</w:t>
            </w: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3,490,043</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16.8%</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rPr>
              <w:t>Acceptances outstanding</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67,688</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64,605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100,768</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4.8%</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Reserves for property and casualty claims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1,525,749</w:t>
            </w: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1,498,216</w:t>
            </w: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1,373,350</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1.8%</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rPr>
              <w:t>Reserve for unearned premiums</w:t>
            </w:r>
          </w:p>
        </w:tc>
        <w:tc>
          <w:tcPr>
            <w:tcW w:w="900" w:type="dxa"/>
            <w:vAlign w:val="bottom"/>
          </w:tcPr>
          <w:p>
            <w:pPr>
              <w:jc w:val="right"/>
              <w:spacing w:after="0"/>
              <w:rPr>
                <w:sz w:val="20"/>
                <w:szCs w:val="20"/>
                <w:color w:val="auto"/>
              </w:rPr>
            </w:pPr>
            <w:r>
              <w:rPr>
                <w:rFonts w:ascii="Arial" w:cs="Arial" w:eastAsia="Arial" w:hAnsi="Arial"/>
                <w:sz w:val="18"/>
                <w:szCs w:val="18"/>
                <w:color w:val="auto"/>
              </w:rPr>
              <w:t>257,691</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241,061</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241,649</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6.9%</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Reinsurance payable</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83,183</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71,617</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68,536</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16.1%</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rPr>
              <w:t>Bonds and subordinated debt</w:t>
            </w:r>
          </w:p>
        </w:tc>
        <w:tc>
          <w:tcPr>
            <w:tcW w:w="900" w:type="dxa"/>
            <w:vAlign w:val="bottom"/>
          </w:tcPr>
          <w:p>
            <w:pPr>
              <w:jc w:val="right"/>
              <w:spacing w:after="0"/>
              <w:rPr>
                <w:sz w:val="20"/>
                <w:szCs w:val="20"/>
                <w:color w:val="auto"/>
              </w:rPr>
            </w:pPr>
            <w:r>
              <w:rPr>
                <w:rFonts w:ascii="Arial" w:cs="Arial" w:eastAsia="Arial" w:hAnsi="Arial"/>
                <w:sz w:val="18"/>
                <w:szCs w:val="18"/>
                <w:color w:val="auto"/>
              </w:rPr>
              <w:t>5,105,945</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5,163,445</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4,815,843</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liabilities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1,494,051</w:t>
            </w: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1,813,600</w:t>
            </w: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2,621,386</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-17.6%</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Total liabilities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36,565,425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35,917,582</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36,762,354</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Capital stock</w:t>
            </w:r>
          </w:p>
        </w:tc>
        <w:tc>
          <w:tcPr>
            <w:tcW w:w="900" w:type="dxa"/>
            <w:vAlign w:val="bottom"/>
          </w:tcPr>
          <w:p>
            <w:pPr>
              <w:jc w:val="right"/>
              <w:spacing w:after="0"/>
              <w:rPr>
                <w:sz w:val="20"/>
                <w:szCs w:val="20"/>
                <w:color w:val="auto"/>
              </w:rPr>
            </w:pPr>
            <w:r>
              <w:rPr>
                <w:rFonts w:ascii="Arial" w:cs="Arial" w:eastAsia="Arial" w:hAnsi="Arial"/>
                <w:sz w:val="18"/>
                <w:szCs w:val="18"/>
                <w:color w:val="auto"/>
              </w:rPr>
              <w:t>471,912</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471,912</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471,912</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FFCC"/>
          </w:tcPr>
          <w:p>
            <w:pPr>
              <w:spacing w:after="0"/>
              <w:rPr>
                <w:sz w:val="20"/>
                <w:szCs w:val="20"/>
                <w:color w:val="auto"/>
              </w:rPr>
            </w:pPr>
            <w:r>
              <w:rPr>
                <w:rFonts w:ascii="Arial" w:cs="Arial" w:eastAsia="Arial" w:hAnsi="Arial"/>
                <w:sz w:val="18"/>
                <w:szCs w:val="18"/>
                <w:color w:val="auto"/>
              </w:rPr>
              <w:t>Treasury stock</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(74,464)</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(74,464)</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(74,630)</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Capital surplus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98,594</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98,594</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107,883</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FFCC"/>
          </w:tcPr>
          <w:p>
            <w:pPr>
              <w:spacing w:after="0"/>
              <w:rPr>
                <w:sz w:val="20"/>
                <w:szCs w:val="20"/>
                <w:color w:val="auto"/>
              </w:rPr>
            </w:pPr>
            <w:r>
              <w:rPr>
                <w:rFonts w:ascii="Arial" w:cs="Arial" w:eastAsia="Arial" w:hAnsi="Arial"/>
                <w:sz w:val="18"/>
                <w:szCs w:val="18"/>
                <w:color w:val="auto"/>
              </w:rPr>
              <w:t>Reserves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2,903,509</w:t>
            </w: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2,898,793</w:t>
            </w: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2,306,561</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0.2%</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Unrealized gains</w:t>
            </w:r>
          </w:p>
        </w:tc>
        <w:tc>
          <w:tcPr>
            <w:tcW w:w="900" w:type="dxa"/>
            <w:vAlign w:val="bottom"/>
          </w:tcPr>
          <w:p>
            <w:pPr>
              <w:jc w:val="right"/>
              <w:spacing w:after="0"/>
              <w:rPr>
                <w:sz w:val="20"/>
                <w:szCs w:val="20"/>
                <w:color w:val="auto"/>
              </w:rPr>
            </w:pPr>
            <w:r>
              <w:rPr>
                <w:rFonts w:ascii="Arial" w:cs="Arial" w:eastAsia="Arial" w:hAnsi="Arial"/>
                <w:sz w:val="18"/>
                <w:szCs w:val="18"/>
                <w:color w:val="auto"/>
              </w:rPr>
              <w:t>224,579</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236,963</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515,495</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FFCC"/>
          </w:tcPr>
          <w:p>
            <w:pPr>
              <w:spacing w:after="0"/>
              <w:rPr>
                <w:sz w:val="20"/>
                <w:szCs w:val="20"/>
                <w:color w:val="auto"/>
              </w:rPr>
            </w:pPr>
            <w:r>
              <w:rPr>
                <w:rFonts w:ascii="Arial" w:cs="Arial" w:eastAsia="Arial" w:hAnsi="Arial"/>
                <w:sz w:val="18"/>
                <w:szCs w:val="18"/>
                <w:color w:val="auto"/>
              </w:rPr>
              <w:t>Retained earnings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608,970</w:t>
            </w: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458,119</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840,748</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32.9%</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Minority interest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183,039</w:t>
            </w: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186,068</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216,311</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-1.6%</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FFCC"/>
          </w:tcPr>
          <w:p>
            <w:pPr>
              <w:jc w:val="center"/>
              <w:ind w:right="50"/>
              <w:spacing w:after="0"/>
              <w:rPr>
                <w:sz w:val="20"/>
                <w:szCs w:val="20"/>
                <w:color w:val="auto"/>
              </w:rPr>
            </w:pPr>
            <w:r>
              <w:rPr>
                <w:rFonts w:ascii="Arial" w:cs="Arial" w:eastAsia="Arial" w:hAnsi="Arial"/>
                <w:sz w:val="18"/>
                <w:szCs w:val="18"/>
                <w:b w:val="1"/>
                <w:bCs w:val="1"/>
                <w:color w:val="auto"/>
                <w:w w:val="89"/>
              </w:rPr>
              <w:t>Total liabilities and net shareholders' equity</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7"/>
              </w:rPr>
              <w:t>40,981,562</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40,193,565</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41,146,632</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2.0%</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80" w:type="dxa"/>
            <w:vAlign w:val="bottom"/>
            <w:shd w:val="clear" w:color="auto" w:fill="CCFFCC"/>
          </w:tcPr>
          <w:p>
            <w:pPr>
              <w:spacing w:after="0"/>
              <w:rPr>
                <w:sz w:val="20"/>
                <w:szCs w:val="20"/>
                <w:color w:val="auto"/>
              </w:rPr>
            </w:pPr>
            <w:r>
              <w:rPr>
                <w:rFonts w:ascii="Arial" w:cs="Arial" w:eastAsia="Arial" w:hAnsi="Arial"/>
                <w:sz w:val="18"/>
                <w:szCs w:val="18"/>
                <w:color w:val="auto"/>
              </w:rPr>
              <w:t>Contingent credits</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7"/>
              </w:rPr>
              <w:t>16,282,147</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14,393,176</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14,866,535</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13.1%</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50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54" w:name="page55"/>
    <w:bookmarkEnd w:id="54"/>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US$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Quarter</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ind w:left="460"/>
              <w:spacing w:after="0"/>
              <w:rPr>
                <w:sz w:val="20"/>
                <w:szCs w:val="20"/>
                <w:color w:val="auto"/>
              </w:rPr>
            </w:pPr>
            <w:r>
              <w:rPr>
                <w:rFonts w:ascii="Arial" w:cs="Arial" w:eastAsia="Arial" w:hAnsi="Arial"/>
                <w:sz w:val="14"/>
                <w:szCs w:val="14"/>
                <w:b w:val="1"/>
                <w:bCs w:val="1"/>
                <w:color w:val="auto"/>
                <w:w w:val="94"/>
              </w:rPr>
              <w:t>% Change</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Year ended</w:t>
            </w: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4Q13</w:t>
            </w: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3Q13</w:t>
            </w: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4Q12</w:t>
            </w:r>
          </w:p>
        </w:tc>
        <w:tc>
          <w:tcPr>
            <w:tcW w:w="1120" w:type="dxa"/>
            <w:vAlign w:val="bottom"/>
            <w:gridSpan w:val="3"/>
          </w:tcPr>
          <w:p>
            <w:pPr>
              <w:ind w:left="180"/>
              <w:spacing w:after="0"/>
              <w:rPr>
                <w:sz w:val="20"/>
                <w:szCs w:val="20"/>
                <w:color w:val="auto"/>
              </w:rPr>
            </w:pPr>
            <w:r>
              <w:rPr>
                <w:rFonts w:ascii="Arial" w:cs="Arial" w:eastAsia="Arial" w:hAnsi="Arial"/>
                <w:sz w:val="14"/>
                <w:szCs w:val="14"/>
                <w:b w:val="1"/>
                <w:bCs w:val="1"/>
                <w:color w:val="auto"/>
              </w:rPr>
              <w:t>QoQ</w:t>
            </w:r>
          </w:p>
        </w:tc>
        <w:tc>
          <w:tcPr>
            <w:tcW w:w="7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7"/>
              </w:rPr>
              <w:t>YoY</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 13</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 12</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Dec 13 / Dec 12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Interest income and expense</w:t>
            </w: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4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160"/>
              <w:spacing w:after="0" w:line="149" w:lineRule="exact"/>
              <w:rPr>
                <w:sz w:val="20"/>
                <w:szCs w:val="20"/>
                <w:color w:val="auto"/>
              </w:rPr>
            </w:pPr>
            <w:r>
              <w:rPr>
                <w:rFonts w:ascii="Arial" w:cs="Arial" w:eastAsia="Arial" w:hAnsi="Arial"/>
                <w:sz w:val="14"/>
                <w:szCs w:val="14"/>
                <w:color w:val="auto"/>
              </w:rPr>
              <w:t>Interest and dividend income</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654,828</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648,545</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627,540</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2,580,557</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2,310,464</w:t>
            </w:r>
          </w:p>
        </w:tc>
        <w:tc>
          <w:tcPr>
            <w:tcW w:w="22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expense</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(181,667)</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(189,841)</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(196,804)</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-4.3%</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-7.7%</w:t>
            </w:r>
          </w:p>
        </w:tc>
        <w:tc>
          <w:tcPr>
            <w:tcW w:w="9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(757,236)</w:t>
            </w:r>
          </w:p>
        </w:tc>
        <w:tc>
          <w:tcPr>
            <w:tcW w:w="9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(698,338)</w:t>
            </w:r>
          </w:p>
        </w:tc>
        <w:tc>
          <w:tcPr>
            <w:tcW w:w="10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8.43%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Net interest income</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473,160</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458,704</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430,736</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3.2%</w:t>
            </w: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9.8%</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1,823,322</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1,612,126</w:t>
            </w:r>
          </w:p>
        </w:tc>
        <w:tc>
          <w:tcPr>
            <w:tcW w:w="22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13.1%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0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4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00" w:type="dxa"/>
            <w:vAlign w:val="bottom"/>
          </w:tcPr>
          <w:p>
            <w:pPr>
              <w:spacing w:after="0" w:line="149" w:lineRule="exact"/>
              <w:rPr>
                <w:sz w:val="20"/>
                <w:szCs w:val="20"/>
                <w:color w:val="auto"/>
              </w:rPr>
            </w:pPr>
            <w:r>
              <w:rPr>
                <w:rFonts w:ascii="Arial" w:cs="Arial" w:eastAsia="Arial" w:hAnsi="Arial"/>
                <w:sz w:val="14"/>
                <w:szCs w:val="14"/>
                <w:b w:val="1"/>
                <w:bCs w:val="1"/>
                <w:color w:val="auto"/>
              </w:rPr>
              <w:t>Net provisions for loan losses</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(125,162)</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(118,580)</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(102,964)</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5.6%</w:t>
            </w: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21.6%</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(453,562)</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(377,841)</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0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4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00" w:type="dxa"/>
            <w:vAlign w:val="bottom"/>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Fee income</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216,821</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206,541</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204,111</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5.0%</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6.2%</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833,096</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737,421</w:t>
            </w:r>
          </w:p>
        </w:tc>
        <w:tc>
          <w:tcPr>
            <w:tcW w:w="10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160"/>
              <w:spacing w:after="0" w:line="149" w:lineRule="exact"/>
              <w:rPr>
                <w:sz w:val="20"/>
                <w:szCs w:val="20"/>
                <w:color w:val="auto"/>
              </w:rPr>
            </w:pPr>
            <w:r>
              <w:rPr>
                <w:rFonts w:ascii="Arial" w:cs="Arial" w:eastAsia="Arial" w:hAnsi="Arial"/>
                <w:sz w:val="14"/>
                <w:szCs w:val="14"/>
                <w:color w:val="auto"/>
              </w:rPr>
              <w:t>Net gain on foreign exchange transactions</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46,395</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48,675</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49,628</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-6.5%</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197,016</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177,472</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Net gain on sales of securities</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10,214</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10,137</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34,727</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0.8%</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-70.6%</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31,729</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112,580</w:t>
            </w:r>
          </w:p>
        </w:tc>
        <w:tc>
          <w:tcPr>
            <w:tcW w:w="10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160"/>
              <w:spacing w:after="0" w:line="149" w:lineRule="exact"/>
              <w:rPr>
                <w:sz w:val="20"/>
                <w:szCs w:val="20"/>
                <w:color w:val="auto"/>
              </w:rPr>
            </w:pPr>
            <w:r>
              <w:rPr>
                <w:rFonts w:ascii="Arial" w:cs="Arial" w:eastAsia="Arial" w:hAnsi="Arial"/>
                <w:sz w:val="14"/>
                <w:szCs w:val="14"/>
                <w:color w:val="auto"/>
              </w:rPr>
              <w:t>Other</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12,205</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5,113</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2,109</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138.7%</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478.6%</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35,338</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27,315</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b w:val="1"/>
                <w:bCs w:val="1"/>
                <w:color w:val="auto"/>
              </w:rPr>
              <w:t>Total non financial income, net</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285,635</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270,465</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290,576</w:t>
            </w: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5.6%</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-1.7%</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1,097,179</w:t>
            </w:r>
          </w:p>
        </w:tc>
        <w:tc>
          <w:tcPr>
            <w:tcW w:w="7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1,054,788</w:t>
            </w:r>
          </w:p>
        </w:tc>
        <w:tc>
          <w:tcPr>
            <w:tcW w:w="22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Insurance premiums and claims</w:t>
            </w: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4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160"/>
              <w:spacing w:after="0" w:line="149" w:lineRule="exact"/>
              <w:rPr>
                <w:sz w:val="20"/>
                <w:szCs w:val="20"/>
                <w:color w:val="auto"/>
              </w:rPr>
            </w:pPr>
            <w:r>
              <w:rPr>
                <w:rFonts w:ascii="Arial" w:cs="Arial" w:eastAsia="Arial" w:hAnsi="Arial"/>
                <w:sz w:val="14"/>
                <w:szCs w:val="14"/>
                <w:color w:val="auto"/>
              </w:rPr>
              <w:t>Net premiums earned</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188,254</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203,885</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190,782</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-7.7%</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784,954</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704,205</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Net claims incurred</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(129,759)</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(138,410)</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(122,414)</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-6.2%</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6.0%</w:t>
            </w:r>
          </w:p>
        </w:tc>
        <w:tc>
          <w:tcPr>
            <w:tcW w:w="9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(538,382)</w:t>
            </w:r>
          </w:p>
        </w:tc>
        <w:tc>
          <w:tcPr>
            <w:tcW w:w="9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(463,454)</w:t>
            </w:r>
          </w:p>
        </w:tc>
        <w:tc>
          <w:tcPr>
            <w:tcW w:w="10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160"/>
              <w:spacing w:after="0" w:line="149" w:lineRule="exact"/>
              <w:rPr>
                <w:sz w:val="20"/>
                <w:szCs w:val="20"/>
                <w:color w:val="auto"/>
              </w:rPr>
            </w:pPr>
            <w:r>
              <w:rPr>
                <w:rFonts w:ascii="Arial" w:cs="Arial" w:eastAsia="Arial" w:hAnsi="Arial"/>
                <w:sz w:val="14"/>
                <w:szCs w:val="14"/>
                <w:color w:val="auto"/>
              </w:rPr>
              <w:t>Net technical commissions and expenses (1)</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(21,617)</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(27,420)</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(17,474)</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-21.2%</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23.7%</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(105,571)</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(97,884)</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Total Insurance services technical result</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36,879</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38,055</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50,894</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-3.1%</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-27.5%</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141,001</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142,866</w:t>
            </w:r>
          </w:p>
        </w:tc>
        <w:tc>
          <w:tcPr>
            <w:tcW w:w="10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Medical Services Technical Result (2)(3)</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4,656</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6,927</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7,538</w:t>
            </w: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-32.8%</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-38.2%</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23,582</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7,233</w:t>
            </w:r>
          </w:p>
        </w:tc>
        <w:tc>
          <w:tcPr>
            <w:tcW w:w="10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226.0%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4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160"/>
              <w:spacing w:after="0" w:line="149" w:lineRule="exact"/>
              <w:rPr>
                <w:sz w:val="20"/>
                <w:szCs w:val="20"/>
                <w:color w:val="auto"/>
              </w:rPr>
            </w:pPr>
            <w:r>
              <w:rPr>
                <w:rFonts w:ascii="Arial" w:cs="Arial" w:eastAsia="Arial" w:hAnsi="Arial"/>
                <w:sz w:val="14"/>
                <w:szCs w:val="14"/>
                <w:color w:val="auto"/>
              </w:rPr>
              <w:t>Salaries and employees benefits</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(188,953)</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(203,276)</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(222,089)</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-7.0%</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-14.9%</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(814,743)</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(759,128)</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Administrative and general expenses</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(182,667)</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(153,654)</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(169,655)</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18.9%</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7.7%</w:t>
            </w:r>
          </w:p>
        </w:tc>
        <w:tc>
          <w:tcPr>
            <w:tcW w:w="9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(641,044)</w:t>
            </w:r>
          </w:p>
        </w:tc>
        <w:tc>
          <w:tcPr>
            <w:tcW w:w="9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(536,727)</w:t>
            </w:r>
          </w:p>
        </w:tc>
        <w:tc>
          <w:tcPr>
            <w:tcW w:w="10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160"/>
              <w:spacing w:after="0" w:line="149" w:lineRule="exact"/>
              <w:rPr>
                <w:sz w:val="20"/>
                <w:szCs w:val="20"/>
                <w:color w:val="auto"/>
              </w:rPr>
            </w:pPr>
            <w:r>
              <w:rPr>
                <w:rFonts w:ascii="Arial" w:cs="Arial" w:eastAsia="Arial" w:hAnsi="Arial"/>
                <w:sz w:val="14"/>
                <w:szCs w:val="14"/>
                <w:color w:val="auto"/>
              </w:rPr>
              <w:t>Depreciation and amortization</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(54,045)</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(31,636)</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(30,879)</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70.8%</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75.0%</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(148,212)</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(114,591)</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Other (4)</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(26,728)</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(5,409)</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(15,842)</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394.2%</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68.7%</w:t>
            </w:r>
          </w:p>
        </w:tc>
        <w:tc>
          <w:tcPr>
            <w:tcW w:w="9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(62,303)</w:t>
            </w:r>
          </w:p>
        </w:tc>
        <w:tc>
          <w:tcPr>
            <w:tcW w:w="9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(43,995)</w:t>
            </w:r>
          </w:p>
        </w:tc>
        <w:tc>
          <w:tcPr>
            <w:tcW w:w="10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(452,393)</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(393,974)</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(438,465)</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14.8%</w:t>
            </w: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3.2%</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(1,666,302)</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(1,454,441)</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14.6%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0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4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0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income (5)</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222,774</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261,597</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238,315</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-14.8%</w:t>
            </w: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-6.5%</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965,220</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984,732</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Translation result</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(4,792)</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(3,312)</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30,475</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44.7%</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-115.7%</w:t>
            </w:r>
          </w:p>
        </w:tc>
        <w:tc>
          <w:tcPr>
            <w:tcW w:w="9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(105,291)</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75,079</w:t>
            </w:r>
          </w:p>
        </w:tc>
        <w:tc>
          <w:tcPr>
            <w:tcW w:w="10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-240.2%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160"/>
              <w:spacing w:after="0" w:line="149" w:lineRule="exact"/>
              <w:rPr>
                <w:sz w:val="20"/>
                <w:szCs w:val="20"/>
                <w:color w:val="auto"/>
              </w:rPr>
            </w:pPr>
            <w:r>
              <w:rPr>
                <w:rFonts w:ascii="Arial" w:cs="Arial" w:eastAsia="Arial" w:hAnsi="Arial"/>
                <w:sz w:val="14"/>
                <w:szCs w:val="14"/>
                <w:color w:val="auto"/>
              </w:rPr>
              <w:t>Workers’ profit sharing</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Income taxes</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(67,595)</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(74,757)</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(61,585)</w:t>
            </w:r>
          </w:p>
        </w:tc>
        <w:tc>
          <w:tcPr>
            <w:tcW w:w="9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-9.6%</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9.8%</w:t>
            </w:r>
          </w:p>
        </w:tc>
        <w:tc>
          <w:tcPr>
            <w:tcW w:w="9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(285,760)</w:t>
            </w:r>
          </w:p>
        </w:tc>
        <w:tc>
          <w:tcPr>
            <w:tcW w:w="9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(251,583)</w:t>
            </w:r>
          </w:p>
        </w:tc>
        <w:tc>
          <w:tcPr>
            <w:tcW w:w="10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150,387</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183,528</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207,204</w:t>
            </w:r>
          </w:p>
        </w:tc>
        <w:tc>
          <w:tcPr>
            <w:tcW w:w="9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-18.1%</w:t>
            </w:r>
          </w:p>
        </w:tc>
        <w:tc>
          <w:tcPr>
            <w:tcW w:w="20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-27.4%</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574,169</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808,228</w:t>
            </w:r>
          </w:p>
        </w:tc>
        <w:tc>
          <w:tcPr>
            <w:tcW w:w="10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line="149" w:lineRule="exact"/>
              <w:rPr>
                <w:sz w:val="20"/>
                <w:szCs w:val="20"/>
                <w:color w:val="auto"/>
              </w:rPr>
            </w:pPr>
            <w:r>
              <w:rPr>
                <w:rFonts w:ascii="Arial" w:cs="Arial" w:eastAsia="Arial" w:hAnsi="Arial"/>
                <w:sz w:val="14"/>
                <w:szCs w:val="14"/>
                <w:color w:val="auto"/>
              </w:rPr>
              <w:t>Minority interest</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(1,250)</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4,102</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7,016</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-130.5%</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-117.8%</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7,091</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19,449</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-63.5%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Net income attributed to Credicorp</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151,637</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179,426</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200,189</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b w:val="1"/>
                <w:bCs w:val="1"/>
                <w:color w:val="auto"/>
              </w:rPr>
              <w:t>-15.5%</w:t>
            </w:r>
          </w:p>
        </w:tc>
        <w:tc>
          <w:tcPr>
            <w:tcW w:w="200" w:type="dxa"/>
            <w:vAlign w:val="bottom"/>
            <w:shd w:val="clear" w:color="auto" w:fill="CCFFCC"/>
          </w:tcPr>
          <w:p>
            <w:pPr>
              <w:spacing w:after="0"/>
              <w:rPr>
                <w:sz w:val="14"/>
                <w:szCs w:val="14"/>
                <w:color w:val="auto"/>
              </w:rPr>
            </w:pP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-24.3%</w:t>
            </w: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567,079</w:t>
            </w: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788,779</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4"/>
                <w:szCs w:val="14"/>
                <w:b w:val="1"/>
                <w:bCs w:val="1"/>
                <w:color w:val="auto"/>
              </w:rPr>
              <w:t>-28.1%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43"/>
        </w:numPr>
        <w:rPr>
          <w:rFonts w:ascii="Arial" w:cs="Arial" w:eastAsia="Arial" w:hAnsi="Arial"/>
          <w:sz w:val="17"/>
          <w:szCs w:val="17"/>
          <w:i w:val="1"/>
          <w:iCs w:val="1"/>
          <w:color w:val="auto"/>
        </w:rPr>
      </w:pPr>
      <w:r>
        <w:rPr>
          <w:rFonts w:ascii="Arial" w:cs="Arial" w:eastAsia="Arial" w:hAnsi="Arial"/>
          <w:sz w:val="17"/>
          <w:szCs w:val="17"/>
          <w:i w:val="1"/>
          <w:iCs w:val="1"/>
          <w:color w:val="auto"/>
        </w:rPr>
        <w:t>Net claims incurred (in property and casualty) includes the increase of expesnes for future benefits that correspond to the Health and life business.</w:t>
      </w:r>
    </w:p>
    <w:p>
      <w:pPr>
        <w:spacing w:after="0" w:line="20" w:lineRule="exact"/>
        <w:rPr>
          <w:rFonts w:ascii="Arial" w:cs="Arial" w:eastAsia="Arial" w:hAnsi="Arial"/>
          <w:sz w:val="17"/>
          <w:szCs w:val="17"/>
          <w:i w:val="1"/>
          <w:iCs w:val="1"/>
          <w:color w:val="auto"/>
        </w:rPr>
      </w:pPr>
    </w:p>
    <w:p>
      <w:pPr>
        <w:ind w:left="260" w:hanging="252"/>
        <w:spacing w:after="0"/>
        <w:tabs>
          <w:tab w:leader="none" w:pos="260" w:val="left"/>
        </w:tabs>
        <w:numPr>
          <w:ilvl w:val="0"/>
          <w:numId w:val="43"/>
        </w:numPr>
        <w:rPr>
          <w:rFonts w:ascii="Arial" w:cs="Arial" w:eastAsia="Arial" w:hAnsi="Arial"/>
          <w:sz w:val="17"/>
          <w:szCs w:val="17"/>
          <w:i w:val="1"/>
          <w:iCs w:val="1"/>
          <w:color w:val="auto"/>
        </w:rPr>
      </w:pPr>
      <w:r>
        <w:rPr>
          <w:rFonts w:ascii="Arial" w:cs="Arial" w:eastAsia="Arial" w:hAnsi="Arial"/>
          <w:sz w:val="17"/>
          <w:szCs w:val="17"/>
          <w:i w:val="1"/>
          <w:iCs w:val="1"/>
          <w:color w:val="auto"/>
        </w:rPr>
        <w:t>This item was used to be included in Other operating expenses until 1Q12. It refers to Commisions over insurance and reinsurance premiums.</w:t>
      </w:r>
    </w:p>
    <w:p>
      <w:pPr>
        <w:spacing w:after="0" w:line="20" w:lineRule="exact"/>
        <w:rPr>
          <w:rFonts w:ascii="Arial" w:cs="Arial" w:eastAsia="Arial" w:hAnsi="Arial"/>
          <w:sz w:val="17"/>
          <w:szCs w:val="17"/>
          <w:i w:val="1"/>
          <w:iCs w:val="1"/>
          <w:color w:val="auto"/>
        </w:rPr>
      </w:pPr>
    </w:p>
    <w:p>
      <w:pPr>
        <w:ind w:right="380" w:firstLine="8"/>
        <w:spacing w:after="0" w:line="250" w:lineRule="auto"/>
        <w:tabs>
          <w:tab w:leader="none" w:pos="255"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Gross margin from clinics: income from medical care minus operating expenses related to medical services. This item was reported under Other non-financial income until 1Q12.</w:t>
      </w:r>
    </w:p>
    <w:p>
      <w:pPr>
        <w:ind w:right="400" w:firstLine="8"/>
        <w:spacing w:after="0" w:line="250" w:lineRule="auto"/>
        <w:tabs>
          <w:tab w:leader="none" w:pos="255"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Other operating expenses now excludes Net technical commisions and expenses but includes the underwriting income that was used to be included in Other non-financial income until 1Q12.</w:t>
      </w:r>
    </w:p>
    <w:p>
      <w:pPr>
        <w:ind w:left="260" w:hanging="252"/>
        <w:spacing w:after="0"/>
        <w:tabs>
          <w:tab w:leader="none" w:pos="26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Income before translation results and income taxes.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5" w:name="page56"/>
    <w:bookmarkEnd w:id="55"/>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ind w:left="4120"/>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SELECTED FINANCIAL INDICATORS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4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4Q13</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3Q13</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4Q12</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Dec 13</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Dec 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Profitability</w:t>
            </w: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Net income per common share (US$ per share) (1)</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1.90</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2.25</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2.51</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7.11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interest margin on interest earning assets (2)</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5.20%</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5.13%</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4.96%</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5.00%</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Return on average total assets (2)(3)</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Return on average shareholders' equity (2)(3)</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14.6%</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18.0%</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19.6%</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13.5%</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No. of outstanding shares (millions) (4)</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79.76</w:t>
            </w:r>
          </w:p>
        </w:tc>
        <w:tc>
          <w:tcPr>
            <w:tcW w:w="920" w:type="dxa"/>
            <w:vAlign w:val="bottom"/>
          </w:tcPr>
          <w:p>
            <w:pPr>
              <w:jc w:val="right"/>
              <w:spacing w:after="0"/>
              <w:rPr>
                <w:sz w:val="20"/>
                <w:szCs w:val="20"/>
                <w:color w:val="auto"/>
              </w:rPr>
            </w:pPr>
            <w:r>
              <w:rPr>
                <w:rFonts w:ascii="Arial" w:cs="Arial" w:eastAsia="Arial" w:hAnsi="Arial"/>
                <w:sz w:val="18"/>
                <w:szCs w:val="18"/>
                <w:color w:val="auto"/>
              </w:rPr>
              <w:t>79.76</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79.76</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79.76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79.76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Quality of loan portfolio</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PDL ratio</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2.24%</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2.18%</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1.73%</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2.24%</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NPL ratio</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2.81%</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2.76%</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2.39%</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2.81%</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Coverage of PDLs</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157.5%</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162.6%</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187.7%</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157.5%</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Coverage of NPLs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125.1%</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128.7%</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136.0%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125.1%</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Reserves for loan losses / Total loans</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3.52%</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3.55%</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3.25%</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3.52%</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efficiency</w:t>
            </w: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Oper. expenses as a percent. of total income (5)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45.8%</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42.0%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47.9%</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43.8%</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Oper. expenses as a percent. of av. tot. assets (2)(3)(5)</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4.2%</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3.9%</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4.3%</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3.9%</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Average balances (millions of US$) (3)</w:t>
            </w: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Interest earning assets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36,390</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35,786</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34,766</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36,483</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31,706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 assets</w:t>
            </w:r>
          </w:p>
        </w:tc>
        <w:tc>
          <w:tcPr>
            <w:tcW w:w="11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40,586</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40,021</w:t>
            </w: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39,424</w:t>
            </w: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41,062</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36,031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Net shareholder's equity</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4,162</w:t>
            </w:r>
          </w:p>
        </w:tc>
        <w:tc>
          <w:tcPr>
            <w:tcW w:w="920" w:type="dxa"/>
            <w:vAlign w:val="bottom"/>
          </w:tcPr>
          <w:p>
            <w:pPr>
              <w:jc w:val="right"/>
              <w:spacing w:after="0"/>
              <w:rPr>
                <w:sz w:val="20"/>
                <w:szCs w:val="20"/>
                <w:color w:val="auto"/>
              </w:rPr>
            </w:pPr>
            <w:r>
              <w:rPr>
                <w:rFonts w:ascii="Arial" w:cs="Arial" w:eastAsia="Arial" w:hAnsi="Arial"/>
                <w:sz w:val="18"/>
                <w:szCs w:val="18"/>
                <w:color w:val="auto"/>
              </w:rPr>
              <w:t>3,988</w:t>
            </w:r>
          </w:p>
        </w:tc>
        <w:tc>
          <w:tcPr>
            <w:tcW w:w="26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4,088</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4,201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3,772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0</wp:posOffset>
            </wp:positionV>
            <wp:extent cx="355917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ind w:left="260" w:hanging="252"/>
        <w:spacing w:after="0"/>
        <w:tabs>
          <w:tab w:leader="none" w:pos="26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Based on Net Income attributed to BAP. Number of shares outstanding of 79.8 million in all periods.</w:t>
      </w:r>
    </w:p>
    <w:p>
      <w:pPr>
        <w:spacing w:after="0" w:line="21" w:lineRule="exact"/>
        <w:rPr>
          <w:rFonts w:ascii="Arial" w:cs="Arial" w:eastAsia="Arial" w:hAnsi="Arial"/>
          <w:sz w:val="18"/>
          <w:szCs w:val="18"/>
          <w:i w:val="1"/>
          <w:iCs w:val="1"/>
          <w:color w:val="auto"/>
        </w:rPr>
      </w:pPr>
    </w:p>
    <w:p>
      <w:pPr>
        <w:ind w:left="260" w:hanging="252"/>
        <w:spacing w:after="0"/>
        <w:tabs>
          <w:tab w:leader="none" w:pos="26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Net of treasury shares. The total number of shares was of 94.38 million.</w:t>
      </w:r>
    </w:p>
    <w:p>
      <w:pPr>
        <w:spacing w:after="0" w:line="9" w:lineRule="exact"/>
        <w:rPr>
          <w:rFonts w:ascii="Arial" w:cs="Arial" w:eastAsia="Arial" w:hAnsi="Arial"/>
          <w:sz w:val="18"/>
          <w:szCs w:val="18"/>
          <w:i w:val="1"/>
          <w:iCs w:val="1"/>
          <w:color w:val="auto"/>
        </w:rPr>
      </w:pPr>
    </w:p>
    <w:p>
      <w:pPr>
        <w:ind w:right="220" w:firstLine="8"/>
        <w:spacing w:after="0" w:line="261" w:lineRule="auto"/>
        <w:tabs>
          <w:tab w:leader="none" w:pos="255"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net gain on foreign exchange transactions and net premiums earned. Operating expenses exclude Other expenses.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6" w:name="page57"/>
    <w:bookmarkEnd w:id="56"/>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US$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As of</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3"/>
          </w:tcPr>
          <w:p>
            <w:pPr>
              <w:ind w:left="660"/>
              <w:spacing w:after="0"/>
              <w:rPr>
                <w:sz w:val="20"/>
                <w:szCs w:val="20"/>
                <w:color w:val="auto"/>
              </w:rPr>
            </w:pPr>
            <w:r>
              <w:rPr>
                <w:rFonts w:ascii="Arial" w:cs="Arial" w:eastAsia="Arial" w:hAnsi="Arial"/>
                <w:sz w:val="18"/>
                <w:szCs w:val="18"/>
                <w:b w:val="1"/>
                <w:bCs w:val="1"/>
                <w:color w:val="auto"/>
                <w:w w:val="91"/>
              </w:rPr>
              <w:t>% Change</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Dec 13</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Sep 13</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Dec 12</w:t>
            </w:r>
          </w:p>
        </w:tc>
        <w:tc>
          <w:tcPr>
            <w:tcW w:w="1480" w:type="dxa"/>
            <w:vAlign w:val="bottom"/>
            <w:gridSpan w:val="3"/>
          </w:tcPr>
          <w:p>
            <w:pPr>
              <w:ind w:left="280"/>
              <w:spacing w:after="0"/>
              <w:rPr>
                <w:sz w:val="20"/>
                <w:szCs w:val="20"/>
                <w:color w:val="auto"/>
              </w:rPr>
            </w:pPr>
            <w:r>
              <w:rPr>
                <w:rFonts w:ascii="Arial" w:cs="Arial" w:eastAsia="Arial" w:hAnsi="Arial"/>
                <w:sz w:val="18"/>
                <w:szCs w:val="18"/>
                <w:b w:val="1"/>
                <w:bCs w:val="1"/>
                <w:color w:val="auto"/>
              </w:rPr>
              <w:t>QoQ</w:t>
            </w:r>
          </w:p>
        </w:tc>
        <w:tc>
          <w:tcPr>
            <w:tcW w:w="8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1"/>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FFCC"/>
            </w:tcBorders>
            <w:shd w:val="clear" w:color="auto" w:fill="CCFFCC"/>
          </w:tcPr>
          <w:p>
            <w:pPr>
              <w:jc w:val="center"/>
              <w:ind w:right="30"/>
              <w:spacing w:after="0"/>
              <w:rPr>
                <w:sz w:val="20"/>
                <w:szCs w:val="20"/>
                <w:color w:val="auto"/>
              </w:rPr>
            </w:pPr>
            <w:r>
              <w:rPr>
                <w:rFonts w:ascii="Arial" w:cs="Arial" w:eastAsia="Arial" w:hAnsi="Arial"/>
                <w:sz w:val="18"/>
                <w:szCs w:val="18"/>
                <w:b w:val="1"/>
                <w:bCs w:val="1"/>
                <w:color w:val="auto"/>
                <w:w w:val="91"/>
              </w:rPr>
              <w:t>ASSETS</w:t>
            </w:r>
          </w:p>
        </w:tc>
        <w:tc>
          <w:tcPr>
            <w:tcW w:w="92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64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and due from banks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7,670,434</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7,559,402</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7,629,082</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1.5%</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Cash and BCRP</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7,007,802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6,594,087</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7,106,409</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Deposits in other Banks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593,244</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859,251</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501,304</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-31.0%</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Interbanks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67,786</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101,562</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17,441</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-33.3%</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Accrued interest on cash and due from banks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1,602</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4,502</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3,928</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-64.4%</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Marketable securities, net</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436,202</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108,130</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71,323</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303.4%</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511.6%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Loans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22,308,659</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w w:val="99"/>
              </w:rPr>
              <w:t>21,715,317</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20,754,941</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2.7%</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Current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21,794,990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21,227,197</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20,384,603</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Past Due</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513,669</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488,120</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370,338</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Less - net provisions for possible loan losses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(809,264)</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(794,032)</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(698,395)</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Loans, net</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21,499,395</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w w:val="99"/>
              </w:rPr>
              <w:t>20,921,285</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20,056,546</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2.8%</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Investment securities available for sale</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3,975,058</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3,998,181</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4,702,394</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-0.6%</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496,956</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446,816</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391,564</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11.2%</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Due from customers acceptances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67,688</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64,605</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100,768</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4.8%</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1,092,231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1,238,851</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2,841,219</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-11.8%</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jc w:val="center"/>
              <w:ind w:right="30"/>
              <w:spacing w:after="0"/>
              <w:rPr>
                <w:sz w:val="20"/>
                <w:szCs w:val="20"/>
                <w:color w:val="auto"/>
              </w:rPr>
            </w:pPr>
            <w:r>
              <w:rPr>
                <w:rFonts w:ascii="Arial" w:cs="Arial" w:eastAsia="Arial" w:hAnsi="Arial"/>
                <w:sz w:val="18"/>
                <w:szCs w:val="18"/>
                <w:b w:val="1"/>
                <w:bCs w:val="1"/>
                <w:color w:val="auto"/>
                <w:w w:val="82"/>
              </w:rPr>
              <w:t>Total assets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35,237,964</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34,337,270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35,792,896</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2.6%</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jc w:val="center"/>
              <w:ind w:right="30"/>
              <w:spacing w:after="0"/>
              <w:rPr>
                <w:sz w:val="20"/>
                <w:szCs w:val="20"/>
                <w:color w:val="auto"/>
              </w:rPr>
            </w:pPr>
            <w:r>
              <w:rPr>
                <w:rFonts w:ascii="Arial" w:cs="Arial" w:eastAsia="Arial" w:hAnsi="Arial"/>
                <w:sz w:val="18"/>
                <w:szCs w:val="18"/>
                <w:b w:val="1"/>
                <w:bCs w:val="1"/>
                <w:color w:val="auto"/>
              </w:rPr>
              <w:t>LIABILITIES AND NET SHAREHOLDERS' EQUITY</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Deposits and obligations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23,174,089</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22,784,081</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22,835,452</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Demand deposits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7,440,582</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7,152,927</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7,582,821</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Saving deposits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6,355,705</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6,070,575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6,084,550</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Time deposits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6,915,603</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7,357,460</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6,872,223</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Severance indemnity deposits (CTS)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2,390,742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2,130,214</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2,232,492</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payable</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71,457</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72,905</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63,366</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4,327,719</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3,832,745</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4,379,853</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12.9%</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Bonds and subordinated debt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4,137,652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4,147,354</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3,684,908</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-0.2%</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Acceptances outstanding</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67,688</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64,605</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100,768</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4.8%</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552,268</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659,045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1,942,981</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-16.2%</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Total liabilities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32,259,416</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31,487,830</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32,943,962</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2.5%</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Net shareholders' equity</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2,972,064</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2,843,292</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2,775,351</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4.5%</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Capital stock</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1,237,652</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1,237,652</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986,697</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Reserves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788,325</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788,325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700,491</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Unrealized Gains and Losses</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130,894</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140,603</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152,209</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-6.9%</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351,661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357,467</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274,596</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Income for the year</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463,532</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319,245</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661,358</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45.2%</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Minority interest</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6,484</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6,148</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73,583</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jc w:val="center"/>
              <w:ind w:right="30"/>
              <w:spacing w:after="0"/>
              <w:rPr>
                <w:sz w:val="20"/>
                <w:szCs w:val="20"/>
                <w:color w:val="auto"/>
              </w:rPr>
            </w:pPr>
            <w:r>
              <w:rPr>
                <w:rFonts w:ascii="Arial" w:cs="Arial" w:eastAsia="Arial" w:hAnsi="Arial"/>
                <w:sz w:val="18"/>
                <w:szCs w:val="18"/>
                <w:b w:val="1"/>
                <w:bCs w:val="1"/>
                <w:color w:val="auto"/>
                <w:w w:val="90"/>
              </w:rPr>
              <w:t>Total liabilities and net shareholders' equity</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35,237,964</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w w:val="99"/>
              </w:rPr>
              <w:t>34,337,270</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w w:val="99"/>
              </w:rPr>
              <w:t>35,792,896</w:t>
            </w: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2.6%</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color w:val="auto"/>
              </w:rPr>
              <w:t>Off-balance sheet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15,684,234</w:t>
            </w:r>
          </w:p>
        </w:tc>
        <w:tc>
          <w:tcPr>
            <w:tcW w:w="220" w:type="dxa"/>
            <w:vAlign w:val="bottom"/>
            <w:shd w:val="clear" w:color="auto" w:fill="CCFFCC"/>
          </w:tcPr>
          <w:p>
            <w:pPr>
              <w:spacing w:after="0"/>
              <w:rPr>
                <w:sz w:val="19"/>
                <w:szCs w:val="19"/>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14,256,332</w:t>
            </w:r>
          </w:p>
        </w:tc>
        <w:tc>
          <w:tcPr>
            <w:tcW w:w="20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9"/>
              </w:rPr>
              <w:t>14,744,926</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FFCC"/>
          </w:tcPr>
          <w:p>
            <w:pPr>
              <w:spacing w:after="0"/>
              <w:rPr>
                <w:sz w:val="19"/>
                <w:szCs w:val="19"/>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220" w:firstLine="8"/>
        <w:spacing w:after="0" w:line="255" w:lineRule="auto"/>
        <w:tabs>
          <w:tab w:leader="none" w:pos="135"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December 2012 (YTD) figures differ from figures previously reported because BCP Colombia and BCP Chile' results used to be registered line by line. In order to be aligned with our audited financial statements and because BCP Colombia and BCP Chile are businesses held for sale, their results will be registered inside Net gain on sales of securities.</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031" w:gutter="0" w:footer="0" w:header="0"/>
        </w:sectPr>
      </w:pPr>
    </w:p>
    <w:bookmarkStart w:id="57" w:name="page58"/>
    <w:bookmarkEnd w:id="57"/>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US$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Quarter</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ind w:left="460"/>
              <w:spacing w:after="0"/>
              <w:rPr>
                <w:sz w:val="20"/>
                <w:szCs w:val="20"/>
                <w:color w:val="auto"/>
              </w:rPr>
            </w:pPr>
            <w:r>
              <w:rPr>
                <w:rFonts w:ascii="Arial" w:cs="Arial" w:eastAsia="Arial" w:hAnsi="Arial"/>
                <w:sz w:val="14"/>
                <w:szCs w:val="14"/>
                <w:b w:val="1"/>
                <w:bCs w:val="1"/>
                <w:color w:val="auto"/>
                <w:w w:val="94"/>
              </w:rPr>
              <w:t>% Change</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Year ended</w:t>
            </w: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4Q13</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3Q13</w:t>
            </w: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4Q12</w:t>
            </w:r>
          </w:p>
        </w:tc>
        <w:tc>
          <w:tcPr>
            <w:tcW w:w="1120" w:type="dxa"/>
            <w:vAlign w:val="bottom"/>
            <w:gridSpan w:val="3"/>
          </w:tcPr>
          <w:p>
            <w:pPr>
              <w:ind w:left="180"/>
              <w:spacing w:after="0"/>
              <w:rPr>
                <w:sz w:val="20"/>
                <w:szCs w:val="20"/>
                <w:color w:val="auto"/>
              </w:rPr>
            </w:pPr>
            <w:r>
              <w:rPr>
                <w:rFonts w:ascii="Arial" w:cs="Arial" w:eastAsia="Arial" w:hAnsi="Arial"/>
                <w:sz w:val="14"/>
                <w:szCs w:val="14"/>
                <w:b w:val="1"/>
                <w:bCs w:val="1"/>
                <w:color w:val="auto"/>
              </w:rPr>
              <w:t>QoQ</w:t>
            </w:r>
          </w:p>
        </w:tc>
        <w:tc>
          <w:tcPr>
            <w:tcW w:w="7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7"/>
              </w:rPr>
              <w:t>YoY</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 13</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 12</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Dec 13 / Dec 12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Interest income and expense</w:t>
            </w:r>
          </w:p>
        </w:tc>
        <w:tc>
          <w:tcPr>
            <w:tcW w:w="6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4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160"/>
              <w:spacing w:after="0" w:line="149" w:lineRule="exact"/>
              <w:rPr>
                <w:sz w:val="20"/>
                <w:szCs w:val="20"/>
                <w:color w:val="auto"/>
              </w:rPr>
            </w:pPr>
            <w:r>
              <w:rPr>
                <w:rFonts w:ascii="Arial" w:cs="Arial" w:eastAsia="Arial" w:hAnsi="Arial"/>
                <w:sz w:val="14"/>
                <w:szCs w:val="14"/>
                <w:color w:val="auto"/>
              </w:rPr>
              <w:t>Interest and dividend income</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618,655</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608,643</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580,790</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w:t>
            </w:r>
          </w:p>
        </w:tc>
        <w:tc>
          <w:tcPr>
            <w:tcW w:w="22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6.5%</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2,423,346</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2,133,751</w:t>
            </w:r>
          </w:p>
        </w:tc>
        <w:tc>
          <w:tcPr>
            <w:tcW w:w="22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expense</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(178,019)</w:t>
            </w:r>
          </w:p>
        </w:tc>
        <w:tc>
          <w:tcPr>
            <w:tcW w:w="9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(183,428)</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(177,955)</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-2.9%</w:t>
            </w:r>
          </w:p>
        </w:tc>
        <w:tc>
          <w:tcPr>
            <w:tcW w:w="22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9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(740,199)</w:t>
            </w:r>
          </w:p>
        </w:tc>
        <w:tc>
          <w:tcPr>
            <w:tcW w:w="9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(646,025)</w:t>
            </w:r>
          </w:p>
        </w:tc>
        <w:tc>
          <w:tcPr>
            <w:tcW w:w="10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Net interest income</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440,636</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425,215</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402,835</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3.6%</w:t>
            </w:r>
          </w:p>
        </w:tc>
        <w:tc>
          <w:tcPr>
            <w:tcW w:w="2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9.4%</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1,683,147</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1,487,726</w:t>
            </w:r>
          </w:p>
        </w:tc>
        <w:tc>
          <w:tcPr>
            <w:tcW w:w="22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provision for loan losses</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(125,395)</w:t>
            </w:r>
          </w:p>
        </w:tc>
        <w:tc>
          <w:tcPr>
            <w:tcW w:w="9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(119,019)</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b w:val="1"/>
                <w:bCs w:val="1"/>
                <w:color w:val="auto"/>
              </w:rPr>
              <w:t>(103,083)</w:t>
            </w: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5.4%</w:t>
            </w:r>
          </w:p>
        </w:tc>
        <w:tc>
          <w:tcPr>
            <w:tcW w:w="22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21.6%</w:t>
            </w:r>
          </w:p>
        </w:tc>
        <w:tc>
          <w:tcPr>
            <w:tcW w:w="9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(454,375)</w:t>
            </w:r>
          </w:p>
        </w:tc>
        <w:tc>
          <w:tcPr>
            <w:tcW w:w="9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(378,620)</w:t>
            </w:r>
          </w:p>
        </w:tc>
        <w:tc>
          <w:tcPr>
            <w:tcW w:w="10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6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4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160"/>
              <w:spacing w:after="0" w:line="149" w:lineRule="exact"/>
              <w:rPr>
                <w:sz w:val="20"/>
                <w:szCs w:val="20"/>
                <w:color w:val="auto"/>
              </w:rPr>
            </w:pPr>
            <w:r>
              <w:rPr>
                <w:rFonts w:ascii="Arial" w:cs="Arial" w:eastAsia="Arial" w:hAnsi="Arial"/>
                <w:sz w:val="14"/>
                <w:szCs w:val="14"/>
                <w:color w:val="auto"/>
              </w:rPr>
              <w:t>Fee income</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170,992</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162,715</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172,495</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5.1%</w:t>
            </w:r>
          </w:p>
        </w:tc>
        <w:tc>
          <w:tcPr>
            <w:tcW w:w="22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-0.9%</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648,774</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620,058</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Net gain on foreign exchange transactions</w:t>
            </w: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44,490</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47,487</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47,996</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-6.3%</w:t>
            </w:r>
          </w:p>
        </w:tc>
        <w:tc>
          <w:tcPr>
            <w:tcW w:w="22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-7.3%</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190,763</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174,049</w:t>
            </w:r>
          </w:p>
        </w:tc>
        <w:tc>
          <w:tcPr>
            <w:tcW w:w="10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160"/>
              <w:spacing w:after="0" w:line="149" w:lineRule="exact"/>
              <w:rPr>
                <w:sz w:val="20"/>
                <w:szCs w:val="20"/>
                <w:color w:val="auto"/>
              </w:rPr>
            </w:pPr>
            <w:r>
              <w:rPr>
                <w:rFonts w:ascii="Arial" w:cs="Arial" w:eastAsia="Arial" w:hAnsi="Arial"/>
                <w:sz w:val="14"/>
                <w:szCs w:val="14"/>
                <w:color w:val="auto"/>
              </w:rPr>
              <w:t>Net gain on sales of securities</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2,717</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(738)</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4,994</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-468.2%</w:t>
            </w:r>
          </w:p>
        </w:tc>
        <w:tc>
          <w:tcPr>
            <w:tcW w:w="22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-45.6%</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(23,958)</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43,334</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Other</w:t>
            </w: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8,010</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2,195</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7,345</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264.9%</w:t>
            </w:r>
          </w:p>
        </w:tc>
        <w:tc>
          <w:tcPr>
            <w:tcW w:w="22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9.1%</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26,003</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23,825</w:t>
            </w:r>
          </w:p>
        </w:tc>
        <w:tc>
          <w:tcPr>
            <w:tcW w:w="10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Total non financial income, net</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226,209</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211,659</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232,830</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6.9%</w:t>
            </w:r>
          </w:p>
        </w:tc>
        <w:tc>
          <w:tcPr>
            <w:tcW w:w="2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-2.8%</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841,582</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861,266</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4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8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Salaries and employees benefits</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(141,531)</w:t>
            </w:r>
          </w:p>
        </w:tc>
        <w:tc>
          <w:tcPr>
            <w:tcW w:w="9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(149,547)</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(164,759)</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-5.4%</w:t>
            </w:r>
          </w:p>
        </w:tc>
        <w:tc>
          <w:tcPr>
            <w:tcW w:w="22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-14.1%</w:t>
            </w:r>
          </w:p>
        </w:tc>
        <w:tc>
          <w:tcPr>
            <w:tcW w:w="9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(613,222)</w:t>
            </w:r>
          </w:p>
        </w:tc>
        <w:tc>
          <w:tcPr>
            <w:tcW w:w="9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(596,207)</w:t>
            </w:r>
          </w:p>
        </w:tc>
        <w:tc>
          <w:tcPr>
            <w:tcW w:w="10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160"/>
              <w:spacing w:after="0" w:line="149" w:lineRule="exact"/>
              <w:rPr>
                <w:sz w:val="20"/>
                <w:szCs w:val="20"/>
                <w:color w:val="auto"/>
              </w:rPr>
            </w:pPr>
            <w:r>
              <w:rPr>
                <w:rFonts w:ascii="Arial" w:cs="Arial" w:eastAsia="Arial" w:hAnsi="Arial"/>
                <w:sz w:val="14"/>
                <w:szCs w:val="14"/>
                <w:color w:val="auto"/>
              </w:rPr>
              <w:t>Administrative expenses</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(139,946)</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(118,567)</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(137,546)</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18.0%</w:t>
            </w:r>
          </w:p>
        </w:tc>
        <w:tc>
          <w:tcPr>
            <w:tcW w:w="22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(491,598)</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(434,117)</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Depreciation and amortization</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(26,101)</w:t>
            </w:r>
          </w:p>
        </w:tc>
        <w:tc>
          <w:tcPr>
            <w:tcW w:w="9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(25,025)</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(23,513)</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4.3%</w:t>
            </w:r>
          </w:p>
        </w:tc>
        <w:tc>
          <w:tcPr>
            <w:tcW w:w="22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11.0%</w:t>
            </w:r>
          </w:p>
        </w:tc>
        <w:tc>
          <w:tcPr>
            <w:tcW w:w="9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(99,416)</w:t>
            </w:r>
          </w:p>
        </w:tc>
        <w:tc>
          <w:tcPr>
            <w:tcW w:w="9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(92,306)</w:t>
            </w:r>
          </w:p>
        </w:tc>
        <w:tc>
          <w:tcPr>
            <w:tcW w:w="10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160"/>
              <w:spacing w:after="0" w:line="149" w:lineRule="exact"/>
              <w:rPr>
                <w:sz w:val="20"/>
                <w:szCs w:val="20"/>
                <w:color w:val="auto"/>
              </w:rPr>
            </w:pPr>
            <w:r>
              <w:rPr>
                <w:rFonts w:ascii="Arial" w:cs="Arial" w:eastAsia="Arial" w:hAnsi="Arial"/>
                <w:sz w:val="14"/>
                <w:szCs w:val="14"/>
                <w:color w:val="auto"/>
              </w:rPr>
              <w:t>Other</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(20,929)</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(10,295)</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(12,067)</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103.3%</w:t>
            </w:r>
          </w:p>
        </w:tc>
        <w:tc>
          <w:tcPr>
            <w:tcW w:w="22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73.4%</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(65,978)</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(39,876)</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(328,507)</w:t>
            </w:r>
          </w:p>
        </w:tc>
        <w:tc>
          <w:tcPr>
            <w:tcW w:w="9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(303,434)</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b w:val="1"/>
                <w:bCs w:val="1"/>
                <w:color w:val="auto"/>
              </w:rPr>
              <w:t>(337,885)</w:t>
            </w: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8.3%</w:t>
            </w:r>
          </w:p>
        </w:tc>
        <w:tc>
          <w:tcPr>
            <w:tcW w:w="22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-2.8%</w:t>
            </w:r>
          </w:p>
        </w:tc>
        <w:tc>
          <w:tcPr>
            <w:tcW w:w="9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(1,270,214)</w:t>
            </w:r>
          </w:p>
        </w:tc>
        <w:tc>
          <w:tcPr>
            <w:tcW w:w="9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(1,162,506)</w:t>
            </w:r>
          </w:p>
        </w:tc>
        <w:tc>
          <w:tcPr>
            <w:tcW w:w="10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9.3%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8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b w:val="1"/>
                <w:bCs w:val="1"/>
                <w:color w:val="auto"/>
              </w:rPr>
              <w:t>212,943</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214,421</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194,697</w:t>
            </w: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-0.7%</w:t>
            </w:r>
          </w:p>
        </w:tc>
        <w:tc>
          <w:tcPr>
            <w:tcW w:w="22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9.4%</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800,140</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807,866</w:t>
            </w:r>
          </w:p>
        </w:tc>
        <w:tc>
          <w:tcPr>
            <w:tcW w:w="10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160"/>
              <w:spacing w:after="0" w:line="149" w:lineRule="exact"/>
              <w:rPr>
                <w:sz w:val="20"/>
                <w:szCs w:val="20"/>
                <w:color w:val="auto"/>
              </w:rPr>
            </w:pPr>
            <w:r>
              <w:rPr>
                <w:rFonts w:ascii="Arial" w:cs="Arial" w:eastAsia="Arial" w:hAnsi="Arial"/>
                <w:sz w:val="14"/>
                <w:szCs w:val="14"/>
                <w:color w:val="auto"/>
              </w:rPr>
              <w:t>Translation result</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(5,000)</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(2,877)</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25,734</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73.8%</w:t>
            </w:r>
          </w:p>
        </w:tc>
        <w:tc>
          <w:tcPr>
            <w:tcW w:w="22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-119.4%</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(87,025)</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63,105</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Income taxes</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(63,443)</w:t>
            </w:r>
          </w:p>
        </w:tc>
        <w:tc>
          <w:tcPr>
            <w:tcW w:w="9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(60,529)</w:t>
            </w:r>
          </w:p>
        </w:tc>
        <w:tc>
          <w:tcPr>
            <w:tcW w:w="9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(49,496)</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4.8%</w:t>
            </w:r>
          </w:p>
        </w:tc>
        <w:tc>
          <w:tcPr>
            <w:tcW w:w="22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28.2%</w:t>
            </w:r>
          </w:p>
        </w:tc>
        <w:tc>
          <w:tcPr>
            <w:tcW w:w="9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(248,788)</w:t>
            </w:r>
          </w:p>
        </w:tc>
        <w:tc>
          <w:tcPr>
            <w:tcW w:w="9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(208,714)</w:t>
            </w:r>
          </w:p>
        </w:tc>
        <w:tc>
          <w:tcPr>
            <w:tcW w:w="10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160"/>
              <w:spacing w:after="0" w:line="149" w:lineRule="exact"/>
              <w:rPr>
                <w:sz w:val="20"/>
                <w:szCs w:val="20"/>
                <w:color w:val="auto"/>
              </w:rPr>
            </w:pPr>
            <w:r>
              <w:rPr>
                <w:rFonts w:ascii="Arial" w:cs="Arial" w:eastAsia="Arial" w:hAnsi="Arial"/>
                <w:sz w:val="14"/>
                <w:szCs w:val="14"/>
                <w:color w:val="auto"/>
              </w:rPr>
              <w:t>Minority interest</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(213)</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(189)</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12.7%</w:t>
            </w:r>
          </w:p>
        </w:tc>
        <w:tc>
          <w:tcPr>
            <w:tcW w:w="22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-1026.1%</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(795)</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(899)</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8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Net income</w:t>
            </w:r>
          </w:p>
        </w:tc>
        <w:tc>
          <w:tcPr>
            <w:tcW w:w="68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144,287</w:t>
            </w:r>
          </w:p>
        </w:tc>
        <w:tc>
          <w:tcPr>
            <w:tcW w:w="200" w:type="dxa"/>
            <w:vAlign w:val="bottom"/>
            <w:shd w:val="clear" w:color="auto" w:fill="CCFFCC"/>
          </w:tcPr>
          <w:p>
            <w:pPr>
              <w:spacing w:after="0"/>
              <w:rPr>
                <w:sz w:val="14"/>
                <w:szCs w:val="14"/>
                <w:color w:val="auto"/>
              </w:rPr>
            </w:pP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150,826</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170,958</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b w:val="1"/>
                <w:bCs w:val="1"/>
                <w:color w:val="auto"/>
              </w:rPr>
              <w:t>-4.3%</w:t>
            </w:r>
          </w:p>
        </w:tc>
        <w:tc>
          <w:tcPr>
            <w:tcW w:w="220" w:type="dxa"/>
            <w:vAlign w:val="bottom"/>
            <w:shd w:val="clear" w:color="auto" w:fill="CCFFCC"/>
          </w:tcPr>
          <w:p>
            <w:pPr>
              <w:spacing w:after="0"/>
              <w:rPr>
                <w:sz w:val="14"/>
                <w:szCs w:val="14"/>
                <w:color w:val="auto"/>
              </w:rPr>
            </w:pP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-15.6%</w:t>
            </w: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463,532</w:t>
            </w: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661,358</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4"/>
                <w:szCs w:val="14"/>
                <w:b w:val="1"/>
                <w:bCs w:val="1"/>
                <w:color w:val="auto"/>
              </w:rPr>
              <w:t>-29.9%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right="20" w:firstLine="8"/>
        <w:spacing w:after="0" w:line="255" w:lineRule="auto"/>
        <w:tabs>
          <w:tab w:leader="none" w:pos="135"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4Q12 and December 2012 (YTD) figures differ from figures previously reported because BCP Colombia and BCP Chile' results used to be registered line by line. In order to be aligned with our audited financial statements and because BCP Colombia and BCP Chile are businesses held for sale, their results will be registered inside Net gain on sales of securities.</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8" w:name="page59"/>
    <w:bookmarkEnd w:id="58"/>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FINANCIAL INDICATORS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4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4Q13</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3Q13</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4Q12</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Dec 13</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Dec 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Profitability</w:t>
            </w: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Net income per common share (US$ per share) (1)</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0.047</w:t>
            </w:r>
          </w:p>
        </w:tc>
        <w:tc>
          <w:tcPr>
            <w:tcW w:w="920" w:type="dxa"/>
            <w:vAlign w:val="bottom"/>
          </w:tcPr>
          <w:p>
            <w:pPr>
              <w:jc w:val="right"/>
              <w:spacing w:after="0"/>
              <w:rPr>
                <w:sz w:val="20"/>
                <w:szCs w:val="20"/>
                <w:color w:val="auto"/>
              </w:rPr>
            </w:pPr>
            <w:r>
              <w:rPr>
                <w:rFonts w:ascii="Arial" w:cs="Arial" w:eastAsia="Arial" w:hAnsi="Arial"/>
                <w:sz w:val="18"/>
                <w:szCs w:val="18"/>
                <w:color w:val="auto"/>
              </w:rPr>
              <w:t>0.049</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0.055</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0.149</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interest margin on interest earning assets (2)</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5.37%</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5.27%</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5.22%</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5.14%</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Return on average total assets (2) (3)</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Return on average shareholders' equity (2) (3)</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19.9%</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21.9%</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25.2%</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16.1%</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No. of outstanding shares (millions)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3,102.90</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3,102.90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3,102.90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3,102.90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3,102.90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Quality of loan portfolio</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PDL ratio</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2.30%</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2.25%</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1.78%</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2.30%</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NPL ratio</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2.90%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2.84%</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2.47%</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2.90%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Coverage of PDLs</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157.6%</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162.7%</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188.6%</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157.6%</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Coverage of NPLs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125.2%</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128.7%</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136.4%</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125.2%</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Reserves for loan losses as a percentage of total loans</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3.6%</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3.6%</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efficiency</w:t>
            </w: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Oper. expenses as a percent. of total income (4)</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46.9%</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46.1%</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52.3%</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47.7%</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Oper. expenses as a percent. of av. tot. Assets (2) (3) (4)</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3.8%</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Capital adequacy</w:t>
            </w: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Total Regulatory Capital (US$ million)</w:t>
            </w:r>
          </w:p>
        </w:tc>
        <w:tc>
          <w:tcPr>
            <w:tcW w:w="900" w:type="dxa"/>
            <w:vAlign w:val="bottom"/>
          </w:tcPr>
          <w:p>
            <w:pPr>
              <w:jc w:val="right"/>
              <w:spacing w:after="0"/>
              <w:rPr>
                <w:sz w:val="20"/>
                <w:szCs w:val="20"/>
                <w:color w:val="auto"/>
              </w:rPr>
            </w:pPr>
            <w:r>
              <w:rPr>
                <w:rFonts w:ascii="Arial" w:cs="Arial" w:eastAsia="Arial" w:hAnsi="Arial"/>
                <w:sz w:val="18"/>
                <w:szCs w:val="18"/>
                <w:color w:val="auto"/>
              </w:rPr>
              <w:t>3,848.0</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3,671.3</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3,502.1</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3,848.0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3,502.1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Tier I capital</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2,574.2</w:t>
            </w: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2,409.3</w:t>
            </w:r>
          </w:p>
        </w:tc>
        <w:tc>
          <w:tcPr>
            <w:tcW w:w="2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2,405.3</w:t>
            </w: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2,574.2</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2,405.3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BIS ratio (5)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14.46%</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14.12%</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14.72%</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14.46%</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color w:val="auto"/>
              </w:rPr>
              <w:t>Tier 1 ratio (6)</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9.7%</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9.3%</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10.1%</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9.7%</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Common Equity Tier 1 ratio (7)</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Average balances (US$ million) (3)</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earning assets</w:t>
            </w:r>
          </w:p>
        </w:tc>
        <w:tc>
          <w:tcPr>
            <w:tcW w:w="11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32,798.1</w:t>
            </w:r>
          </w:p>
        </w:tc>
        <w:tc>
          <w:tcPr>
            <w:tcW w:w="11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32,263.5</w:t>
            </w: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30,888.5</w:t>
            </w: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32,760.6</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28,577.7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34,787.6</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34,243.6</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34,446.0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35,515.4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31,384.7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shareholders' equity</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2,907.7</w:t>
            </w:r>
          </w:p>
        </w:tc>
        <w:tc>
          <w:tcPr>
            <w:tcW w:w="260" w:type="dxa"/>
            <w:vAlign w:val="bottom"/>
            <w:shd w:val="clear" w:color="auto" w:fill="CCFFCC"/>
          </w:tcPr>
          <w:p>
            <w:pPr>
              <w:spacing w:after="0"/>
              <w:rPr>
                <w:sz w:val="19"/>
                <w:szCs w:val="19"/>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2,757.1</w:t>
            </w:r>
          </w:p>
        </w:tc>
        <w:tc>
          <w:tcPr>
            <w:tcW w:w="26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2,710.1</w:t>
            </w: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2,873.7</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2,558.4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47"/>
        </w:numPr>
        <w:rPr>
          <w:rFonts w:ascii="Arial" w:cs="Arial" w:eastAsia="Arial" w:hAnsi="Arial"/>
          <w:sz w:val="17"/>
          <w:szCs w:val="17"/>
          <w:i w:val="1"/>
          <w:iCs w:val="1"/>
          <w:color w:val="auto"/>
        </w:rPr>
      </w:pPr>
      <w:r>
        <w:rPr>
          <w:rFonts w:ascii="Arial" w:cs="Arial" w:eastAsia="Arial" w:hAnsi="Arial"/>
          <w:sz w:val="17"/>
          <w:szCs w:val="17"/>
          <w:i w:val="1"/>
          <w:iCs w:val="1"/>
          <w:color w:val="auto"/>
        </w:rPr>
        <w:t>Shares outstanding of 3,102.9 million is used for all periods since shares have been issued only for capitalization of profits and inflation adjustment.</w:t>
      </w:r>
    </w:p>
    <w:p>
      <w:pPr>
        <w:spacing w:after="0" w:line="20" w:lineRule="exact"/>
        <w:rPr>
          <w:rFonts w:ascii="Arial" w:cs="Arial" w:eastAsia="Arial" w:hAnsi="Arial"/>
          <w:sz w:val="17"/>
          <w:szCs w:val="17"/>
          <w:i w:val="1"/>
          <w:iCs w:val="1"/>
          <w:color w:val="auto"/>
        </w:rPr>
      </w:pPr>
    </w:p>
    <w:p>
      <w:pPr>
        <w:ind w:left="260" w:hanging="252"/>
        <w:spacing w:after="0"/>
        <w:tabs>
          <w:tab w:leader="none" w:pos="26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and net gain on foreign exchange transactions.</w:t>
      </w:r>
    </w:p>
    <w:p>
      <w:pPr>
        <w:spacing w:after="0" w:line="211" w:lineRule="exact"/>
        <w:rPr>
          <w:sz w:val="20"/>
          <w:szCs w:val="20"/>
          <w:color w:val="auto"/>
        </w:rPr>
      </w:pPr>
    </w:p>
    <w:p>
      <w:pPr>
        <w:ind w:left="260" w:hanging="252"/>
        <w:spacing w:after="0"/>
        <w:tabs>
          <w:tab w:leader="none" w:pos="260"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Regulatory Capital/ risk-weighted assets. Risk weighted assets include market risk and operation risk.</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Tier 1 / Risk-weighted assets.</w:t>
      </w:r>
    </w:p>
    <w:p>
      <w:pPr>
        <w:spacing w:after="0" w:line="9" w:lineRule="exact"/>
        <w:rPr>
          <w:rFonts w:ascii="Arial" w:cs="Arial" w:eastAsia="Arial" w:hAnsi="Arial"/>
          <w:sz w:val="18"/>
          <w:szCs w:val="18"/>
          <w:i w:val="1"/>
          <w:iCs w:val="1"/>
          <w:color w:val="auto"/>
        </w:rPr>
      </w:pPr>
    </w:p>
    <w:p>
      <w:pPr>
        <w:ind w:right="240" w:firstLine="8"/>
        <w:spacing w:after="0" w:line="261" w:lineRule="auto"/>
        <w:tabs>
          <w:tab w:leader="none" w:pos="255"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Common Equity Tier I = Capital + Reserves – 100% of applicable deductions (investment in subsidiaries, goodwill, intangibles and deferred tax assets that rely on future profitability) + retained earnings + unrealized gains.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9" w:name="page60"/>
    <w:bookmarkEnd w:id="59"/>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6271895</wp:posOffset>
            </wp:positionH>
            <wp:positionV relativeFrom="page">
              <wp:posOffset>568960</wp:posOffset>
            </wp:positionV>
            <wp:extent cx="1132205" cy="3086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1132205" cy="30861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b w:val="1"/>
          <w:bCs w:val="1"/>
          <w:color w:val="auto"/>
        </w:rPr>
        <w:t>PACIFICO GRUPO ASEGURADOR (PGA)</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US$ thousand)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 Change</w:t>
            </w:r>
          </w:p>
        </w:tc>
        <w:tc>
          <w:tcPr>
            <w:tcW w:w="190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Year ended</w:t>
            </w: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4Q13</w:t>
            </w: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3Q13</w:t>
            </w: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4Q12</w:t>
            </w: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QoQ</w:t>
            </w: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YoY</w:t>
            </w: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 13</w:t>
            </w: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 12</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Dec 13 / Dec 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Borders>
              <w:top w:val="single" w:sz="8" w:color="CCFFCC"/>
            </w:tcBorders>
            <w:shd w:val="clear" w:color="auto" w:fill="CCFFCC"/>
          </w:tcPr>
          <w:p>
            <w:pPr>
              <w:jc w:val="center"/>
              <w:ind w:right="48"/>
              <w:spacing w:after="0" w:line="142" w:lineRule="exact"/>
              <w:rPr>
                <w:sz w:val="20"/>
                <w:szCs w:val="20"/>
                <w:color w:val="auto"/>
              </w:rPr>
            </w:pPr>
            <w:r>
              <w:rPr>
                <w:rFonts w:ascii="Arial" w:cs="Arial" w:eastAsia="Arial" w:hAnsi="Arial"/>
                <w:sz w:val="14"/>
                <w:szCs w:val="14"/>
                <w:b w:val="1"/>
                <w:bCs w:val="1"/>
                <w:color w:val="auto"/>
                <w:w w:val="90"/>
              </w:rPr>
              <w:t>Results</w:t>
            </w:r>
          </w:p>
        </w:tc>
        <w:tc>
          <w:tcPr>
            <w:tcW w:w="700" w:type="dxa"/>
            <w:vAlign w:val="bottom"/>
            <w:tcBorders>
              <w:top w:val="single" w:sz="8" w:color="auto"/>
            </w:tcBorders>
            <w:shd w:val="clear" w:color="auto" w:fill="CCFFCC"/>
          </w:tcPr>
          <w:p>
            <w:pPr>
              <w:spacing w:after="0"/>
              <w:rPr>
                <w:sz w:val="12"/>
                <w:szCs w:val="12"/>
                <w:color w:val="auto"/>
              </w:rPr>
            </w:pPr>
          </w:p>
        </w:tc>
        <w:tc>
          <w:tcPr>
            <w:tcW w:w="240" w:type="dxa"/>
            <w:vAlign w:val="bottom"/>
            <w:tcBorders>
              <w:top w:val="single" w:sz="8" w:color="CCFFCC"/>
            </w:tcBorders>
            <w:shd w:val="clear" w:color="auto" w:fill="CCFFCC"/>
          </w:tcPr>
          <w:p>
            <w:pPr>
              <w:spacing w:after="0"/>
              <w:rPr>
                <w:sz w:val="12"/>
                <w:szCs w:val="12"/>
                <w:color w:val="auto"/>
              </w:rPr>
            </w:pPr>
          </w:p>
        </w:tc>
        <w:tc>
          <w:tcPr>
            <w:tcW w:w="700" w:type="dxa"/>
            <w:vAlign w:val="bottom"/>
            <w:tcBorders>
              <w:top w:val="single" w:sz="8" w:color="auto"/>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640" w:type="dxa"/>
            <w:vAlign w:val="bottom"/>
            <w:tcBorders>
              <w:top w:val="single" w:sz="8" w:color="auto"/>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240" w:type="dxa"/>
            <w:vAlign w:val="bottom"/>
            <w:tcBorders>
              <w:top w:val="single" w:sz="8" w:color="CCFFCC"/>
            </w:tcBorders>
            <w:shd w:val="clear" w:color="auto" w:fill="CCFFCC"/>
          </w:tcPr>
          <w:p>
            <w:pPr>
              <w:spacing w:after="0"/>
              <w:rPr>
                <w:sz w:val="12"/>
                <w:szCs w:val="12"/>
                <w:color w:val="auto"/>
              </w:rPr>
            </w:pPr>
          </w:p>
        </w:tc>
        <w:tc>
          <w:tcPr>
            <w:tcW w:w="700" w:type="dxa"/>
            <w:vAlign w:val="bottom"/>
            <w:tcBorders>
              <w:top w:val="single" w:sz="8" w:color="auto"/>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680" w:type="dxa"/>
            <w:vAlign w:val="bottom"/>
            <w:tcBorders>
              <w:top w:val="single" w:sz="8" w:color="auto"/>
            </w:tcBorders>
            <w:shd w:val="clear" w:color="auto" w:fill="CCFFCC"/>
          </w:tcPr>
          <w:p>
            <w:pPr>
              <w:spacing w:after="0"/>
              <w:rPr>
                <w:sz w:val="12"/>
                <w:szCs w:val="12"/>
                <w:color w:val="auto"/>
              </w:rPr>
            </w:pPr>
          </w:p>
        </w:tc>
        <w:tc>
          <w:tcPr>
            <w:tcW w:w="260" w:type="dxa"/>
            <w:vAlign w:val="bottom"/>
            <w:tcBorders>
              <w:top w:val="single" w:sz="8" w:color="CCFFCC"/>
            </w:tcBorders>
            <w:shd w:val="clear" w:color="auto" w:fill="CCFFCC"/>
          </w:tcPr>
          <w:p>
            <w:pPr>
              <w:spacing w:after="0"/>
              <w:rPr>
                <w:sz w:val="12"/>
                <w:szCs w:val="12"/>
                <w:color w:val="auto"/>
              </w:rPr>
            </w:pPr>
          </w:p>
        </w:tc>
        <w:tc>
          <w:tcPr>
            <w:tcW w:w="940" w:type="dxa"/>
            <w:vAlign w:val="bottom"/>
            <w:tcBorders>
              <w:top w:val="single" w:sz="8" w:color="auto"/>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ind w:left="160"/>
              <w:spacing w:after="0" w:line="149" w:lineRule="exact"/>
              <w:rPr>
                <w:sz w:val="20"/>
                <w:szCs w:val="20"/>
                <w:color w:val="auto"/>
              </w:rPr>
            </w:pPr>
            <w:r>
              <w:rPr>
                <w:rFonts w:ascii="Arial" w:cs="Arial" w:eastAsia="Arial" w:hAnsi="Arial"/>
                <w:sz w:val="14"/>
                <w:szCs w:val="14"/>
                <w:color w:val="auto"/>
              </w:rPr>
              <w:t>Written premiums</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285,758</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284,096</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299,125</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0.6%</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1,136,190</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1,019,902</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Ceded Premiums</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56,733</w:t>
            </w:r>
          </w:p>
        </w:tc>
        <w:tc>
          <w:tcPr>
            <w:tcW w:w="9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40,419</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66,062</w:t>
            </w: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40.4%</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-14.1%</w:t>
            </w:r>
          </w:p>
        </w:tc>
        <w:tc>
          <w:tcPr>
            <w:tcW w:w="9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177,275</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153,194</w:t>
            </w:r>
          </w:p>
        </w:tc>
        <w:tc>
          <w:tcPr>
            <w:tcW w:w="10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ind w:left="160"/>
              <w:spacing w:after="0" w:line="149" w:lineRule="exact"/>
              <w:rPr>
                <w:sz w:val="20"/>
                <w:szCs w:val="20"/>
                <w:color w:val="auto"/>
              </w:rPr>
            </w:pPr>
            <w:r>
              <w:rPr>
                <w:rFonts w:ascii="Arial" w:cs="Arial" w:eastAsia="Arial" w:hAnsi="Arial"/>
                <w:sz w:val="14"/>
                <w:szCs w:val="14"/>
                <w:color w:val="auto"/>
              </w:rPr>
              <w:t>Unearned premium reserves</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35,025</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34,315</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38,273</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-8.5%</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151,425</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142,277</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earned premiums</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194,000</w:t>
            </w:r>
          </w:p>
        </w:tc>
        <w:tc>
          <w:tcPr>
            <w:tcW w:w="9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209,362</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194,790</w:t>
            </w: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-7.3%</w:t>
            </w: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-0.4%</w:t>
            </w:r>
          </w:p>
        </w:tc>
        <w:tc>
          <w:tcPr>
            <w:tcW w:w="9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807,491</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724,430</w:t>
            </w:r>
          </w:p>
        </w:tc>
        <w:tc>
          <w:tcPr>
            <w:tcW w:w="10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ind w:left="160"/>
              <w:spacing w:after="0" w:line="149" w:lineRule="exact"/>
              <w:rPr>
                <w:sz w:val="20"/>
                <w:szCs w:val="20"/>
                <w:color w:val="auto"/>
              </w:rPr>
            </w:pPr>
            <w:r>
              <w:rPr>
                <w:rFonts w:ascii="Arial" w:cs="Arial" w:eastAsia="Arial" w:hAnsi="Arial"/>
                <w:sz w:val="14"/>
                <w:szCs w:val="14"/>
                <w:color w:val="auto"/>
              </w:rPr>
              <w:t>Direct claims *</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142,614</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150,264</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128,464</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-5.1%</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11.0%</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594,630</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538,140</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Reinsurance ceded</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12,855</w:t>
            </w:r>
          </w:p>
        </w:tc>
        <w:tc>
          <w:tcPr>
            <w:tcW w:w="9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11,854</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5,958</w:t>
            </w: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8.4%</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115.8%</w:t>
            </w:r>
          </w:p>
        </w:tc>
        <w:tc>
          <w:tcPr>
            <w:tcW w:w="9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56,248</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60,390</w:t>
            </w:r>
          </w:p>
        </w:tc>
        <w:tc>
          <w:tcPr>
            <w:tcW w:w="10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line="149" w:lineRule="exact"/>
              <w:rPr>
                <w:sz w:val="20"/>
                <w:szCs w:val="20"/>
                <w:color w:val="auto"/>
              </w:rPr>
            </w:pPr>
            <w:r>
              <w:rPr>
                <w:rFonts w:ascii="Arial" w:cs="Arial" w:eastAsia="Arial" w:hAnsi="Arial"/>
                <w:sz w:val="14"/>
                <w:szCs w:val="14"/>
                <w:b w:val="1"/>
                <w:bCs w:val="1"/>
                <w:color w:val="auto"/>
              </w:rPr>
              <w:t>Net claims *</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129,759</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138,410</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122,506</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-6.2%</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5.9%</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538,382</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477,750</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Paid commissions</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40,500</w:t>
            </w:r>
          </w:p>
        </w:tc>
        <w:tc>
          <w:tcPr>
            <w:tcW w:w="9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42,904</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36,070</w:t>
            </w: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-5.6%</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12.3%</w:t>
            </w:r>
          </w:p>
        </w:tc>
        <w:tc>
          <w:tcPr>
            <w:tcW w:w="9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157,916</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131,539</w:t>
            </w:r>
          </w:p>
        </w:tc>
        <w:tc>
          <w:tcPr>
            <w:tcW w:w="10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ind w:left="160"/>
              <w:spacing w:after="0" w:line="149" w:lineRule="exact"/>
              <w:rPr>
                <w:sz w:val="20"/>
                <w:szCs w:val="20"/>
                <w:color w:val="auto"/>
              </w:rPr>
            </w:pPr>
            <w:r>
              <w:rPr>
                <w:rFonts w:ascii="Arial" w:cs="Arial" w:eastAsia="Arial" w:hAnsi="Arial"/>
                <w:sz w:val="14"/>
                <w:szCs w:val="14"/>
                <w:color w:val="auto"/>
              </w:rPr>
              <w:t>Commissions received</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3,382</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4,424</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4,358</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-23.5%</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-22.4%</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14,756</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12,116</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commissions</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37,118</w:t>
            </w:r>
          </w:p>
        </w:tc>
        <w:tc>
          <w:tcPr>
            <w:tcW w:w="9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38,480</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31,711</w:t>
            </w: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-3.5%</w:t>
            </w: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17.0%</w:t>
            </w:r>
          </w:p>
        </w:tc>
        <w:tc>
          <w:tcPr>
            <w:tcW w:w="9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143,160</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119,423</w:t>
            </w:r>
          </w:p>
        </w:tc>
        <w:tc>
          <w:tcPr>
            <w:tcW w:w="10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line="149" w:lineRule="exact"/>
              <w:rPr>
                <w:sz w:val="20"/>
                <w:szCs w:val="20"/>
                <w:color w:val="auto"/>
              </w:rPr>
            </w:pPr>
            <w:r>
              <w:rPr>
                <w:rFonts w:ascii="Arial" w:cs="Arial" w:eastAsia="Arial" w:hAnsi="Arial"/>
                <w:sz w:val="14"/>
                <w:szCs w:val="14"/>
                <w:color w:val="auto"/>
              </w:rPr>
              <w:t>Underwriting expenses *</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11,891</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9,321</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12,363</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27.6%</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49,008</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46,574</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Underwriting income</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5,699</w:t>
            </w:r>
          </w:p>
        </w:tc>
        <w:tc>
          <w:tcPr>
            <w:tcW w:w="9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3,679</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5,915</w:t>
            </w: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54.9%</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-3.7%</w:t>
            </w:r>
          </w:p>
        </w:tc>
        <w:tc>
          <w:tcPr>
            <w:tcW w:w="9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16,574</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15,426</w:t>
            </w:r>
          </w:p>
        </w:tc>
        <w:tc>
          <w:tcPr>
            <w:tcW w:w="10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line="149" w:lineRule="exact"/>
              <w:rPr>
                <w:sz w:val="20"/>
                <w:szCs w:val="20"/>
                <w:color w:val="auto"/>
              </w:rPr>
            </w:pPr>
            <w:r>
              <w:rPr>
                <w:rFonts w:ascii="Arial" w:cs="Arial" w:eastAsia="Arial" w:hAnsi="Arial"/>
                <w:sz w:val="14"/>
                <w:szCs w:val="14"/>
                <w:b w:val="1"/>
                <w:bCs w:val="1"/>
                <w:color w:val="auto"/>
              </w:rPr>
              <w:t>Net underwriting expenses *</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6,193</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5,643</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6,448</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9.7%</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-4.0%</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32,435</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31,148</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Underwriting result before Medical Services *</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20,930</w:t>
            </w:r>
          </w:p>
        </w:tc>
        <w:tc>
          <w:tcPr>
            <w:tcW w:w="9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26,829</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34,124</w:t>
            </w: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-22.0%</w:t>
            </w: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-38.7%</w:t>
            </w:r>
          </w:p>
        </w:tc>
        <w:tc>
          <w:tcPr>
            <w:tcW w:w="9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93,513</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96,109</w:t>
            </w:r>
          </w:p>
        </w:tc>
        <w:tc>
          <w:tcPr>
            <w:tcW w:w="10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Medical Services Underwriting result *</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4,656</w:t>
            </w:r>
          </w:p>
        </w:tc>
        <w:tc>
          <w:tcPr>
            <w:tcW w:w="9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6,927</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7,378</w:t>
            </w: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-32.8%</w:t>
            </w: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-36.9%</w:t>
            </w:r>
          </w:p>
        </w:tc>
        <w:tc>
          <w:tcPr>
            <w:tcW w:w="9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23,582</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21,623</w:t>
            </w:r>
          </w:p>
        </w:tc>
        <w:tc>
          <w:tcPr>
            <w:tcW w:w="10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Financial income</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23,610</w:t>
            </w:r>
          </w:p>
        </w:tc>
        <w:tc>
          <w:tcPr>
            <w:tcW w:w="9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25,429</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23,096</w:t>
            </w: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-7.2%</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2.2%</w:t>
            </w:r>
          </w:p>
        </w:tc>
        <w:tc>
          <w:tcPr>
            <w:tcW w:w="9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98,242</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90,609</w:t>
            </w:r>
          </w:p>
        </w:tc>
        <w:tc>
          <w:tcPr>
            <w:tcW w:w="10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ind w:left="160"/>
              <w:spacing w:after="0" w:line="149" w:lineRule="exact"/>
              <w:rPr>
                <w:sz w:val="20"/>
                <w:szCs w:val="20"/>
                <w:color w:val="auto"/>
              </w:rPr>
            </w:pPr>
            <w:r>
              <w:rPr>
                <w:rFonts w:ascii="Arial" w:cs="Arial" w:eastAsia="Arial" w:hAnsi="Arial"/>
                <w:sz w:val="14"/>
                <w:szCs w:val="14"/>
                <w:color w:val="auto"/>
              </w:rPr>
              <w:t>Gains on sale of securities</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5,285</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8,236</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5,431</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-35.8%</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26,844</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31,003</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Net property and rental income</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1,577</w:t>
            </w:r>
          </w:p>
        </w:tc>
        <w:tc>
          <w:tcPr>
            <w:tcW w:w="9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2,116</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1,913</w:t>
            </w: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-25.5%</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-17.6%</w:t>
            </w:r>
          </w:p>
        </w:tc>
        <w:tc>
          <w:tcPr>
            <w:tcW w:w="9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7,527</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6,645</w:t>
            </w:r>
          </w:p>
        </w:tc>
        <w:tc>
          <w:tcPr>
            <w:tcW w:w="10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ind w:left="160"/>
              <w:spacing w:after="0" w:line="149" w:lineRule="exact"/>
              <w:rPr>
                <w:sz w:val="20"/>
                <w:szCs w:val="20"/>
                <w:color w:val="auto"/>
              </w:rPr>
            </w:pPr>
            <w:r>
              <w:rPr>
                <w:rFonts w:ascii="Arial" w:cs="Arial" w:eastAsia="Arial" w:hAnsi="Arial"/>
                <w:sz w:val="14"/>
                <w:szCs w:val="14"/>
                <w:color w:val="auto"/>
              </w:rPr>
              <w:t>(-) Financial expenses</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3,533</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2,198</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1,924</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60.7%</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83.6%</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10,147</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7,008</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Financial income, net</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26,939</w:t>
            </w:r>
          </w:p>
        </w:tc>
        <w:tc>
          <w:tcPr>
            <w:tcW w:w="9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33,583</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28,516</w:t>
            </w: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-19.8%</w:t>
            </w: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-5.5%</w:t>
            </w:r>
          </w:p>
        </w:tc>
        <w:tc>
          <w:tcPr>
            <w:tcW w:w="9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122,465</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121,250</w:t>
            </w:r>
          </w:p>
        </w:tc>
        <w:tc>
          <w:tcPr>
            <w:tcW w:w="10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Salaries and benefits</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18,801</w:t>
            </w:r>
          </w:p>
        </w:tc>
        <w:tc>
          <w:tcPr>
            <w:tcW w:w="9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23,598</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28,656</w:t>
            </w: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-20.3%</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-34.4%</w:t>
            </w:r>
          </w:p>
        </w:tc>
        <w:tc>
          <w:tcPr>
            <w:tcW w:w="9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89,391</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92,430</w:t>
            </w:r>
          </w:p>
        </w:tc>
        <w:tc>
          <w:tcPr>
            <w:tcW w:w="10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ind w:left="160"/>
              <w:spacing w:after="0" w:line="149" w:lineRule="exact"/>
              <w:rPr>
                <w:sz w:val="20"/>
                <w:szCs w:val="20"/>
                <w:color w:val="auto"/>
              </w:rPr>
            </w:pPr>
            <w:r>
              <w:rPr>
                <w:rFonts w:ascii="Arial" w:cs="Arial" w:eastAsia="Arial" w:hAnsi="Arial"/>
                <w:sz w:val="14"/>
                <w:szCs w:val="14"/>
                <w:color w:val="auto"/>
              </w:rPr>
              <w:t>Administrative expenses</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31,198</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24,393</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24,620</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27.9%</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26.7%</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105,106</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82,362</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Third party services</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10,090</w:t>
            </w:r>
          </w:p>
        </w:tc>
        <w:tc>
          <w:tcPr>
            <w:tcW w:w="9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11,817</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12,517</w:t>
            </w: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-14.6%</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-19.4%</w:t>
            </w:r>
          </w:p>
        </w:tc>
        <w:tc>
          <w:tcPr>
            <w:tcW w:w="9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46,366</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41,341</w:t>
            </w:r>
          </w:p>
        </w:tc>
        <w:tc>
          <w:tcPr>
            <w:tcW w:w="10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ind w:left="320"/>
              <w:spacing w:after="0" w:line="149" w:lineRule="exact"/>
              <w:rPr>
                <w:sz w:val="20"/>
                <w:szCs w:val="20"/>
                <w:color w:val="auto"/>
              </w:rPr>
            </w:pPr>
            <w:r>
              <w:rPr>
                <w:rFonts w:ascii="Arial" w:cs="Arial" w:eastAsia="Arial" w:hAnsi="Arial"/>
                <w:sz w:val="14"/>
                <w:szCs w:val="14"/>
                <w:color w:val="auto"/>
              </w:rPr>
              <w:t>Management expenses</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7,274</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4,914</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4,986</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48.0%</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45.9%</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22,697</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16,086</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Provisions</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6,600</w:t>
            </w:r>
          </w:p>
        </w:tc>
        <w:tc>
          <w:tcPr>
            <w:tcW w:w="9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4,225</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3,608</w:t>
            </w: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56.2%</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82.9%</w:t>
            </w:r>
          </w:p>
        </w:tc>
        <w:tc>
          <w:tcPr>
            <w:tcW w:w="9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18,888</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12,431</w:t>
            </w:r>
          </w:p>
        </w:tc>
        <w:tc>
          <w:tcPr>
            <w:tcW w:w="10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ind w:left="320"/>
              <w:spacing w:after="0" w:line="149" w:lineRule="exact"/>
              <w:rPr>
                <w:sz w:val="20"/>
                <w:szCs w:val="20"/>
                <w:color w:val="auto"/>
              </w:rPr>
            </w:pPr>
            <w:r>
              <w:rPr>
                <w:rFonts w:ascii="Arial" w:cs="Arial" w:eastAsia="Arial" w:hAnsi="Arial"/>
                <w:sz w:val="14"/>
                <w:szCs w:val="14"/>
                <w:color w:val="auto"/>
              </w:rPr>
              <w:t>Taxes</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4,609</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2,370</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1,925</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94.4%</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139.4%</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11,350</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7,342</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Other expenses</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2,625</w:t>
            </w:r>
          </w:p>
        </w:tc>
        <w:tc>
          <w:tcPr>
            <w:tcW w:w="9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1,067</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1,585</w:t>
            </w: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146.1%</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65.7%</w:t>
            </w:r>
          </w:p>
        </w:tc>
        <w:tc>
          <w:tcPr>
            <w:tcW w:w="9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5,806</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5,162</w:t>
            </w:r>
          </w:p>
        </w:tc>
        <w:tc>
          <w:tcPr>
            <w:tcW w:w="10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line="149" w:lineRule="exact"/>
              <w:rPr>
                <w:sz w:val="20"/>
                <w:szCs w:val="20"/>
                <w:color w:val="auto"/>
              </w:rPr>
            </w:pPr>
            <w:r>
              <w:rPr>
                <w:rFonts w:ascii="Arial" w:cs="Arial" w:eastAsia="Arial" w:hAnsi="Arial"/>
                <w:sz w:val="14"/>
                <w:szCs w:val="14"/>
                <w:b w:val="1"/>
                <w:bCs w:val="1"/>
                <w:color w:val="auto"/>
              </w:rPr>
              <w:t>Opertating expenses</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49,999</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47,991</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53,276</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4.2%</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-6.2%</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194,498</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174,792</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11.3%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8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80" w:type="dxa"/>
            <w:vAlign w:val="bottom"/>
          </w:tcPr>
          <w:p>
            <w:pPr>
              <w:spacing w:after="0" w:line="149" w:lineRule="exact"/>
              <w:rPr>
                <w:sz w:val="20"/>
                <w:szCs w:val="20"/>
                <w:color w:val="auto"/>
              </w:rPr>
            </w:pPr>
            <w:r>
              <w:rPr>
                <w:rFonts w:ascii="Arial" w:cs="Arial" w:eastAsia="Arial" w:hAnsi="Arial"/>
                <w:sz w:val="14"/>
                <w:szCs w:val="14"/>
                <w:color w:val="auto"/>
              </w:rPr>
              <w:t>Other income</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3,442</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1,385</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620</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148.5%</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455.4%</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5,295</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4,343</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Traslations results</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309</w:t>
            </w:r>
          </w:p>
        </w:tc>
        <w:tc>
          <w:tcPr>
            <w:tcW w:w="9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235</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2,724</w:t>
            </w: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31.5%</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-88.7%</w:t>
            </w:r>
          </w:p>
        </w:tc>
        <w:tc>
          <w:tcPr>
            <w:tcW w:w="9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(7,863)</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7,360</w:t>
            </w:r>
          </w:p>
        </w:tc>
        <w:tc>
          <w:tcPr>
            <w:tcW w:w="10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-206.8%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line="149" w:lineRule="exact"/>
              <w:rPr>
                <w:sz w:val="20"/>
                <w:szCs w:val="20"/>
                <w:color w:val="auto"/>
              </w:rPr>
            </w:pPr>
            <w:r>
              <w:rPr>
                <w:rFonts w:ascii="Arial" w:cs="Arial" w:eastAsia="Arial" w:hAnsi="Arial"/>
                <w:sz w:val="14"/>
                <w:szCs w:val="14"/>
                <w:color w:val="auto"/>
              </w:rPr>
              <w:t>Income tax</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2,032</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2,792</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3,145</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-27.2%</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-35.4%</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3,158</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8,815</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-64.2%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8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80" w:type="dxa"/>
            <w:vAlign w:val="bottom"/>
          </w:tcPr>
          <w:p>
            <w:pPr>
              <w:spacing w:after="0" w:line="149" w:lineRule="exact"/>
              <w:rPr>
                <w:sz w:val="20"/>
                <w:szCs w:val="20"/>
                <w:color w:val="auto"/>
              </w:rPr>
            </w:pPr>
            <w:r>
              <w:rPr>
                <w:rFonts w:ascii="Arial" w:cs="Arial" w:eastAsia="Arial" w:hAnsi="Arial"/>
                <w:sz w:val="14"/>
                <w:szCs w:val="14"/>
                <w:b w:val="1"/>
                <w:bCs w:val="1"/>
                <w:color w:val="auto"/>
              </w:rPr>
              <w:t>Income before minority interest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4,243</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18,176</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16,941</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-76.7%</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-75.0%</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39,336</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67,078</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Minority interest</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676</w:t>
            </w:r>
          </w:p>
        </w:tc>
        <w:tc>
          <w:tcPr>
            <w:tcW w:w="9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1,963</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2,101</w:t>
            </w: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-65.5%</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-67.8%</w:t>
            </w:r>
          </w:p>
        </w:tc>
        <w:tc>
          <w:tcPr>
            <w:tcW w:w="9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6,241</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8,097</w:t>
            </w:r>
          </w:p>
        </w:tc>
        <w:tc>
          <w:tcPr>
            <w:tcW w:w="10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b w:val="1"/>
                <w:bCs w:val="1"/>
                <w:color w:val="auto"/>
              </w:rPr>
              <w:t>3,567</w:t>
            </w:r>
          </w:p>
        </w:tc>
        <w:tc>
          <w:tcPr>
            <w:tcW w:w="9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16,214</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14,840</w:t>
            </w: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-78.0%</w:t>
            </w: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-76.0%</w:t>
            </w:r>
          </w:p>
        </w:tc>
        <w:tc>
          <w:tcPr>
            <w:tcW w:w="9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33,095</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b w:val="1"/>
                <w:bCs w:val="1"/>
                <w:color w:val="auto"/>
              </w:rPr>
              <w:t>58,982</w:t>
            </w:r>
          </w:p>
        </w:tc>
        <w:tc>
          <w:tcPr>
            <w:tcW w:w="10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FFCC"/>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Balance (end of period)</w:t>
            </w:r>
          </w:p>
        </w:tc>
        <w:tc>
          <w:tcPr>
            <w:tcW w:w="7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2,763,250</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2,718,080</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2,678,717</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2,763,250</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2,678,717</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Invesment on securities (1)</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1,701,161</w:t>
            </w:r>
          </w:p>
        </w:tc>
        <w:tc>
          <w:tcPr>
            <w:tcW w:w="9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1,666,733</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1,782,381</w:t>
            </w: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2.1%</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-4.6%</w:t>
            </w:r>
          </w:p>
        </w:tc>
        <w:tc>
          <w:tcPr>
            <w:tcW w:w="9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1,701,161</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1,782,381</w:t>
            </w:r>
          </w:p>
        </w:tc>
        <w:tc>
          <w:tcPr>
            <w:tcW w:w="10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line="149" w:lineRule="exact"/>
              <w:rPr>
                <w:sz w:val="20"/>
                <w:szCs w:val="20"/>
                <w:color w:val="auto"/>
              </w:rPr>
            </w:pPr>
            <w:r>
              <w:rPr>
                <w:rFonts w:ascii="Arial" w:cs="Arial" w:eastAsia="Arial" w:hAnsi="Arial"/>
                <w:sz w:val="14"/>
                <w:szCs w:val="14"/>
                <w:color w:val="auto"/>
              </w:rPr>
              <w:t>Technical reserves</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1,786,588</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1,739,872</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1,616,229</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10.5%</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1,786,588</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1,616,229</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equity</w:t>
            </w:r>
          </w:p>
        </w:tc>
        <w:tc>
          <w:tcPr>
            <w:tcW w:w="94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496,120</w:t>
            </w:r>
          </w:p>
        </w:tc>
        <w:tc>
          <w:tcPr>
            <w:tcW w:w="9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501,810</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632,025</w:t>
            </w: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9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-21.5%</w:t>
            </w:r>
          </w:p>
        </w:tc>
        <w:tc>
          <w:tcPr>
            <w:tcW w:w="96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496,120</w:t>
            </w:r>
          </w:p>
        </w:tc>
        <w:tc>
          <w:tcPr>
            <w:tcW w:w="94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632,025</w:t>
            </w:r>
          </w:p>
        </w:tc>
        <w:tc>
          <w:tcPr>
            <w:tcW w:w="10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8"/>
              </w:rPr>
              <w:t>Ratios</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Ceded</w:t>
            </w:r>
          </w:p>
        </w:tc>
        <w:tc>
          <w:tcPr>
            <w:tcW w:w="9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19.9%</w:t>
            </w:r>
          </w:p>
        </w:tc>
        <w:tc>
          <w:tcPr>
            <w:tcW w:w="9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14.2%</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22.1%</w:t>
            </w: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15.6%</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15.0%</w:t>
            </w:r>
          </w:p>
        </w:tc>
        <w:tc>
          <w:tcPr>
            <w:tcW w:w="9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line="149" w:lineRule="exact"/>
              <w:rPr>
                <w:sz w:val="20"/>
                <w:szCs w:val="20"/>
                <w:color w:val="auto"/>
              </w:rPr>
            </w:pPr>
            <w:r>
              <w:rPr>
                <w:rFonts w:ascii="Arial" w:cs="Arial" w:eastAsia="Arial" w:hAnsi="Arial"/>
                <w:sz w:val="14"/>
                <w:szCs w:val="14"/>
                <w:color w:val="auto"/>
              </w:rPr>
              <w:t>Loss ratio</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66.9%</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66.1%</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62.9%</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66.7%</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65.9%</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8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Commissions + underwriting expenses, net / net earned</w:t>
            </w:r>
          </w:p>
        </w:tc>
        <w:tc>
          <w:tcPr>
            <w:tcW w:w="7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80" w:type="dxa"/>
            <w:vAlign w:val="bottom"/>
            <w:shd w:val="clear" w:color="auto" w:fill="CCFFCC"/>
          </w:tcPr>
          <w:p>
            <w:pPr>
              <w:spacing w:after="0"/>
              <w:rPr>
                <w:sz w:val="20"/>
                <w:szCs w:val="20"/>
                <w:color w:val="auto"/>
              </w:rPr>
            </w:pPr>
            <w:r>
              <w:rPr>
                <w:rFonts w:ascii="Arial" w:cs="Arial" w:eastAsia="Arial" w:hAnsi="Arial"/>
                <w:sz w:val="14"/>
                <w:szCs w:val="14"/>
                <w:color w:val="auto"/>
              </w:rPr>
              <w:t>premiums</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22.3%</w:t>
            </w: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21.1%</w:t>
            </w: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19.6%</w:t>
            </w:r>
          </w:p>
        </w:tc>
        <w:tc>
          <w:tcPr>
            <w:tcW w:w="64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21.7%</w:t>
            </w: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20.8%</w:t>
            </w:r>
          </w:p>
        </w:tc>
        <w:tc>
          <w:tcPr>
            <w:tcW w:w="94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line="149" w:lineRule="exact"/>
              <w:rPr>
                <w:sz w:val="20"/>
                <w:szCs w:val="20"/>
                <w:color w:val="auto"/>
              </w:rPr>
            </w:pPr>
            <w:r>
              <w:rPr>
                <w:rFonts w:ascii="Arial" w:cs="Arial" w:eastAsia="Arial" w:hAnsi="Arial"/>
                <w:sz w:val="14"/>
                <w:szCs w:val="14"/>
                <w:color w:val="auto"/>
              </w:rPr>
              <w:t>Underwriting results / net premiums earned</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10.8%</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12.8%</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17.5%</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11.6%</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13.3%</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Operating expenses / net premiums earned</w:t>
            </w:r>
          </w:p>
        </w:tc>
        <w:tc>
          <w:tcPr>
            <w:tcW w:w="9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25.8%</w:t>
            </w:r>
          </w:p>
        </w:tc>
        <w:tc>
          <w:tcPr>
            <w:tcW w:w="9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22.9%</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27.4%</w:t>
            </w: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24.1%</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24.1%</w:t>
            </w:r>
          </w:p>
        </w:tc>
        <w:tc>
          <w:tcPr>
            <w:tcW w:w="9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line="149" w:lineRule="exact"/>
              <w:rPr>
                <w:sz w:val="20"/>
                <w:szCs w:val="20"/>
                <w:color w:val="auto"/>
              </w:rPr>
            </w:pPr>
            <w:r>
              <w:rPr>
                <w:rFonts w:ascii="Arial" w:cs="Arial" w:eastAsia="Arial" w:hAnsi="Arial"/>
                <w:sz w:val="14"/>
                <w:szCs w:val="14"/>
                <w:color w:val="auto"/>
              </w:rPr>
              <w:t>Return on equity (2)(3)</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13.1%</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9.8%</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5.9%</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10.8%</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Return on written premiums</w:t>
            </w:r>
          </w:p>
        </w:tc>
        <w:tc>
          <w:tcPr>
            <w:tcW w:w="9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1.2%</w:t>
            </w:r>
          </w:p>
        </w:tc>
        <w:tc>
          <w:tcPr>
            <w:tcW w:w="9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5.7%</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5.0%</w:t>
            </w: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2.9%</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5.8%</w:t>
            </w:r>
          </w:p>
        </w:tc>
        <w:tc>
          <w:tcPr>
            <w:tcW w:w="9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Combined ratio of PPS + PS (4)(5)</w:t>
            </w:r>
          </w:p>
        </w:tc>
        <w:tc>
          <w:tcPr>
            <w:tcW w:w="9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104.8%</w:t>
            </w:r>
          </w:p>
        </w:tc>
        <w:tc>
          <w:tcPr>
            <w:tcW w:w="9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102.1%</w:t>
            </w:r>
          </w:p>
        </w:tc>
        <w:tc>
          <w:tcPr>
            <w:tcW w:w="9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101.9%</w:t>
            </w:r>
          </w:p>
        </w:tc>
        <w:tc>
          <w:tcPr>
            <w:tcW w:w="6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105.2%</w:t>
            </w:r>
          </w:p>
        </w:tc>
        <w:tc>
          <w:tcPr>
            <w:tcW w:w="9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104.9%</w:t>
            </w:r>
          </w:p>
        </w:tc>
        <w:tc>
          <w:tcPr>
            <w:tcW w:w="9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line="149" w:lineRule="exact"/>
              <w:rPr>
                <w:sz w:val="20"/>
                <w:szCs w:val="20"/>
                <w:color w:val="auto"/>
              </w:rPr>
            </w:pPr>
            <w:r>
              <w:rPr>
                <w:rFonts w:ascii="Arial" w:cs="Arial" w:eastAsia="Arial" w:hAnsi="Arial"/>
                <w:sz w:val="14"/>
                <w:szCs w:val="14"/>
                <w:color w:val="auto"/>
              </w:rPr>
              <w:t>Net claims / net earned premiums</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73.1%</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68.8%</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66.2%</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71.3%</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68.2%</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80" w:type="dxa"/>
            <w:vAlign w:val="bottom"/>
            <w:shd w:val="clear" w:color="auto" w:fill="CCFFCC"/>
          </w:tcPr>
          <w:p>
            <w:pPr>
              <w:spacing w:after="0"/>
              <w:rPr>
                <w:sz w:val="20"/>
                <w:szCs w:val="20"/>
                <w:color w:val="auto"/>
              </w:rPr>
            </w:pPr>
            <w:r>
              <w:rPr>
                <w:rFonts w:ascii="Arial" w:cs="Arial" w:eastAsia="Arial" w:hAnsi="Arial"/>
                <w:sz w:val="14"/>
                <w:szCs w:val="14"/>
                <w:color w:val="auto"/>
              </w:rPr>
              <w:t>General expenses and commissions / net earned premiums</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31.7%</w:t>
            </w: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33.3%</w:t>
            </w: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35.6%</w:t>
            </w:r>
          </w:p>
        </w:tc>
        <w:tc>
          <w:tcPr>
            <w:tcW w:w="64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34.0%</w:t>
            </w: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36.7%</w:t>
            </w:r>
          </w:p>
        </w:tc>
        <w:tc>
          <w:tcPr>
            <w:tcW w:w="94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*Change in these accounts are due to reclassifications (related to the medical services) made in 4Q12 and before.</w:t>
      </w:r>
    </w:p>
    <w:p>
      <w:pPr>
        <w:spacing w:after="0" w:line="9" w:lineRule="exact"/>
        <w:rPr>
          <w:sz w:val="20"/>
          <w:szCs w:val="20"/>
          <w:color w:val="auto"/>
        </w:rPr>
      </w:pPr>
    </w:p>
    <w:p>
      <w:pPr>
        <w:ind w:left="260" w:hanging="252"/>
        <w:spacing w:after="0"/>
        <w:tabs>
          <w:tab w:leader="none" w:pos="260"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Doesn´t include investments in real estate.</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Average are determined as the average of period - beginning and period ending.</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Without consolidated adjustments.</w:t>
      </w:r>
    </w:p>
    <w:p>
      <w:pPr>
        <w:spacing w:after="0" w:line="9" w:lineRule="exact"/>
        <w:rPr>
          <w:rFonts w:ascii="Arial" w:cs="Arial" w:eastAsia="Arial" w:hAnsi="Arial"/>
          <w:sz w:val="18"/>
          <w:szCs w:val="18"/>
          <w:i w:val="1"/>
          <w:iCs w:val="1"/>
          <w:color w:val="auto"/>
        </w:rPr>
      </w:pPr>
    </w:p>
    <w:p>
      <w:pPr>
        <w:ind w:right="640" w:firstLine="8"/>
        <w:spacing w:after="0" w:line="250" w:lineRule="auto"/>
        <w:tabs>
          <w:tab w:leader="none" w:pos="255"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EPS includes Médica, Doctor+, Clínica San Borja, Análisis Clínicos, Oncocare, Prosemedic, Clínica El Golf, Clínica Sanchez Ferrer and Centro Odontológico Americano.</w:t>
      </w: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ROAE Dic 13 (PPS Formula) without unrealized profit Pvida: 8.4%.</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lowerRoman"/>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1)"/>
      <w:numFmt w:val="lowerRoman"/>
      <w:start w:val="1"/>
    </w:lvl>
  </w:abstractNum>
  <w:abstractNum w:abstractNumId="8">
    <w:nsid w:val="2901D82"/>
    <w:multiLevelType w:val="hybridMultilevel"/>
    <w:lvl w:ilvl="0">
      <w:lvlJc w:val="left"/>
      <w:lvlText w:val="(%1)"/>
      <w:numFmt w:val="decimal"/>
      <w:start w:val="3"/>
    </w:lvl>
  </w:abstractNum>
  <w:abstractNum w:abstractNumId="9">
    <w:nsid w:val="3A95F874"/>
    <w:multiLevelType w:val="hybridMultilevel"/>
    <w:lvl w:ilvl="0">
      <w:lvlJc w:val="left"/>
      <w:lvlText w:val="(%1)"/>
      <w:numFmt w:val="lowerRoman"/>
      <w:start w:val="3"/>
    </w:lvl>
  </w:abstractNum>
  <w:abstractNum w:abstractNumId="10">
    <w:nsid w:val="8138641"/>
    <w:multiLevelType w:val="hybridMultilevel"/>
    <w:lvl w:ilvl="0">
      <w:lvlJc w:val="left"/>
      <w:lvlText w:val="(%1)"/>
      <w:numFmt w:val="lowerRoman"/>
      <w:start w:val="4"/>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1)"/>
      <w:numFmt w:val="lowerRoman"/>
      <w:start w:val="1"/>
    </w:lvl>
  </w:abstractNum>
  <w:abstractNum w:abstractNumId="13">
    <w:nsid w:val="737B8DDC"/>
    <w:multiLevelType w:val="hybridMultilevel"/>
    <w:lvl w:ilvl="0">
      <w:lvlJc w:val="left"/>
      <w:lvlText w:val="%1)"/>
      <w:numFmt w:val="lowerRoman"/>
      <w:start w:val="1"/>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1)"/>
      <w:numFmt w:val="lowerRoman"/>
      <w:start w:val="1"/>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1"/>
      <w:numFmt w:val="decimal"/>
      <w:start w:val="1"/>
    </w:lvl>
    <w:lvl w:ilvl="1">
      <w:lvlJc w:val="left"/>
      <w:lvlText w:val="(%2)"/>
      <w:numFmt w:val="decimal"/>
      <w:start w:val="1"/>
    </w:lvl>
  </w:abstractNum>
  <w:abstractNum w:abstractNumId="20">
    <w:nsid w:val="5577F8E1"/>
    <w:multiLevelType w:val="hybridMultilevel"/>
    <w:lvl w:ilvl="0">
      <w:lvlJc w:val="left"/>
      <w:lvlText w:val="(%1)"/>
      <w:numFmt w:val="decimal"/>
      <w:start w:val="2"/>
    </w:lvl>
    <w:lvl w:ilvl="1">
      <w:lvlJc w:val="left"/>
      <w:lvlText w:val="%2"/>
      <w:numFmt w:val="decimal"/>
      <w:start w:val="1"/>
    </w:lvl>
  </w:abstractNum>
  <w:abstractNum w:abstractNumId="21">
    <w:nsid w:val="440BADFC"/>
    <w:multiLevelType w:val="hybridMultilevel"/>
    <w:lvl w:ilvl="0">
      <w:lvlJc w:val="left"/>
      <w:lvlText w:val="%1)"/>
      <w:numFmt w:val="lowerRoman"/>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1)"/>
      <w:numFmt w:val="lowerRoman"/>
      <w:start w:val="1"/>
    </w:lvl>
  </w:abstractNum>
  <w:abstractNum w:abstractNumId="26">
    <w:nsid w:val="5C482A97"/>
    <w:multiLevelType w:val="hybridMultilevel"/>
    <w:lvl w:ilvl="0">
      <w:lvlJc w:val="left"/>
      <w:lvlText w:val="(%1)"/>
      <w:numFmt w:val="decimal"/>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1)"/>
      <w:numFmt w:val="lowerRoman"/>
      <w:start w:val="1"/>
    </w:lvl>
  </w:abstractNum>
  <w:abstractNum w:abstractNumId="32">
    <w:nsid w:val="153EA438"/>
    <w:multiLevelType w:val="hybridMultilevel"/>
    <w:lvl w:ilvl="0">
      <w:lvlJc w:val="left"/>
      <w:lvlText w:val="%1)"/>
      <w:numFmt w:val="lowerRoman"/>
      <w:start w:val="2"/>
    </w:lvl>
  </w:abstractNum>
  <w:abstractNum w:abstractNumId="33">
    <w:nsid w:val="3855585C"/>
    <w:multiLevelType w:val="hybridMultilevel"/>
    <w:lvl w:ilvl="0">
      <w:lvlJc w:val="left"/>
      <w:lvlText w:val="%1)"/>
      <w:numFmt w:val="lowerRoman"/>
      <w:start w:val="2"/>
    </w:lvl>
  </w:abstractNum>
  <w:abstractNum w:abstractNumId="34">
    <w:nsid w:val="70A64E2A"/>
    <w:multiLevelType w:val="hybridMultilevel"/>
    <w:lvl w:ilvl="0">
      <w:lvlJc w:val="left"/>
      <w:lvlText w:val="3"/>
      <w:numFmt w:val="bullet"/>
      <w:start w:val="1"/>
    </w:lvl>
  </w:abstractNum>
  <w:abstractNum w:abstractNumId="35">
    <w:nsid w:val="6A2342EC"/>
    <w:multiLevelType w:val="hybridMultilevel"/>
    <w:lvl w:ilvl="0">
      <w:lvlJc w:val="left"/>
      <w:lvlText w:val="(%1)"/>
      <w:numFmt w:val="decimal"/>
      <w:start w:val="2"/>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decimal"/>
      <w:start w:val="1"/>
    </w:lvl>
  </w:abstractNum>
  <w:abstractNum w:abstractNumId="39">
    <w:nsid w:val="2CD89A32"/>
    <w:multiLevelType w:val="hybridMultilevel"/>
    <w:lvl w:ilvl="0">
      <w:lvlJc w:val="left"/>
      <w:lvlText w:val="4"/>
      <w:numFmt w:val="bullet"/>
      <w:start w:val="1"/>
    </w:lvl>
  </w:abstractNum>
  <w:abstractNum w:abstractNumId="40">
    <w:nsid w:val="57E4CCAF"/>
    <w:multiLevelType w:val="hybridMultilevel"/>
    <w:lvl w:ilvl="0">
      <w:lvlJc w:val="left"/>
      <w:lvlText w:val="%1)"/>
      <w:numFmt w:val="lowerRoman"/>
      <w:start w:val="1"/>
    </w:lvl>
  </w:abstractNum>
  <w:abstractNum w:abstractNumId="41">
    <w:nsid w:val="7A6D8D3C"/>
    <w:multiLevelType w:val="hybridMultilevel"/>
    <w:lvl w:ilvl="0">
      <w:lvlJc w:val="left"/>
      <w:lvlText w:val="%1)"/>
      <w:numFmt w:val="lowerRoman"/>
      <w:start w:val="2"/>
    </w:lvl>
  </w:abstractNum>
  <w:abstractNum w:abstractNumId="42">
    <w:nsid w:val="4B588F54"/>
    <w:multiLevelType w:val="hybridMultilevel"/>
    <w:lvl w:ilvl="0">
      <w:lvlJc w:val="left"/>
      <w:lvlText w:val="(%1)"/>
      <w:numFmt w:val="decimal"/>
      <w:start w:val="1"/>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1)"/>
      <w:numFmt w:val="decimal"/>
      <w:start w:val="1"/>
    </w:lvl>
  </w:abstractNum>
  <w:abstractNum w:abstractNumId="47">
    <w:nsid w:val="32FFF902"/>
    <w:multiLevelType w:val="hybridMultilevel"/>
    <w:lvl w:ilvl="0">
      <w:lvlJc w:val="left"/>
      <w:lvlText w:val="(%1)"/>
      <w:numFmt w:val="decimal"/>
      <w:start w:val="5"/>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2019-12-06T14:06:42Z</dcterms:created>
  <dcterms:modified xsi:type="dcterms:W3CDTF">2019-12-06T14:06:42Z</dcterms:modified>
</cp:coreProperties>
</file>