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November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77190"/>
                    </a:xfrm>
                    <a:prstGeom prst="rect">
                      <a:avLst/>
                    </a:prstGeom>
                    <a:noFill/>
                  </pic:spPr>
                </pic:pic>
              </a:graphicData>
            </a:graphic>
          </wp:anchor>
        </w:drawing>
        <w:t>La Molina, October 30, 2009</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0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Banco de Crédito del Perú (“BCP”), a subsidiary of Credicorp, issued bonds (Non-Cumulative Fixed/Floating Rate Step-up Junior Subordinated Notes due 2069) through its Panamanian branch for a total amount of US$ 250’000,000 under 144 A7 Regulation S trade.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The main characteristics and conditions of the issue are:</w:t>
            </w:r>
          </w:p>
        </w:tc>
        <w:tc>
          <w:tcPr>
            <w:tcW w:w="6060" w:type="dxa"/>
            <w:vAlign w:val="bottom"/>
          </w:tcPr>
          <w:p>
            <w:pPr>
              <w:spacing w:after="0"/>
              <w:rPr>
                <w:sz w:val="20"/>
                <w:szCs w:val="20"/>
                <w:color w:val="auto"/>
              </w:rPr>
            </w:pPr>
          </w:p>
        </w:tc>
      </w:tr>
      <w:tr>
        <w:trPr>
          <w:trHeight w:val="486"/>
        </w:trPr>
        <w:tc>
          <w:tcPr>
            <w:tcW w:w="5360" w:type="dxa"/>
            <w:vAlign w:val="bottom"/>
          </w:tcPr>
          <w:p>
            <w:pPr>
              <w:spacing w:after="0"/>
              <w:rPr>
                <w:sz w:val="20"/>
                <w:szCs w:val="20"/>
                <w:color w:val="auto"/>
              </w:rPr>
            </w:pPr>
            <w:r>
              <w:rPr>
                <w:rFonts w:ascii="Arial" w:cs="Arial" w:eastAsia="Arial" w:hAnsi="Arial"/>
                <w:sz w:val="18"/>
                <w:szCs w:val="18"/>
                <w:color w:val="auto"/>
              </w:rPr>
              <w:t>Amount placed:</w:t>
            </w:r>
          </w:p>
        </w:tc>
        <w:tc>
          <w:tcPr>
            <w:tcW w:w="6060" w:type="dxa"/>
            <w:vAlign w:val="bottom"/>
          </w:tcPr>
          <w:p>
            <w:pPr>
              <w:ind w:left="600"/>
              <w:spacing w:after="0"/>
              <w:rPr>
                <w:sz w:val="20"/>
                <w:szCs w:val="20"/>
                <w:color w:val="auto"/>
              </w:rPr>
            </w:pPr>
            <w:r>
              <w:rPr>
                <w:rFonts w:ascii="Arial" w:cs="Arial" w:eastAsia="Arial" w:hAnsi="Arial"/>
                <w:sz w:val="18"/>
                <w:szCs w:val="18"/>
                <w:color w:val="auto"/>
              </w:rPr>
              <w:t>US$ 250’000,000</w:t>
            </w:r>
          </w:p>
        </w:tc>
      </w:tr>
      <w:tr>
        <w:trPr>
          <w:trHeight w:val="459"/>
        </w:trPr>
        <w:tc>
          <w:tcPr>
            <w:tcW w:w="5360" w:type="dxa"/>
            <w:vAlign w:val="bottom"/>
          </w:tcPr>
          <w:p>
            <w:pPr>
              <w:spacing w:after="0"/>
              <w:rPr>
                <w:sz w:val="20"/>
                <w:szCs w:val="20"/>
                <w:color w:val="auto"/>
              </w:rPr>
            </w:pPr>
            <w:r>
              <w:rPr>
                <w:rFonts w:ascii="Arial" w:cs="Arial" w:eastAsia="Arial" w:hAnsi="Arial"/>
                <w:sz w:val="18"/>
                <w:szCs w:val="18"/>
                <w:color w:val="auto"/>
              </w:rPr>
              <w:t>Nominal Value:</w:t>
            </w:r>
          </w:p>
        </w:tc>
        <w:tc>
          <w:tcPr>
            <w:tcW w:w="6060" w:type="dxa"/>
            <w:vAlign w:val="bottom"/>
          </w:tcPr>
          <w:p>
            <w:pPr>
              <w:ind w:left="600"/>
              <w:spacing w:after="0"/>
              <w:rPr>
                <w:sz w:val="20"/>
                <w:szCs w:val="20"/>
                <w:color w:val="auto"/>
              </w:rPr>
            </w:pPr>
            <w:r>
              <w:rPr>
                <w:rFonts w:ascii="Arial" w:cs="Arial" w:eastAsia="Arial" w:hAnsi="Arial"/>
                <w:sz w:val="18"/>
                <w:szCs w:val="18"/>
                <w:color w:val="auto"/>
              </w:rPr>
              <w:t>US$100,000</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Face amount:</w:t>
            </w:r>
          </w:p>
        </w:tc>
        <w:tc>
          <w:tcPr>
            <w:tcW w:w="6060" w:type="dxa"/>
            <w:vAlign w:val="bottom"/>
          </w:tcPr>
          <w:p>
            <w:pPr>
              <w:ind w:left="600"/>
              <w:spacing w:after="0"/>
              <w:rPr>
                <w:sz w:val="20"/>
                <w:szCs w:val="20"/>
                <w:color w:val="auto"/>
              </w:rPr>
            </w:pPr>
            <w:r>
              <w:rPr>
                <w:rFonts w:ascii="Arial" w:cs="Arial" w:eastAsia="Arial" w:hAnsi="Arial"/>
                <w:sz w:val="18"/>
                <w:szCs w:val="18"/>
                <w:color w:val="auto"/>
              </w:rPr>
              <w:t>US$ 250’000,000</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Price:</w:t>
            </w:r>
          </w:p>
        </w:tc>
        <w:tc>
          <w:tcPr>
            <w:tcW w:w="6060" w:type="dxa"/>
            <w:vAlign w:val="bottom"/>
          </w:tcPr>
          <w:p>
            <w:pPr>
              <w:ind w:left="600"/>
              <w:spacing w:after="0"/>
              <w:rPr>
                <w:sz w:val="20"/>
                <w:szCs w:val="20"/>
                <w:color w:val="auto"/>
              </w:rPr>
            </w:pPr>
            <w:r>
              <w:rPr>
                <w:rFonts w:ascii="Arial" w:cs="Arial" w:eastAsia="Arial" w:hAnsi="Arial"/>
                <w:sz w:val="18"/>
                <w:szCs w:val="18"/>
                <w:color w:val="auto"/>
              </w:rPr>
              <w:t>100% of face amount</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Gross proceeds:</w:t>
            </w:r>
          </w:p>
        </w:tc>
        <w:tc>
          <w:tcPr>
            <w:tcW w:w="6060" w:type="dxa"/>
            <w:vAlign w:val="bottom"/>
          </w:tcPr>
          <w:p>
            <w:pPr>
              <w:ind w:left="600"/>
              <w:spacing w:after="0"/>
              <w:rPr>
                <w:sz w:val="20"/>
                <w:szCs w:val="20"/>
                <w:color w:val="auto"/>
              </w:rPr>
            </w:pPr>
            <w:r>
              <w:rPr>
                <w:rFonts w:ascii="Arial" w:cs="Arial" w:eastAsia="Arial" w:hAnsi="Arial"/>
                <w:sz w:val="18"/>
                <w:szCs w:val="18"/>
                <w:color w:val="auto"/>
              </w:rPr>
              <w:t>US$ 250’000,000</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Fixed rate:</w:t>
            </w:r>
          </w:p>
        </w:tc>
        <w:tc>
          <w:tcPr>
            <w:tcW w:w="6060" w:type="dxa"/>
            <w:vAlign w:val="bottom"/>
          </w:tcPr>
          <w:p>
            <w:pPr>
              <w:ind w:left="600"/>
              <w:spacing w:after="0"/>
              <w:rPr>
                <w:sz w:val="20"/>
                <w:szCs w:val="20"/>
                <w:color w:val="auto"/>
              </w:rPr>
            </w:pPr>
            <w:r>
              <w:rPr>
                <w:rFonts w:ascii="Arial" w:cs="Arial" w:eastAsia="Arial" w:hAnsi="Arial"/>
                <w:sz w:val="18"/>
                <w:szCs w:val="18"/>
                <w:color w:val="auto"/>
              </w:rPr>
              <w:t>9.75%</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Yield to first call date:</w:t>
            </w:r>
          </w:p>
        </w:tc>
        <w:tc>
          <w:tcPr>
            <w:tcW w:w="6060" w:type="dxa"/>
            <w:vAlign w:val="bottom"/>
          </w:tcPr>
          <w:p>
            <w:pPr>
              <w:ind w:left="600"/>
              <w:spacing w:after="0"/>
              <w:rPr>
                <w:sz w:val="20"/>
                <w:szCs w:val="20"/>
                <w:color w:val="auto"/>
              </w:rPr>
            </w:pPr>
            <w:r>
              <w:rPr>
                <w:rFonts w:ascii="Arial" w:cs="Arial" w:eastAsia="Arial" w:hAnsi="Arial"/>
                <w:sz w:val="18"/>
                <w:szCs w:val="18"/>
                <w:color w:val="auto"/>
              </w:rPr>
              <w:t>9.75%</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Benchmark 10 year to 6-month LIBOR swap rate:</w:t>
            </w:r>
          </w:p>
        </w:tc>
        <w:tc>
          <w:tcPr>
            <w:tcW w:w="6060" w:type="dxa"/>
            <w:vAlign w:val="bottom"/>
          </w:tcPr>
          <w:p>
            <w:pPr>
              <w:ind w:left="600"/>
              <w:spacing w:after="0"/>
              <w:rPr>
                <w:sz w:val="20"/>
                <w:szCs w:val="20"/>
                <w:color w:val="auto"/>
              </w:rPr>
            </w:pPr>
            <w:r>
              <w:rPr>
                <w:rFonts w:ascii="Arial" w:cs="Arial" w:eastAsia="Arial" w:hAnsi="Arial"/>
                <w:sz w:val="18"/>
                <w:szCs w:val="18"/>
                <w:color w:val="auto"/>
              </w:rPr>
              <w:t>3.583%</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Initial spread to benchmark 10 year to 6-month LIBOR swap rate:</w:t>
            </w:r>
          </w:p>
        </w:tc>
        <w:tc>
          <w:tcPr>
            <w:tcW w:w="6060" w:type="dxa"/>
            <w:vAlign w:val="bottom"/>
          </w:tcPr>
          <w:p>
            <w:pPr>
              <w:ind w:left="600"/>
              <w:spacing w:after="0"/>
              <w:rPr>
                <w:sz w:val="20"/>
                <w:szCs w:val="20"/>
                <w:color w:val="auto"/>
              </w:rPr>
            </w:pPr>
            <w:r>
              <w:rPr>
                <w:rFonts w:ascii="Arial" w:cs="Arial" w:eastAsia="Arial" w:hAnsi="Arial"/>
                <w:sz w:val="18"/>
                <w:szCs w:val="18"/>
                <w:color w:val="auto"/>
              </w:rPr>
              <w:t>616.7 bps</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Step-up rate:</w:t>
            </w:r>
          </w:p>
        </w:tc>
        <w:tc>
          <w:tcPr>
            <w:tcW w:w="6060" w:type="dxa"/>
            <w:vAlign w:val="bottom"/>
          </w:tcPr>
          <w:p>
            <w:pPr>
              <w:ind w:left="600"/>
              <w:spacing w:after="0"/>
              <w:rPr>
                <w:sz w:val="20"/>
                <w:szCs w:val="20"/>
                <w:color w:val="auto"/>
              </w:rPr>
            </w:pPr>
            <w:r>
              <w:rPr>
                <w:rFonts w:ascii="Arial" w:cs="Arial" w:eastAsia="Arial" w:hAnsi="Arial"/>
                <w:sz w:val="18"/>
                <w:szCs w:val="18"/>
                <w:color w:val="auto"/>
              </w:rPr>
              <w:t>816.7 pbs, plus the 3-month LIBOR rate</w:t>
            </w:r>
          </w:p>
        </w:tc>
      </w:tr>
      <w:tr>
        <w:trPr>
          <w:trHeight w:val="378"/>
        </w:trPr>
        <w:tc>
          <w:tcPr>
            <w:tcW w:w="5360" w:type="dxa"/>
            <w:vAlign w:val="bottom"/>
          </w:tcPr>
          <w:p>
            <w:pPr>
              <w:spacing w:after="0"/>
              <w:rPr>
                <w:sz w:val="20"/>
                <w:szCs w:val="20"/>
                <w:color w:val="auto"/>
              </w:rPr>
            </w:pPr>
            <w:r>
              <w:rPr>
                <w:rFonts w:ascii="Arial" w:cs="Arial" w:eastAsia="Arial" w:hAnsi="Arial"/>
                <w:sz w:val="18"/>
                <w:szCs w:val="18"/>
                <w:color w:val="auto"/>
              </w:rPr>
              <w:t>Fixed interest payment dates:</w:t>
            </w:r>
          </w:p>
        </w:tc>
        <w:tc>
          <w:tcPr>
            <w:tcW w:w="6060" w:type="dxa"/>
            <w:vAlign w:val="bottom"/>
          </w:tcPr>
          <w:p>
            <w:pPr>
              <w:ind w:left="600"/>
              <w:spacing w:after="0"/>
              <w:rPr>
                <w:sz w:val="20"/>
                <w:szCs w:val="20"/>
                <w:color w:val="auto"/>
              </w:rPr>
            </w:pPr>
            <w:r>
              <w:rPr>
                <w:rFonts w:ascii="Arial" w:cs="Arial" w:eastAsia="Arial" w:hAnsi="Arial"/>
                <w:sz w:val="18"/>
                <w:szCs w:val="18"/>
                <w:color w:val="auto"/>
              </w:rPr>
              <w:t>Semi-annually for the first 10 years and</w:t>
            </w:r>
          </w:p>
        </w:tc>
      </w:tr>
      <w:tr>
        <w:trPr>
          <w:trHeight w:val="176"/>
        </w:trPr>
        <w:tc>
          <w:tcPr>
            <w:tcW w:w="5360" w:type="dxa"/>
            <w:vAlign w:val="bottom"/>
          </w:tcPr>
          <w:p>
            <w:pPr>
              <w:spacing w:after="0"/>
              <w:rPr>
                <w:sz w:val="15"/>
                <w:szCs w:val="15"/>
                <w:color w:val="auto"/>
              </w:rPr>
            </w:pPr>
          </w:p>
        </w:tc>
        <w:tc>
          <w:tcPr>
            <w:tcW w:w="6060" w:type="dxa"/>
            <w:vAlign w:val="bottom"/>
          </w:tcPr>
          <w:p>
            <w:pPr>
              <w:ind w:left="600"/>
              <w:spacing w:after="0" w:line="176" w:lineRule="exact"/>
              <w:rPr>
                <w:sz w:val="20"/>
                <w:szCs w:val="20"/>
                <w:color w:val="auto"/>
              </w:rPr>
            </w:pPr>
            <w:r>
              <w:rPr>
                <w:rFonts w:ascii="Arial" w:cs="Arial" w:eastAsia="Arial" w:hAnsi="Arial"/>
                <w:sz w:val="18"/>
                <w:szCs w:val="18"/>
                <w:color w:val="auto"/>
              </w:rPr>
              <w:t>then quarterly: November 6, February 6,</w:t>
            </w:r>
          </w:p>
        </w:tc>
      </w:tr>
      <w:tr>
        <w:trPr>
          <w:trHeight w:val="176"/>
        </w:trPr>
        <w:tc>
          <w:tcPr>
            <w:tcW w:w="5360" w:type="dxa"/>
            <w:vAlign w:val="bottom"/>
          </w:tcPr>
          <w:p>
            <w:pPr>
              <w:spacing w:after="0"/>
              <w:rPr>
                <w:sz w:val="15"/>
                <w:szCs w:val="15"/>
                <w:color w:val="auto"/>
              </w:rPr>
            </w:pPr>
          </w:p>
        </w:tc>
        <w:tc>
          <w:tcPr>
            <w:tcW w:w="6060" w:type="dxa"/>
            <w:vAlign w:val="bottom"/>
          </w:tcPr>
          <w:p>
            <w:pPr>
              <w:ind w:left="600"/>
              <w:spacing w:after="0" w:line="176" w:lineRule="exact"/>
              <w:rPr>
                <w:sz w:val="20"/>
                <w:szCs w:val="20"/>
                <w:color w:val="auto"/>
              </w:rPr>
            </w:pPr>
            <w:r>
              <w:rPr>
                <w:rFonts w:ascii="Arial" w:cs="Arial" w:eastAsia="Arial" w:hAnsi="Arial"/>
                <w:sz w:val="18"/>
                <w:szCs w:val="18"/>
                <w:color w:val="auto"/>
              </w:rPr>
              <w:t>May  6,  and  August  6  of  each  year,</w:t>
            </w:r>
          </w:p>
        </w:tc>
      </w:tr>
      <w:tr>
        <w:trPr>
          <w:trHeight w:val="230"/>
        </w:trPr>
        <w:tc>
          <w:tcPr>
            <w:tcW w:w="536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commencing on February 6, 2020</w:t>
            </w:r>
          </w:p>
        </w:tc>
      </w:tr>
      <w:tr>
        <w:trPr>
          <w:trHeight w:val="391"/>
        </w:trPr>
        <w:tc>
          <w:tcPr>
            <w:tcW w:w="5360" w:type="dxa"/>
            <w:vAlign w:val="bottom"/>
          </w:tcPr>
          <w:p>
            <w:pPr>
              <w:spacing w:after="0"/>
              <w:rPr>
                <w:sz w:val="20"/>
                <w:szCs w:val="20"/>
                <w:color w:val="auto"/>
              </w:rPr>
            </w:pPr>
            <w:r>
              <w:rPr>
                <w:rFonts w:ascii="Arial" w:cs="Arial" w:eastAsia="Arial" w:hAnsi="Arial"/>
                <w:sz w:val="18"/>
                <w:szCs w:val="18"/>
                <w:color w:val="auto"/>
              </w:rPr>
              <w:t>First call date:</w:t>
            </w:r>
          </w:p>
        </w:tc>
        <w:tc>
          <w:tcPr>
            <w:tcW w:w="6060" w:type="dxa"/>
            <w:vAlign w:val="bottom"/>
          </w:tcPr>
          <w:p>
            <w:pPr>
              <w:ind w:left="600"/>
              <w:spacing w:after="0"/>
              <w:rPr>
                <w:sz w:val="20"/>
                <w:szCs w:val="20"/>
                <w:color w:val="auto"/>
              </w:rPr>
            </w:pPr>
            <w:r>
              <w:rPr>
                <w:rFonts w:ascii="Arial" w:cs="Arial" w:eastAsia="Arial" w:hAnsi="Arial"/>
                <w:sz w:val="18"/>
                <w:szCs w:val="18"/>
                <w:color w:val="auto"/>
              </w:rPr>
              <w:t>November 6, 2019</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Trade date:</w:t>
            </w:r>
          </w:p>
        </w:tc>
        <w:tc>
          <w:tcPr>
            <w:tcW w:w="6060" w:type="dxa"/>
            <w:vAlign w:val="bottom"/>
          </w:tcPr>
          <w:p>
            <w:pPr>
              <w:ind w:left="600"/>
              <w:spacing w:after="0"/>
              <w:rPr>
                <w:sz w:val="20"/>
                <w:szCs w:val="20"/>
                <w:color w:val="auto"/>
              </w:rPr>
            </w:pPr>
            <w:r>
              <w:rPr>
                <w:rFonts w:ascii="Arial" w:cs="Arial" w:eastAsia="Arial" w:hAnsi="Arial"/>
                <w:sz w:val="18"/>
                <w:szCs w:val="18"/>
                <w:color w:val="auto"/>
              </w:rPr>
              <w:t>October 30, 2009</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Settlement:</w:t>
            </w:r>
          </w:p>
        </w:tc>
        <w:tc>
          <w:tcPr>
            <w:tcW w:w="6060" w:type="dxa"/>
            <w:vAlign w:val="bottom"/>
          </w:tcPr>
          <w:p>
            <w:pPr>
              <w:ind w:left="600"/>
              <w:spacing w:after="0"/>
              <w:rPr>
                <w:sz w:val="20"/>
                <w:szCs w:val="20"/>
                <w:color w:val="auto"/>
              </w:rPr>
            </w:pPr>
            <w:r>
              <w:rPr>
                <w:rFonts w:ascii="Arial" w:cs="Arial" w:eastAsia="Arial" w:hAnsi="Arial"/>
                <w:sz w:val="18"/>
                <w:szCs w:val="18"/>
                <w:color w:val="auto"/>
              </w:rPr>
              <w:t>T+5, November 6, 2009</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Listing:</w:t>
            </w:r>
          </w:p>
        </w:tc>
        <w:tc>
          <w:tcPr>
            <w:tcW w:w="6060" w:type="dxa"/>
            <w:vAlign w:val="bottom"/>
          </w:tcPr>
          <w:p>
            <w:pPr>
              <w:ind w:left="600"/>
              <w:spacing w:after="0"/>
              <w:rPr>
                <w:sz w:val="20"/>
                <w:szCs w:val="20"/>
                <w:color w:val="auto"/>
              </w:rPr>
            </w:pPr>
            <w:r>
              <w:rPr>
                <w:rFonts w:ascii="Arial" w:cs="Arial" w:eastAsia="Arial" w:hAnsi="Arial"/>
                <w:sz w:val="18"/>
                <w:szCs w:val="18"/>
                <w:color w:val="auto"/>
              </w:rPr>
              <w:t>Luxembourg Euro MTF</w:t>
            </w: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CUSIP:</w:t>
            </w:r>
          </w:p>
        </w:tc>
        <w:tc>
          <w:tcPr>
            <w:tcW w:w="6060" w:type="dxa"/>
            <w:vAlign w:val="bottom"/>
          </w:tcPr>
          <w:p>
            <w:pPr>
              <w:ind w:left="600"/>
              <w:spacing w:after="0"/>
              <w:rPr>
                <w:sz w:val="20"/>
                <w:szCs w:val="20"/>
                <w:color w:val="auto"/>
              </w:rPr>
            </w:pPr>
            <w:r>
              <w:rPr>
                <w:rFonts w:ascii="Arial" w:cs="Arial" w:eastAsia="Arial" w:hAnsi="Arial"/>
                <w:sz w:val="18"/>
                <w:szCs w:val="18"/>
                <w:color w:val="auto"/>
              </w:rPr>
              <w:t>144A: US05954TAC53</w:t>
            </w:r>
          </w:p>
        </w:tc>
      </w:tr>
      <w:tr>
        <w:trPr>
          <w:trHeight w:val="230"/>
        </w:trPr>
        <w:tc>
          <w:tcPr>
            <w:tcW w:w="536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REG S: USP09646AB92</w:t>
            </w:r>
          </w:p>
        </w:tc>
      </w:tr>
      <w:tr>
        <w:trPr>
          <w:trHeight w:val="378"/>
        </w:trPr>
        <w:tc>
          <w:tcPr>
            <w:tcW w:w="5360" w:type="dxa"/>
            <w:vAlign w:val="bottom"/>
          </w:tcPr>
          <w:p>
            <w:pPr>
              <w:spacing w:after="0"/>
              <w:rPr>
                <w:sz w:val="20"/>
                <w:szCs w:val="20"/>
                <w:color w:val="auto"/>
              </w:rPr>
            </w:pPr>
            <w:r>
              <w:rPr>
                <w:rFonts w:ascii="Arial" w:cs="Arial" w:eastAsia="Arial" w:hAnsi="Arial"/>
                <w:sz w:val="18"/>
                <w:szCs w:val="18"/>
                <w:color w:val="auto"/>
              </w:rPr>
              <w:t>Denominations/Multiple:</w:t>
            </w:r>
          </w:p>
        </w:tc>
        <w:tc>
          <w:tcPr>
            <w:tcW w:w="6060" w:type="dxa"/>
            <w:vAlign w:val="bottom"/>
          </w:tcPr>
          <w:p>
            <w:pPr>
              <w:ind w:left="600"/>
              <w:spacing w:after="0"/>
              <w:rPr>
                <w:sz w:val="20"/>
                <w:szCs w:val="20"/>
                <w:color w:val="auto"/>
              </w:rPr>
            </w:pPr>
            <w:r>
              <w:rPr>
                <w:rFonts w:ascii="Arial" w:cs="Arial" w:eastAsia="Arial" w:hAnsi="Arial"/>
                <w:sz w:val="18"/>
                <w:szCs w:val="18"/>
                <w:color w:val="auto"/>
              </w:rPr>
              <w:t>US$100,000 and integral multiples of</w:t>
            </w:r>
          </w:p>
        </w:tc>
      </w:tr>
      <w:tr>
        <w:trPr>
          <w:trHeight w:val="230"/>
        </w:trPr>
        <w:tc>
          <w:tcPr>
            <w:tcW w:w="536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US$ 1,000 in excess thereof</w:t>
            </w:r>
          </w:p>
        </w:tc>
      </w:tr>
      <w:tr>
        <w:trPr>
          <w:trHeight w:val="376"/>
        </w:trPr>
        <w:tc>
          <w:tcPr>
            <w:tcW w:w="5360" w:type="dxa"/>
            <w:vAlign w:val="bottom"/>
          </w:tcPr>
          <w:p>
            <w:pPr>
              <w:spacing w:after="0"/>
              <w:rPr>
                <w:sz w:val="20"/>
                <w:szCs w:val="20"/>
                <w:color w:val="auto"/>
              </w:rPr>
            </w:pPr>
            <w:r>
              <w:rPr>
                <w:rFonts w:ascii="Arial" w:cs="Arial" w:eastAsia="Arial" w:hAnsi="Arial"/>
                <w:sz w:val="18"/>
                <w:szCs w:val="18"/>
                <w:color w:val="auto"/>
              </w:rPr>
              <w:t>Ratings:</w:t>
            </w:r>
          </w:p>
        </w:tc>
        <w:tc>
          <w:tcPr>
            <w:tcW w:w="6060" w:type="dxa"/>
            <w:vAlign w:val="bottom"/>
          </w:tcPr>
          <w:p>
            <w:pPr>
              <w:ind w:left="600"/>
              <w:spacing w:after="0"/>
              <w:rPr>
                <w:sz w:val="20"/>
                <w:szCs w:val="20"/>
                <w:color w:val="auto"/>
              </w:rPr>
            </w:pPr>
            <w:r>
              <w:rPr>
                <w:rFonts w:ascii="Arial" w:cs="Arial" w:eastAsia="Arial" w:hAnsi="Arial"/>
                <w:sz w:val="18"/>
                <w:szCs w:val="18"/>
                <w:color w:val="auto"/>
              </w:rPr>
              <w:t>Standard &amp; Poor’s BB</w:t>
            </w:r>
          </w:p>
        </w:tc>
      </w:tr>
      <w:tr>
        <w:trPr>
          <w:trHeight w:val="230"/>
        </w:trPr>
        <w:tc>
          <w:tcPr>
            <w:tcW w:w="536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Fitch BB+</w:t>
            </w: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Bookrunners:</w:t>
            </w:r>
          </w:p>
        </w:tc>
        <w:tc>
          <w:tcPr>
            <w:tcW w:w="6060" w:type="dxa"/>
            <w:vAlign w:val="bottom"/>
          </w:tcPr>
          <w:p>
            <w:pPr>
              <w:ind w:left="600"/>
              <w:spacing w:after="0"/>
              <w:rPr>
                <w:sz w:val="20"/>
                <w:szCs w:val="20"/>
                <w:color w:val="auto"/>
              </w:rPr>
            </w:pPr>
            <w:r>
              <w:rPr>
                <w:rFonts w:ascii="Arial" w:cs="Arial" w:eastAsia="Arial" w:hAnsi="Arial"/>
                <w:sz w:val="18"/>
                <w:szCs w:val="18"/>
                <w:color w:val="auto"/>
              </w:rPr>
              <w:t>Banc of America Securities LLC</w:t>
            </w:r>
          </w:p>
        </w:tc>
      </w:tr>
      <w:tr>
        <w:trPr>
          <w:trHeight w:val="230"/>
        </w:trPr>
        <w:tc>
          <w:tcPr>
            <w:tcW w:w="536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J.P. Morgan Securities Inc.</w:t>
            </w:r>
          </w:p>
        </w:tc>
      </w:tr>
      <w:tr>
        <w:trPr>
          <w:trHeight w:val="132"/>
        </w:trPr>
        <w:tc>
          <w:tcPr>
            <w:tcW w:w="5360" w:type="dxa"/>
            <w:vAlign w:val="bottom"/>
            <w:tcBorders>
              <w:bottom w:val="single" w:sz="8" w:color="808080"/>
            </w:tcBorders>
          </w:tcPr>
          <w:p>
            <w:pPr>
              <w:spacing w:after="0"/>
              <w:rPr>
                <w:sz w:val="11"/>
                <w:szCs w:val="11"/>
                <w:color w:val="auto"/>
              </w:rPr>
            </w:pPr>
          </w:p>
        </w:tc>
        <w:tc>
          <w:tcPr>
            <w:tcW w:w="60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3" w:right="239" w:bottom="978"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Additional comments: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securities rating is not a recommendation to buy, sell or hold securities and may be subject to revisions or withdrawal at any time.</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information contained in this notice is subject to, and in making an investment decision you should rely on, the detailed description of the securities contained in the Preliminary Offering Memorandum, dated October 22, 2009 (The “Offering Memorandum”) relating to the securities, as supplemented by this final pricing term sheet. The Offering Memorandum contains, among other things, a description of the risks involved in investing in the securities.</w:t>
      </w:r>
    </w:p>
    <w:p>
      <w:pPr>
        <w:spacing w:after="0" w:line="12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This notice shall not constitute an offer to sell or a solicitation of an offer to buy, nor shall there be any sale of the securities in any state or jurisdiction in which such offer, solicitation or sale would be unlawful. The securities will be offered to qualified institutional buyers in reliance on Rule 144A under the Securities Act of 1933, as amended, and to non-U.S. persons in offshore transactions outside the United States in accordance with Regulation S thereunder. The securities have not been registered under the Securities Act or any state securities laws, and may not be offered or sold in the United States or to U.S. persons absent registration or on applicable exemption from the registration requirements. As set forth in the Final Offering Memorandum dated the date hereof, each buyer of a Note who is subject to ERISA or Section 4975 of the Code or a similar law will be deemed to have represented by its acquisition and holding of the Note that such acquisition and holding does not constitute or give rise to a non-exempt prohibited transaction under ERISA, Section 4975 of the Code or any similar law.</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Issuer and the Managers or any other dealer participating in the offering will arrange to send you the Offering Memorandum if you request it by calling Banc of America Securities LLC toll-free at 1-800-294-1322 and J.P. Morgan Securities Inc. toll free at 1-866-846-2874.</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 Fernando Palao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6, 2009</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2019-12-10T13:44:24Z</dcterms:created>
  <dcterms:modified xsi:type="dcterms:W3CDTF">2019-12-10T13:44:24Z</dcterms:modified>
</cp:coreProperties>
</file>