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280670</wp:posOffset>
            </wp:positionV>
            <wp:extent cx="714121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24130"/>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313055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6-K</w:t>
      </w: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Report of Foreign Private Issuer</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Pursuant to Rule 13a-16 or 15d-16 under the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month of May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001-14014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CREDICORP LTD.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(Translation of registrant’s name into English)</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Clarendon House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Church Street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Hamilton HM 11 Bermuda</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75"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color w:val="auto"/>
        </w:rPr>
        <w:t xml:space="preserve">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8"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135255</wp:posOffset>
            </wp:positionV>
            <wp:extent cx="714121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241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351155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7"/>
          <w:szCs w:val="17"/>
          <w:b w:val="1"/>
          <w:bCs w:val="1"/>
          <w:color w:val="auto"/>
        </w:rPr>
        <w:t>SIGNATURE</w:t>
      </w:r>
    </w:p>
    <w:p>
      <w:pPr>
        <w:spacing w:after="0" w:line="212" w:lineRule="exact"/>
        <w:rPr>
          <w:sz w:val="20"/>
          <w:szCs w:val="20"/>
          <w:color w:val="auto"/>
        </w:rPr>
      </w:pPr>
    </w:p>
    <w:p>
      <w:pPr>
        <w:ind w:firstLine="499"/>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 May 06</w:t>
      </w:r>
      <w:r>
        <w:rPr>
          <w:rFonts w:ascii="Arial" w:cs="Arial" w:eastAsia="Arial" w:hAnsi="Arial"/>
          <w:sz w:val="27"/>
          <w:szCs w:val="27"/>
          <w:color w:val="auto"/>
          <w:vertAlign w:val="superscript"/>
        </w:rPr>
        <w:t>th</w:t>
      </w:r>
      <w:r>
        <w:rPr>
          <w:rFonts w:ascii="Arial" w:cs="Arial" w:eastAsia="Arial" w:hAnsi="Arial"/>
          <w:sz w:val="17"/>
          <w:szCs w:val="17"/>
          <w:color w:val="auto"/>
        </w:rPr>
        <w:t>, 2021</w:t>
      </w:r>
    </w:p>
    <w:p>
      <w:pPr>
        <w:spacing w:after="0" w:line="1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CREDICORP LTD.</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(Registrant)</w:t>
      </w:r>
    </w:p>
    <w:p>
      <w:pPr>
        <w:spacing w:after="0" w:line="19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7"/>
          <w:szCs w:val="17"/>
          <w:color w:val="auto"/>
        </w:rPr>
        <w:t>By:</w:t>
        <w:tab/>
        <w:t>/s/ Miriam Bottger</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-123190</wp:posOffset>
            </wp:positionV>
            <wp:extent cx="327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7"/>
          <w:szCs w:val="17"/>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80"/>
          </w:cols>
          <w:pgMar w:left="320" w:top="551" w:right="599" w:bottom="1440" w:gutter="0" w:footer="0" w:header="0"/>
        </w:sectPr>
      </w:pPr>
    </w:p>
    <w:bookmarkStart w:id="2" w:name="page3"/>
    <w:bookmarkEnd w:id="2"/>
    <w:p>
      <w:pPr>
        <w:ind w:left="90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172720</wp:posOffset>
            </wp:positionV>
            <wp:extent cx="7141210" cy="8093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09307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 w:name="page4"/>
    <w:bookmarkEnd w:id="3"/>
    <w:tbl>
      <w:tblPr>
        <w:tblLayout w:type="fixed"/>
        <w:tblInd w:w="3820" w:type="dxa"/>
        <w:tblCellMar>
          <w:top w:w="0" w:type="dxa"/>
          <w:left w:w="0" w:type="dxa"/>
          <w:bottom w:w="0" w:type="dxa"/>
          <w:right w:w="0" w:type="dxa"/>
        </w:tblCellMar>
      </w:tblPr>
      <w:tr>
        <w:trPr>
          <w:trHeight w:val="218"/>
        </w:trPr>
        <w:tc>
          <w:tcPr>
            <w:tcW w:w="4300" w:type="dxa"/>
            <w:vAlign w:val="bottom"/>
            <w:gridSpan w:val="2"/>
          </w:tcPr>
          <w:p>
            <w:pPr>
              <w:spacing w:after="0"/>
              <w:rPr>
                <w:sz w:val="20"/>
                <w:szCs w:val="20"/>
                <w:color w:val="auto"/>
              </w:rPr>
            </w:pPr>
            <w:r>
              <w:rPr>
                <w:rFonts w:ascii="Arial" w:cs="Arial" w:eastAsia="Arial" w:hAnsi="Arial"/>
                <w:sz w:val="17"/>
                <w:szCs w:val="17"/>
                <w:b w:val="1"/>
                <w:bCs w:val="1"/>
                <w:color w:val="auto"/>
              </w:rPr>
              <w:t>Table of Contents</w:t>
            </w:r>
          </w:p>
        </w:tc>
        <w:tc>
          <w:tcPr>
            <w:tcW w:w="2000" w:type="dxa"/>
            <w:vAlign w:val="bottom"/>
          </w:tcPr>
          <w:p>
            <w:pPr>
              <w:spacing w:after="0"/>
              <w:rPr>
                <w:sz w:val="18"/>
                <w:szCs w:val="18"/>
                <w:color w:val="auto"/>
              </w:rPr>
            </w:pPr>
          </w:p>
        </w:tc>
      </w:tr>
      <w:tr>
        <w:trPr>
          <w:trHeight w:val="403"/>
        </w:trPr>
        <w:tc>
          <w:tcPr>
            <w:tcW w:w="4300" w:type="dxa"/>
            <w:vAlign w:val="bottom"/>
            <w:gridSpan w:val="2"/>
          </w:tcPr>
          <w:p>
            <w:pPr>
              <w:spacing w:after="0"/>
              <w:rPr>
                <w:sz w:val="20"/>
                <w:szCs w:val="20"/>
                <w:color w:val="auto"/>
              </w:rPr>
            </w:pPr>
            <w:r>
              <w:rPr>
                <w:rFonts w:ascii="Arial" w:cs="Arial" w:eastAsia="Arial" w:hAnsi="Arial"/>
                <w:sz w:val="17"/>
                <w:szCs w:val="17"/>
                <w:color w:val="auto"/>
              </w:rPr>
              <w:t>Credicorp Ltd. (NYSE:BAP)</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365"/>
        </w:trPr>
        <w:tc>
          <w:tcPr>
            <w:tcW w:w="4300" w:type="dxa"/>
            <w:vAlign w:val="bottom"/>
            <w:gridSpan w:val="2"/>
          </w:tcPr>
          <w:p>
            <w:pPr>
              <w:ind w:left="160"/>
              <w:spacing w:after="0"/>
              <w:rPr>
                <w:sz w:val="20"/>
                <w:szCs w:val="20"/>
                <w:color w:val="auto"/>
              </w:rPr>
            </w:pPr>
            <w:r>
              <w:rPr>
                <w:rFonts w:ascii="Arial" w:cs="Arial" w:eastAsia="Arial" w:hAnsi="Arial"/>
                <w:sz w:val="17"/>
                <w:szCs w:val="17"/>
                <w:color w:val="auto"/>
              </w:rPr>
              <w:t>Financial Overview</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01</w:t>
            </w:r>
          </w:p>
        </w:tc>
        <w:tc>
          <w:tcPr>
            <w:tcW w:w="4040" w:type="dxa"/>
            <w:vAlign w:val="bottom"/>
          </w:tcPr>
          <w:p>
            <w:pPr>
              <w:ind w:left="60"/>
              <w:spacing w:after="0"/>
              <w:rPr>
                <w:sz w:val="20"/>
                <w:szCs w:val="20"/>
                <w:color w:val="auto"/>
              </w:rPr>
            </w:pPr>
            <w:r>
              <w:rPr>
                <w:rFonts w:ascii="Arial" w:cs="Arial" w:eastAsia="Arial" w:hAnsi="Arial"/>
                <w:sz w:val="17"/>
                <w:szCs w:val="17"/>
                <w:color w:val="auto"/>
              </w:rPr>
              <w:t>Interest-Earning Assets (IEA)</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02</w:t>
            </w:r>
          </w:p>
        </w:tc>
        <w:tc>
          <w:tcPr>
            <w:tcW w:w="4040" w:type="dxa"/>
            <w:vAlign w:val="bottom"/>
          </w:tcPr>
          <w:p>
            <w:pPr>
              <w:ind w:left="60"/>
              <w:spacing w:after="0"/>
              <w:rPr>
                <w:sz w:val="20"/>
                <w:szCs w:val="20"/>
                <w:color w:val="auto"/>
              </w:rPr>
            </w:pPr>
            <w:r>
              <w:rPr>
                <w:rFonts w:ascii="Arial" w:cs="Arial" w:eastAsia="Arial" w:hAnsi="Arial"/>
                <w:sz w:val="17"/>
                <w:szCs w:val="17"/>
                <w:color w:val="auto"/>
              </w:rPr>
              <w:t>Funding Structure</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15</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03</w:t>
            </w:r>
          </w:p>
        </w:tc>
        <w:tc>
          <w:tcPr>
            <w:tcW w:w="4040" w:type="dxa"/>
            <w:vAlign w:val="bottom"/>
          </w:tcPr>
          <w:p>
            <w:pPr>
              <w:ind w:left="60"/>
              <w:spacing w:after="0"/>
              <w:rPr>
                <w:sz w:val="20"/>
                <w:szCs w:val="20"/>
                <w:color w:val="auto"/>
              </w:rPr>
            </w:pPr>
            <w:r>
              <w:rPr>
                <w:rFonts w:ascii="Arial" w:cs="Arial" w:eastAsia="Arial" w:hAnsi="Arial"/>
                <w:sz w:val="17"/>
                <w:szCs w:val="17"/>
                <w:color w:val="auto"/>
              </w:rPr>
              <w:t>Net Interest Income (NII)</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22</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04</w:t>
            </w:r>
          </w:p>
        </w:tc>
        <w:tc>
          <w:tcPr>
            <w:tcW w:w="4040" w:type="dxa"/>
            <w:vAlign w:val="bottom"/>
          </w:tcPr>
          <w:p>
            <w:pPr>
              <w:ind w:left="60"/>
              <w:spacing w:after="0"/>
              <w:rPr>
                <w:sz w:val="20"/>
                <w:szCs w:val="20"/>
                <w:color w:val="auto"/>
              </w:rPr>
            </w:pPr>
            <w:r>
              <w:rPr>
                <w:rFonts w:ascii="Arial" w:cs="Arial" w:eastAsia="Arial" w:hAnsi="Arial"/>
                <w:sz w:val="17"/>
                <w:szCs w:val="17"/>
                <w:color w:val="auto"/>
              </w:rPr>
              <w:t>Portfolio Quality</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27</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05</w:t>
            </w:r>
          </w:p>
        </w:tc>
        <w:tc>
          <w:tcPr>
            <w:tcW w:w="4040" w:type="dxa"/>
            <w:vAlign w:val="bottom"/>
          </w:tcPr>
          <w:p>
            <w:pPr>
              <w:ind w:left="60"/>
              <w:spacing w:after="0"/>
              <w:rPr>
                <w:sz w:val="20"/>
                <w:szCs w:val="20"/>
                <w:color w:val="auto"/>
              </w:rPr>
            </w:pPr>
            <w:r>
              <w:rPr>
                <w:rFonts w:ascii="Arial" w:cs="Arial" w:eastAsia="Arial" w:hAnsi="Arial"/>
                <w:sz w:val="17"/>
                <w:szCs w:val="17"/>
                <w:color w:val="auto"/>
              </w:rPr>
              <w:t>Non-Financial Income</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33</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06</w:t>
            </w:r>
          </w:p>
        </w:tc>
        <w:tc>
          <w:tcPr>
            <w:tcW w:w="4040" w:type="dxa"/>
            <w:vAlign w:val="bottom"/>
          </w:tcPr>
          <w:p>
            <w:pPr>
              <w:ind w:left="60"/>
              <w:spacing w:after="0"/>
              <w:rPr>
                <w:sz w:val="20"/>
                <w:szCs w:val="20"/>
                <w:color w:val="auto"/>
              </w:rPr>
            </w:pPr>
            <w:r>
              <w:rPr>
                <w:rFonts w:ascii="Arial" w:cs="Arial" w:eastAsia="Arial" w:hAnsi="Arial"/>
                <w:sz w:val="17"/>
                <w:szCs w:val="17"/>
                <w:color w:val="auto"/>
              </w:rPr>
              <w:t>Insurance Underwriting Results</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37</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07</w:t>
            </w:r>
          </w:p>
        </w:tc>
        <w:tc>
          <w:tcPr>
            <w:tcW w:w="4040" w:type="dxa"/>
            <w:vAlign w:val="bottom"/>
          </w:tcPr>
          <w:p>
            <w:pPr>
              <w:ind w:left="60"/>
              <w:spacing w:after="0"/>
              <w:rPr>
                <w:sz w:val="20"/>
                <w:szCs w:val="20"/>
                <w:color w:val="auto"/>
              </w:rPr>
            </w:pPr>
            <w:r>
              <w:rPr>
                <w:rFonts w:ascii="Arial" w:cs="Arial" w:eastAsia="Arial" w:hAnsi="Arial"/>
                <w:sz w:val="17"/>
                <w:szCs w:val="17"/>
                <w:color w:val="auto"/>
              </w:rPr>
              <w:t>Operating Expenses</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42</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08</w:t>
            </w:r>
          </w:p>
        </w:tc>
        <w:tc>
          <w:tcPr>
            <w:tcW w:w="4040" w:type="dxa"/>
            <w:vAlign w:val="bottom"/>
          </w:tcPr>
          <w:p>
            <w:pPr>
              <w:ind w:left="60"/>
              <w:spacing w:after="0"/>
              <w:rPr>
                <w:sz w:val="20"/>
                <w:szCs w:val="20"/>
                <w:color w:val="auto"/>
              </w:rPr>
            </w:pPr>
            <w:r>
              <w:rPr>
                <w:rFonts w:ascii="Arial" w:cs="Arial" w:eastAsia="Arial" w:hAnsi="Arial"/>
                <w:sz w:val="17"/>
                <w:szCs w:val="17"/>
                <w:color w:val="auto"/>
              </w:rPr>
              <w:t>Operating Efficiency</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45</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09</w:t>
            </w:r>
          </w:p>
        </w:tc>
        <w:tc>
          <w:tcPr>
            <w:tcW w:w="4040" w:type="dxa"/>
            <w:vAlign w:val="bottom"/>
          </w:tcPr>
          <w:p>
            <w:pPr>
              <w:ind w:left="60"/>
              <w:spacing w:after="0"/>
              <w:rPr>
                <w:sz w:val="20"/>
                <w:szCs w:val="20"/>
                <w:color w:val="auto"/>
              </w:rPr>
            </w:pPr>
            <w:r>
              <w:rPr>
                <w:rFonts w:ascii="Arial" w:cs="Arial" w:eastAsia="Arial" w:hAnsi="Arial"/>
                <w:sz w:val="17"/>
                <w:szCs w:val="17"/>
                <w:color w:val="auto"/>
              </w:rPr>
              <w:t>Regulatory Capital</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48</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10</w:t>
            </w:r>
          </w:p>
        </w:tc>
        <w:tc>
          <w:tcPr>
            <w:tcW w:w="4040" w:type="dxa"/>
            <w:vAlign w:val="bottom"/>
          </w:tcPr>
          <w:p>
            <w:pPr>
              <w:ind w:left="60"/>
              <w:spacing w:after="0"/>
              <w:rPr>
                <w:sz w:val="20"/>
                <w:szCs w:val="20"/>
                <w:color w:val="auto"/>
              </w:rPr>
            </w:pPr>
            <w:r>
              <w:rPr>
                <w:rFonts w:ascii="Arial" w:cs="Arial" w:eastAsia="Arial" w:hAnsi="Arial"/>
                <w:sz w:val="17"/>
                <w:szCs w:val="17"/>
                <w:color w:val="auto"/>
              </w:rPr>
              <w:t>Credicorp’s Distribution Model</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51</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11</w:t>
            </w:r>
          </w:p>
        </w:tc>
        <w:tc>
          <w:tcPr>
            <w:tcW w:w="4040" w:type="dxa"/>
            <w:vAlign w:val="bottom"/>
          </w:tcPr>
          <w:p>
            <w:pPr>
              <w:ind w:left="60"/>
              <w:spacing w:after="0"/>
              <w:rPr>
                <w:sz w:val="20"/>
                <w:szCs w:val="20"/>
                <w:color w:val="auto"/>
              </w:rPr>
            </w:pPr>
            <w:r>
              <w:rPr>
                <w:rFonts w:ascii="Arial" w:cs="Arial" w:eastAsia="Arial" w:hAnsi="Arial"/>
                <w:sz w:val="17"/>
                <w:szCs w:val="17"/>
                <w:color w:val="auto"/>
              </w:rPr>
              <w:t>Economic Perspectives</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55</w:t>
            </w:r>
          </w:p>
        </w:tc>
      </w:tr>
      <w:tr>
        <w:trPr>
          <w:trHeight w:val="365"/>
        </w:trPr>
        <w:tc>
          <w:tcPr>
            <w:tcW w:w="260" w:type="dxa"/>
            <w:vAlign w:val="bottom"/>
          </w:tcPr>
          <w:p>
            <w:pPr>
              <w:spacing w:after="0"/>
              <w:rPr>
                <w:sz w:val="20"/>
                <w:szCs w:val="20"/>
                <w:color w:val="auto"/>
              </w:rPr>
            </w:pPr>
            <w:r>
              <w:rPr>
                <w:rFonts w:ascii="Arial" w:cs="Arial" w:eastAsia="Arial" w:hAnsi="Arial"/>
                <w:sz w:val="17"/>
                <w:szCs w:val="17"/>
                <w:color w:val="auto"/>
              </w:rPr>
              <w:t>12</w:t>
            </w:r>
          </w:p>
        </w:tc>
        <w:tc>
          <w:tcPr>
            <w:tcW w:w="4040" w:type="dxa"/>
            <w:vAlign w:val="bottom"/>
          </w:tcPr>
          <w:p>
            <w:pPr>
              <w:ind w:left="60"/>
              <w:spacing w:after="0"/>
              <w:rPr>
                <w:sz w:val="20"/>
                <w:szCs w:val="20"/>
                <w:color w:val="auto"/>
              </w:rPr>
            </w:pPr>
            <w:r>
              <w:rPr>
                <w:rFonts w:ascii="Arial" w:cs="Arial" w:eastAsia="Arial" w:hAnsi="Arial"/>
                <w:sz w:val="17"/>
                <w:szCs w:val="17"/>
                <w:color w:val="auto"/>
              </w:rPr>
              <w:t>Appendix</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60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5473700</wp:posOffset>
            </wp:positionH>
            <wp:positionV relativeFrom="page">
              <wp:posOffset>360680</wp:posOffset>
            </wp:positionV>
            <wp:extent cx="1839595" cy="255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39595" cy="2559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776605</wp:posOffset>
            </wp:positionV>
            <wp:extent cx="2334895" cy="5598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334895" cy="559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11430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810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108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1656080</wp:posOffset>
            </wp:positionH>
            <wp:positionV relativeFrom="paragraph">
              <wp:posOffset>150495</wp:posOffset>
            </wp:positionV>
            <wp:extent cx="3830955" cy="839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0955" cy="83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Economic activity </w:t>
      </w:r>
      <w:r>
        <w:rPr>
          <w:rFonts w:ascii="Arial" w:cs="Arial" w:eastAsia="Arial" w:hAnsi="Arial"/>
          <w:sz w:val="17"/>
          <w:szCs w:val="17"/>
          <w:color w:val="auto"/>
        </w:rPr>
        <w:t>in 1Q21 continued to post signs of recovery after having followed a downward trend over the last 4 quarters, registering an estimated inter-annual</w:t>
      </w:r>
      <w:r>
        <w:rPr>
          <w:rFonts w:ascii="Arial" w:cs="Arial" w:eastAsia="Arial" w:hAnsi="Arial"/>
          <w:sz w:val="17"/>
          <w:szCs w:val="17"/>
          <w:b w:val="1"/>
          <w:bCs w:val="1"/>
          <w:color w:val="auto"/>
        </w:rPr>
        <w:t xml:space="preserve"> </w:t>
      </w:r>
      <w:r>
        <w:rPr>
          <w:rFonts w:ascii="Arial" w:cs="Arial" w:eastAsia="Arial" w:hAnsi="Arial"/>
          <w:sz w:val="17"/>
          <w:szCs w:val="17"/>
          <w:color w:val="auto"/>
        </w:rPr>
        <w:t>growth of 4% YoY despite localized lockdowns in February. This recovery was registered across all the sectors including financial transactions; demand for electricity; an uptick in VAT collections; an increase in public investment; and growth in cement consumption. Furthermore, in seasonally adjusted terms, GDP in the first quarter of 2021 stands very close to pre-pandemic levels.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Growth</w:t>
      </w:r>
    </w:p>
    <w:p>
      <w:pPr>
        <w:spacing w:after="0" w:line="212" w:lineRule="exact"/>
        <w:rPr>
          <w:sz w:val="20"/>
          <w:szCs w:val="20"/>
          <w:color w:val="auto"/>
        </w:rPr>
      </w:pPr>
    </w:p>
    <w:p>
      <w:pPr>
        <w:jc w:val="both"/>
        <w:ind w:left="3720"/>
        <w:spacing w:after="0" w:line="258" w:lineRule="auto"/>
        <w:rPr>
          <w:sz w:val="20"/>
          <w:szCs w:val="20"/>
          <w:color w:val="auto"/>
        </w:rPr>
      </w:pPr>
      <w:r>
        <w:rPr>
          <w:rFonts w:ascii="Arial" w:cs="Arial" w:eastAsia="Arial" w:hAnsi="Arial"/>
          <w:sz w:val="17"/>
          <w:szCs w:val="17"/>
          <w:color w:val="auto"/>
        </w:rPr>
        <w:t>The QoQ contraction in average daily balances was driven by a decrease in funding needs in Wholesale segments. YoY, growth was attributable to the influx of low-interest government loans in LC in the SME-Pyme, SME-Business and Middle-Market segments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-391795</wp:posOffset>
            </wp:positionV>
            <wp:extent cx="2127250" cy="911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7250" cy="91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interest income and Net interest Margin</w:t>
      </w:r>
    </w:p>
    <w:p>
      <w:pPr>
        <w:spacing w:after="0" w:line="212" w:lineRule="exact"/>
        <w:rPr>
          <w:sz w:val="20"/>
          <w:szCs w:val="20"/>
          <w:color w:val="auto"/>
        </w:rPr>
      </w:pPr>
    </w:p>
    <w:p>
      <w:pPr>
        <w:jc w:val="both"/>
        <w:ind w:left="2880"/>
        <w:spacing w:after="0" w:line="254" w:lineRule="auto"/>
        <w:rPr>
          <w:sz w:val="20"/>
          <w:szCs w:val="20"/>
          <w:color w:val="auto"/>
        </w:rPr>
      </w:pPr>
      <w:r>
        <w:rPr>
          <w:rFonts w:ascii="Arial" w:cs="Arial" w:eastAsia="Arial" w:hAnsi="Arial"/>
          <w:sz w:val="17"/>
          <w:szCs w:val="17"/>
          <w:color w:val="auto"/>
        </w:rPr>
        <w:t>NII grew QoQ after registering a non-recurring charge at BCP Bolivia in 4Q20, which was partially offset by a charge of S/. 88 million for a liability management transaction in 1Q21 at BCP Stand-alone. If we exclude these effects, NII contracts due to repricing at lower interest rates and to a decrease in structural loans, which was offset by the favorable evolution of the deposit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-516890</wp:posOffset>
            </wp:positionV>
            <wp:extent cx="1583690" cy="551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3690" cy="551815"/>
                    </a:xfrm>
                    <a:prstGeom prst="rect">
                      <a:avLst/>
                    </a:prstGeom>
                    <a:noFill/>
                  </pic:spPr>
                </pic:pic>
              </a:graphicData>
            </a:graphic>
          </wp:anchor>
        </w:drawing>
      </w:r>
    </w:p>
    <w:p>
      <w:pPr>
        <w:spacing w:after="0" w:line="223" w:lineRule="exact"/>
        <w:rPr>
          <w:sz w:val="20"/>
          <w:szCs w:val="20"/>
          <w:color w:val="auto"/>
        </w:rPr>
      </w:pPr>
    </w:p>
    <w:p>
      <w:pPr>
        <w:jc w:val="both"/>
        <w:ind w:left="2880"/>
        <w:spacing w:after="0" w:line="258" w:lineRule="auto"/>
        <w:rPr>
          <w:sz w:val="20"/>
          <w:szCs w:val="20"/>
          <w:color w:val="auto"/>
        </w:rPr>
      </w:pPr>
      <w:r>
        <w:rPr>
          <w:rFonts w:ascii="Arial" w:cs="Arial" w:eastAsia="Arial" w:hAnsi="Arial"/>
          <w:sz w:val="17"/>
          <w:szCs w:val="17"/>
          <w:color w:val="auto"/>
        </w:rPr>
        <w:t>NII contracted YoY. This was primarily driven by change in the asset mix, which registered a higher preponderance of less profitable assets due to a decline in structural loan volumes and lower interest rates. The aforementioned was offset by a decrease in funding rates and an improvement in the funding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-391795</wp:posOffset>
            </wp:positionV>
            <wp:extent cx="1583690" cy="560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3690" cy="56007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and Portfolio Quality</w:t>
      </w:r>
    </w:p>
    <w:p>
      <w:pPr>
        <w:spacing w:after="0" w:line="212" w:lineRule="exact"/>
        <w:rPr>
          <w:sz w:val="20"/>
          <w:szCs w:val="20"/>
          <w:color w:val="auto"/>
        </w:rPr>
      </w:pPr>
    </w:p>
    <w:p>
      <w:pPr>
        <w:jc w:val="both"/>
        <w:ind w:left="2880"/>
        <w:spacing w:after="0" w:line="275" w:lineRule="auto"/>
        <w:rPr>
          <w:sz w:val="20"/>
          <w:szCs w:val="20"/>
          <w:color w:val="auto"/>
        </w:rPr>
      </w:pPr>
      <w:r>
        <w:rPr>
          <w:rFonts w:ascii="Arial" w:cs="Arial" w:eastAsia="Arial" w:hAnsi="Arial"/>
          <w:sz w:val="16"/>
          <w:szCs w:val="16"/>
          <w:color w:val="auto"/>
        </w:rPr>
        <w:t>Provisions fell significantly QoQ due to improvements in the probabilities of default in the majority of BCP Stand-alone segments. This was partially offset by an increase in provisions of Mibanco, which was attributable to deterioration in the debt service capacity of clients, who were affected by the second wave of COVID-19 and requested new credit facilities. The YoY reduction was driven by an improvement in the economic outlook and in client payment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-527050</wp:posOffset>
            </wp:positionV>
            <wp:extent cx="1583690" cy="663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3690" cy="663575"/>
                    </a:xfrm>
                    <a:prstGeom prst="rect">
                      <a:avLst/>
                    </a:prstGeom>
                    <a:noFill/>
                  </pic:spPr>
                </pic:pic>
              </a:graphicData>
            </a:graphic>
          </wp:anchor>
        </w:drawing>
      </w:r>
    </w:p>
    <w:p>
      <w:pPr>
        <w:spacing w:after="0" w:line="384" w:lineRule="exact"/>
        <w:rPr>
          <w:sz w:val="20"/>
          <w:szCs w:val="20"/>
          <w:color w:val="auto"/>
        </w:rPr>
      </w:pPr>
    </w:p>
    <w:p>
      <w:pPr>
        <w:jc w:val="both"/>
        <w:ind w:left="2880"/>
        <w:spacing w:after="0" w:line="269" w:lineRule="auto"/>
        <w:rPr>
          <w:sz w:val="20"/>
          <w:szCs w:val="20"/>
          <w:color w:val="auto"/>
        </w:rPr>
      </w:pPr>
      <w:r>
        <w:rPr>
          <w:rFonts w:ascii="Arial" w:cs="Arial" w:eastAsia="Arial" w:hAnsi="Arial"/>
          <w:sz w:val="17"/>
          <w:szCs w:val="17"/>
          <w:color w:val="auto"/>
        </w:rPr>
        <w:t>The NPL portfolio registered an increase after grace periods for clients that had availed of Credicorp’s facilities at the beginning of the pandemic began to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-269875</wp:posOffset>
            </wp:positionV>
            <wp:extent cx="1583690" cy="655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3690"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Non-Financial Income</w:t>
      </w:r>
    </w:p>
    <w:p>
      <w:pPr>
        <w:spacing w:after="0" w:line="212" w:lineRule="exact"/>
        <w:rPr>
          <w:sz w:val="20"/>
          <w:szCs w:val="20"/>
          <w:color w:val="auto"/>
        </w:rPr>
      </w:pPr>
    </w:p>
    <w:p>
      <w:pPr>
        <w:jc w:val="both"/>
        <w:ind w:left="2820"/>
        <w:spacing w:after="0" w:line="258" w:lineRule="auto"/>
        <w:rPr>
          <w:sz w:val="20"/>
          <w:szCs w:val="20"/>
          <w:color w:val="auto"/>
        </w:rPr>
      </w:pPr>
      <w:r>
        <w:rPr>
          <w:rFonts w:ascii="Arial" w:cs="Arial" w:eastAsia="Arial" w:hAnsi="Arial"/>
          <w:sz w:val="17"/>
          <w:szCs w:val="17"/>
          <w:color w:val="auto"/>
        </w:rPr>
        <w:t>The contraction over the quarter was due primarily to lower fee income in a context of low transactionality due to seasonality and the quarantine. Additionally, the net gain on securities contracted due to losses in ASB’s fixed income portfolio after an upswing in market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-391795</wp:posOffset>
            </wp:positionV>
            <wp:extent cx="1543685" cy="304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685" cy="30416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YoY increase was driven by the fact that the 1Q20 was impacted by net losses on securities and by fee exemptions at the beginning of the pandemic.</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Results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underwriting results decreased QoQ and YoY -176.9% and -146.0% respectively. This drop was attributable to an increase in claims and in IBNR provisions in the Life business, which was in turn driven by COVID-19 related mortality. This result was partially mitigated by a decrease in claims in P&amp;C, which benefitted from mobility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Efficiency Ratio</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efficiency ratio situated at 44.0%, increasing +60bps YoY. Operating expenses remain under control. Nevertheless, a decrease in net interest income (including the charge for the liability management operation at BCP Stand-alone) drove a year-over-year deterioration in the efficiency ratio.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at Credicorp and Contributions by LoB</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Contribution* and ROAE by subsidiary in 1Q21 (S/ millions)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Credicorp: Net income S/ 660.8 millions, ROAE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142240</wp:posOffset>
            </wp:positionV>
            <wp:extent cx="5598160" cy="2439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98160"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Credicorp reflect the eliminations for consolidation purposes (e.g. eliminations for transactions between Credicorp and its subsidiaries).</w:t>
      </w:r>
    </w:p>
    <w:p>
      <w:pPr>
        <w:spacing w:after="0" w:line="30" w:lineRule="exact"/>
        <w:rPr>
          <w:sz w:val="20"/>
          <w:szCs w:val="20"/>
          <w:color w:val="auto"/>
        </w:rPr>
      </w:pPr>
    </w:p>
    <w:p>
      <w:pPr>
        <w:ind w:firstLine="1"/>
        <w:spacing w:after="0" w:line="262" w:lineRule="auto"/>
        <w:tabs>
          <w:tab w:leader="none" w:pos="247"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figure is lower than the net income of Mibanco because Credicorp owns 99.921% of Mibanco (directly and indirectly). ROAE including goodwill from the acquisition of BCP from the acquisition of Edyficar (Approximately US$ 50.7 million) was 6.07% in 1Q20, 4.51% in 4Q20 and 2.49% in 1Q21.</w:t>
      </w:r>
    </w:p>
    <w:p>
      <w:pPr>
        <w:spacing w:after="0" w:line="1" w:lineRule="exact"/>
        <w:rPr>
          <w:rFonts w:ascii="Arial" w:cs="Arial" w:eastAsia="Arial" w:hAnsi="Arial"/>
          <w:sz w:val="16"/>
          <w:szCs w:val="16"/>
          <w:color w:val="auto"/>
        </w:rPr>
      </w:pPr>
    </w:p>
    <w:p>
      <w:pPr>
        <w:jc w:val="both"/>
        <w:ind w:firstLine="1"/>
        <w:spacing w:after="0" w:line="247" w:lineRule="auto"/>
        <w:tabs>
          <w:tab w:leader="none" w:pos="263"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contribution is higher than Grupo Pacifico’s net income because Credicorp owns 65.20% directly, and 33.59% through Grupo Credito. Figures include unrealized gains or losses that are considered in Pacifico’s Net Equity from the investment portfolio of Pacifico Vida. ROAE excluding such unrealized gains was 16.54% in 1Q20, 1.47% in 4Q20 and -17.59% in 1Q21.</w:t>
      </w:r>
    </w:p>
    <w:p>
      <w:pPr>
        <w:ind w:left="240" w:hanging="239"/>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Grupo Credito excluding Prima, others of Atlantic Security Holding Corporation and others of Credicorp Ltd.</w:t>
      </w:r>
    </w:p>
    <w:p>
      <w:pPr>
        <w:spacing w:after="0" w:line="95"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8181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181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Overview Financial Information</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First Quarter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Credicorp Ltd.</w:t>
            </w: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Quarter</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rPr>
              <w:t>% change</w:t>
            </w:r>
          </w:p>
        </w:tc>
        <w:tc>
          <w:tcPr>
            <w:tcW w:w="6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44"/>
        </w:trPr>
        <w:tc>
          <w:tcPr>
            <w:tcW w:w="57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b w:val="1"/>
                <w:bCs w:val="1"/>
                <w:color w:val="auto"/>
              </w:rPr>
              <w:t>1Q20</w:t>
            </w: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260"/>
              <w:spacing w:after="0" w:line="144" w:lineRule="exact"/>
              <w:rPr>
                <w:sz w:val="20"/>
                <w:szCs w:val="20"/>
                <w:color w:val="auto"/>
              </w:rPr>
            </w:pPr>
            <w:r>
              <w:rPr>
                <w:rFonts w:ascii="Arial" w:cs="Arial" w:eastAsia="Arial" w:hAnsi="Arial"/>
                <w:sz w:val="13"/>
                <w:szCs w:val="13"/>
                <w:b w:val="1"/>
                <w:bCs w:val="1"/>
                <w:color w:val="auto"/>
              </w:rPr>
              <w:t>4Q20</w:t>
            </w: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b w:val="1"/>
                <w:bCs w:val="1"/>
                <w:color w:val="auto"/>
              </w:rPr>
              <w:t>1Q21</w:t>
            </w: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240"/>
              <w:spacing w:after="0" w:line="144" w:lineRule="exact"/>
              <w:rPr>
                <w:sz w:val="20"/>
                <w:szCs w:val="20"/>
                <w:color w:val="auto"/>
              </w:rPr>
            </w:pPr>
            <w:r>
              <w:rPr>
                <w:rFonts w:ascii="Arial" w:cs="Arial" w:eastAsia="Arial" w:hAnsi="Arial"/>
                <w:sz w:val="13"/>
                <w:szCs w:val="13"/>
                <w:b w:val="1"/>
                <w:bCs w:val="1"/>
                <w:color w:val="auto"/>
              </w:rPr>
              <w:t>QoQ</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3"/>
              <w:spacing w:after="0" w:line="144" w:lineRule="exact"/>
              <w:rPr>
                <w:sz w:val="20"/>
                <w:szCs w:val="20"/>
                <w:color w:val="auto"/>
              </w:rPr>
            </w:pPr>
            <w:r>
              <w:rPr>
                <w:rFonts w:ascii="Arial" w:cs="Arial" w:eastAsia="Arial" w:hAnsi="Arial"/>
                <w:sz w:val="13"/>
                <w:szCs w:val="13"/>
                <w:b w:val="1"/>
                <w:bCs w:val="1"/>
                <w:color w:val="auto"/>
              </w:rPr>
              <w:t>YoY</w:t>
            </w:r>
          </w:p>
        </w:tc>
        <w:tc>
          <w:tcPr>
            <w:tcW w:w="320" w:type="dxa"/>
            <w:vAlign w:val="bottom"/>
            <w:tcBorders>
              <w:bottom w:val="single" w:sz="8" w:color="CCEEFF"/>
            </w:tcBorders>
          </w:tcPr>
          <w:p>
            <w:pPr>
              <w:spacing w:after="0"/>
              <w:rPr>
                <w:sz w:val="12"/>
                <w:szCs w:val="12"/>
                <w:color w:val="auto"/>
              </w:rPr>
            </w:pPr>
          </w:p>
        </w:tc>
      </w:tr>
      <w:tr>
        <w:trPr>
          <w:trHeight w:val="131"/>
        </w:trPr>
        <w:tc>
          <w:tcPr>
            <w:tcW w:w="5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Net interest, similar income and expenses</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2,379,527</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ind w:left="280"/>
              <w:spacing w:after="0" w:line="131" w:lineRule="exact"/>
              <w:rPr>
                <w:sz w:val="20"/>
                <w:szCs w:val="20"/>
                <w:color w:val="auto"/>
              </w:rPr>
            </w:pPr>
            <w:r>
              <w:rPr>
                <w:rFonts w:ascii="Arial" w:cs="Arial" w:eastAsia="Arial" w:hAnsi="Arial"/>
                <w:sz w:val="13"/>
                <w:szCs w:val="13"/>
                <w:color w:val="auto"/>
                <w:w w:val="86"/>
              </w:rPr>
              <w:t>2,069,220</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2,123,383</w:t>
            </w:r>
          </w:p>
        </w:tc>
        <w:tc>
          <w:tcPr>
            <w:tcW w:w="2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320"/>
              <w:spacing w:after="0" w:line="131"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-10.8%</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Provision for credit losses on loan portfolio, net of recoveries</w:t>
            </w:r>
          </w:p>
        </w:tc>
        <w:tc>
          <w:tcPr>
            <w:tcW w:w="104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(1,341,481)</w:t>
            </w:r>
          </w:p>
        </w:tc>
        <w:tc>
          <w:tcPr>
            <w:tcW w:w="104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(732,665)</w:t>
            </w:r>
          </w:p>
        </w:tc>
        <w:tc>
          <w:tcPr>
            <w:tcW w:w="10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(557,647)</w:t>
            </w:r>
          </w:p>
        </w:tc>
        <w:tc>
          <w:tcPr>
            <w:tcW w:w="120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-23.9%</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-58.4%</w:t>
            </w:r>
          </w:p>
        </w:tc>
      </w:tr>
      <w:tr>
        <w:trPr>
          <w:trHeight w:val="139"/>
        </w:trPr>
        <w:tc>
          <w:tcPr>
            <w:tcW w:w="5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Net interest, similar income and expenses, after provision for credit losses on loan portfolio</w:t>
            </w:r>
          </w:p>
        </w:tc>
        <w:tc>
          <w:tcPr>
            <w:tcW w:w="80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1,038,046</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b w:val="1"/>
                <w:bCs w:val="1"/>
                <w:color w:val="auto"/>
              </w:rPr>
              <w:t>1,336,555</w:t>
            </w:r>
          </w:p>
        </w:tc>
        <w:tc>
          <w:tcPr>
            <w:tcW w:w="80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1,565,736</w:t>
            </w:r>
          </w:p>
        </w:tc>
        <w:tc>
          <w:tcPr>
            <w:tcW w:w="220" w:type="dxa"/>
            <w:vAlign w:val="bottom"/>
          </w:tcPr>
          <w:p>
            <w:pPr>
              <w:spacing w:after="0"/>
              <w:rPr>
                <w:sz w:val="12"/>
                <w:szCs w:val="12"/>
                <w:color w:val="auto"/>
              </w:rPr>
            </w:pPr>
          </w:p>
        </w:tc>
        <w:tc>
          <w:tcPr>
            <w:tcW w:w="1200" w:type="dxa"/>
            <w:vAlign w:val="bottom"/>
            <w:gridSpan w:val="2"/>
          </w:tcPr>
          <w:p>
            <w:pPr>
              <w:jc w:val="right"/>
              <w:ind w:right="300"/>
              <w:spacing w:after="0" w:line="139" w:lineRule="exact"/>
              <w:rPr>
                <w:sz w:val="20"/>
                <w:szCs w:val="20"/>
                <w:color w:val="auto"/>
              </w:rPr>
            </w:pPr>
            <w:r>
              <w:rPr>
                <w:rFonts w:ascii="Arial" w:cs="Arial" w:eastAsia="Arial" w:hAnsi="Arial"/>
                <w:sz w:val="13"/>
                <w:szCs w:val="13"/>
                <w:b w:val="1"/>
                <w:bCs w:val="1"/>
                <w:color w:val="auto"/>
              </w:rPr>
              <w:t>17.1%</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39" w:lineRule="exact"/>
              <w:rPr>
                <w:sz w:val="20"/>
                <w:szCs w:val="20"/>
                <w:color w:val="auto"/>
              </w:rPr>
            </w:pPr>
            <w:r>
              <w:rPr>
                <w:rFonts w:ascii="Arial" w:cs="Arial" w:eastAsia="Arial" w:hAnsi="Arial"/>
                <w:sz w:val="13"/>
                <w:szCs w:val="13"/>
                <w:b w:val="1"/>
                <w:bCs w:val="1"/>
                <w:color w:val="auto"/>
              </w:rPr>
              <w:t>50.8%</w:t>
            </w:r>
          </w:p>
        </w:tc>
      </w:tr>
      <w:tr>
        <w:trPr>
          <w:trHeight w:val="139"/>
        </w:trPr>
        <w:tc>
          <w:tcPr>
            <w:tcW w:w="5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Total other income</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958,255</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1,330,406</w:t>
            </w:r>
          </w:p>
        </w:tc>
        <w:tc>
          <w:tcPr>
            <w:tcW w:w="800" w:type="dxa"/>
            <w:vAlign w:val="bottom"/>
          </w:tcPr>
          <w:p>
            <w:pPr>
              <w:jc w:val="right"/>
              <w:spacing w:after="0" w:line="139" w:lineRule="exact"/>
              <w:rPr>
                <w:sz w:val="20"/>
                <w:szCs w:val="20"/>
                <w:color w:val="auto"/>
              </w:rPr>
            </w:pPr>
            <w:r>
              <w:rPr>
                <w:rFonts w:ascii="Arial" w:cs="Arial" w:eastAsia="Arial" w:hAnsi="Arial"/>
                <w:sz w:val="13"/>
                <w:szCs w:val="13"/>
                <w:color w:val="auto"/>
              </w:rPr>
              <w:t>1,194,530</w:t>
            </w:r>
          </w:p>
        </w:tc>
        <w:tc>
          <w:tcPr>
            <w:tcW w:w="220" w:type="dxa"/>
            <w:vAlign w:val="bottom"/>
          </w:tcPr>
          <w:p>
            <w:pPr>
              <w:spacing w:after="0"/>
              <w:rPr>
                <w:sz w:val="12"/>
                <w:szCs w:val="12"/>
                <w:color w:val="auto"/>
              </w:rPr>
            </w:pPr>
          </w:p>
        </w:tc>
        <w:tc>
          <w:tcPr>
            <w:tcW w:w="120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-10.2%</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24.7%</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Insurance underwriting result</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141,926</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84,866</w:t>
            </w:r>
          </w:p>
        </w:tc>
        <w:tc>
          <w:tcPr>
            <w:tcW w:w="10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(65,247)</w:t>
            </w:r>
          </w:p>
        </w:tc>
        <w:tc>
          <w:tcPr>
            <w:tcW w:w="1360" w:type="dxa"/>
            <w:vAlign w:val="bottom"/>
            <w:gridSpan w:val="3"/>
            <w:shd w:val="clear" w:color="auto" w:fill="CCEEFF"/>
          </w:tcPr>
          <w:p>
            <w:pPr>
              <w:ind w:left="600"/>
              <w:spacing w:after="0" w:line="139" w:lineRule="exact"/>
              <w:rPr>
                <w:sz w:val="20"/>
                <w:szCs w:val="20"/>
                <w:color w:val="auto"/>
              </w:rPr>
            </w:pPr>
            <w:r>
              <w:rPr>
                <w:rFonts w:ascii="Arial" w:cs="Arial" w:eastAsia="Arial" w:hAnsi="Arial"/>
                <w:sz w:val="13"/>
                <w:szCs w:val="13"/>
                <w:color w:val="auto"/>
              </w:rPr>
              <w:t>n.a</w:t>
            </w:r>
          </w:p>
        </w:tc>
        <w:tc>
          <w:tcPr>
            <w:tcW w:w="92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n.a</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Total other expenses</w:t>
            </w:r>
          </w:p>
        </w:tc>
        <w:tc>
          <w:tcPr>
            <w:tcW w:w="104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(1,779,306)</w:t>
            </w:r>
          </w:p>
        </w:tc>
        <w:tc>
          <w:tcPr>
            <w:tcW w:w="104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(1,982,556)</w:t>
            </w:r>
          </w:p>
        </w:tc>
        <w:tc>
          <w:tcPr>
            <w:tcW w:w="10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(1,680,271)</w:t>
            </w:r>
          </w:p>
        </w:tc>
        <w:tc>
          <w:tcPr>
            <w:tcW w:w="120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-15.2%</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-5.6%</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Profit before income tax</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b w:val="1"/>
                <w:bCs w:val="1"/>
                <w:color w:val="auto"/>
              </w:rPr>
              <w:t>358,921</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b w:val="1"/>
                <w:bCs w:val="1"/>
                <w:color w:val="auto"/>
              </w:rPr>
              <w:t>769,271</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rPr>
              <w:t>1,014,748</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b w:val="1"/>
                <w:bCs w:val="1"/>
                <w:color w:val="auto"/>
              </w:rPr>
              <w:t>31.9%</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b w:val="1"/>
                <w:bCs w:val="1"/>
                <w:color w:val="auto"/>
              </w:rPr>
              <w:t>182.7%</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Income tax</w:t>
            </w:r>
          </w:p>
        </w:tc>
        <w:tc>
          <w:tcPr>
            <w:tcW w:w="104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(145,746)</w:t>
            </w:r>
          </w:p>
        </w:tc>
        <w:tc>
          <w:tcPr>
            <w:tcW w:w="104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(103,460)</w:t>
            </w:r>
          </w:p>
        </w:tc>
        <w:tc>
          <w:tcPr>
            <w:tcW w:w="10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(337,599)</w:t>
            </w:r>
          </w:p>
        </w:tc>
        <w:tc>
          <w:tcPr>
            <w:tcW w:w="120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226.3%</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131.6%</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 profit</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b w:val="1"/>
                <w:bCs w:val="1"/>
                <w:color w:val="auto"/>
              </w:rPr>
              <w:t>213,175</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b w:val="1"/>
                <w:bCs w:val="1"/>
                <w:color w:val="auto"/>
              </w:rPr>
              <w:t>665,811</w:t>
            </w:r>
          </w:p>
        </w:tc>
        <w:tc>
          <w:tcPr>
            <w:tcW w:w="102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b w:val="1"/>
                <w:bCs w:val="1"/>
                <w:color w:val="auto"/>
              </w:rPr>
              <w:t>677,149</w:t>
            </w:r>
          </w:p>
        </w:tc>
        <w:tc>
          <w:tcPr>
            <w:tcW w:w="120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b w:val="1"/>
                <w:bCs w:val="1"/>
                <w:color w:val="auto"/>
              </w:rPr>
              <w:t>1.7%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b w:val="1"/>
                <w:bCs w:val="1"/>
                <w:color w:val="auto"/>
              </w:rPr>
              <w:t>217.6%</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Non-controlling interest</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3,901</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12,407</w:t>
            </w:r>
          </w:p>
        </w:tc>
        <w:tc>
          <w:tcPr>
            <w:tcW w:w="102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16,351</w:t>
            </w:r>
          </w:p>
        </w:tc>
        <w:tc>
          <w:tcPr>
            <w:tcW w:w="120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31.8%</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319.1%</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 profit attributable to Credicorp</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b w:val="1"/>
                <w:bCs w:val="1"/>
                <w:color w:val="auto"/>
              </w:rPr>
              <w:t>209,274</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b w:val="1"/>
                <w:bCs w:val="1"/>
                <w:color w:val="auto"/>
              </w:rPr>
              <w:t>653,404</w:t>
            </w:r>
          </w:p>
        </w:tc>
        <w:tc>
          <w:tcPr>
            <w:tcW w:w="102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b w:val="1"/>
                <w:bCs w:val="1"/>
                <w:color w:val="auto"/>
              </w:rPr>
              <w:t>660,798</w:t>
            </w:r>
          </w:p>
        </w:tc>
        <w:tc>
          <w:tcPr>
            <w:tcW w:w="120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b w:val="1"/>
                <w:bCs w:val="1"/>
                <w:color w:val="auto"/>
              </w:rPr>
              <w:t>1.1%</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b w:val="1"/>
                <w:bCs w:val="1"/>
                <w:color w:val="auto"/>
              </w:rPr>
              <w:t>215.8%</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Net income / share (S/)</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2.62</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8.19</w:t>
            </w:r>
          </w:p>
        </w:tc>
        <w:tc>
          <w:tcPr>
            <w:tcW w:w="102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8.28</w:t>
            </w:r>
          </w:p>
        </w:tc>
        <w:tc>
          <w:tcPr>
            <w:tcW w:w="120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215.8%</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Loans</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120,708,515</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137,659,885</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137,031,239</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-0.5%</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13.5%</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Deposits and obligations</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119,563,545</w:t>
            </w:r>
          </w:p>
        </w:tc>
        <w:tc>
          <w:tcPr>
            <w:tcW w:w="10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142,365,502</w:t>
            </w:r>
          </w:p>
        </w:tc>
        <w:tc>
          <w:tcPr>
            <w:tcW w:w="800" w:type="dxa"/>
            <w:vAlign w:val="bottom"/>
          </w:tcPr>
          <w:p>
            <w:pPr>
              <w:jc w:val="right"/>
              <w:spacing w:after="0" w:line="139" w:lineRule="exact"/>
              <w:rPr>
                <w:sz w:val="20"/>
                <w:szCs w:val="20"/>
                <w:color w:val="auto"/>
              </w:rPr>
            </w:pPr>
            <w:r>
              <w:rPr>
                <w:rFonts w:ascii="Arial" w:cs="Arial" w:eastAsia="Arial" w:hAnsi="Arial"/>
                <w:sz w:val="13"/>
                <w:szCs w:val="13"/>
                <w:color w:val="auto"/>
              </w:rPr>
              <w:t>148,626,339</w:t>
            </w:r>
          </w:p>
        </w:tc>
        <w:tc>
          <w:tcPr>
            <w:tcW w:w="220" w:type="dxa"/>
            <w:vAlign w:val="bottom"/>
          </w:tcPr>
          <w:p>
            <w:pPr>
              <w:spacing w:after="0"/>
              <w:rPr>
                <w:sz w:val="12"/>
                <w:szCs w:val="12"/>
                <w:color w:val="auto"/>
              </w:rPr>
            </w:pPr>
          </w:p>
        </w:tc>
        <w:tc>
          <w:tcPr>
            <w:tcW w:w="120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4.4%</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24.3%</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Net equity</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23,205,639</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24,945,870</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24,529,958</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-1.7%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5.7%</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Profitability</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Net interest margin</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5.35%</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3.73%</w:t>
            </w:r>
          </w:p>
        </w:tc>
        <w:tc>
          <w:tcPr>
            <w:tcW w:w="10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3.73%</w:t>
            </w:r>
          </w:p>
        </w:tc>
        <w:tc>
          <w:tcPr>
            <w:tcW w:w="1360" w:type="dxa"/>
            <w:vAlign w:val="bottom"/>
            <w:gridSpan w:val="3"/>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0bps</w:t>
            </w:r>
          </w:p>
        </w:tc>
        <w:tc>
          <w:tcPr>
            <w:tcW w:w="9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-162bps</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Risk-adjusted Net interest margin</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2.33%</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2.41%</w:t>
            </w:r>
          </w:p>
        </w:tc>
        <w:tc>
          <w:tcPr>
            <w:tcW w:w="10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2.75%</w:t>
            </w:r>
          </w:p>
        </w:tc>
        <w:tc>
          <w:tcPr>
            <w:tcW w:w="1360" w:type="dxa"/>
            <w:vAlign w:val="bottom"/>
            <w:gridSpan w:val="3"/>
          </w:tcPr>
          <w:p>
            <w:pPr>
              <w:jc w:val="right"/>
              <w:ind w:right="420"/>
              <w:spacing w:after="0" w:line="139" w:lineRule="exact"/>
              <w:rPr>
                <w:sz w:val="20"/>
                <w:szCs w:val="20"/>
                <w:color w:val="auto"/>
              </w:rPr>
            </w:pPr>
            <w:r>
              <w:rPr>
                <w:rFonts w:ascii="Arial" w:cs="Arial" w:eastAsia="Arial" w:hAnsi="Arial"/>
                <w:sz w:val="13"/>
                <w:szCs w:val="13"/>
                <w:color w:val="auto"/>
              </w:rPr>
              <w:t>34bps</w:t>
            </w:r>
          </w:p>
        </w:tc>
        <w:tc>
          <w:tcPr>
            <w:tcW w:w="92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42bps</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Funding cost</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2.13%</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1.34%</w:t>
            </w:r>
          </w:p>
        </w:tc>
        <w:tc>
          <w:tcPr>
            <w:tcW w:w="10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1.43%</w:t>
            </w:r>
          </w:p>
        </w:tc>
        <w:tc>
          <w:tcPr>
            <w:tcW w:w="1360" w:type="dxa"/>
            <w:vAlign w:val="bottom"/>
            <w:gridSpan w:val="3"/>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9bps</w:t>
            </w:r>
          </w:p>
        </w:tc>
        <w:tc>
          <w:tcPr>
            <w:tcW w:w="9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-70bps</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ROAE</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3.4%</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10.8%</w:t>
            </w:r>
          </w:p>
        </w:tc>
        <w:tc>
          <w:tcPr>
            <w:tcW w:w="10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10.6%</w:t>
            </w:r>
          </w:p>
        </w:tc>
        <w:tc>
          <w:tcPr>
            <w:tcW w:w="1360" w:type="dxa"/>
            <w:vAlign w:val="bottom"/>
            <w:gridSpan w:val="3"/>
          </w:tcPr>
          <w:p>
            <w:pPr>
              <w:jc w:val="right"/>
              <w:ind w:right="420"/>
              <w:spacing w:after="0" w:line="139" w:lineRule="exact"/>
              <w:rPr>
                <w:sz w:val="20"/>
                <w:szCs w:val="20"/>
                <w:color w:val="auto"/>
              </w:rPr>
            </w:pPr>
            <w:r>
              <w:rPr>
                <w:rFonts w:ascii="Arial" w:cs="Arial" w:eastAsia="Arial" w:hAnsi="Arial"/>
                <w:sz w:val="13"/>
                <w:szCs w:val="13"/>
                <w:color w:val="auto"/>
              </w:rPr>
              <w:t>-20bps</w:t>
            </w:r>
          </w:p>
        </w:tc>
        <w:tc>
          <w:tcPr>
            <w:tcW w:w="92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720bps</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ROAA</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0.4%</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1.1%</w:t>
            </w:r>
          </w:p>
        </w:tc>
        <w:tc>
          <w:tcPr>
            <w:tcW w:w="10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1.1%</w:t>
            </w:r>
          </w:p>
        </w:tc>
        <w:tc>
          <w:tcPr>
            <w:tcW w:w="1360" w:type="dxa"/>
            <w:vAlign w:val="bottom"/>
            <w:gridSpan w:val="3"/>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0bps</w:t>
            </w:r>
          </w:p>
        </w:tc>
        <w:tc>
          <w:tcPr>
            <w:tcW w:w="9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70bps</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Loan portfolio quality</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6"/>
        </w:trPr>
        <w:tc>
          <w:tcPr>
            <w:tcW w:w="5860" w:type="dxa"/>
            <w:vAlign w:val="bottom"/>
            <w:gridSpan w:val="2"/>
            <w:shd w:val="clear" w:color="auto" w:fill="CCEEFF"/>
          </w:tcPr>
          <w:p>
            <w:pPr>
              <w:spacing w:after="0" w:line="177" w:lineRule="exact"/>
              <w:rPr>
                <w:sz w:val="20"/>
                <w:szCs w:val="20"/>
                <w:color w:val="auto"/>
              </w:rPr>
            </w:pPr>
            <w:r>
              <w:rPr>
                <w:rFonts w:ascii="Arial" w:cs="Arial" w:eastAsia="Arial" w:hAnsi="Arial"/>
                <w:sz w:val="12"/>
                <w:szCs w:val="12"/>
                <w:color w:val="auto"/>
              </w:rPr>
              <w:t xml:space="preserve">Internal overdue ratio </w:t>
            </w:r>
            <w:r>
              <w:rPr>
                <w:rFonts w:ascii="Arial" w:cs="Arial" w:eastAsia="Arial" w:hAnsi="Arial"/>
                <w:sz w:val="20"/>
                <w:szCs w:val="20"/>
                <w:color w:val="auto"/>
                <w:vertAlign w:val="superscript"/>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15bps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58bps</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Internal overdue ratio over 90 days</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2.13%</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2.69%</w:t>
            </w:r>
          </w:p>
        </w:tc>
        <w:tc>
          <w:tcPr>
            <w:tcW w:w="10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2.77%</w:t>
            </w:r>
          </w:p>
        </w:tc>
        <w:tc>
          <w:tcPr>
            <w:tcW w:w="1360" w:type="dxa"/>
            <w:vAlign w:val="bottom"/>
            <w:gridSpan w:val="3"/>
          </w:tcPr>
          <w:p>
            <w:pPr>
              <w:jc w:val="right"/>
              <w:ind w:right="420"/>
              <w:spacing w:after="0" w:line="139" w:lineRule="exact"/>
              <w:rPr>
                <w:sz w:val="20"/>
                <w:szCs w:val="20"/>
                <w:color w:val="auto"/>
              </w:rPr>
            </w:pPr>
            <w:r>
              <w:rPr>
                <w:rFonts w:ascii="Arial" w:cs="Arial" w:eastAsia="Arial" w:hAnsi="Arial"/>
                <w:sz w:val="13"/>
                <w:szCs w:val="13"/>
                <w:color w:val="auto"/>
              </w:rPr>
              <w:t>8bps</w:t>
            </w:r>
          </w:p>
        </w:tc>
        <w:tc>
          <w:tcPr>
            <w:tcW w:w="92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64bps</w:t>
            </w:r>
          </w:p>
        </w:tc>
      </w:tr>
      <w:tr>
        <w:trPr>
          <w:trHeight w:val="176"/>
        </w:trPr>
        <w:tc>
          <w:tcPr>
            <w:tcW w:w="5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 xml:space="preserve">NPL ratio </w:t>
            </w:r>
            <w:r>
              <w:rPr>
                <w:rFonts w:ascii="Arial" w:cs="Arial" w:eastAsia="Arial" w:hAnsi="Arial"/>
                <w:sz w:val="20"/>
                <w:szCs w:val="20"/>
                <w:color w:val="auto"/>
                <w:vertAlign w:val="superscript"/>
              </w:rPr>
              <w:t>(2)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4.98%</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37bps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108bps</w:t>
            </w:r>
          </w:p>
        </w:tc>
      </w:tr>
      <w:tr>
        <w:trPr>
          <w:trHeight w:val="176"/>
        </w:trPr>
        <w:tc>
          <w:tcPr>
            <w:tcW w:w="5860" w:type="dxa"/>
            <w:vAlign w:val="bottom"/>
            <w:gridSpan w:val="2"/>
          </w:tcPr>
          <w:p>
            <w:pPr>
              <w:spacing w:after="0" w:line="177" w:lineRule="exact"/>
              <w:rPr>
                <w:sz w:val="20"/>
                <w:szCs w:val="20"/>
                <w:color w:val="auto"/>
              </w:rPr>
            </w:pPr>
            <w:r>
              <w:rPr>
                <w:rFonts w:ascii="Arial" w:cs="Arial" w:eastAsia="Arial" w:hAnsi="Arial"/>
                <w:sz w:val="12"/>
                <w:szCs w:val="12"/>
                <w:color w:val="auto"/>
              </w:rPr>
              <w:t xml:space="preserve">Cost of risk </w:t>
            </w:r>
            <w:r>
              <w:rPr>
                <w:rFonts w:ascii="Arial" w:cs="Arial" w:eastAsia="Arial" w:hAnsi="Arial"/>
                <w:sz w:val="20"/>
                <w:szCs w:val="20"/>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4.45%</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2.13%</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1.63%</w:t>
            </w:r>
          </w:p>
        </w:tc>
        <w:tc>
          <w:tcPr>
            <w:tcW w:w="1360" w:type="dxa"/>
            <w:vAlign w:val="bottom"/>
            <w:gridSpan w:val="3"/>
          </w:tcPr>
          <w:p>
            <w:pPr>
              <w:jc w:val="right"/>
              <w:ind w:right="420"/>
              <w:spacing w:after="0"/>
              <w:rPr>
                <w:sz w:val="20"/>
                <w:szCs w:val="20"/>
                <w:color w:val="auto"/>
              </w:rPr>
            </w:pPr>
            <w:r>
              <w:rPr>
                <w:rFonts w:ascii="Arial" w:cs="Arial" w:eastAsia="Arial" w:hAnsi="Arial"/>
                <w:sz w:val="13"/>
                <w:szCs w:val="13"/>
                <w:color w:val="auto"/>
              </w:rPr>
              <w:t>-50bps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-282bps</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Coverage ratio of IOLs</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165.7%</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211.7%</w:t>
            </w:r>
          </w:p>
        </w:tc>
        <w:tc>
          <w:tcPr>
            <w:tcW w:w="10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200.2%</w:t>
            </w:r>
          </w:p>
        </w:tc>
        <w:tc>
          <w:tcPr>
            <w:tcW w:w="1360" w:type="dxa"/>
            <w:vAlign w:val="bottom"/>
            <w:gridSpan w:val="3"/>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-1150bps</w:t>
            </w:r>
          </w:p>
        </w:tc>
        <w:tc>
          <w:tcPr>
            <w:tcW w:w="9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3450bps</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Coverage ratio of NPLs</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126.1%</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156.1%</w:t>
            </w:r>
          </w:p>
        </w:tc>
        <w:tc>
          <w:tcPr>
            <w:tcW w:w="10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142.9%</w:t>
            </w:r>
          </w:p>
        </w:tc>
        <w:tc>
          <w:tcPr>
            <w:tcW w:w="1360" w:type="dxa"/>
            <w:vAlign w:val="bottom"/>
            <w:gridSpan w:val="3"/>
          </w:tcPr>
          <w:p>
            <w:pPr>
              <w:jc w:val="right"/>
              <w:ind w:right="420"/>
              <w:spacing w:after="0" w:line="139" w:lineRule="exact"/>
              <w:rPr>
                <w:sz w:val="20"/>
                <w:szCs w:val="20"/>
                <w:color w:val="auto"/>
              </w:rPr>
            </w:pPr>
            <w:r>
              <w:rPr>
                <w:rFonts w:ascii="Arial" w:cs="Arial" w:eastAsia="Arial" w:hAnsi="Arial"/>
                <w:sz w:val="13"/>
                <w:szCs w:val="13"/>
                <w:color w:val="auto"/>
              </w:rPr>
              <w:t>-1320bps</w:t>
            </w:r>
          </w:p>
        </w:tc>
        <w:tc>
          <w:tcPr>
            <w:tcW w:w="92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1680bps</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Operating efficiency</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76"/>
        </w:trPr>
        <w:tc>
          <w:tcPr>
            <w:tcW w:w="5860" w:type="dxa"/>
            <w:vAlign w:val="bottom"/>
            <w:gridSpan w:val="2"/>
          </w:tcPr>
          <w:p>
            <w:pPr>
              <w:spacing w:after="0" w:line="177" w:lineRule="exact"/>
              <w:rPr>
                <w:sz w:val="20"/>
                <w:szCs w:val="20"/>
                <w:color w:val="auto"/>
              </w:rPr>
            </w:pPr>
            <w:r>
              <w:rPr>
                <w:rFonts w:ascii="Arial" w:cs="Arial" w:eastAsia="Arial" w:hAnsi="Arial"/>
                <w:sz w:val="12"/>
                <w:szCs w:val="12"/>
                <w:color w:val="auto"/>
              </w:rPr>
              <w:t xml:space="preserve">Efficiency ratio </w:t>
            </w:r>
            <w:r>
              <w:rPr>
                <w:rFonts w:ascii="Arial" w:cs="Arial" w:eastAsia="Arial" w:hAnsi="Arial"/>
                <w:sz w:val="20"/>
                <w:szCs w:val="20"/>
                <w:color w:val="auto"/>
                <w:vertAlign w:val="superscript"/>
              </w:rPr>
              <w:t>(4)</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43.4%</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47.2%</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c>
          <w:tcPr>
            <w:tcW w:w="1360" w:type="dxa"/>
            <w:vAlign w:val="bottom"/>
            <w:gridSpan w:val="3"/>
          </w:tcPr>
          <w:p>
            <w:pPr>
              <w:jc w:val="right"/>
              <w:ind w:right="420"/>
              <w:spacing w:after="0"/>
              <w:rPr>
                <w:sz w:val="20"/>
                <w:szCs w:val="20"/>
                <w:color w:val="auto"/>
              </w:rPr>
            </w:pPr>
            <w:r>
              <w:rPr>
                <w:rFonts w:ascii="Arial" w:cs="Arial" w:eastAsia="Arial" w:hAnsi="Arial"/>
                <w:sz w:val="13"/>
                <w:szCs w:val="13"/>
                <w:color w:val="auto"/>
              </w:rPr>
              <w:t>-320bps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60bps</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Operating expenses / Total average assets</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3.57%</w:t>
            </w:r>
          </w:p>
        </w:tc>
        <w:tc>
          <w:tcPr>
            <w:tcW w:w="10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3.06%</w:t>
            </w:r>
          </w:p>
        </w:tc>
        <w:tc>
          <w:tcPr>
            <w:tcW w:w="10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2.83%</w:t>
            </w:r>
          </w:p>
        </w:tc>
        <w:tc>
          <w:tcPr>
            <w:tcW w:w="1360" w:type="dxa"/>
            <w:vAlign w:val="bottom"/>
            <w:gridSpan w:val="3"/>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-23bps</w:t>
            </w:r>
          </w:p>
        </w:tc>
        <w:tc>
          <w:tcPr>
            <w:tcW w:w="9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-74bps</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Insurance ratios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6"/>
        </w:trPr>
        <w:tc>
          <w:tcPr>
            <w:tcW w:w="5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 xml:space="preserve">Combined ratio of P&amp;C </w:t>
            </w:r>
            <w:r>
              <w:rPr>
                <w:rFonts w:ascii="Arial" w:cs="Arial" w:eastAsia="Arial" w:hAnsi="Arial"/>
                <w:sz w:val="20"/>
                <w:szCs w:val="20"/>
                <w:color w:val="auto"/>
                <w:vertAlign w:val="superscript"/>
              </w:rPr>
              <w:t>(5) (6)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81.4%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85.5%</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410bps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-890bps</w:t>
            </w:r>
          </w:p>
        </w:tc>
      </w:tr>
      <w:tr>
        <w:trPr>
          <w:trHeight w:val="176"/>
        </w:trPr>
        <w:tc>
          <w:tcPr>
            <w:tcW w:w="5860" w:type="dxa"/>
            <w:vAlign w:val="bottom"/>
            <w:gridSpan w:val="2"/>
          </w:tcPr>
          <w:p>
            <w:pPr>
              <w:spacing w:after="0" w:line="177" w:lineRule="exact"/>
              <w:rPr>
                <w:sz w:val="20"/>
                <w:szCs w:val="20"/>
                <w:color w:val="auto"/>
              </w:rPr>
            </w:pPr>
            <w:r>
              <w:rPr>
                <w:rFonts w:ascii="Arial" w:cs="Arial" w:eastAsia="Arial" w:hAnsi="Arial"/>
                <w:sz w:val="12"/>
                <w:szCs w:val="12"/>
                <w:color w:val="auto"/>
              </w:rPr>
              <w:t xml:space="preserve">Loss ratio </w:t>
            </w:r>
            <w:r>
              <w:rPr>
                <w:rFonts w:ascii="Arial" w:cs="Arial" w:eastAsia="Arial" w:hAnsi="Arial"/>
                <w:sz w:val="20"/>
                <w:szCs w:val="20"/>
                <w:color w:val="auto"/>
                <w:vertAlign w:val="superscript"/>
              </w:rPr>
              <w:t>(6)</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59.9%</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75.4%</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96.4%</w:t>
            </w:r>
          </w:p>
        </w:tc>
        <w:tc>
          <w:tcPr>
            <w:tcW w:w="1360" w:type="dxa"/>
            <w:vAlign w:val="bottom"/>
            <w:gridSpan w:val="3"/>
          </w:tcPr>
          <w:p>
            <w:pPr>
              <w:jc w:val="right"/>
              <w:ind w:right="420"/>
              <w:spacing w:after="0"/>
              <w:rPr>
                <w:sz w:val="20"/>
                <w:szCs w:val="20"/>
                <w:color w:val="auto"/>
              </w:rPr>
            </w:pPr>
            <w:r>
              <w:rPr>
                <w:rFonts w:ascii="Arial" w:cs="Arial" w:eastAsia="Arial" w:hAnsi="Arial"/>
                <w:sz w:val="13"/>
                <w:szCs w:val="13"/>
                <w:color w:val="auto"/>
              </w:rPr>
              <w:t>2100bps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3650bps</w:t>
            </w:r>
          </w:p>
        </w:tc>
      </w:tr>
      <w:tr>
        <w:trPr>
          <w:trHeight w:val="176"/>
        </w:trPr>
        <w:tc>
          <w:tcPr>
            <w:tcW w:w="5860" w:type="dxa"/>
            <w:vAlign w:val="bottom"/>
            <w:gridSpan w:val="2"/>
            <w:shd w:val="clear" w:color="auto" w:fill="CCEEFF"/>
          </w:tcPr>
          <w:p>
            <w:pPr>
              <w:spacing w:after="0" w:line="177"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20"/>
                <w:szCs w:val="20"/>
                <w:b w:val="1"/>
                <w:bCs w:val="1"/>
                <w:color w:val="auto"/>
                <w:vertAlign w:val="superscript"/>
              </w:rPr>
              <w:t>(7)</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176"/>
        </w:trPr>
        <w:tc>
          <w:tcPr>
            <w:tcW w:w="5860" w:type="dxa"/>
            <w:vAlign w:val="bottom"/>
            <w:gridSpan w:val="2"/>
          </w:tcPr>
          <w:p>
            <w:pPr>
              <w:spacing w:after="0" w:line="177" w:lineRule="exact"/>
              <w:rPr>
                <w:sz w:val="20"/>
                <w:szCs w:val="20"/>
                <w:color w:val="auto"/>
              </w:rPr>
            </w:pPr>
            <w:r>
              <w:rPr>
                <w:rFonts w:ascii="Arial" w:cs="Arial" w:eastAsia="Arial" w:hAnsi="Arial"/>
                <w:sz w:val="12"/>
                <w:szCs w:val="12"/>
                <w:color w:val="auto"/>
              </w:rPr>
              <w:t xml:space="preserve">BIS ratio </w:t>
            </w:r>
            <w:r>
              <w:rPr>
                <w:rFonts w:ascii="Arial" w:cs="Arial" w:eastAsia="Arial" w:hAnsi="Arial"/>
                <w:sz w:val="20"/>
                <w:szCs w:val="20"/>
                <w:color w:val="auto"/>
                <w:vertAlign w:val="superscript"/>
              </w:rPr>
              <w:t>(8)</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13.52%</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14.93%</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16.46%</w:t>
            </w:r>
          </w:p>
        </w:tc>
        <w:tc>
          <w:tcPr>
            <w:tcW w:w="1360" w:type="dxa"/>
            <w:vAlign w:val="bottom"/>
            <w:gridSpan w:val="3"/>
          </w:tcPr>
          <w:p>
            <w:pPr>
              <w:jc w:val="right"/>
              <w:ind w:right="420"/>
              <w:spacing w:after="0"/>
              <w:rPr>
                <w:sz w:val="20"/>
                <w:szCs w:val="20"/>
                <w:color w:val="auto"/>
              </w:rPr>
            </w:pPr>
            <w:r>
              <w:rPr>
                <w:rFonts w:ascii="Arial" w:cs="Arial" w:eastAsia="Arial" w:hAnsi="Arial"/>
                <w:sz w:val="13"/>
                <w:szCs w:val="13"/>
                <w:color w:val="auto"/>
              </w:rPr>
              <w:t>153bps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294bps</w:t>
            </w:r>
          </w:p>
        </w:tc>
      </w:tr>
      <w:tr>
        <w:trPr>
          <w:trHeight w:val="176"/>
        </w:trPr>
        <w:tc>
          <w:tcPr>
            <w:tcW w:w="5860" w:type="dxa"/>
            <w:vAlign w:val="bottom"/>
            <w:gridSpan w:val="2"/>
            <w:shd w:val="clear" w:color="auto" w:fill="CCEEFF"/>
          </w:tcPr>
          <w:p>
            <w:pPr>
              <w:spacing w:after="0" w:line="177" w:lineRule="exact"/>
              <w:rPr>
                <w:sz w:val="20"/>
                <w:szCs w:val="20"/>
                <w:color w:val="auto"/>
              </w:rPr>
            </w:pPr>
            <w:r>
              <w:rPr>
                <w:rFonts w:ascii="Arial" w:cs="Arial" w:eastAsia="Arial" w:hAnsi="Arial"/>
                <w:sz w:val="12"/>
                <w:szCs w:val="12"/>
                <w:color w:val="auto"/>
              </w:rPr>
              <w:t xml:space="preserve">Tier 1 ratio </w:t>
            </w:r>
            <w:r>
              <w:rPr>
                <w:rFonts w:ascii="Arial" w:cs="Arial" w:eastAsia="Arial" w:hAnsi="Arial"/>
                <w:sz w:val="20"/>
                <w:szCs w:val="20"/>
                <w:color w:val="auto"/>
                <w:vertAlign w:val="superscript"/>
              </w:rPr>
              <w:t>(9)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10.33%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10.41%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10.59%</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18bps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26bps</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color w:val="auto"/>
              </w:rPr>
              <w:t>Common equity tier 1 ratio (10)</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11.89%</w:t>
            </w:r>
          </w:p>
        </w:tc>
        <w:tc>
          <w:tcPr>
            <w:tcW w:w="10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11.40%</w:t>
            </w:r>
          </w:p>
        </w:tc>
        <w:tc>
          <w:tcPr>
            <w:tcW w:w="10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11.11%</w:t>
            </w:r>
          </w:p>
        </w:tc>
        <w:tc>
          <w:tcPr>
            <w:tcW w:w="1360" w:type="dxa"/>
            <w:vAlign w:val="bottom"/>
            <w:gridSpan w:val="3"/>
          </w:tcPr>
          <w:p>
            <w:pPr>
              <w:jc w:val="right"/>
              <w:ind w:right="420"/>
              <w:spacing w:after="0" w:line="139" w:lineRule="exact"/>
              <w:rPr>
                <w:sz w:val="20"/>
                <w:szCs w:val="20"/>
                <w:color w:val="auto"/>
              </w:rPr>
            </w:pPr>
            <w:r>
              <w:rPr>
                <w:rFonts w:ascii="Arial" w:cs="Arial" w:eastAsia="Arial" w:hAnsi="Arial"/>
                <w:sz w:val="13"/>
                <w:szCs w:val="13"/>
                <w:color w:val="auto"/>
              </w:rPr>
              <w:t>-29bps</w:t>
            </w:r>
          </w:p>
        </w:tc>
        <w:tc>
          <w:tcPr>
            <w:tcW w:w="92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-78bps</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Employees</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34,963</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36,806</w:t>
            </w:r>
          </w:p>
        </w:tc>
        <w:tc>
          <w:tcPr>
            <w:tcW w:w="102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36,233</w:t>
            </w:r>
          </w:p>
        </w:tc>
        <w:tc>
          <w:tcPr>
            <w:tcW w:w="120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3.6%</w:t>
            </w:r>
          </w:p>
        </w:tc>
      </w:tr>
      <w:tr>
        <w:trPr>
          <w:trHeight w:val="139"/>
        </w:trPr>
        <w:tc>
          <w:tcPr>
            <w:tcW w:w="58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Share Information</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Outstanding Shares</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94,382</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94,382</w:t>
            </w:r>
          </w:p>
        </w:tc>
        <w:tc>
          <w:tcPr>
            <w:tcW w:w="102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94,382</w:t>
            </w:r>
          </w:p>
        </w:tc>
        <w:tc>
          <w:tcPr>
            <w:tcW w:w="120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0.0%</w:t>
            </w:r>
          </w:p>
        </w:tc>
      </w:tr>
      <w:tr>
        <w:trPr>
          <w:trHeight w:val="176"/>
        </w:trPr>
        <w:tc>
          <w:tcPr>
            <w:tcW w:w="5860" w:type="dxa"/>
            <w:vAlign w:val="bottom"/>
            <w:gridSpan w:val="2"/>
          </w:tcPr>
          <w:p>
            <w:pPr>
              <w:spacing w:after="0" w:line="177" w:lineRule="exact"/>
              <w:rPr>
                <w:sz w:val="20"/>
                <w:szCs w:val="20"/>
                <w:color w:val="auto"/>
              </w:rPr>
            </w:pPr>
            <w:r>
              <w:rPr>
                <w:rFonts w:ascii="Arial" w:cs="Arial" w:eastAsia="Arial" w:hAnsi="Arial"/>
                <w:sz w:val="12"/>
                <w:szCs w:val="12"/>
                <w:color w:val="auto"/>
              </w:rPr>
              <w:t xml:space="preserve">Treasury Shares </w:t>
            </w:r>
            <w:r>
              <w:rPr>
                <w:rFonts w:ascii="Arial" w:cs="Arial" w:eastAsia="Arial" w:hAnsi="Arial"/>
                <w:sz w:val="20"/>
                <w:szCs w:val="20"/>
                <w:color w:val="auto"/>
                <w:vertAlign w:val="superscript"/>
              </w:rPr>
              <w:t>(11)</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14,872</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14,915</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14,621</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-1.7%</w:t>
            </w:r>
          </w:p>
        </w:tc>
      </w:tr>
      <w:tr>
        <w:trPr>
          <w:trHeight w:val="139"/>
        </w:trPr>
        <w:tc>
          <w:tcPr>
            <w:tcW w:w="586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Floating Shares</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79,510</w:t>
            </w:r>
          </w:p>
        </w:tc>
        <w:tc>
          <w:tcPr>
            <w:tcW w:w="10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79,467</w:t>
            </w:r>
          </w:p>
        </w:tc>
        <w:tc>
          <w:tcPr>
            <w:tcW w:w="102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79,761</w:t>
            </w:r>
          </w:p>
        </w:tc>
        <w:tc>
          <w:tcPr>
            <w:tcW w:w="120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0.4%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0.3%</w:t>
            </w:r>
          </w:p>
        </w:tc>
      </w:tr>
    </w:tbl>
    <w:p>
      <w:pPr>
        <w:spacing w:after="0" w:line="120" w:lineRule="exact"/>
        <w:rPr>
          <w:sz w:val="20"/>
          <w:szCs w:val="20"/>
          <w:color w:val="auto"/>
        </w:rPr>
      </w:pPr>
    </w:p>
    <w:p>
      <w:pPr>
        <w:ind w:left="200" w:hanging="199"/>
        <w:spacing w:after="0"/>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Internal overdue loans includes overdue loans and loans under legal collection, according to our internal policy for overdue loans. Internal Overdue ratio: Internal overdue loans / Total loans.</w:t>
      </w:r>
    </w:p>
    <w:p>
      <w:pPr>
        <w:spacing w:after="0" w:line="1" w:lineRule="exact"/>
        <w:rPr>
          <w:rFonts w:ascii="Arial" w:cs="Arial" w:eastAsia="Arial" w:hAnsi="Arial"/>
          <w:sz w:val="13"/>
          <w:szCs w:val="13"/>
          <w:color w:val="auto"/>
        </w:rPr>
      </w:pPr>
    </w:p>
    <w:p>
      <w:pPr>
        <w:ind w:left="200" w:hanging="199"/>
        <w:spacing w:after="0" w:line="222" w:lineRule="auto"/>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Non-performing loans (NPL): Internal overdue loans + Refinanced loans. NPL ratio: NPL / Total loans.</w:t>
      </w:r>
    </w:p>
    <w:p>
      <w:pPr>
        <w:ind w:left="200" w:hanging="199"/>
        <w:spacing w:after="0" w:line="222" w:lineRule="auto"/>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Cost of risk: Annualized provision for loan losses, net of recoveries / Total loans.</w:t>
      </w:r>
    </w:p>
    <w:p>
      <w:pPr>
        <w:ind w:firstLine="1"/>
        <w:spacing w:after="0"/>
        <w:tabs>
          <w:tab w:leader="none" w:pos="192" w:val="left"/>
        </w:tabs>
        <w:numPr>
          <w:ilvl w:val="0"/>
          <w:numId w:val="2"/>
        </w:numPr>
        <w:rPr>
          <w:rFonts w:ascii="Arial" w:cs="Arial" w:eastAsia="Arial" w:hAnsi="Arial"/>
          <w:sz w:val="12"/>
          <w:szCs w:val="12"/>
          <w:color w:val="auto"/>
        </w:rPr>
      </w:pPr>
      <w:r>
        <w:rPr>
          <w:rFonts w:ascii="Arial" w:cs="Arial" w:eastAsia="Arial" w:hAnsi="Arial"/>
          <w:sz w:val="12"/>
          <w:szCs w:val="12"/>
          <w:color w:val="auto"/>
        </w:rPr>
        <w:t>Efficiency ratio = (Salaries and employee benefits + Administrative expenses + Depreciation and amortization + Association in participation + Acquisition cost) / (Net interest, similar income and expenses + Fee Income + Net gain on foreign exchange transactions + Net Gain From associates + Net gain on derivatives held for trading + Result on exchange differences + Net Premiums Earned).</w:t>
      </w:r>
    </w:p>
    <w:p>
      <w:pPr>
        <w:spacing w:after="0" w:line="1" w:lineRule="exact"/>
        <w:rPr>
          <w:rFonts w:ascii="Arial" w:cs="Arial" w:eastAsia="Arial" w:hAnsi="Arial"/>
          <w:sz w:val="12"/>
          <w:szCs w:val="12"/>
          <w:color w:val="auto"/>
        </w:rPr>
      </w:pPr>
    </w:p>
    <w:p>
      <w:pPr>
        <w:ind w:left="200" w:hanging="199"/>
        <w:spacing w:after="0" w:line="222" w:lineRule="auto"/>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Combined ratio = (Net claims / Net earned premiums) + [(Acquisition cost + Operating expenses) / Net earned premiums]. Does not include Life insurance business.</w:t>
      </w:r>
    </w:p>
    <w:p>
      <w:pPr>
        <w:ind w:left="200" w:hanging="199"/>
        <w:spacing w:after="0" w:line="222" w:lineRule="auto"/>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Considers Grupo Pacifico’s figures before eliminations for consolidation to Credicorp.</w:t>
      </w:r>
    </w:p>
    <w:p>
      <w:pPr>
        <w:ind w:left="180" w:hanging="179"/>
        <w:spacing w:after="0" w:line="222"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Capital ratios are for BCP Stand-alone and based on Peru GAAP.</w:t>
      </w:r>
    </w:p>
    <w:p>
      <w:pPr>
        <w:ind w:left="200" w:hanging="199"/>
        <w:spacing w:after="0" w:line="222" w:lineRule="auto"/>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Regulatory Capital / Risk-weighted assets (legal minimum = 10% since July 2011).</w:t>
      </w:r>
    </w:p>
    <w:p>
      <w:pPr>
        <w:jc w:val="both"/>
        <w:ind w:firstLine="1"/>
        <w:spacing w:after="0" w:line="222" w:lineRule="auto"/>
        <w:tabs>
          <w:tab w:leader="none" w:pos="202" w:val="left"/>
        </w:tabs>
        <w:numPr>
          <w:ilvl w:val="0"/>
          <w:numId w:val="2"/>
        </w:numPr>
        <w:rPr>
          <w:rFonts w:ascii="Arial" w:cs="Arial" w:eastAsia="Arial" w:hAnsi="Arial"/>
          <w:sz w:val="13"/>
          <w:szCs w:val="13"/>
          <w:color w:val="auto"/>
        </w:rPr>
      </w:pPr>
      <w:r>
        <w:rPr>
          <w:rFonts w:ascii="Arial" w:cs="Arial" w:eastAsia="Arial" w:hAnsi="Arial"/>
          <w:sz w:val="13"/>
          <w:szCs w:val="13"/>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1"/>
        <w:spacing w:after="0" w:line="222" w:lineRule="auto"/>
        <w:tabs>
          <w:tab w:leader="none" w:pos="258" w:val="left"/>
        </w:tabs>
        <w:numPr>
          <w:ilvl w:val="0"/>
          <w:numId w:val="2"/>
        </w:numPr>
        <w:rPr>
          <w:rFonts w:ascii="Arial" w:cs="Arial" w:eastAsia="Arial" w:hAnsi="Arial"/>
          <w:sz w:val="13"/>
          <w:szCs w:val="13"/>
          <w:color w:val="auto"/>
        </w:rPr>
      </w:pPr>
      <w:r>
        <w:rPr>
          <w:rFonts w:ascii="Arial" w:cs="Arial" w:eastAsia="Arial" w:hAnsi="Arial"/>
          <w:sz w:val="13"/>
          <w:szCs w:val="13"/>
          <w:color w:val="auto"/>
        </w:rPr>
        <w:t>Common Equity Tier I = Capital + Reserves – 100% of applicable deductions (investment in subsidiaries, goodwill, intangibles and net deferred taxes that rely on future profitability) + retained earnings + unrealized gains.</w:t>
      </w:r>
    </w:p>
    <w:p>
      <w:pPr>
        <w:spacing w:after="0" w:line="222" w:lineRule="auto"/>
        <w:rPr>
          <w:rFonts w:ascii="Arial" w:cs="Arial" w:eastAsia="Arial" w:hAnsi="Arial"/>
          <w:sz w:val="13"/>
          <w:szCs w:val="13"/>
          <w:color w:val="auto"/>
        </w:rPr>
      </w:pPr>
      <w:r>
        <w:rPr>
          <w:rFonts w:ascii="Arial" w:cs="Arial" w:eastAsia="Arial" w:hAnsi="Arial"/>
          <w:sz w:val="13"/>
          <w:szCs w:val="13"/>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9"/>
        <w:spacing w:after="0"/>
        <w:tabs>
          <w:tab w:leader="none" w:pos="2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These shares are held by Atlantic Security Holding Corporation (ASHC) and for shared based payments.</w:t>
      </w:r>
    </w:p>
    <w:p>
      <w:pPr>
        <w:spacing w:after="0" w:line="222"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8125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125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8"/>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1. Interest Earning Assets (IEA)</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6"/>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Interest earning assets</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Borders>
              <w:bottom w:val="single" w:sz="8" w:color="auto"/>
            </w:tcBorders>
            <w:gridSpan w:val="3"/>
          </w:tcPr>
          <w:p>
            <w:pPr>
              <w:ind w:left="780"/>
              <w:spacing w:after="0"/>
              <w:rPr>
                <w:sz w:val="20"/>
                <w:szCs w:val="20"/>
                <w:color w:val="auto"/>
              </w:rPr>
            </w:pPr>
            <w:r>
              <w:rPr>
                <w:rFonts w:ascii="Arial" w:cs="Arial" w:eastAsia="Arial" w:hAnsi="Arial"/>
                <w:sz w:val="17"/>
                <w:szCs w:val="17"/>
                <w:b w:val="1"/>
                <w:bCs w:val="1"/>
                <w:color w:val="auto"/>
                <w:w w:val="95"/>
              </w:rPr>
              <w:t>% change</w:t>
            </w: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Mar 20</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Dec 20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Mar 21</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QoQ</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194"/>
        </w:trPr>
        <w:tc>
          <w:tcPr>
            <w:tcW w:w="5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due from banks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19,162,140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28,544,161</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31,919,515</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11.8%</w:t>
            </w: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66.6%</w:t>
            </w:r>
          </w:p>
        </w:tc>
      </w:tr>
      <w:tr>
        <w:trPr>
          <w:trHeight w:val="202"/>
        </w:trPr>
        <w:tc>
          <w:tcPr>
            <w:tcW w:w="5180" w:type="dxa"/>
            <w:vAlign w:val="bottom"/>
            <w:gridSpan w:val="2"/>
          </w:tcPr>
          <w:p>
            <w:pPr>
              <w:spacing w:after="0"/>
              <w:rPr>
                <w:sz w:val="20"/>
                <w:szCs w:val="20"/>
                <w:color w:val="auto"/>
              </w:rPr>
            </w:pPr>
            <w:r>
              <w:rPr>
                <w:rFonts w:ascii="Arial" w:cs="Arial" w:eastAsia="Arial" w:hAnsi="Arial"/>
                <w:sz w:val="17"/>
                <w:szCs w:val="17"/>
                <w:color w:val="auto"/>
              </w:rPr>
              <w:t>Interbank funds</w:t>
            </w:r>
          </w:p>
        </w:tc>
        <w:tc>
          <w:tcPr>
            <w:tcW w:w="1020" w:type="dxa"/>
            <w:vAlign w:val="bottom"/>
          </w:tcPr>
          <w:p>
            <w:pPr>
              <w:jc w:val="right"/>
              <w:spacing w:after="0"/>
              <w:rPr>
                <w:sz w:val="20"/>
                <w:szCs w:val="20"/>
                <w:color w:val="auto"/>
              </w:rPr>
            </w:pPr>
            <w:r>
              <w:rPr>
                <w:rFonts w:ascii="Arial" w:cs="Arial" w:eastAsia="Arial" w:hAnsi="Arial"/>
                <w:sz w:val="17"/>
                <w:szCs w:val="17"/>
                <w:color w:val="auto"/>
              </w:rPr>
              <w:t>376,289</w:t>
            </w:r>
          </w:p>
        </w:tc>
        <w:tc>
          <w:tcPr>
            <w:tcW w:w="2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32,221</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63,301</w:t>
            </w:r>
          </w:p>
        </w:tc>
        <w:tc>
          <w:tcPr>
            <w:tcW w:w="1280" w:type="dxa"/>
            <w:vAlign w:val="bottom"/>
            <w:gridSpan w:val="2"/>
          </w:tcPr>
          <w:p>
            <w:pPr>
              <w:jc w:val="right"/>
              <w:ind w:right="56"/>
              <w:spacing w:after="0"/>
              <w:rPr>
                <w:sz w:val="20"/>
                <w:szCs w:val="20"/>
                <w:color w:val="auto"/>
              </w:rPr>
            </w:pPr>
            <w:r>
              <w:rPr>
                <w:rFonts w:ascii="Arial" w:cs="Arial" w:eastAsia="Arial" w:hAnsi="Arial"/>
                <w:sz w:val="17"/>
                <w:szCs w:val="17"/>
                <w:color w:val="auto"/>
              </w:rPr>
              <w:t>96.5%</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-83.2%</w:t>
            </w:r>
          </w:p>
        </w:tc>
      </w:tr>
      <w:tr>
        <w:trPr>
          <w:trHeight w:val="202"/>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36,816,653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55,173,742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59,412,732</w:t>
            </w:r>
          </w:p>
        </w:tc>
        <w:tc>
          <w:tcPr>
            <w:tcW w:w="12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7.7%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61.4%</w:t>
            </w:r>
          </w:p>
        </w:tc>
      </w:tr>
      <w:tr>
        <w:trPr>
          <w:trHeight w:val="202"/>
        </w:trPr>
        <w:tc>
          <w:tcPr>
            <w:tcW w:w="5180" w:type="dxa"/>
            <w:vAlign w:val="bottom"/>
            <w:gridSpan w:val="2"/>
          </w:tcPr>
          <w:p>
            <w:pPr>
              <w:spacing w:after="0"/>
              <w:rPr>
                <w:sz w:val="20"/>
                <w:szCs w:val="20"/>
                <w:color w:val="auto"/>
              </w:rPr>
            </w:pPr>
            <w:r>
              <w:rPr>
                <w:rFonts w:ascii="Arial" w:cs="Arial" w:eastAsia="Arial" w:hAnsi="Arial"/>
                <w:sz w:val="17"/>
                <w:szCs w:val="17"/>
                <w:color w:val="auto"/>
                <w:w w:val="93"/>
              </w:rPr>
              <w:t>Cash collateral, reverse repurchase agreements and securities borrowing</w:t>
            </w:r>
          </w:p>
        </w:tc>
        <w:tc>
          <w:tcPr>
            <w:tcW w:w="1020" w:type="dxa"/>
            <w:vAlign w:val="bottom"/>
          </w:tcPr>
          <w:p>
            <w:pPr>
              <w:jc w:val="right"/>
              <w:spacing w:after="0"/>
              <w:rPr>
                <w:sz w:val="20"/>
                <w:szCs w:val="20"/>
                <w:color w:val="auto"/>
              </w:rPr>
            </w:pPr>
            <w:r>
              <w:rPr>
                <w:rFonts w:ascii="Arial" w:cs="Arial" w:eastAsia="Arial" w:hAnsi="Arial"/>
                <w:sz w:val="17"/>
                <w:szCs w:val="17"/>
                <w:color w:val="auto"/>
              </w:rPr>
              <w:t>4,424,345</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2,394,302</w:t>
            </w:r>
          </w:p>
        </w:tc>
        <w:tc>
          <w:tcPr>
            <w:tcW w:w="2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1,769,690</w:t>
            </w:r>
          </w:p>
        </w:tc>
        <w:tc>
          <w:tcPr>
            <w:tcW w:w="1280" w:type="dxa"/>
            <w:vAlign w:val="bottom"/>
            <w:gridSpan w:val="2"/>
          </w:tcPr>
          <w:p>
            <w:pPr>
              <w:jc w:val="right"/>
              <w:ind w:right="56"/>
              <w:spacing w:after="0"/>
              <w:rPr>
                <w:sz w:val="20"/>
                <w:szCs w:val="20"/>
                <w:color w:val="auto"/>
              </w:rPr>
            </w:pPr>
            <w:r>
              <w:rPr>
                <w:rFonts w:ascii="Arial" w:cs="Arial" w:eastAsia="Arial" w:hAnsi="Arial"/>
                <w:sz w:val="17"/>
                <w:szCs w:val="17"/>
                <w:color w:val="auto"/>
              </w:rPr>
              <w:t>-26.1%</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-60.0%</w:t>
            </w:r>
          </w:p>
        </w:tc>
      </w:tr>
      <w:tr>
        <w:trPr>
          <w:trHeight w:val="202"/>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Financial assets designated at fair value through profit or loss</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559,321</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823,270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888,420</w:t>
            </w:r>
          </w:p>
        </w:tc>
        <w:tc>
          <w:tcPr>
            <w:tcW w:w="12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7.9%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w:t>
            </w:r>
          </w:p>
        </w:tc>
      </w:tr>
      <w:tr>
        <w:trPr>
          <w:trHeight w:val="214"/>
        </w:trPr>
        <w:tc>
          <w:tcPr>
            <w:tcW w:w="5180" w:type="dxa"/>
            <w:vAlign w:val="bottom"/>
            <w:gridSpan w:val="2"/>
          </w:tcPr>
          <w:p>
            <w:pPr>
              <w:spacing w:after="0"/>
              <w:rPr>
                <w:sz w:val="20"/>
                <w:szCs w:val="20"/>
                <w:color w:val="auto"/>
              </w:rPr>
            </w:pPr>
            <w:r>
              <w:rPr>
                <w:rFonts w:ascii="Arial" w:cs="Arial" w:eastAsia="Arial" w:hAnsi="Arial"/>
                <w:sz w:val="17"/>
                <w:szCs w:val="17"/>
                <w:color w:val="auto"/>
              </w:rPr>
              <w:t>Total loans</w:t>
            </w:r>
          </w:p>
        </w:tc>
        <w:tc>
          <w:tcPr>
            <w:tcW w:w="1020" w:type="dxa"/>
            <w:vAlign w:val="bottom"/>
          </w:tcPr>
          <w:p>
            <w:pPr>
              <w:jc w:val="right"/>
              <w:spacing w:after="0"/>
              <w:rPr>
                <w:sz w:val="20"/>
                <w:szCs w:val="20"/>
                <w:color w:val="auto"/>
              </w:rPr>
            </w:pPr>
            <w:r>
              <w:rPr>
                <w:rFonts w:ascii="Arial" w:cs="Arial" w:eastAsia="Arial" w:hAnsi="Arial"/>
                <w:sz w:val="17"/>
                <w:szCs w:val="17"/>
                <w:color w:val="auto"/>
              </w:rPr>
              <w:t>120,708,515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137,659,885</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137,031,239</w:t>
            </w:r>
          </w:p>
        </w:tc>
        <w:tc>
          <w:tcPr>
            <w:tcW w:w="1280" w:type="dxa"/>
            <w:vAlign w:val="bottom"/>
            <w:gridSpan w:val="2"/>
          </w:tcPr>
          <w:p>
            <w:pPr>
              <w:jc w:val="right"/>
              <w:ind w:right="56"/>
              <w:spacing w:after="0"/>
              <w:rPr>
                <w:sz w:val="20"/>
                <w:szCs w:val="20"/>
                <w:color w:val="auto"/>
              </w:rPr>
            </w:pPr>
            <w:r>
              <w:rPr>
                <w:rFonts w:ascii="Arial" w:cs="Arial" w:eastAsia="Arial" w:hAnsi="Arial"/>
                <w:sz w:val="17"/>
                <w:szCs w:val="17"/>
                <w:color w:val="auto"/>
              </w:rPr>
              <w:t>-0.5%</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13.5%</w:t>
            </w:r>
          </w:p>
        </w:tc>
      </w:tr>
      <w:tr>
        <w:trPr>
          <w:trHeight w:val="194"/>
        </w:trPr>
        <w:tc>
          <w:tcPr>
            <w:tcW w:w="518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interest earning assets</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182,047,263</w:t>
            </w: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224,627,581</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231,084,897</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2.9</w:t>
            </w:r>
          </w:p>
        </w:tc>
        <w:tc>
          <w:tcPr>
            <w:tcW w:w="280" w:type="dxa"/>
            <w:vAlign w:val="bottom"/>
            <w:tcBorders>
              <w:top w:val="single" w:sz="8" w:color="CCEEFF"/>
            </w:tcBorders>
            <w:shd w:val="clear" w:color="auto" w:fill="CCEEFF"/>
          </w:tcPr>
          <w:p>
            <w:pPr>
              <w:jc w:val="right"/>
              <w:ind w:right="36"/>
              <w:spacing w:after="0" w:line="194" w:lineRule="exact"/>
              <w:rPr>
                <w:sz w:val="20"/>
                <w:szCs w:val="20"/>
                <w:color w:val="auto"/>
              </w:rPr>
            </w:pPr>
            <w:r>
              <w:rPr>
                <w:rFonts w:ascii="Arial" w:cs="Arial" w:eastAsia="Arial" w:hAnsi="Arial"/>
                <w:sz w:val="17"/>
                <w:szCs w:val="17"/>
                <w:b w:val="1"/>
                <w:bCs w:val="1"/>
                <w:color w:val="auto"/>
                <w:w w:val="92"/>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26.9</w:t>
            </w:r>
          </w:p>
        </w:tc>
        <w:tc>
          <w:tcPr>
            <w:tcW w:w="16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2"/>
              </w:rPr>
              <w: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Structure and Evolution of IEA</w:t>
      </w:r>
    </w:p>
    <w:p>
      <w:pPr>
        <w:spacing w:after="0" w:line="208"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Composition of IEA</w:t>
      </w:r>
    </w:p>
    <w:p>
      <w:pPr>
        <w:spacing w:after="0" w:line="212" w:lineRule="exact"/>
        <w:rPr>
          <w:sz w:val="20"/>
          <w:szCs w:val="20"/>
          <w:color w:val="auto"/>
        </w:rPr>
      </w:pPr>
    </w:p>
    <w:p>
      <w:pPr>
        <w:jc w:val="both"/>
        <w:ind w:left="3840"/>
        <w:spacing w:after="0" w:line="269" w:lineRule="auto"/>
        <w:rPr>
          <w:sz w:val="20"/>
          <w:szCs w:val="20"/>
          <w:color w:val="auto"/>
        </w:rPr>
      </w:pPr>
      <w:r>
        <w:rPr>
          <w:rFonts w:ascii="Arial" w:cs="Arial" w:eastAsia="Arial" w:hAnsi="Arial"/>
          <w:sz w:val="17"/>
          <w:szCs w:val="17"/>
          <w:color w:val="auto"/>
        </w:rPr>
        <w:t>At the end of March 2021, loans (the most profitable asset) represented 59.3% of IEAs, followed by investments with 25.7% and other assets with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-269875</wp:posOffset>
            </wp:positionV>
            <wp:extent cx="2199005" cy="1343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99005" cy="1343660"/>
                    </a:xfrm>
                    <a:prstGeom prst="rect">
                      <a:avLst/>
                    </a:prstGeom>
                    <a:noFill/>
                  </pic:spPr>
                </pic:pic>
              </a:graphicData>
            </a:graphic>
          </wp:anchor>
        </w:drawing>
      </w:r>
    </w:p>
    <w:p>
      <w:pPr>
        <w:spacing w:after="0" w:line="146" w:lineRule="exact"/>
        <w:rPr>
          <w:sz w:val="20"/>
          <w:szCs w:val="20"/>
          <w:color w:val="auto"/>
        </w:rPr>
      </w:pPr>
    </w:p>
    <w:p>
      <w:pPr>
        <w:jc w:val="both"/>
        <w:ind w:left="3840"/>
        <w:spacing w:after="0" w:line="275" w:lineRule="auto"/>
        <w:rPr>
          <w:sz w:val="20"/>
          <w:szCs w:val="20"/>
          <w:color w:val="auto"/>
        </w:rPr>
      </w:pPr>
      <w:r>
        <w:rPr>
          <w:rFonts w:ascii="Arial" w:cs="Arial" w:eastAsia="Arial" w:hAnsi="Arial"/>
          <w:sz w:val="16"/>
          <w:szCs w:val="16"/>
          <w:color w:val="auto"/>
        </w:rPr>
        <w:t>The current composition of IEA reflects a less profitable structure both QoQ and YoY, which is attributable to the fact that growth in investments and in other assets outpaced loan expansion. This led to a drop in the share of loans in total IEA. Additionally, it is important to note that this quarter, the share of government loans in total IEA fell, dropping from 10.9% last quarter to 10.5% in 1Q21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Loans Measured in Quarter-End Balances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QoQ, total loans measured in quarter-end fell -0.5% QoQ. This was attributable to a mix of factors:</w:t>
      </w:r>
    </w:p>
    <w:p>
      <w:pPr>
        <w:spacing w:after="0" w:line="208" w:lineRule="exact"/>
        <w:rPr>
          <w:sz w:val="20"/>
          <w:szCs w:val="20"/>
          <w:color w:val="auto"/>
        </w:rPr>
      </w:pPr>
    </w:p>
    <w:p>
      <w:pPr>
        <w:jc w:val="both"/>
        <w:ind w:left="600" w:hanging="423"/>
        <w:spacing w:after="0" w:line="258"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Wholesale Banking posted the largest decline in quarter-end balances at the portfolio level. This drop was primarily due to cancellations of short-term loans in a context marked by an economic recession and by a decrease in financing requirements in the Corporate segment, which moved to bolster liquidity at the beginning of the pandemic.</w:t>
      </w:r>
    </w:p>
    <w:p>
      <w:pPr>
        <w:spacing w:after="0" w:line="175" w:lineRule="exact"/>
        <w:rPr>
          <w:rFonts w:ascii="Arial" w:cs="Arial" w:eastAsia="Arial" w:hAnsi="Arial"/>
          <w:sz w:val="17"/>
          <w:szCs w:val="17"/>
          <w:color w:val="auto"/>
        </w:rPr>
      </w:pPr>
    </w:p>
    <w:p>
      <w:pPr>
        <w:ind w:left="600" w:hanging="423"/>
        <w:spacing w:after="0" w:line="269"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Retail Banking quarter-end balances grew slightly, which partially offset the decrease registered in the Wholesale portfolio. SME-Business, Mortgage and Consumer reported growth in balances this quarter while SME-Pyme and Credit Cards registered a decline.</w:t>
      </w:r>
    </w:p>
    <w:p>
      <w:pPr>
        <w:spacing w:after="0" w:line="166" w:lineRule="exact"/>
        <w:rPr>
          <w:rFonts w:ascii="Arial" w:cs="Arial" w:eastAsia="Arial" w:hAnsi="Arial"/>
          <w:sz w:val="17"/>
          <w:szCs w:val="17"/>
          <w:color w:val="auto"/>
        </w:rPr>
      </w:pPr>
    </w:p>
    <w:p>
      <w:pPr>
        <w:jc w:val="both"/>
        <w:ind w:left="600" w:hanging="423"/>
        <w:spacing w:after="0" w:line="258"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Mibanco’s balances reported growth, which was driven by a recovery of disbursements in structural loans. BCP Bolivia registered a drop in balances due to the pandemic; a decrease in economic activity in the Wholesale segment; and a drop in microcredit balance after loans disbursements fell in a context of an increase in credit risk.</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exclude loans granted through Government Programs (Reactiva Peru and FAE-MYPE) from the calculation base for quarter-end balances, we find that loans in the “Structural Portfolio” fell -0.2% QoQ.</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YoY, loans measured in quarter-end balances increased +13.5% due to following factors:</w:t>
      </w:r>
    </w:p>
    <w:p>
      <w:pPr>
        <w:spacing w:after="0" w:line="208" w:lineRule="exact"/>
        <w:rPr>
          <w:sz w:val="20"/>
          <w:szCs w:val="20"/>
          <w:color w:val="auto"/>
        </w:rPr>
      </w:pPr>
    </w:p>
    <w:p>
      <w:pPr>
        <w:jc w:val="both"/>
        <w:ind w:left="600" w:hanging="423"/>
        <w:spacing w:after="0" w:line="254"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balances in the Retail Banking portfolio at BCP Stand-alone was led by the SME-Pyme segment, followed by the SME-Business, which registered an increase in disbursements for working capital in LC under the Reactiva Peru program. Expansion was also driven, although to a lesser extent, by an uptick in balances in the Mortgage and Consumer segments. Credit Cards, on the contrary, reported a drop in balances due to a decrease in card use in the context of the pandemic.</w:t>
      </w:r>
    </w:p>
    <w:p>
      <w:pPr>
        <w:spacing w:after="0" w:line="180" w:lineRule="exact"/>
        <w:rPr>
          <w:rFonts w:ascii="Arial" w:cs="Arial" w:eastAsia="Arial" w:hAnsi="Arial"/>
          <w:sz w:val="17"/>
          <w:szCs w:val="17"/>
          <w:color w:val="auto"/>
        </w:rPr>
      </w:pPr>
    </w:p>
    <w:p>
      <w:pPr>
        <w:ind w:left="600" w:hanging="423"/>
        <w:spacing w:after="0" w:line="269"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Mibanco’s balances, which was attributable to loan disbursements under the Reactiva Peru and FAE-Mype programs and growth in BCP Bolivia’s portfolio, which was driven by an uptick in the demand for Wholesale loans.</w:t>
      </w:r>
    </w:p>
    <w:p>
      <w:pPr>
        <w:spacing w:after="0" w:line="66"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1" w:name="page12"/>
    <w:bookmarkEnd w:id="11"/>
    <w:p>
      <w:pPr>
        <w:ind w:left="600" w:hanging="423"/>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Loan growth was partially offset by a drop in Wholesale loan balances, which was driven by a decrease in loan demand from businesses that were adversely affected by confinement measures and/or had already shored up financing at the beginning of the pandemic.</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If we exclude Government Loans from the calculation base, we find that loans in the structural portfolio fell -6.6% YoY.</w:t>
      </w:r>
    </w:p>
    <w:p>
      <w:pPr>
        <w:spacing w:after="0" w:line="20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It is important to note that YoY, growth in total loans was driven by a 9.3% appreciation in the US dollar. If we exclude the exchange rate effect, total loans register growth of 10.4% YoY in real terms for the total portfolio but reflect a decrease of -9.7% YoY in real terms for the structural portfolio. At the end of March 2021, FC loans accounted for 32.6% of total loans, which represented a decrease with regard to the 40.1% reported in March 2020. This drop was driven by growth in LC disbursements, which was in turn attributable to high inflows of government loans and to a decrease in FC loans, primarily in the Wholesale portfolio.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Total Investments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6"/>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Total Investments</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w w:val="95"/>
              </w:rPr>
              <w:t>% change</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Mar 20</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Dec 20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Mar 21</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w w:val="92"/>
              </w:rPr>
              <w:t>QoQ</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YoY</w:t>
            </w:r>
          </w:p>
        </w:tc>
        <w:tc>
          <w:tcPr>
            <w:tcW w:w="140" w:type="dxa"/>
            <w:vAlign w:val="bottom"/>
            <w:tcBorders>
              <w:bottom w:val="single" w:sz="8" w:color="CCEEFF"/>
            </w:tcBorders>
          </w:tcPr>
          <w:p>
            <w:pPr>
              <w:spacing w:after="0"/>
              <w:rPr>
                <w:sz w:val="18"/>
                <w:szCs w:val="18"/>
                <w:color w:val="auto"/>
              </w:rPr>
            </w:pPr>
          </w:p>
        </w:tc>
      </w:tr>
      <w:tr>
        <w:trPr>
          <w:trHeight w:val="194"/>
        </w:trPr>
        <w:tc>
          <w:tcPr>
            <w:tcW w:w="5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Fair value through profit or loss investments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4,185,638</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6,467,471</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8,083,128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w w:val="91"/>
              </w:rPr>
              <w:t>25.0%</w:t>
            </w: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20"/>
              <w:spacing w:after="0" w:line="194" w:lineRule="exact"/>
              <w:rPr>
                <w:sz w:val="20"/>
                <w:szCs w:val="20"/>
                <w:color w:val="auto"/>
              </w:rPr>
            </w:pPr>
            <w:r>
              <w:rPr>
                <w:rFonts w:ascii="Arial" w:cs="Arial" w:eastAsia="Arial" w:hAnsi="Arial"/>
                <w:sz w:val="17"/>
                <w:szCs w:val="17"/>
                <w:color w:val="auto"/>
                <w:w w:val="91"/>
              </w:rPr>
              <w:t>93.1%</w:t>
            </w:r>
          </w:p>
        </w:tc>
      </w:tr>
      <w:tr>
        <w:trPr>
          <w:trHeight w:val="202"/>
        </w:trPr>
        <w:tc>
          <w:tcPr>
            <w:tcW w:w="5180" w:type="dxa"/>
            <w:vAlign w:val="bottom"/>
            <w:gridSpan w:val="2"/>
          </w:tcPr>
          <w:p>
            <w:pPr>
              <w:spacing w:after="0"/>
              <w:rPr>
                <w:sz w:val="20"/>
                <w:szCs w:val="20"/>
                <w:color w:val="auto"/>
              </w:rPr>
            </w:pPr>
            <w:r>
              <w:rPr>
                <w:rFonts w:ascii="Arial" w:cs="Arial" w:eastAsia="Arial" w:hAnsi="Arial"/>
                <w:sz w:val="17"/>
                <w:szCs w:val="17"/>
                <w:color w:val="auto"/>
              </w:rPr>
              <w:t>Fair value through other comprehensive income investments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28,388,372</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43,743,889</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45,681,969</w:t>
            </w:r>
          </w:p>
        </w:tc>
        <w:tc>
          <w:tcPr>
            <w:tcW w:w="680" w:type="dxa"/>
            <w:vAlign w:val="bottom"/>
          </w:tcPr>
          <w:p>
            <w:pPr>
              <w:spacing w:after="0"/>
              <w:rPr>
                <w:sz w:val="17"/>
                <w:szCs w:val="17"/>
                <w:color w:val="auto"/>
              </w:rPr>
            </w:pPr>
          </w:p>
        </w:tc>
        <w:tc>
          <w:tcPr>
            <w:tcW w:w="600" w:type="dxa"/>
            <w:vAlign w:val="bottom"/>
            <w:gridSpan w:val="2"/>
          </w:tcPr>
          <w:p>
            <w:pPr>
              <w:jc w:val="right"/>
              <w:ind w:right="56"/>
              <w:spacing w:after="0"/>
              <w:rPr>
                <w:sz w:val="20"/>
                <w:szCs w:val="20"/>
                <w:color w:val="auto"/>
              </w:rPr>
            </w:pPr>
            <w:r>
              <w:rPr>
                <w:rFonts w:ascii="Arial" w:cs="Arial" w:eastAsia="Arial" w:hAnsi="Arial"/>
                <w:sz w:val="17"/>
                <w:szCs w:val="17"/>
                <w:color w:val="auto"/>
              </w:rPr>
              <w:t>4.4%</w:t>
            </w:r>
          </w:p>
        </w:tc>
        <w:tc>
          <w:tcPr>
            <w:tcW w:w="280" w:type="dxa"/>
            <w:vAlign w:val="bottom"/>
          </w:tcPr>
          <w:p>
            <w:pPr>
              <w:spacing w:after="0"/>
              <w:rPr>
                <w:sz w:val="17"/>
                <w:szCs w:val="17"/>
                <w:color w:val="auto"/>
              </w:rPr>
            </w:pPr>
          </w:p>
        </w:tc>
        <w:tc>
          <w:tcPr>
            <w:tcW w:w="880" w:type="dxa"/>
            <w:vAlign w:val="bottom"/>
            <w:gridSpan w:val="2"/>
          </w:tcPr>
          <w:p>
            <w:pPr>
              <w:ind w:left="420"/>
              <w:spacing w:after="0"/>
              <w:rPr>
                <w:sz w:val="20"/>
                <w:szCs w:val="20"/>
                <w:color w:val="auto"/>
              </w:rPr>
            </w:pPr>
            <w:r>
              <w:rPr>
                <w:rFonts w:ascii="Arial" w:cs="Arial" w:eastAsia="Arial" w:hAnsi="Arial"/>
                <w:sz w:val="17"/>
                <w:szCs w:val="17"/>
                <w:color w:val="auto"/>
                <w:w w:val="91"/>
              </w:rPr>
              <w:t>60.9%</w:t>
            </w:r>
          </w:p>
        </w:tc>
      </w:tr>
      <w:tr>
        <w:trPr>
          <w:trHeight w:val="214"/>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Amortized cost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4,242,643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4,962,382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5,647,635</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91"/>
              </w:rPr>
              <w:t>13.8%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1"/>
              </w:rPr>
              <w:t>33.1%</w:t>
            </w:r>
          </w:p>
        </w:tc>
      </w:tr>
      <w:tr>
        <w:trPr>
          <w:trHeight w:val="194"/>
        </w:trPr>
        <w:tc>
          <w:tcPr>
            <w:tcW w:w="51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Total investments</w:t>
            </w:r>
          </w:p>
        </w:tc>
        <w:tc>
          <w:tcPr>
            <w:tcW w:w="10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36,816,653</w:t>
            </w:r>
          </w:p>
        </w:tc>
        <w:tc>
          <w:tcPr>
            <w:tcW w:w="22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55,173,742</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59,412,732</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7.7</w:t>
            </w:r>
          </w:p>
        </w:tc>
        <w:tc>
          <w:tcPr>
            <w:tcW w:w="2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auto"/>
                <w:w w:val="92"/>
              </w:rPr>
              <w:t>%</w:t>
            </w: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420"/>
              <w:spacing w:after="0" w:line="194" w:lineRule="exact"/>
              <w:rPr>
                <w:sz w:val="20"/>
                <w:szCs w:val="20"/>
                <w:color w:val="auto"/>
              </w:rPr>
            </w:pPr>
            <w:r>
              <w:rPr>
                <w:rFonts w:ascii="Arial" w:cs="Arial" w:eastAsia="Arial" w:hAnsi="Arial"/>
                <w:sz w:val="17"/>
                <w:szCs w:val="17"/>
                <w:b w:val="1"/>
                <w:bCs w:val="1"/>
                <w:color w:val="auto"/>
                <w:w w:val="84"/>
              </w:rPr>
              <w:t>61.4</w:t>
            </w:r>
          </w:p>
        </w:tc>
        <w:tc>
          <w:tcPr>
            <w:tcW w:w="1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79"/>
              </w:rPr>
              <w:t>%</w:t>
            </w: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Total investments increased +7.7% QoQ and +61.4% YoY. The QoQ evolution was primarily driven by growth in the fair value through profit and loss portfolio and in the fair value through other comprehensive investment portfolio at BCP Stand-alone. This expansion was fueled by growth in wholesale funding this quarter, which led to a subsequent increase in available funds. This quarter we increased the short-term investment portfolio while managing the exposure in the medium-term banking book, in a context of rising interest rates.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YoY terms growth was driven by the fact that the bulk of government loans were used to pay suppliers; cover payroll; or for working capital. These funds bolstered balances across the financial system and in Credicorp’s case, spearheaded an increase in liquidity at BCP Stand-Alone. In this context, and in line with the strategy to optimize the structure of balance to increase the profitability of liquid assets, cash surplus was invested in low-risk instruments such as certificates of deposit and sovereign bonds, primarily in MN.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IEA</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Available funds increased 11.8% QoQ and 66.6% YoY. The quarterly evolution was attributable to an uptick in the capture of wholesale deposits this quarter and to the temporary liquidity generated by a subordinated bond issue (liability management) at BCP Stand-alone. The yearly evolution was driven by the excess liquidity created by Government loans, which landed, in Credicorp’s case, in current accounts at BCP Stand-alone.</w:t>
      </w:r>
    </w:p>
    <w:p>
      <w:pPr>
        <w:sectPr>
          <w:pgSz w:w="11900" w:h="16838" w:orient="portrait"/>
          <w:cols w:equalWidth="0" w:num="1">
            <w:col w:w="11240"/>
          </w:cols>
          <w:pgMar w:left="320" w:top="555"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Credicorp Loans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1.2.1. Evolution of loans in average daily balances (ADB)</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ADB for loans dropped -0.3% QoQ but grew +17.3% YoY. The QoQ evolution was driven primarily by the decrease in the Wholesale portfolio. Growth in YoY terms was fueled by an uptick in the balances in SME-Pyme and SME-Business in the Retail Portfolio at BCP Stand-alone, which grew due to the influx of Reactiva loans. If we exclude Government loans from the calculation base, Structural Loans fell -0.2% QoQ and -3.8% YoY. The evolution of the ADB for loans was driven by the influx of local currency loans through Government programs; the availability of attractive rates; and a decrease in dollarization system-wide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ADB balances provide the most complete picture of how loan interest,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598" w:lineRule="exact"/>
        <w:rPr>
          <w:sz w:val="20"/>
          <w:szCs w:val="20"/>
          <w:color w:val="auto"/>
        </w:rPr>
      </w:pPr>
    </w:p>
    <w:p>
      <w:pPr>
        <w:sectPr>
          <w:pgSz w:w="11900" w:h="16838" w:orient="portrait"/>
          <w:cols w:equalWidth="0" w:num="2">
            <w:col w:w="5400" w:space="440"/>
            <w:col w:w="5400"/>
          </w:cols>
          <w:pgMar w:left="320" w:top="555" w:right="339" w:bottom="1440" w:gutter="0" w:footer="0" w:header="0"/>
          <w:type w:val="continuous"/>
        </w:sectPr>
      </w:pPr>
    </w:p>
    <w:p>
      <w:pPr>
        <w:spacing w:after="0" w:line="99" w:lineRule="exact"/>
        <w:rPr>
          <w:sz w:val="20"/>
          <w:szCs w:val="20"/>
          <w:color w:val="auto"/>
        </w:rPr>
      </w:pPr>
    </w:p>
    <w:p>
      <w:pPr>
        <w:ind w:left="110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7"/>
          <w:szCs w:val="17"/>
          <w:b w:val="1"/>
          <w:bCs w:val="1"/>
          <w:color w:val="auto"/>
        </w:rPr>
        <w:t xml:space="preserve">Evolution of ADB of loans by business segment </w:t>
      </w:r>
      <w:r>
        <w:rPr>
          <w:rFonts w:ascii="Arial" w:cs="Arial" w:eastAsia="Arial" w:hAnsi="Arial"/>
          <w:sz w:val="27"/>
          <w:szCs w:val="27"/>
          <w:b w:val="1"/>
          <w:bCs w:val="1"/>
          <w:color w:val="auto"/>
          <w:vertAlign w:val="superscript"/>
        </w:rPr>
        <w:t>(1)(2)(3)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96"/>
              </w:rPr>
              <w:t>TOTAL LOANS</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 change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1"/>
        </w:trPr>
        <w:tc>
          <w:tcPr>
            <w:tcW w:w="2600" w:type="dxa"/>
            <w:vAlign w:val="bottom"/>
          </w:tcPr>
          <w:p>
            <w:pPr>
              <w:spacing w:after="0"/>
              <w:rPr>
                <w:sz w:val="11"/>
                <w:szCs w:val="11"/>
                <w:color w:val="auto"/>
              </w:rPr>
            </w:pPr>
          </w:p>
        </w:tc>
        <w:tc>
          <w:tcPr>
            <w:tcW w:w="2140" w:type="dxa"/>
            <w:vAlign w:val="bottom"/>
            <w:gridSpan w:val="6"/>
          </w:tcPr>
          <w:p>
            <w:pPr>
              <w:jc w:val="right"/>
              <w:ind w:right="640"/>
              <w:spacing w:after="0" w:line="132" w:lineRule="exact"/>
              <w:rPr>
                <w:sz w:val="20"/>
                <w:szCs w:val="20"/>
                <w:color w:val="auto"/>
              </w:rPr>
            </w:pPr>
            <w:r>
              <w:rPr>
                <w:rFonts w:ascii="Arial" w:cs="Arial" w:eastAsia="Arial" w:hAnsi="Arial"/>
                <w:sz w:val="12"/>
                <w:szCs w:val="12"/>
                <w:i w:val="1"/>
                <w:iCs w:val="1"/>
                <w:color w:val="auto"/>
              </w:rPr>
              <w:t>Expressed in million S/</w:t>
            </w:r>
          </w:p>
        </w:tc>
        <w:tc>
          <w:tcPr>
            <w:tcW w:w="1080" w:type="dxa"/>
            <w:vAlign w:val="bottom"/>
            <w:gridSpan w:val="3"/>
          </w:tcPr>
          <w:p>
            <w:pPr>
              <w:jc w:val="right"/>
              <w:ind w:right="221"/>
              <w:spacing w:after="0" w:line="132" w:lineRule="exact"/>
              <w:rPr>
                <w:sz w:val="20"/>
                <w:szCs w:val="20"/>
                <w:color w:val="auto"/>
              </w:rPr>
            </w:pPr>
            <w:r>
              <w:rPr>
                <w:rFonts w:ascii="Arial" w:cs="Arial" w:eastAsia="Arial" w:hAnsi="Arial"/>
                <w:sz w:val="12"/>
                <w:szCs w:val="12"/>
                <w:b w:val="1"/>
                <w:bCs w:val="1"/>
                <w:color w:val="auto"/>
              </w:rPr>
              <w:t>Structural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5"/>
          </w:tcPr>
          <w:p>
            <w:pPr>
              <w:ind w:left="260"/>
              <w:spacing w:after="0" w:line="132" w:lineRule="exact"/>
              <w:rPr>
                <w:sz w:val="20"/>
                <w:szCs w:val="20"/>
                <w:color w:val="auto"/>
              </w:rPr>
            </w:pPr>
            <w:r>
              <w:rPr>
                <w:rFonts w:ascii="Arial" w:cs="Arial" w:eastAsia="Arial" w:hAnsi="Arial"/>
                <w:sz w:val="12"/>
                <w:szCs w:val="12"/>
                <w:b w:val="1"/>
                <w:bCs w:val="1"/>
                <w:color w:val="auto"/>
              </w:rPr>
              <w:t>% change</w:t>
            </w:r>
          </w:p>
        </w:tc>
        <w:tc>
          <w:tcPr>
            <w:tcW w:w="1300" w:type="dxa"/>
            <w:vAlign w:val="bottom"/>
            <w:gridSpan w:val="4"/>
          </w:tcPr>
          <w:p>
            <w:pPr>
              <w:jc w:val="right"/>
              <w:ind w:right="500"/>
              <w:spacing w:after="0" w:line="132" w:lineRule="exact"/>
              <w:rPr>
                <w:sz w:val="20"/>
                <w:szCs w:val="20"/>
                <w:color w:val="auto"/>
              </w:rPr>
            </w:pPr>
            <w:r>
              <w:rPr>
                <w:rFonts w:ascii="Arial" w:cs="Arial" w:eastAsia="Arial" w:hAnsi="Arial"/>
                <w:sz w:val="12"/>
                <w:szCs w:val="12"/>
                <w:b w:val="1"/>
                <w:bCs w:val="1"/>
                <w:color w:val="auto"/>
              </w:rPr>
              <w:t>Structural</w:t>
            </w:r>
          </w:p>
        </w:tc>
        <w:tc>
          <w:tcPr>
            <w:tcW w:w="1960" w:type="dxa"/>
            <w:vAlign w:val="bottom"/>
            <w:gridSpan w:val="6"/>
          </w:tcPr>
          <w:p>
            <w:pPr>
              <w:jc w:val="center"/>
              <w:ind w:right="220"/>
              <w:spacing w:after="0" w:line="132" w:lineRule="exact"/>
              <w:rPr>
                <w:sz w:val="20"/>
                <w:szCs w:val="20"/>
                <w:color w:val="auto"/>
              </w:rPr>
            </w:pPr>
            <w:r>
              <w:rPr>
                <w:rFonts w:ascii="Arial" w:cs="Arial" w:eastAsia="Arial" w:hAnsi="Arial"/>
                <w:sz w:val="12"/>
                <w:szCs w:val="12"/>
                <w:b w:val="1"/>
                <w:bCs w:val="1"/>
                <w:color w:val="auto"/>
                <w:w w:val="89"/>
              </w:rPr>
              <w:t>% Part. in total loans</w:t>
            </w:r>
          </w:p>
        </w:tc>
        <w:tc>
          <w:tcPr>
            <w:tcW w:w="64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91"/>
              </w:rPr>
              <w:t>Structural</w:t>
            </w:r>
          </w:p>
        </w:tc>
      </w:tr>
      <w:tr>
        <w:trPr>
          <w:trHeight w:val="131"/>
        </w:trPr>
        <w:tc>
          <w:tcPr>
            <w:tcW w:w="260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21"/>
              <w:spacing w:after="0" w:line="132" w:lineRule="exact"/>
              <w:rPr>
                <w:sz w:val="20"/>
                <w:szCs w:val="20"/>
                <w:color w:val="auto"/>
              </w:rPr>
            </w:pPr>
            <w:r>
              <w:rPr>
                <w:rFonts w:ascii="Arial" w:cs="Arial" w:eastAsia="Arial" w:hAnsi="Arial"/>
                <w:sz w:val="12"/>
                <w:szCs w:val="12"/>
                <w:b w:val="1"/>
                <w:bCs w:val="1"/>
                <w:color w:val="auto"/>
              </w:rPr>
              <w:t>1Q20</w:t>
            </w:r>
          </w:p>
        </w:tc>
        <w:tc>
          <w:tcPr>
            <w:tcW w:w="24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61"/>
              <w:spacing w:after="0" w:line="132" w:lineRule="exact"/>
              <w:rPr>
                <w:sz w:val="20"/>
                <w:szCs w:val="20"/>
                <w:color w:val="auto"/>
              </w:rPr>
            </w:pPr>
            <w:r>
              <w:rPr>
                <w:rFonts w:ascii="Arial" w:cs="Arial" w:eastAsia="Arial" w:hAnsi="Arial"/>
                <w:sz w:val="12"/>
                <w:szCs w:val="12"/>
                <w:b w:val="1"/>
                <w:bCs w:val="1"/>
                <w:color w:val="auto"/>
              </w:rPr>
              <w:t>4Q20</w:t>
            </w:r>
          </w:p>
        </w:tc>
        <w:tc>
          <w:tcPr>
            <w:tcW w:w="2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1Q21</w:t>
            </w:r>
          </w:p>
        </w:tc>
        <w:tc>
          <w:tcPr>
            <w:tcW w:w="2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21"/>
              <w:spacing w:after="0" w:line="132" w:lineRule="exact"/>
              <w:rPr>
                <w:sz w:val="20"/>
                <w:szCs w:val="20"/>
                <w:color w:val="auto"/>
              </w:rPr>
            </w:pPr>
            <w:r>
              <w:rPr>
                <w:rFonts w:ascii="Arial" w:cs="Arial" w:eastAsia="Arial" w:hAnsi="Arial"/>
                <w:sz w:val="12"/>
                <w:szCs w:val="12"/>
                <w:b w:val="1"/>
                <w:bCs w:val="1"/>
                <w:color w:val="auto"/>
              </w:rPr>
              <w:t>4Q20</w:t>
            </w:r>
          </w:p>
        </w:tc>
        <w:tc>
          <w:tcPr>
            <w:tcW w:w="22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21"/>
              <w:spacing w:after="0" w:line="132" w:lineRule="exact"/>
              <w:rPr>
                <w:sz w:val="20"/>
                <w:szCs w:val="20"/>
                <w:color w:val="auto"/>
              </w:rPr>
            </w:pPr>
            <w:r>
              <w:rPr>
                <w:rFonts w:ascii="Arial" w:cs="Arial" w:eastAsia="Arial" w:hAnsi="Arial"/>
                <w:sz w:val="12"/>
                <w:szCs w:val="12"/>
                <w:b w:val="1"/>
                <w:bCs w:val="1"/>
                <w:color w:val="auto"/>
              </w:rPr>
              <w:t>1Q21</w:t>
            </w:r>
          </w:p>
        </w:tc>
        <w:tc>
          <w:tcPr>
            <w:tcW w:w="20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gridSpan w:val="2"/>
          </w:tcPr>
          <w:p>
            <w:pPr>
              <w:ind w:left="100"/>
              <w:spacing w:after="0" w:line="132" w:lineRule="exact"/>
              <w:rPr>
                <w:sz w:val="20"/>
                <w:szCs w:val="20"/>
                <w:color w:val="auto"/>
              </w:rPr>
            </w:pPr>
            <w:r>
              <w:rPr>
                <w:rFonts w:ascii="Arial" w:cs="Arial" w:eastAsia="Arial" w:hAnsi="Arial"/>
                <w:sz w:val="12"/>
                <w:szCs w:val="12"/>
                <w:b w:val="1"/>
                <w:bCs w:val="1"/>
                <w:color w:val="auto"/>
              </w:rPr>
              <w:t>QoQ</w:t>
            </w:r>
          </w:p>
        </w:tc>
        <w:tc>
          <w:tcPr>
            <w:tcW w:w="2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ind w:left="100"/>
              <w:spacing w:after="0" w:line="132" w:lineRule="exact"/>
              <w:rPr>
                <w:sz w:val="20"/>
                <w:szCs w:val="20"/>
                <w:color w:val="auto"/>
              </w:rPr>
            </w:pPr>
            <w:r>
              <w:rPr>
                <w:rFonts w:ascii="Arial" w:cs="Arial" w:eastAsia="Arial" w:hAnsi="Arial"/>
                <w:sz w:val="12"/>
                <w:szCs w:val="12"/>
                <w:b w:val="1"/>
                <w:bCs w:val="1"/>
                <w:color w:val="auto"/>
              </w:rPr>
              <w:t>YoY</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ind w:left="80"/>
              <w:spacing w:after="0" w:line="132" w:lineRule="exact"/>
              <w:rPr>
                <w:sz w:val="20"/>
                <w:szCs w:val="20"/>
                <w:color w:val="auto"/>
              </w:rPr>
            </w:pPr>
            <w:r>
              <w:rPr>
                <w:rFonts w:ascii="Arial" w:cs="Arial" w:eastAsia="Arial" w:hAnsi="Arial"/>
                <w:sz w:val="12"/>
                <w:szCs w:val="12"/>
                <w:b w:val="1"/>
                <w:bCs w:val="1"/>
                <w:color w:val="auto"/>
              </w:rPr>
              <w:t>QoQ</w:t>
            </w:r>
          </w:p>
        </w:tc>
        <w:tc>
          <w:tcPr>
            <w:tcW w:w="22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1"/>
              <w:spacing w:after="0" w:line="132" w:lineRule="exact"/>
              <w:rPr>
                <w:sz w:val="20"/>
                <w:szCs w:val="20"/>
                <w:color w:val="auto"/>
              </w:rPr>
            </w:pPr>
            <w:r>
              <w:rPr>
                <w:rFonts w:ascii="Arial" w:cs="Arial" w:eastAsia="Arial" w:hAnsi="Arial"/>
                <w:sz w:val="12"/>
                <w:szCs w:val="12"/>
                <w:b w:val="1"/>
                <w:bCs w:val="1"/>
                <w:color w:val="auto"/>
              </w:rPr>
              <w:t>YoY</w:t>
            </w:r>
          </w:p>
        </w:tc>
        <w:tc>
          <w:tcPr>
            <w:tcW w:w="2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ind w:left="80"/>
              <w:spacing w:after="0" w:line="132" w:lineRule="exact"/>
              <w:rPr>
                <w:sz w:val="20"/>
                <w:szCs w:val="20"/>
                <w:color w:val="auto"/>
              </w:rPr>
            </w:pPr>
            <w:r>
              <w:rPr>
                <w:rFonts w:ascii="Arial" w:cs="Arial" w:eastAsia="Arial" w:hAnsi="Arial"/>
                <w:sz w:val="12"/>
                <w:szCs w:val="12"/>
                <w:b w:val="1"/>
                <w:bCs w:val="1"/>
                <w:color w:val="auto"/>
              </w:rPr>
              <w:t>1Q20</w:t>
            </w:r>
          </w:p>
        </w:tc>
        <w:tc>
          <w:tcPr>
            <w:tcW w:w="2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8"/>
              </w:rPr>
              <w:t>4Q20</w:t>
            </w:r>
          </w:p>
        </w:tc>
        <w:tc>
          <w:tcPr>
            <w:tcW w:w="2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ind w:left="80"/>
              <w:spacing w:after="0" w:line="132" w:lineRule="exact"/>
              <w:rPr>
                <w:sz w:val="20"/>
                <w:szCs w:val="20"/>
                <w:color w:val="auto"/>
              </w:rPr>
            </w:pPr>
            <w:r>
              <w:rPr>
                <w:rFonts w:ascii="Arial" w:cs="Arial" w:eastAsia="Arial" w:hAnsi="Arial"/>
                <w:sz w:val="12"/>
                <w:szCs w:val="12"/>
                <w:b w:val="1"/>
                <w:bCs w:val="1"/>
                <w:color w:val="auto"/>
              </w:rPr>
              <w:t>1Q21</w:t>
            </w:r>
          </w:p>
        </w:tc>
        <w:tc>
          <w:tcPr>
            <w:tcW w:w="2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95"/>
              </w:rPr>
              <w:t>1Q21</w:t>
            </w:r>
          </w:p>
        </w:tc>
        <w:tc>
          <w:tcPr>
            <w:tcW w:w="120" w:type="dxa"/>
            <w:vAlign w:val="bottom"/>
            <w:tcBorders>
              <w:bottom w:val="single" w:sz="8" w:color="CCEEFF"/>
            </w:tcBorders>
          </w:tcPr>
          <w:p>
            <w:pPr>
              <w:spacing w:after="0"/>
              <w:rPr>
                <w:sz w:val="11"/>
                <w:szCs w:val="11"/>
                <w:color w:val="auto"/>
              </w:rPr>
            </w:pPr>
          </w:p>
        </w:tc>
      </w:tr>
      <w:tr>
        <w:trPr>
          <w:trHeight w:val="119"/>
        </w:trPr>
        <w:tc>
          <w:tcPr>
            <w:tcW w:w="2600" w:type="dxa"/>
            <w:vAlign w:val="bottom"/>
            <w:shd w:val="clear" w:color="auto" w:fill="CCEEFF"/>
          </w:tcPr>
          <w:p>
            <w:pPr>
              <w:spacing w:after="0" w:line="119" w:lineRule="exact"/>
              <w:rPr>
                <w:sz w:val="20"/>
                <w:szCs w:val="20"/>
                <w:color w:val="auto"/>
              </w:rPr>
            </w:pPr>
            <w:r>
              <w:rPr>
                <w:rFonts w:ascii="Arial" w:cs="Arial" w:eastAsia="Arial" w:hAnsi="Arial"/>
                <w:sz w:val="12"/>
                <w:szCs w:val="12"/>
                <w:b w:val="1"/>
                <w:bCs w:val="1"/>
                <w:color w:val="auto"/>
              </w:rPr>
              <w:t>BCP Stand-alone</w:t>
            </w: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95,083</w:t>
            </w: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112,981</w:t>
            </w: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111,969</w:t>
            </w: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91,075</w:t>
            </w: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90,319</w:t>
            </w:r>
          </w:p>
        </w:tc>
        <w:tc>
          <w:tcPr>
            <w:tcW w:w="20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20"/>
              <w:spacing w:after="0" w:line="119" w:lineRule="exact"/>
              <w:rPr>
                <w:sz w:val="20"/>
                <w:szCs w:val="20"/>
                <w:color w:val="auto"/>
              </w:rPr>
            </w:pPr>
            <w:r>
              <w:rPr>
                <w:rFonts w:ascii="Arial" w:cs="Arial" w:eastAsia="Arial" w:hAnsi="Arial"/>
                <w:sz w:val="12"/>
                <w:szCs w:val="12"/>
                <w:b w:val="1"/>
                <w:bCs w:val="1"/>
                <w:color w:val="auto"/>
              </w:rPr>
              <w:t>-0.9%</w:t>
            </w:r>
          </w:p>
        </w:tc>
        <w:tc>
          <w:tcPr>
            <w:tcW w:w="5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17.8%</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2"/>
                <w:szCs w:val="12"/>
                <w:b w:val="1"/>
                <w:bCs w:val="1"/>
                <w:color w:val="auto"/>
              </w:rPr>
              <w:t>-0.8%</w:t>
            </w:r>
          </w:p>
        </w:tc>
        <w:tc>
          <w:tcPr>
            <w:tcW w:w="66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2"/>
                <w:szCs w:val="12"/>
                <w:b w:val="1"/>
                <w:bCs w:val="1"/>
                <w:color w:val="auto"/>
              </w:rPr>
              <w:t>-5.0%</w:t>
            </w:r>
          </w:p>
        </w:tc>
        <w:tc>
          <w:tcPr>
            <w:tcW w:w="660" w:type="dxa"/>
            <w:vAlign w:val="bottom"/>
            <w:gridSpan w:val="2"/>
            <w:shd w:val="clear" w:color="auto" w:fill="CCEEFF"/>
          </w:tcPr>
          <w:p>
            <w:pPr>
              <w:jc w:val="right"/>
              <w:ind w:right="120"/>
              <w:spacing w:after="0" w:line="119" w:lineRule="exact"/>
              <w:rPr>
                <w:sz w:val="20"/>
                <w:szCs w:val="20"/>
                <w:color w:val="auto"/>
              </w:rPr>
            </w:pPr>
            <w:r>
              <w:rPr>
                <w:rFonts w:ascii="Arial" w:cs="Arial" w:eastAsia="Arial" w:hAnsi="Arial"/>
                <w:sz w:val="12"/>
                <w:szCs w:val="12"/>
                <w:b w:val="1"/>
                <w:bCs w:val="1"/>
                <w:color w:val="auto"/>
              </w:rPr>
              <w:t>81.5%</w:t>
            </w:r>
          </w:p>
        </w:tc>
        <w:tc>
          <w:tcPr>
            <w:tcW w:w="660" w:type="dxa"/>
            <w:vAlign w:val="bottom"/>
            <w:gridSpan w:val="2"/>
            <w:shd w:val="clear" w:color="auto" w:fill="CCEEFF"/>
          </w:tcPr>
          <w:p>
            <w:pPr>
              <w:jc w:val="right"/>
              <w:ind w:right="120"/>
              <w:spacing w:after="0" w:line="119" w:lineRule="exact"/>
              <w:rPr>
                <w:sz w:val="20"/>
                <w:szCs w:val="20"/>
                <w:color w:val="auto"/>
              </w:rPr>
            </w:pPr>
            <w:r>
              <w:rPr>
                <w:rFonts w:ascii="Arial" w:cs="Arial" w:eastAsia="Arial" w:hAnsi="Arial"/>
                <w:sz w:val="12"/>
                <w:szCs w:val="12"/>
                <w:b w:val="1"/>
                <w:bCs w:val="1"/>
                <w:color w:val="auto"/>
              </w:rPr>
              <w:t>82.4%</w:t>
            </w:r>
          </w:p>
        </w:tc>
        <w:tc>
          <w:tcPr>
            <w:tcW w:w="6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2"/>
                <w:szCs w:val="12"/>
                <w:b w:val="1"/>
                <w:bCs w:val="1"/>
                <w:color w:val="auto"/>
              </w:rPr>
              <w:t>81.9%</w:t>
            </w:r>
          </w:p>
        </w:tc>
        <w:tc>
          <w:tcPr>
            <w:tcW w:w="6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80.5%</w:t>
            </w:r>
          </w:p>
        </w:tc>
      </w:tr>
      <w:tr>
        <w:trPr>
          <w:trHeight w:val="126"/>
        </w:trPr>
        <w:tc>
          <w:tcPr>
            <w:tcW w:w="2600" w:type="dxa"/>
            <w:vAlign w:val="bottom"/>
          </w:tcPr>
          <w:p>
            <w:pPr>
              <w:ind w:left="160"/>
              <w:spacing w:after="0" w:line="126" w:lineRule="exact"/>
              <w:rPr>
                <w:sz w:val="20"/>
                <w:szCs w:val="20"/>
                <w:color w:val="auto"/>
              </w:rPr>
            </w:pPr>
            <w:r>
              <w:rPr>
                <w:rFonts w:ascii="Arial" w:cs="Arial" w:eastAsia="Arial" w:hAnsi="Arial"/>
                <w:sz w:val="12"/>
                <w:szCs w:val="12"/>
                <w:b w:val="1"/>
                <w:bCs w:val="1"/>
                <w:color w:val="auto"/>
              </w:rPr>
              <w:t>Wholesale Banking</w:t>
            </w:r>
          </w:p>
        </w:tc>
        <w:tc>
          <w:tcPr>
            <w:tcW w:w="680" w:type="dxa"/>
            <w:vAlign w:val="bottom"/>
            <w:gridSpan w:val="2"/>
          </w:tcPr>
          <w:p>
            <w:pPr>
              <w:jc w:val="right"/>
              <w:ind w:right="240"/>
              <w:spacing w:after="0" w:line="126" w:lineRule="exact"/>
              <w:rPr>
                <w:sz w:val="20"/>
                <w:szCs w:val="20"/>
                <w:color w:val="auto"/>
              </w:rPr>
            </w:pPr>
            <w:r>
              <w:rPr>
                <w:rFonts w:ascii="Arial" w:cs="Arial" w:eastAsia="Arial" w:hAnsi="Arial"/>
                <w:sz w:val="12"/>
                <w:szCs w:val="12"/>
                <w:b w:val="1"/>
                <w:bCs w:val="1"/>
                <w:color w:val="auto"/>
              </w:rPr>
              <w:t>47,658</w:t>
            </w:r>
          </w:p>
        </w:tc>
        <w:tc>
          <w:tcPr>
            <w:tcW w:w="5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51,675</w:t>
            </w:r>
          </w:p>
        </w:tc>
        <w:tc>
          <w:tcPr>
            <w:tcW w:w="960" w:type="dxa"/>
            <w:vAlign w:val="bottom"/>
            <w:gridSpan w:val="3"/>
          </w:tcPr>
          <w:p>
            <w:pPr>
              <w:jc w:val="right"/>
              <w:ind w:right="240"/>
              <w:spacing w:after="0" w:line="126" w:lineRule="exact"/>
              <w:rPr>
                <w:sz w:val="20"/>
                <w:szCs w:val="20"/>
                <w:color w:val="auto"/>
              </w:rPr>
            </w:pPr>
            <w:r>
              <w:rPr>
                <w:rFonts w:ascii="Arial" w:cs="Arial" w:eastAsia="Arial" w:hAnsi="Arial"/>
                <w:sz w:val="12"/>
                <w:szCs w:val="12"/>
                <w:b w:val="1"/>
                <w:bCs w:val="1"/>
                <w:color w:val="auto"/>
              </w:rPr>
              <w:t>49,860</w:t>
            </w:r>
          </w:p>
        </w:tc>
        <w:tc>
          <w:tcPr>
            <w:tcW w:w="660" w:type="dxa"/>
            <w:vAlign w:val="bottom"/>
            <w:gridSpan w:val="2"/>
          </w:tcPr>
          <w:p>
            <w:pPr>
              <w:jc w:val="right"/>
              <w:ind w:right="220"/>
              <w:spacing w:after="0" w:line="126" w:lineRule="exact"/>
              <w:rPr>
                <w:sz w:val="20"/>
                <w:szCs w:val="20"/>
                <w:color w:val="auto"/>
              </w:rPr>
            </w:pPr>
            <w:r>
              <w:rPr>
                <w:rFonts w:ascii="Arial" w:cs="Arial" w:eastAsia="Arial" w:hAnsi="Arial"/>
                <w:sz w:val="12"/>
                <w:szCs w:val="12"/>
                <w:b w:val="1"/>
                <w:bCs w:val="1"/>
                <w:color w:val="auto"/>
              </w:rPr>
              <w:t>44,988</w:t>
            </w:r>
          </w:p>
        </w:tc>
        <w:tc>
          <w:tcPr>
            <w:tcW w:w="620" w:type="dxa"/>
            <w:vAlign w:val="bottom"/>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43,518</w:t>
            </w:r>
          </w:p>
        </w:tc>
        <w:tc>
          <w:tcPr>
            <w:tcW w:w="660" w:type="dxa"/>
            <w:vAlign w:val="bottom"/>
            <w:gridSpan w:val="3"/>
          </w:tcPr>
          <w:p>
            <w:pPr>
              <w:jc w:val="right"/>
              <w:ind w:right="120"/>
              <w:spacing w:after="0" w:line="126" w:lineRule="exact"/>
              <w:rPr>
                <w:sz w:val="20"/>
                <w:szCs w:val="20"/>
                <w:color w:val="auto"/>
              </w:rPr>
            </w:pPr>
            <w:r>
              <w:rPr>
                <w:rFonts w:ascii="Arial" w:cs="Arial" w:eastAsia="Arial" w:hAnsi="Arial"/>
                <w:sz w:val="12"/>
                <w:szCs w:val="12"/>
                <w:b w:val="1"/>
                <w:bCs w:val="1"/>
                <w:color w:val="auto"/>
              </w:rPr>
              <w:t>-3.5%</w:t>
            </w:r>
          </w:p>
        </w:tc>
        <w:tc>
          <w:tcPr>
            <w:tcW w:w="54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4.6%</w:t>
            </w:r>
          </w:p>
        </w:tc>
        <w:tc>
          <w:tcPr>
            <w:tcW w:w="120" w:type="dxa"/>
            <w:vAlign w:val="bottom"/>
          </w:tcPr>
          <w:p>
            <w:pPr>
              <w:spacing w:after="0"/>
              <w:rPr>
                <w:sz w:val="10"/>
                <w:szCs w:val="10"/>
                <w:color w:val="auto"/>
              </w:rPr>
            </w:pPr>
          </w:p>
        </w:tc>
        <w:tc>
          <w:tcPr>
            <w:tcW w:w="64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-3.3%</w:t>
            </w:r>
          </w:p>
        </w:tc>
        <w:tc>
          <w:tcPr>
            <w:tcW w:w="66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-8.7%</w:t>
            </w:r>
          </w:p>
        </w:tc>
        <w:tc>
          <w:tcPr>
            <w:tcW w:w="66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40.9%</w:t>
            </w:r>
          </w:p>
        </w:tc>
        <w:tc>
          <w:tcPr>
            <w:tcW w:w="66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37.7%</w:t>
            </w:r>
          </w:p>
        </w:tc>
        <w:tc>
          <w:tcPr>
            <w:tcW w:w="64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36.5%</w:t>
            </w:r>
          </w:p>
        </w:tc>
        <w:tc>
          <w:tcPr>
            <w:tcW w:w="64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38.8%</w:t>
            </w:r>
          </w:p>
        </w:tc>
      </w:tr>
      <w:tr>
        <w:trPr>
          <w:trHeight w:val="126"/>
        </w:trPr>
        <w:tc>
          <w:tcPr>
            <w:tcW w:w="2600" w:type="dxa"/>
            <w:vAlign w:val="bottom"/>
            <w:shd w:val="clear" w:color="auto" w:fill="CCEEFF"/>
          </w:tcPr>
          <w:p>
            <w:pPr>
              <w:ind w:left="300"/>
              <w:spacing w:after="0" w:line="112" w:lineRule="exact"/>
              <w:rPr>
                <w:sz w:val="20"/>
                <w:szCs w:val="20"/>
                <w:color w:val="auto"/>
              </w:rPr>
            </w:pPr>
            <w:r>
              <w:rPr>
                <w:rFonts w:ascii="Arial" w:cs="Arial" w:eastAsia="Arial" w:hAnsi="Arial"/>
                <w:sz w:val="12"/>
                <w:szCs w:val="12"/>
                <w:color w:val="auto"/>
              </w:rPr>
              <w:t>Corporate</w:t>
            </w:r>
          </w:p>
        </w:tc>
        <w:tc>
          <w:tcPr>
            <w:tcW w:w="680" w:type="dxa"/>
            <w:vAlign w:val="bottom"/>
            <w:gridSpan w:val="2"/>
            <w:shd w:val="clear" w:color="auto" w:fill="CCEEFF"/>
          </w:tcPr>
          <w:p>
            <w:pPr>
              <w:jc w:val="right"/>
              <w:ind w:right="240"/>
              <w:spacing w:after="0" w:line="112" w:lineRule="exact"/>
              <w:rPr>
                <w:sz w:val="20"/>
                <w:szCs w:val="20"/>
                <w:color w:val="auto"/>
              </w:rPr>
            </w:pPr>
            <w:r>
              <w:rPr>
                <w:rFonts w:ascii="Arial" w:cs="Arial" w:eastAsia="Arial" w:hAnsi="Arial"/>
                <w:sz w:val="12"/>
                <w:szCs w:val="12"/>
                <w:color w:val="auto"/>
              </w:rPr>
              <w:t>29,146</w:t>
            </w:r>
          </w:p>
        </w:tc>
        <w:tc>
          <w:tcPr>
            <w:tcW w:w="500" w:type="dxa"/>
            <w:vAlign w:val="bottom"/>
            <w:shd w:val="clear" w:color="auto" w:fill="CCEEFF"/>
          </w:tcPr>
          <w:p>
            <w:pPr>
              <w:jc w:val="right"/>
              <w:spacing w:after="0" w:line="112" w:lineRule="exact"/>
              <w:rPr>
                <w:sz w:val="20"/>
                <w:szCs w:val="20"/>
                <w:color w:val="auto"/>
              </w:rPr>
            </w:pPr>
            <w:r>
              <w:rPr>
                <w:rFonts w:ascii="Arial" w:cs="Arial" w:eastAsia="Arial" w:hAnsi="Arial"/>
                <w:sz w:val="12"/>
                <w:szCs w:val="12"/>
                <w:color w:val="auto"/>
              </w:rPr>
              <w:t>28,522</w:t>
            </w:r>
          </w:p>
        </w:tc>
        <w:tc>
          <w:tcPr>
            <w:tcW w:w="960" w:type="dxa"/>
            <w:vAlign w:val="bottom"/>
            <w:gridSpan w:val="3"/>
            <w:shd w:val="clear" w:color="auto" w:fill="CCEEFF"/>
          </w:tcPr>
          <w:p>
            <w:pPr>
              <w:jc w:val="right"/>
              <w:ind w:right="240"/>
              <w:spacing w:after="0" w:line="112" w:lineRule="exact"/>
              <w:rPr>
                <w:sz w:val="20"/>
                <w:szCs w:val="20"/>
                <w:color w:val="auto"/>
              </w:rPr>
            </w:pPr>
            <w:r>
              <w:rPr>
                <w:rFonts w:ascii="Arial" w:cs="Arial" w:eastAsia="Arial" w:hAnsi="Arial"/>
                <w:sz w:val="12"/>
                <w:szCs w:val="12"/>
                <w:color w:val="auto"/>
              </w:rPr>
              <w:t>27,271</w:t>
            </w:r>
          </w:p>
        </w:tc>
        <w:tc>
          <w:tcPr>
            <w:tcW w:w="6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2"/>
                <w:szCs w:val="12"/>
                <w:color w:val="auto"/>
              </w:rPr>
              <w:t>27,771</w:t>
            </w:r>
          </w:p>
        </w:tc>
        <w:tc>
          <w:tcPr>
            <w:tcW w:w="62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2"/>
                <w:szCs w:val="12"/>
                <w:color w:val="auto"/>
              </w:rPr>
              <w:t>26,621</w:t>
            </w:r>
          </w:p>
        </w:tc>
        <w:tc>
          <w:tcPr>
            <w:tcW w:w="100" w:type="dxa"/>
            <w:vAlign w:val="bottom"/>
            <w:shd w:val="clear" w:color="auto" w:fill="F17EC7"/>
          </w:tcPr>
          <w:p>
            <w:pPr>
              <w:spacing w:after="0"/>
              <w:rPr>
                <w:sz w:val="10"/>
                <w:szCs w:val="10"/>
                <w:color w:val="auto"/>
              </w:rPr>
            </w:pPr>
          </w:p>
        </w:tc>
        <w:tc>
          <w:tcPr>
            <w:tcW w:w="560" w:type="dxa"/>
            <w:vAlign w:val="bottom"/>
            <w:gridSpan w:val="2"/>
            <w:shd w:val="clear" w:color="auto" w:fill="F17EC7"/>
          </w:tcPr>
          <w:p>
            <w:pPr>
              <w:jc w:val="right"/>
              <w:ind w:right="140"/>
              <w:spacing w:after="0" w:line="112" w:lineRule="exact"/>
              <w:rPr>
                <w:sz w:val="20"/>
                <w:szCs w:val="20"/>
                <w:color w:val="auto"/>
              </w:rPr>
            </w:pPr>
            <w:r>
              <w:rPr>
                <w:rFonts w:ascii="Arial" w:cs="Arial" w:eastAsia="Arial" w:hAnsi="Arial"/>
                <w:sz w:val="12"/>
                <w:szCs w:val="12"/>
                <w:color w:val="auto"/>
              </w:rPr>
              <w:t>-4.4%</w:t>
            </w:r>
          </w:p>
        </w:tc>
        <w:tc>
          <w:tcPr>
            <w:tcW w:w="540" w:type="dxa"/>
            <w:vAlign w:val="bottom"/>
            <w:gridSpan w:val="2"/>
            <w:shd w:val="clear" w:color="auto" w:fill="F17EC7"/>
          </w:tcPr>
          <w:p>
            <w:pPr>
              <w:jc w:val="right"/>
              <w:ind w:right="20"/>
              <w:spacing w:after="0" w:line="112" w:lineRule="exact"/>
              <w:rPr>
                <w:sz w:val="20"/>
                <w:szCs w:val="20"/>
                <w:color w:val="auto"/>
              </w:rPr>
            </w:pPr>
            <w:r>
              <w:rPr>
                <w:rFonts w:ascii="Arial" w:cs="Arial" w:eastAsia="Arial" w:hAnsi="Arial"/>
                <w:sz w:val="12"/>
                <w:szCs w:val="12"/>
                <w:color w:val="auto"/>
              </w:rPr>
              <w:t>-6.4%</w:t>
            </w:r>
          </w:p>
        </w:tc>
        <w:tc>
          <w:tcPr>
            <w:tcW w:w="120" w:type="dxa"/>
            <w:vAlign w:val="bottom"/>
            <w:shd w:val="clear" w:color="auto" w:fill="F17EC7"/>
          </w:tcPr>
          <w:p>
            <w:pPr>
              <w:spacing w:after="0"/>
              <w:rPr>
                <w:sz w:val="10"/>
                <w:szCs w:val="10"/>
                <w:color w:val="auto"/>
              </w:rPr>
            </w:pPr>
          </w:p>
        </w:tc>
        <w:tc>
          <w:tcPr>
            <w:tcW w:w="640" w:type="dxa"/>
            <w:vAlign w:val="bottom"/>
            <w:gridSpan w:val="2"/>
            <w:shd w:val="clear" w:color="auto" w:fill="F17EC7"/>
          </w:tcPr>
          <w:p>
            <w:pPr>
              <w:jc w:val="right"/>
              <w:ind w:right="120"/>
              <w:spacing w:after="0" w:line="112" w:lineRule="exact"/>
              <w:rPr>
                <w:sz w:val="20"/>
                <w:szCs w:val="20"/>
                <w:color w:val="auto"/>
              </w:rPr>
            </w:pPr>
            <w:r>
              <w:rPr>
                <w:rFonts w:ascii="Arial" w:cs="Arial" w:eastAsia="Arial" w:hAnsi="Arial"/>
                <w:sz w:val="12"/>
                <w:szCs w:val="12"/>
                <w:color w:val="auto"/>
              </w:rPr>
              <w:t>-4.1%</w:t>
            </w:r>
          </w:p>
        </w:tc>
        <w:tc>
          <w:tcPr>
            <w:tcW w:w="660" w:type="dxa"/>
            <w:vAlign w:val="bottom"/>
            <w:gridSpan w:val="2"/>
            <w:shd w:val="clear" w:color="auto" w:fill="F17EC7"/>
          </w:tcPr>
          <w:p>
            <w:pPr>
              <w:jc w:val="right"/>
              <w:ind w:right="120"/>
              <w:spacing w:after="0" w:line="112" w:lineRule="exact"/>
              <w:rPr>
                <w:sz w:val="20"/>
                <w:szCs w:val="20"/>
                <w:color w:val="auto"/>
              </w:rPr>
            </w:pPr>
            <w:r>
              <w:rPr>
                <w:rFonts w:ascii="Arial" w:cs="Arial" w:eastAsia="Arial" w:hAnsi="Arial"/>
                <w:sz w:val="12"/>
                <w:szCs w:val="12"/>
                <w:color w:val="auto"/>
              </w:rPr>
              <w:t>-8.7%</w:t>
            </w:r>
          </w:p>
        </w:tc>
        <w:tc>
          <w:tcPr>
            <w:tcW w:w="6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2"/>
                <w:szCs w:val="12"/>
                <w:color w:val="auto"/>
              </w:rPr>
              <w:t>25.0%</w:t>
            </w:r>
          </w:p>
        </w:tc>
        <w:tc>
          <w:tcPr>
            <w:tcW w:w="6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2"/>
                <w:szCs w:val="12"/>
                <w:color w:val="auto"/>
              </w:rPr>
              <w:t>20.8%</w:t>
            </w:r>
          </w:p>
        </w:tc>
        <w:tc>
          <w:tcPr>
            <w:tcW w:w="6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2"/>
                <w:szCs w:val="12"/>
                <w:color w:val="auto"/>
              </w:rPr>
              <w:t>19.9%</w:t>
            </w:r>
          </w:p>
        </w:tc>
        <w:tc>
          <w:tcPr>
            <w:tcW w:w="64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2"/>
                <w:szCs w:val="12"/>
                <w:color w:val="auto"/>
              </w:rPr>
              <w:t>23.7%</w:t>
            </w:r>
          </w:p>
        </w:tc>
      </w:tr>
      <w:tr>
        <w:trPr>
          <w:trHeight w:val="126"/>
        </w:trPr>
        <w:tc>
          <w:tcPr>
            <w:tcW w:w="2600" w:type="dxa"/>
            <w:vAlign w:val="bottom"/>
          </w:tcPr>
          <w:p>
            <w:pPr>
              <w:ind w:left="300"/>
              <w:spacing w:after="0" w:line="126" w:lineRule="exact"/>
              <w:rPr>
                <w:sz w:val="20"/>
                <w:szCs w:val="20"/>
                <w:color w:val="auto"/>
              </w:rPr>
            </w:pPr>
            <w:r>
              <w:rPr>
                <w:rFonts w:ascii="Arial" w:cs="Arial" w:eastAsia="Arial" w:hAnsi="Arial"/>
                <w:sz w:val="12"/>
                <w:szCs w:val="12"/>
                <w:color w:val="auto"/>
              </w:rPr>
              <w:t>Middle - Market</w:t>
            </w:r>
          </w:p>
        </w:tc>
        <w:tc>
          <w:tcPr>
            <w:tcW w:w="680" w:type="dxa"/>
            <w:vAlign w:val="bottom"/>
            <w:gridSpan w:val="2"/>
          </w:tcPr>
          <w:p>
            <w:pPr>
              <w:jc w:val="right"/>
              <w:ind w:right="240"/>
              <w:spacing w:after="0" w:line="126" w:lineRule="exact"/>
              <w:rPr>
                <w:sz w:val="20"/>
                <w:szCs w:val="20"/>
                <w:color w:val="auto"/>
              </w:rPr>
            </w:pPr>
            <w:r>
              <w:rPr>
                <w:rFonts w:ascii="Arial" w:cs="Arial" w:eastAsia="Arial" w:hAnsi="Arial"/>
                <w:sz w:val="12"/>
                <w:szCs w:val="12"/>
                <w:color w:val="auto"/>
              </w:rPr>
              <w:t>18,511</w:t>
            </w:r>
          </w:p>
        </w:tc>
        <w:tc>
          <w:tcPr>
            <w:tcW w:w="500" w:type="dxa"/>
            <w:vAlign w:val="bottom"/>
          </w:tcPr>
          <w:p>
            <w:pPr>
              <w:jc w:val="right"/>
              <w:spacing w:after="0" w:line="126" w:lineRule="exact"/>
              <w:rPr>
                <w:sz w:val="20"/>
                <w:szCs w:val="20"/>
                <w:color w:val="auto"/>
              </w:rPr>
            </w:pPr>
            <w:r>
              <w:rPr>
                <w:rFonts w:ascii="Arial" w:cs="Arial" w:eastAsia="Arial" w:hAnsi="Arial"/>
                <w:sz w:val="12"/>
                <w:szCs w:val="12"/>
                <w:color w:val="auto"/>
              </w:rPr>
              <w:t>23,153</w:t>
            </w:r>
          </w:p>
        </w:tc>
        <w:tc>
          <w:tcPr>
            <w:tcW w:w="960" w:type="dxa"/>
            <w:vAlign w:val="bottom"/>
            <w:gridSpan w:val="3"/>
          </w:tcPr>
          <w:p>
            <w:pPr>
              <w:jc w:val="right"/>
              <w:ind w:right="240"/>
              <w:spacing w:after="0" w:line="126" w:lineRule="exact"/>
              <w:rPr>
                <w:sz w:val="20"/>
                <w:szCs w:val="20"/>
                <w:color w:val="auto"/>
              </w:rPr>
            </w:pPr>
            <w:r>
              <w:rPr>
                <w:rFonts w:ascii="Arial" w:cs="Arial" w:eastAsia="Arial" w:hAnsi="Arial"/>
                <w:sz w:val="12"/>
                <w:szCs w:val="12"/>
                <w:color w:val="auto"/>
              </w:rPr>
              <w:t>22,590</w:t>
            </w:r>
          </w:p>
        </w:tc>
        <w:tc>
          <w:tcPr>
            <w:tcW w:w="660" w:type="dxa"/>
            <w:vAlign w:val="bottom"/>
            <w:gridSpan w:val="2"/>
          </w:tcPr>
          <w:p>
            <w:pPr>
              <w:jc w:val="right"/>
              <w:ind w:right="220"/>
              <w:spacing w:after="0" w:line="126" w:lineRule="exact"/>
              <w:rPr>
                <w:sz w:val="20"/>
                <w:szCs w:val="20"/>
                <w:color w:val="auto"/>
              </w:rPr>
            </w:pPr>
            <w:r>
              <w:rPr>
                <w:rFonts w:ascii="Arial" w:cs="Arial" w:eastAsia="Arial" w:hAnsi="Arial"/>
                <w:sz w:val="12"/>
                <w:szCs w:val="12"/>
                <w:color w:val="auto"/>
              </w:rPr>
              <w:t>17,216</w:t>
            </w:r>
          </w:p>
        </w:tc>
        <w:tc>
          <w:tcPr>
            <w:tcW w:w="620" w:type="dxa"/>
            <w:vAlign w:val="bottom"/>
            <w:gridSpan w:val="2"/>
          </w:tcPr>
          <w:p>
            <w:pPr>
              <w:jc w:val="right"/>
              <w:ind w:right="200"/>
              <w:spacing w:after="0" w:line="126" w:lineRule="exact"/>
              <w:rPr>
                <w:sz w:val="20"/>
                <w:szCs w:val="20"/>
                <w:color w:val="auto"/>
              </w:rPr>
            </w:pPr>
            <w:r>
              <w:rPr>
                <w:rFonts w:ascii="Arial" w:cs="Arial" w:eastAsia="Arial" w:hAnsi="Arial"/>
                <w:sz w:val="12"/>
                <w:szCs w:val="12"/>
                <w:color w:val="auto"/>
              </w:rPr>
              <w:t>16,898</w:t>
            </w:r>
          </w:p>
        </w:tc>
        <w:tc>
          <w:tcPr>
            <w:tcW w:w="100" w:type="dxa"/>
            <w:vAlign w:val="bottom"/>
            <w:shd w:val="clear" w:color="auto" w:fill="F17EC7"/>
          </w:tcPr>
          <w:p>
            <w:pPr>
              <w:spacing w:after="0"/>
              <w:rPr>
                <w:sz w:val="10"/>
                <w:szCs w:val="10"/>
                <w:color w:val="auto"/>
              </w:rPr>
            </w:pPr>
          </w:p>
        </w:tc>
        <w:tc>
          <w:tcPr>
            <w:tcW w:w="560" w:type="dxa"/>
            <w:vAlign w:val="bottom"/>
            <w:gridSpan w:val="2"/>
            <w:shd w:val="clear" w:color="auto" w:fill="F17EC7"/>
          </w:tcPr>
          <w:p>
            <w:pPr>
              <w:jc w:val="right"/>
              <w:ind w:right="140"/>
              <w:spacing w:after="0" w:line="126" w:lineRule="exact"/>
              <w:rPr>
                <w:sz w:val="20"/>
                <w:szCs w:val="20"/>
                <w:color w:val="auto"/>
              </w:rPr>
            </w:pPr>
            <w:r>
              <w:rPr>
                <w:rFonts w:ascii="Arial" w:cs="Arial" w:eastAsia="Arial" w:hAnsi="Arial"/>
                <w:sz w:val="12"/>
                <w:szCs w:val="12"/>
                <w:color w:val="auto"/>
              </w:rPr>
              <w:t>-2.4%</w:t>
            </w:r>
          </w:p>
        </w:tc>
        <w:tc>
          <w:tcPr>
            <w:tcW w:w="540" w:type="dxa"/>
            <w:vAlign w:val="bottom"/>
            <w:gridSpan w:val="2"/>
            <w:shd w:val="clear" w:color="auto" w:fill="66E0DA"/>
          </w:tcPr>
          <w:p>
            <w:pPr>
              <w:jc w:val="right"/>
              <w:ind w:right="20"/>
              <w:spacing w:after="0" w:line="126" w:lineRule="exact"/>
              <w:rPr>
                <w:sz w:val="20"/>
                <w:szCs w:val="20"/>
                <w:color w:val="auto"/>
              </w:rPr>
            </w:pPr>
            <w:r>
              <w:rPr>
                <w:rFonts w:ascii="Arial" w:cs="Arial" w:eastAsia="Arial" w:hAnsi="Arial"/>
                <w:sz w:val="12"/>
                <w:szCs w:val="12"/>
                <w:color w:val="auto"/>
              </w:rPr>
              <w:t>22.0%</w:t>
            </w:r>
          </w:p>
        </w:tc>
        <w:tc>
          <w:tcPr>
            <w:tcW w:w="120" w:type="dxa"/>
            <w:vAlign w:val="bottom"/>
            <w:shd w:val="clear" w:color="auto" w:fill="66E0DA"/>
          </w:tcPr>
          <w:p>
            <w:pPr>
              <w:spacing w:after="0"/>
              <w:rPr>
                <w:sz w:val="10"/>
                <w:szCs w:val="10"/>
                <w:color w:val="auto"/>
              </w:rPr>
            </w:pPr>
          </w:p>
        </w:tc>
        <w:tc>
          <w:tcPr>
            <w:tcW w:w="6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-1.9%</w:t>
            </w:r>
          </w:p>
        </w:tc>
        <w:tc>
          <w:tcPr>
            <w:tcW w:w="660" w:type="dxa"/>
            <w:vAlign w:val="bottom"/>
            <w:gridSpan w:val="2"/>
            <w:shd w:val="clear" w:color="auto" w:fill="F17EC7"/>
          </w:tcPr>
          <w:p>
            <w:pPr>
              <w:jc w:val="right"/>
              <w:ind w:right="120"/>
              <w:spacing w:after="0" w:line="126" w:lineRule="exact"/>
              <w:rPr>
                <w:sz w:val="20"/>
                <w:szCs w:val="20"/>
                <w:color w:val="auto"/>
              </w:rPr>
            </w:pPr>
            <w:r>
              <w:rPr>
                <w:rFonts w:ascii="Arial" w:cs="Arial" w:eastAsia="Arial" w:hAnsi="Arial"/>
                <w:sz w:val="12"/>
                <w:szCs w:val="12"/>
                <w:color w:val="auto"/>
              </w:rPr>
              <w:t>-8.7%</w:t>
            </w:r>
          </w:p>
        </w:tc>
        <w:tc>
          <w:tcPr>
            <w:tcW w:w="6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15.9%</w:t>
            </w:r>
          </w:p>
        </w:tc>
        <w:tc>
          <w:tcPr>
            <w:tcW w:w="66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16.9%</w:t>
            </w:r>
          </w:p>
        </w:tc>
        <w:tc>
          <w:tcPr>
            <w:tcW w:w="6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16.5%</w:t>
            </w:r>
          </w:p>
        </w:tc>
        <w:tc>
          <w:tcPr>
            <w:tcW w:w="64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15.1%</w:t>
            </w:r>
          </w:p>
        </w:tc>
      </w:tr>
      <w:tr>
        <w:trPr>
          <w:trHeight w:val="126"/>
        </w:trPr>
        <w:tc>
          <w:tcPr>
            <w:tcW w:w="2600" w:type="dxa"/>
            <w:vAlign w:val="bottom"/>
            <w:shd w:val="clear" w:color="auto" w:fill="CCEEFF"/>
          </w:tcPr>
          <w:p>
            <w:pPr>
              <w:ind w:left="160"/>
              <w:spacing w:after="0" w:line="126" w:lineRule="exact"/>
              <w:rPr>
                <w:sz w:val="20"/>
                <w:szCs w:val="20"/>
                <w:color w:val="auto"/>
              </w:rPr>
            </w:pPr>
            <w:r>
              <w:rPr>
                <w:rFonts w:ascii="Arial" w:cs="Arial" w:eastAsia="Arial" w:hAnsi="Arial"/>
                <w:sz w:val="12"/>
                <w:szCs w:val="12"/>
                <w:b w:val="1"/>
                <w:bCs w:val="1"/>
                <w:color w:val="auto"/>
              </w:rPr>
              <w:t>Retail Banking</w:t>
            </w:r>
          </w:p>
        </w:tc>
        <w:tc>
          <w:tcPr>
            <w:tcW w:w="68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b w:val="1"/>
                <w:bCs w:val="1"/>
                <w:color w:val="auto"/>
              </w:rPr>
              <w:t>47,425</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61,306</w:t>
            </w:r>
          </w:p>
        </w:tc>
        <w:tc>
          <w:tcPr>
            <w:tcW w:w="960" w:type="dxa"/>
            <w:vAlign w:val="bottom"/>
            <w:gridSpan w:val="3"/>
            <w:shd w:val="clear" w:color="auto" w:fill="CCEEFF"/>
          </w:tcPr>
          <w:p>
            <w:pPr>
              <w:jc w:val="right"/>
              <w:ind w:right="240"/>
              <w:spacing w:after="0" w:line="126" w:lineRule="exact"/>
              <w:rPr>
                <w:sz w:val="20"/>
                <w:szCs w:val="20"/>
                <w:color w:val="auto"/>
              </w:rPr>
            </w:pPr>
            <w:r>
              <w:rPr>
                <w:rFonts w:ascii="Arial" w:cs="Arial" w:eastAsia="Arial" w:hAnsi="Arial"/>
                <w:sz w:val="12"/>
                <w:szCs w:val="12"/>
                <w:b w:val="1"/>
                <w:bCs w:val="1"/>
                <w:color w:val="auto"/>
              </w:rPr>
              <w:t>62,109</w:t>
            </w:r>
          </w:p>
        </w:tc>
        <w:tc>
          <w:tcPr>
            <w:tcW w:w="66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b w:val="1"/>
                <w:bCs w:val="1"/>
                <w:color w:val="auto"/>
              </w:rPr>
              <w:t>46,088</w:t>
            </w:r>
          </w:p>
        </w:tc>
        <w:tc>
          <w:tcPr>
            <w:tcW w:w="62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b w:val="1"/>
                <w:bCs w:val="1"/>
                <w:color w:val="auto"/>
              </w:rPr>
              <w:t>46,801</w:t>
            </w:r>
          </w:p>
        </w:tc>
        <w:tc>
          <w:tcPr>
            <w:tcW w:w="660" w:type="dxa"/>
            <w:vAlign w:val="bottom"/>
            <w:gridSpan w:val="3"/>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1.3%</w:t>
            </w:r>
          </w:p>
        </w:tc>
        <w:tc>
          <w:tcPr>
            <w:tcW w:w="5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31.0%</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1.5%</w:t>
            </w:r>
          </w:p>
        </w:tc>
        <w:tc>
          <w:tcPr>
            <w:tcW w:w="6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-1.3%</w:t>
            </w:r>
          </w:p>
        </w:tc>
        <w:tc>
          <w:tcPr>
            <w:tcW w:w="6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40.7%</w:t>
            </w:r>
          </w:p>
        </w:tc>
        <w:tc>
          <w:tcPr>
            <w:tcW w:w="6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44.7%</w:t>
            </w:r>
          </w:p>
        </w:tc>
        <w:tc>
          <w:tcPr>
            <w:tcW w:w="6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45.4%</w:t>
            </w:r>
          </w:p>
        </w:tc>
        <w:tc>
          <w:tcPr>
            <w:tcW w:w="6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41.7%</w:t>
            </w:r>
          </w:p>
        </w:tc>
      </w:tr>
      <w:tr>
        <w:trPr>
          <w:trHeight w:val="126"/>
        </w:trPr>
        <w:tc>
          <w:tcPr>
            <w:tcW w:w="2600" w:type="dxa"/>
            <w:vAlign w:val="bottom"/>
          </w:tcPr>
          <w:p>
            <w:pPr>
              <w:ind w:left="300"/>
              <w:spacing w:after="0" w:line="112" w:lineRule="exact"/>
              <w:rPr>
                <w:sz w:val="20"/>
                <w:szCs w:val="20"/>
                <w:color w:val="auto"/>
              </w:rPr>
            </w:pPr>
            <w:r>
              <w:rPr>
                <w:rFonts w:ascii="Arial" w:cs="Arial" w:eastAsia="Arial" w:hAnsi="Arial"/>
                <w:sz w:val="12"/>
                <w:szCs w:val="12"/>
                <w:color w:val="auto"/>
              </w:rPr>
              <w:t>SME - Business</w:t>
            </w:r>
          </w:p>
        </w:tc>
        <w:tc>
          <w:tcPr>
            <w:tcW w:w="680" w:type="dxa"/>
            <w:vAlign w:val="bottom"/>
            <w:gridSpan w:val="2"/>
          </w:tcPr>
          <w:p>
            <w:pPr>
              <w:jc w:val="right"/>
              <w:ind w:right="240"/>
              <w:spacing w:after="0" w:line="112" w:lineRule="exact"/>
              <w:rPr>
                <w:sz w:val="20"/>
                <w:szCs w:val="20"/>
                <w:color w:val="auto"/>
              </w:rPr>
            </w:pPr>
            <w:r>
              <w:rPr>
                <w:rFonts w:ascii="Arial" w:cs="Arial" w:eastAsia="Arial" w:hAnsi="Arial"/>
                <w:sz w:val="12"/>
                <w:szCs w:val="12"/>
                <w:color w:val="auto"/>
              </w:rPr>
              <w:t>5,456</w:t>
            </w:r>
          </w:p>
        </w:tc>
        <w:tc>
          <w:tcPr>
            <w:tcW w:w="500" w:type="dxa"/>
            <w:vAlign w:val="bottom"/>
          </w:tcPr>
          <w:p>
            <w:pPr>
              <w:jc w:val="right"/>
              <w:spacing w:after="0" w:line="112" w:lineRule="exact"/>
              <w:rPr>
                <w:sz w:val="20"/>
                <w:szCs w:val="20"/>
                <w:color w:val="auto"/>
              </w:rPr>
            </w:pPr>
            <w:r>
              <w:rPr>
                <w:rFonts w:ascii="Arial" w:cs="Arial" w:eastAsia="Arial" w:hAnsi="Arial"/>
                <w:sz w:val="12"/>
                <w:szCs w:val="12"/>
                <w:color w:val="auto"/>
              </w:rPr>
              <w:t>10,893</w:t>
            </w:r>
          </w:p>
        </w:tc>
        <w:tc>
          <w:tcPr>
            <w:tcW w:w="960" w:type="dxa"/>
            <w:vAlign w:val="bottom"/>
            <w:gridSpan w:val="3"/>
          </w:tcPr>
          <w:p>
            <w:pPr>
              <w:jc w:val="right"/>
              <w:ind w:right="240"/>
              <w:spacing w:after="0" w:line="112" w:lineRule="exact"/>
              <w:rPr>
                <w:sz w:val="20"/>
                <w:szCs w:val="20"/>
                <w:color w:val="auto"/>
              </w:rPr>
            </w:pPr>
            <w:r>
              <w:rPr>
                <w:rFonts w:ascii="Arial" w:cs="Arial" w:eastAsia="Arial" w:hAnsi="Arial"/>
                <w:sz w:val="12"/>
                <w:szCs w:val="12"/>
                <w:color w:val="auto"/>
              </w:rPr>
              <w:t>10,793</w:t>
            </w:r>
          </w:p>
        </w:tc>
        <w:tc>
          <w:tcPr>
            <w:tcW w:w="660" w:type="dxa"/>
            <w:vAlign w:val="bottom"/>
            <w:gridSpan w:val="2"/>
          </w:tcPr>
          <w:p>
            <w:pPr>
              <w:jc w:val="right"/>
              <w:ind w:right="220"/>
              <w:spacing w:after="0" w:line="112" w:lineRule="exact"/>
              <w:rPr>
                <w:sz w:val="20"/>
                <w:szCs w:val="20"/>
                <w:color w:val="auto"/>
              </w:rPr>
            </w:pPr>
            <w:r>
              <w:rPr>
                <w:rFonts w:ascii="Arial" w:cs="Arial" w:eastAsia="Arial" w:hAnsi="Arial"/>
                <w:sz w:val="12"/>
                <w:szCs w:val="12"/>
                <w:color w:val="auto"/>
              </w:rPr>
              <w:t>4,652</w:t>
            </w:r>
          </w:p>
        </w:tc>
        <w:tc>
          <w:tcPr>
            <w:tcW w:w="420" w:type="dxa"/>
            <w:vAlign w:val="bottom"/>
          </w:tcPr>
          <w:p>
            <w:pPr>
              <w:jc w:val="right"/>
              <w:spacing w:after="0" w:line="112" w:lineRule="exact"/>
              <w:rPr>
                <w:sz w:val="20"/>
                <w:szCs w:val="20"/>
                <w:color w:val="auto"/>
              </w:rPr>
            </w:pPr>
            <w:r>
              <w:rPr>
                <w:rFonts w:ascii="Arial" w:cs="Arial" w:eastAsia="Arial" w:hAnsi="Arial"/>
                <w:sz w:val="12"/>
                <w:szCs w:val="12"/>
                <w:color w:val="auto"/>
              </w:rPr>
              <w:t>4,287</w:t>
            </w:r>
          </w:p>
        </w:tc>
        <w:tc>
          <w:tcPr>
            <w:tcW w:w="200" w:type="dxa"/>
            <w:vAlign w:val="bottom"/>
          </w:tcPr>
          <w:p>
            <w:pPr>
              <w:spacing w:after="0"/>
              <w:rPr>
                <w:sz w:val="10"/>
                <w:szCs w:val="10"/>
                <w:color w:val="auto"/>
              </w:rPr>
            </w:pPr>
          </w:p>
        </w:tc>
        <w:tc>
          <w:tcPr>
            <w:tcW w:w="660" w:type="dxa"/>
            <w:vAlign w:val="bottom"/>
            <w:gridSpan w:val="3"/>
          </w:tcPr>
          <w:p>
            <w:pPr>
              <w:jc w:val="right"/>
              <w:ind w:right="140"/>
              <w:spacing w:after="0" w:line="112" w:lineRule="exact"/>
              <w:rPr>
                <w:sz w:val="20"/>
                <w:szCs w:val="20"/>
                <w:color w:val="auto"/>
              </w:rPr>
            </w:pPr>
            <w:r>
              <w:rPr>
                <w:rFonts w:ascii="Arial" w:cs="Arial" w:eastAsia="Arial" w:hAnsi="Arial"/>
                <w:sz w:val="12"/>
                <w:szCs w:val="12"/>
                <w:color w:val="auto"/>
              </w:rPr>
              <w:t>-0.9%</w:t>
            </w:r>
          </w:p>
        </w:tc>
        <w:tc>
          <w:tcPr>
            <w:tcW w:w="540" w:type="dxa"/>
            <w:vAlign w:val="bottom"/>
            <w:gridSpan w:val="2"/>
            <w:shd w:val="clear" w:color="auto" w:fill="66E0DA"/>
          </w:tcPr>
          <w:p>
            <w:pPr>
              <w:jc w:val="right"/>
              <w:ind w:right="20"/>
              <w:spacing w:after="0" w:line="112" w:lineRule="exact"/>
              <w:rPr>
                <w:sz w:val="20"/>
                <w:szCs w:val="20"/>
                <w:color w:val="auto"/>
              </w:rPr>
            </w:pPr>
            <w:r>
              <w:rPr>
                <w:rFonts w:ascii="Arial" w:cs="Arial" w:eastAsia="Arial" w:hAnsi="Arial"/>
                <w:sz w:val="12"/>
                <w:szCs w:val="12"/>
                <w:color w:val="auto"/>
              </w:rPr>
              <w:t>97.8%</w:t>
            </w:r>
          </w:p>
        </w:tc>
        <w:tc>
          <w:tcPr>
            <w:tcW w:w="120" w:type="dxa"/>
            <w:vAlign w:val="bottom"/>
            <w:shd w:val="clear" w:color="auto" w:fill="66E0DA"/>
          </w:tcPr>
          <w:p>
            <w:pPr>
              <w:spacing w:after="0"/>
              <w:rPr>
                <w:sz w:val="10"/>
                <w:szCs w:val="10"/>
                <w:color w:val="auto"/>
              </w:rPr>
            </w:pP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2"/>
                <w:szCs w:val="12"/>
                <w:color w:val="auto"/>
              </w:rPr>
              <w:t>-7.8%</w:t>
            </w:r>
          </w:p>
        </w:tc>
        <w:tc>
          <w:tcPr>
            <w:tcW w:w="660" w:type="dxa"/>
            <w:vAlign w:val="bottom"/>
            <w:gridSpan w:val="2"/>
            <w:shd w:val="clear" w:color="auto" w:fill="F17EC7"/>
          </w:tcPr>
          <w:p>
            <w:pPr>
              <w:jc w:val="right"/>
              <w:ind w:right="120"/>
              <w:spacing w:after="0" w:line="112" w:lineRule="exact"/>
              <w:rPr>
                <w:sz w:val="20"/>
                <w:szCs w:val="20"/>
                <w:color w:val="auto"/>
              </w:rPr>
            </w:pPr>
            <w:r>
              <w:rPr>
                <w:rFonts w:ascii="Arial" w:cs="Arial" w:eastAsia="Arial" w:hAnsi="Arial"/>
                <w:sz w:val="12"/>
                <w:szCs w:val="12"/>
                <w:color w:val="auto"/>
              </w:rPr>
              <w:t>-21.4%</w:t>
            </w:r>
          </w:p>
        </w:tc>
        <w:tc>
          <w:tcPr>
            <w:tcW w:w="660" w:type="dxa"/>
            <w:vAlign w:val="bottom"/>
            <w:gridSpan w:val="2"/>
          </w:tcPr>
          <w:p>
            <w:pPr>
              <w:jc w:val="right"/>
              <w:ind w:right="140"/>
              <w:spacing w:after="0" w:line="112" w:lineRule="exact"/>
              <w:rPr>
                <w:sz w:val="20"/>
                <w:szCs w:val="20"/>
                <w:color w:val="auto"/>
              </w:rPr>
            </w:pPr>
            <w:r>
              <w:rPr>
                <w:rFonts w:ascii="Arial" w:cs="Arial" w:eastAsia="Arial" w:hAnsi="Arial"/>
                <w:sz w:val="12"/>
                <w:szCs w:val="12"/>
                <w:color w:val="auto"/>
              </w:rPr>
              <w:t>4.7%</w:t>
            </w:r>
          </w:p>
        </w:tc>
        <w:tc>
          <w:tcPr>
            <w:tcW w:w="660" w:type="dxa"/>
            <w:vAlign w:val="bottom"/>
            <w:gridSpan w:val="2"/>
          </w:tcPr>
          <w:p>
            <w:pPr>
              <w:jc w:val="right"/>
              <w:ind w:right="140"/>
              <w:spacing w:after="0" w:line="112" w:lineRule="exact"/>
              <w:rPr>
                <w:sz w:val="20"/>
                <w:szCs w:val="20"/>
                <w:color w:val="auto"/>
              </w:rPr>
            </w:pPr>
            <w:r>
              <w:rPr>
                <w:rFonts w:ascii="Arial" w:cs="Arial" w:eastAsia="Arial" w:hAnsi="Arial"/>
                <w:sz w:val="12"/>
                <w:szCs w:val="12"/>
                <w:color w:val="auto"/>
              </w:rPr>
              <w:t>7.9%</w:t>
            </w: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2"/>
                <w:szCs w:val="12"/>
                <w:color w:val="auto"/>
              </w:rPr>
              <w:t>7.9%</w:t>
            </w:r>
          </w:p>
        </w:tc>
        <w:tc>
          <w:tcPr>
            <w:tcW w:w="640" w:type="dxa"/>
            <w:vAlign w:val="bottom"/>
            <w:gridSpan w:val="2"/>
          </w:tcPr>
          <w:p>
            <w:pPr>
              <w:jc w:val="right"/>
              <w:ind w:right="20"/>
              <w:spacing w:after="0" w:line="112" w:lineRule="exact"/>
              <w:rPr>
                <w:sz w:val="20"/>
                <w:szCs w:val="20"/>
                <w:color w:val="auto"/>
              </w:rPr>
            </w:pPr>
            <w:r>
              <w:rPr>
                <w:rFonts w:ascii="Arial" w:cs="Arial" w:eastAsia="Arial" w:hAnsi="Arial"/>
                <w:sz w:val="12"/>
                <w:szCs w:val="12"/>
                <w:color w:val="auto"/>
              </w:rPr>
              <w:t>3.8%</w:t>
            </w:r>
          </w:p>
        </w:tc>
      </w:tr>
      <w:tr>
        <w:trPr>
          <w:trHeight w:val="126"/>
        </w:trPr>
        <w:tc>
          <w:tcPr>
            <w:tcW w:w="2600" w:type="dxa"/>
            <w:vAlign w:val="bottom"/>
            <w:shd w:val="clear" w:color="auto" w:fill="CCEEFF"/>
          </w:tcPr>
          <w:p>
            <w:pPr>
              <w:ind w:left="300"/>
              <w:spacing w:after="0" w:line="126" w:lineRule="exact"/>
              <w:rPr>
                <w:sz w:val="20"/>
                <w:szCs w:val="20"/>
                <w:color w:val="auto"/>
              </w:rPr>
            </w:pPr>
            <w:r>
              <w:rPr>
                <w:rFonts w:ascii="Arial" w:cs="Arial" w:eastAsia="Arial" w:hAnsi="Arial"/>
                <w:sz w:val="12"/>
                <w:szCs w:val="12"/>
                <w:color w:val="auto"/>
              </w:rPr>
              <w:t>SME - Pyme</w:t>
            </w:r>
          </w:p>
        </w:tc>
        <w:tc>
          <w:tcPr>
            <w:tcW w:w="68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10,330</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19,239</w:t>
            </w:r>
          </w:p>
        </w:tc>
        <w:tc>
          <w:tcPr>
            <w:tcW w:w="960" w:type="dxa"/>
            <w:vAlign w:val="bottom"/>
            <w:gridSpan w:val="3"/>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19,562</w:t>
            </w:r>
          </w:p>
        </w:tc>
        <w:tc>
          <w:tcPr>
            <w:tcW w:w="66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color w:val="auto"/>
              </w:rPr>
              <w:t>10,262</w:t>
            </w:r>
          </w:p>
        </w:tc>
        <w:tc>
          <w:tcPr>
            <w:tcW w:w="62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10,760</w:t>
            </w:r>
          </w:p>
        </w:tc>
        <w:tc>
          <w:tcPr>
            <w:tcW w:w="660" w:type="dxa"/>
            <w:vAlign w:val="bottom"/>
            <w:gridSpan w:val="3"/>
            <w:shd w:val="clear" w:color="auto" w:fill="CCEEFF"/>
          </w:tcPr>
          <w:p>
            <w:pPr>
              <w:jc w:val="right"/>
              <w:ind w:right="140"/>
              <w:spacing w:after="0" w:line="126" w:lineRule="exact"/>
              <w:rPr>
                <w:sz w:val="20"/>
                <w:szCs w:val="20"/>
                <w:color w:val="auto"/>
              </w:rPr>
            </w:pPr>
            <w:r>
              <w:rPr>
                <w:rFonts w:ascii="Arial" w:cs="Arial" w:eastAsia="Arial" w:hAnsi="Arial"/>
                <w:sz w:val="12"/>
                <w:szCs w:val="12"/>
                <w:color w:val="auto"/>
              </w:rPr>
              <w:t>1.7%</w:t>
            </w:r>
          </w:p>
        </w:tc>
        <w:tc>
          <w:tcPr>
            <w:tcW w:w="540" w:type="dxa"/>
            <w:vAlign w:val="bottom"/>
            <w:gridSpan w:val="2"/>
            <w:shd w:val="clear" w:color="auto" w:fill="66E0DA"/>
          </w:tcPr>
          <w:p>
            <w:pPr>
              <w:jc w:val="right"/>
              <w:ind w:right="20"/>
              <w:spacing w:after="0" w:line="126" w:lineRule="exact"/>
              <w:rPr>
                <w:sz w:val="20"/>
                <w:szCs w:val="20"/>
                <w:color w:val="auto"/>
              </w:rPr>
            </w:pPr>
            <w:r>
              <w:rPr>
                <w:rFonts w:ascii="Arial" w:cs="Arial" w:eastAsia="Arial" w:hAnsi="Arial"/>
                <w:sz w:val="12"/>
                <w:szCs w:val="12"/>
                <w:color w:val="auto"/>
              </w:rPr>
              <w:t>89.4%</w:t>
            </w:r>
          </w:p>
        </w:tc>
        <w:tc>
          <w:tcPr>
            <w:tcW w:w="120" w:type="dxa"/>
            <w:vAlign w:val="bottom"/>
            <w:shd w:val="clear" w:color="auto" w:fill="66E0DA"/>
          </w:tcPr>
          <w:p>
            <w:pPr>
              <w:spacing w:after="0"/>
              <w:rPr>
                <w:sz w:val="10"/>
                <w:szCs w:val="10"/>
                <w:color w:val="auto"/>
              </w:rPr>
            </w:pPr>
          </w:p>
        </w:tc>
        <w:tc>
          <w:tcPr>
            <w:tcW w:w="640" w:type="dxa"/>
            <w:vAlign w:val="bottom"/>
            <w:gridSpan w:val="2"/>
            <w:shd w:val="clear" w:color="auto" w:fill="66E0DA"/>
          </w:tcPr>
          <w:p>
            <w:pPr>
              <w:jc w:val="right"/>
              <w:ind w:right="120"/>
              <w:spacing w:after="0" w:line="126" w:lineRule="exact"/>
              <w:rPr>
                <w:sz w:val="20"/>
                <w:szCs w:val="20"/>
                <w:color w:val="auto"/>
              </w:rPr>
            </w:pPr>
            <w:r>
              <w:rPr>
                <w:rFonts w:ascii="Arial" w:cs="Arial" w:eastAsia="Arial" w:hAnsi="Arial"/>
                <w:sz w:val="12"/>
                <w:szCs w:val="12"/>
                <w:color w:val="auto"/>
              </w:rPr>
              <w:t>4.9%</w:t>
            </w:r>
          </w:p>
        </w:tc>
        <w:tc>
          <w:tcPr>
            <w:tcW w:w="6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color w:val="auto"/>
              </w:rPr>
              <w:t>4.2%</w:t>
            </w:r>
          </w:p>
        </w:tc>
        <w:tc>
          <w:tcPr>
            <w:tcW w:w="66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2"/>
                <w:szCs w:val="12"/>
                <w:color w:val="auto"/>
              </w:rPr>
              <w:t>8.9%</w:t>
            </w:r>
          </w:p>
        </w:tc>
        <w:tc>
          <w:tcPr>
            <w:tcW w:w="66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2"/>
                <w:szCs w:val="12"/>
                <w:color w:val="auto"/>
              </w:rPr>
              <w:t>14.0%</w:t>
            </w:r>
          </w:p>
        </w:tc>
        <w:tc>
          <w:tcPr>
            <w:tcW w:w="64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color w:val="auto"/>
              </w:rPr>
              <w:t>14.3%</w:t>
            </w:r>
          </w:p>
        </w:tc>
        <w:tc>
          <w:tcPr>
            <w:tcW w:w="64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9.6%</w:t>
            </w:r>
          </w:p>
        </w:tc>
      </w:tr>
      <w:tr>
        <w:trPr>
          <w:trHeight w:val="112"/>
        </w:trPr>
        <w:tc>
          <w:tcPr>
            <w:tcW w:w="2600" w:type="dxa"/>
            <w:vAlign w:val="bottom"/>
          </w:tcPr>
          <w:p>
            <w:pPr>
              <w:ind w:left="300"/>
              <w:spacing w:after="0" w:line="112" w:lineRule="exact"/>
              <w:rPr>
                <w:sz w:val="20"/>
                <w:szCs w:val="20"/>
                <w:color w:val="auto"/>
              </w:rPr>
            </w:pPr>
            <w:r>
              <w:rPr>
                <w:rFonts w:ascii="Arial" w:cs="Arial" w:eastAsia="Arial" w:hAnsi="Arial"/>
                <w:sz w:val="12"/>
                <w:szCs w:val="12"/>
                <w:color w:val="auto"/>
              </w:rPr>
              <w:t>Mortgage</w:t>
            </w:r>
          </w:p>
        </w:tc>
        <w:tc>
          <w:tcPr>
            <w:tcW w:w="680" w:type="dxa"/>
            <w:vAlign w:val="bottom"/>
            <w:gridSpan w:val="2"/>
          </w:tcPr>
          <w:p>
            <w:pPr>
              <w:jc w:val="right"/>
              <w:ind w:right="240"/>
              <w:spacing w:after="0" w:line="112" w:lineRule="exact"/>
              <w:rPr>
                <w:sz w:val="20"/>
                <w:szCs w:val="20"/>
                <w:color w:val="auto"/>
              </w:rPr>
            </w:pPr>
            <w:r>
              <w:rPr>
                <w:rFonts w:ascii="Arial" w:cs="Arial" w:eastAsia="Arial" w:hAnsi="Arial"/>
                <w:sz w:val="12"/>
                <w:szCs w:val="12"/>
                <w:color w:val="auto"/>
              </w:rPr>
              <w:t>16,905</w:t>
            </w:r>
          </w:p>
        </w:tc>
        <w:tc>
          <w:tcPr>
            <w:tcW w:w="500" w:type="dxa"/>
            <w:vAlign w:val="bottom"/>
          </w:tcPr>
          <w:p>
            <w:pPr>
              <w:jc w:val="right"/>
              <w:spacing w:after="0" w:line="112" w:lineRule="exact"/>
              <w:rPr>
                <w:sz w:val="20"/>
                <w:szCs w:val="20"/>
                <w:color w:val="auto"/>
              </w:rPr>
            </w:pPr>
            <w:r>
              <w:rPr>
                <w:rFonts w:ascii="Arial" w:cs="Arial" w:eastAsia="Arial" w:hAnsi="Arial"/>
                <w:sz w:val="12"/>
                <w:szCs w:val="12"/>
                <w:color w:val="auto"/>
              </w:rPr>
              <w:t>17,218</w:t>
            </w:r>
          </w:p>
        </w:tc>
        <w:tc>
          <w:tcPr>
            <w:tcW w:w="960" w:type="dxa"/>
            <w:vAlign w:val="bottom"/>
            <w:gridSpan w:val="3"/>
          </w:tcPr>
          <w:p>
            <w:pPr>
              <w:jc w:val="right"/>
              <w:ind w:right="240"/>
              <w:spacing w:after="0" w:line="112" w:lineRule="exact"/>
              <w:rPr>
                <w:sz w:val="20"/>
                <w:szCs w:val="20"/>
                <w:color w:val="auto"/>
              </w:rPr>
            </w:pPr>
            <w:r>
              <w:rPr>
                <w:rFonts w:ascii="Arial" w:cs="Arial" w:eastAsia="Arial" w:hAnsi="Arial"/>
                <w:sz w:val="12"/>
                <w:szCs w:val="12"/>
                <w:color w:val="auto"/>
              </w:rPr>
              <w:t>17,720</w:t>
            </w:r>
          </w:p>
        </w:tc>
        <w:tc>
          <w:tcPr>
            <w:tcW w:w="660" w:type="dxa"/>
            <w:vAlign w:val="bottom"/>
            <w:gridSpan w:val="2"/>
          </w:tcPr>
          <w:p>
            <w:pPr>
              <w:jc w:val="right"/>
              <w:ind w:right="220"/>
              <w:spacing w:after="0" w:line="112" w:lineRule="exact"/>
              <w:rPr>
                <w:sz w:val="20"/>
                <w:szCs w:val="20"/>
                <w:color w:val="auto"/>
              </w:rPr>
            </w:pPr>
            <w:r>
              <w:rPr>
                <w:rFonts w:ascii="Arial" w:cs="Arial" w:eastAsia="Arial" w:hAnsi="Arial"/>
                <w:sz w:val="12"/>
                <w:szCs w:val="12"/>
                <w:color w:val="auto"/>
              </w:rPr>
              <w:t>17,218</w:t>
            </w:r>
          </w:p>
        </w:tc>
        <w:tc>
          <w:tcPr>
            <w:tcW w:w="620" w:type="dxa"/>
            <w:vAlign w:val="bottom"/>
            <w:gridSpan w:val="2"/>
          </w:tcPr>
          <w:p>
            <w:pPr>
              <w:jc w:val="right"/>
              <w:ind w:right="200"/>
              <w:spacing w:after="0" w:line="112" w:lineRule="exact"/>
              <w:rPr>
                <w:sz w:val="20"/>
                <w:szCs w:val="20"/>
                <w:color w:val="auto"/>
              </w:rPr>
            </w:pPr>
            <w:r>
              <w:rPr>
                <w:rFonts w:ascii="Arial" w:cs="Arial" w:eastAsia="Arial" w:hAnsi="Arial"/>
                <w:sz w:val="12"/>
                <w:szCs w:val="12"/>
                <w:color w:val="auto"/>
              </w:rPr>
              <w:t>17,720</w:t>
            </w:r>
          </w:p>
        </w:tc>
        <w:tc>
          <w:tcPr>
            <w:tcW w:w="100" w:type="dxa"/>
            <w:vAlign w:val="bottom"/>
            <w:shd w:val="clear" w:color="auto" w:fill="66E0DA"/>
          </w:tcPr>
          <w:p>
            <w:pPr>
              <w:spacing w:after="0"/>
              <w:rPr>
                <w:sz w:val="9"/>
                <w:szCs w:val="9"/>
                <w:color w:val="auto"/>
              </w:rPr>
            </w:pPr>
          </w:p>
        </w:tc>
        <w:tc>
          <w:tcPr>
            <w:tcW w:w="560" w:type="dxa"/>
            <w:vAlign w:val="bottom"/>
            <w:gridSpan w:val="2"/>
            <w:shd w:val="clear" w:color="auto" w:fill="66E0DA"/>
          </w:tcPr>
          <w:p>
            <w:pPr>
              <w:jc w:val="right"/>
              <w:ind w:right="140"/>
              <w:spacing w:after="0" w:line="112" w:lineRule="exact"/>
              <w:rPr>
                <w:sz w:val="20"/>
                <w:szCs w:val="20"/>
                <w:color w:val="auto"/>
              </w:rPr>
            </w:pPr>
            <w:r>
              <w:rPr>
                <w:rFonts w:ascii="Arial" w:cs="Arial" w:eastAsia="Arial" w:hAnsi="Arial"/>
                <w:sz w:val="12"/>
                <w:szCs w:val="12"/>
                <w:color w:val="auto"/>
              </w:rPr>
              <w:t>2.9%</w:t>
            </w:r>
          </w:p>
        </w:tc>
        <w:tc>
          <w:tcPr>
            <w:tcW w:w="540" w:type="dxa"/>
            <w:vAlign w:val="bottom"/>
            <w:gridSpan w:val="2"/>
          </w:tcPr>
          <w:p>
            <w:pPr>
              <w:jc w:val="right"/>
              <w:ind w:right="20"/>
              <w:spacing w:after="0" w:line="112" w:lineRule="exact"/>
              <w:rPr>
                <w:sz w:val="20"/>
                <w:szCs w:val="20"/>
                <w:color w:val="auto"/>
              </w:rPr>
            </w:pPr>
            <w:r>
              <w:rPr>
                <w:rFonts w:ascii="Arial" w:cs="Arial" w:eastAsia="Arial" w:hAnsi="Arial"/>
                <w:sz w:val="12"/>
                <w:szCs w:val="12"/>
                <w:color w:val="auto"/>
              </w:rPr>
              <w:t>4.8%</w:t>
            </w:r>
          </w:p>
        </w:tc>
        <w:tc>
          <w:tcPr>
            <w:tcW w:w="120" w:type="dxa"/>
            <w:vAlign w:val="bottom"/>
          </w:tcPr>
          <w:p>
            <w:pPr>
              <w:spacing w:after="0"/>
              <w:rPr>
                <w:sz w:val="9"/>
                <w:szCs w:val="9"/>
                <w:color w:val="auto"/>
              </w:rPr>
            </w:pPr>
          </w:p>
        </w:tc>
        <w:tc>
          <w:tcPr>
            <w:tcW w:w="640" w:type="dxa"/>
            <w:vAlign w:val="bottom"/>
            <w:gridSpan w:val="2"/>
            <w:shd w:val="clear" w:color="auto" w:fill="F17EC7"/>
          </w:tcPr>
          <w:p>
            <w:pPr>
              <w:jc w:val="right"/>
              <w:ind w:right="120"/>
              <w:spacing w:after="0" w:line="112" w:lineRule="exact"/>
              <w:rPr>
                <w:sz w:val="20"/>
                <w:szCs w:val="20"/>
                <w:color w:val="auto"/>
              </w:rPr>
            </w:pPr>
            <w:r>
              <w:rPr>
                <w:rFonts w:ascii="Arial" w:cs="Arial" w:eastAsia="Arial" w:hAnsi="Arial"/>
                <w:sz w:val="12"/>
                <w:szCs w:val="12"/>
                <w:color w:val="auto"/>
              </w:rPr>
              <w:t>2.9%</w:t>
            </w:r>
          </w:p>
        </w:tc>
        <w:tc>
          <w:tcPr>
            <w:tcW w:w="660" w:type="dxa"/>
            <w:vAlign w:val="bottom"/>
            <w:gridSpan w:val="2"/>
            <w:shd w:val="clear" w:color="auto" w:fill="66E0DA"/>
          </w:tcPr>
          <w:p>
            <w:pPr>
              <w:jc w:val="right"/>
              <w:ind w:right="120"/>
              <w:spacing w:after="0" w:line="112" w:lineRule="exact"/>
              <w:rPr>
                <w:sz w:val="20"/>
                <w:szCs w:val="20"/>
                <w:color w:val="auto"/>
              </w:rPr>
            </w:pPr>
            <w:r>
              <w:rPr>
                <w:rFonts w:ascii="Arial" w:cs="Arial" w:eastAsia="Arial" w:hAnsi="Arial"/>
                <w:sz w:val="12"/>
                <w:szCs w:val="12"/>
                <w:color w:val="auto"/>
              </w:rPr>
              <w:t>4.8%</w:t>
            </w:r>
          </w:p>
        </w:tc>
        <w:tc>
          <w:tcPr>
            <w:tcW w:w="660" w:type="dxa"/>
            <w:vAlign w:val="bottom"/>
            <w:gridSpan w:val="2"/>
          </w:tcPr>
          <w:p>
            <w:pPr>
              <w:jc w:val="right"/>
              <w:ind w:right="140"/>
              <w:spacing w:after="0" w:line="112" w:lineRule="exact"/>
              <w:rPr>
                <w:sz w:val="20"/>
                <w:szCs w:val="20"/>
                <w:color w:val="auto"/>
              </w:rPr>
            </w:pPr>
            <w:r>
              <w:rPr>
                <w:rFonts w:ascii="Arial" w:cs="Arial" w:eastAsia="Arial" w:hAnsi="Arial"/>
                <w:sz w:val="12"/>
                <w:szCs w:val="12"/>
                <w:color w:val="auto"/>
              </w:rPr>
              <w:t>14.5%</w:t>
            </w:r>
          </w:p>
        </w:tc>
        <w:tc>
          <w:tcPr>
            <w:tcW w:w="660" w:type="dxa"/>
            <w:vAlign w:val="bottom"/>
            <w:gridSpan w:val="2"/>
          </w:tcPr>
          <w:p>
            <w:pPr>
              <w:jc w:val="right"/>
              <w:ind w:right="140"/>
              <w:spacing w:after="0" w:line="112" w:lineRule="exact"/>
              <w:rPr>
                <w:sz w:val="20"/>
                <w:szCs w:val="20"/>
                <w:color w:val="auto"/>
              </w:rPr>
            </w:pPr>
            <w:r>
              <w:rPr>
                <w:rFonts w:ascii="Arial" w:cs="Arial" w:eastAsia="Arial" w:hAnsi="Arial"/>
                <w:sz w:val="12"/>
                <w:szCs w:val="12"/>
                <w:color w:val="auto"/>
              </w:rPr>
              <w:t>12.6%</w:t>
            </w: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2"/>
                <w:szCs w:val="12"/>
                <w:color w:val="auto"/>
              </w:rPr>
              <w:t>13.0%</w:t>
            </w:r>
          </w:p>
        </w:tc>
        <w:tc>
          <w:tcPr>
            <w:tcW w:w="640" w:type="dxa"/>
            <w:vAlign w:val="bottom"/>
            <w:gridSpan w:val="2"/>
          </w:tcPr>
          <w:p>
            <w:pPr>
              <w:jc w:val="right"/>
              <w:ind w:right="20"/>
              <w:spacing w:after="0" w:line="112" w:lineRule="exact"/>
              <w:rPr>
                <w:sz w:val="20"/>
                <w:szCs w:val="20"/>
                <w:color w:val="auto"/>
              </w:rPr>
            </w:pPr>
            <w:r>
              <w:rPr>
                <w:rFonts w:ascii="Arial" w:cs="Arial" w:eastAsia="Arial" w:hAnsi="Arial"/>
                <w:sz w:val="12"/>
                <w:szCs w:val="12"/>
                <w:color w:val="auto"/>
              </w:rPr>
              <w:t>15.8%</w:t>
            </w:r>
          </w:p>
        </w:tc>
      </w:tr>
      <w:tr>
        <w:trPr>
          <w:trHeight w:val="140"/>
        </w:trPr>
        <w:tc>
          <w:tcPr>
            <w:tcW w:w="26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Consumer</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8,984</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9,958</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9,544</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9,958</w:t>
            </w:r>
          </w:p>
        </w:tc>
        <w:tc>
          <w:tcPr>
            <w:tcW w:w="200" w:type="dxa"/>
            <w:vAlign w:val="bottom"/>
            <w:shd w:val="clear" w:color="auto" w:fill="CCEEFF"/>
          </w:tcPr>
          <w:p>
            <w:pPr>
              <w:spacing w:after="0"/>
              <w:rPr>
                <w:sz w:val="12"/>
                <w:szCs w:val="12"/>
                <w:color w:val="auto"/>
              </w:rPr>
            </w:pPr>
          </w:p>
        </w:tc>
        <w:tc>
          <w:tcPr>
            <w:tcW w:w="100" w:type="dxa"/>
            <w:vAlign w:val="bottom"/>
            <w:shd w:val="clear" w:color="auto" w:fill="66E0DA"/>
          </w:tcPr>
          <w:p>
            <w:pPr>
              <w:spacing w:after="0"/>
              <w:rPr>
                <w:sz w:val="12"/>
                <w:szCs w:val="12"/>
                <w:color w:val="auto"/>
              </w:rPr>
            </w:pPr>
          </w:p>
        </w:tc>
        <w:tc>
          <w:tcPr>
            <w:tcW w:w="560" w:type="dxa"/>
            <w:vAlign w:val="bottom"/>
            <w:gridSpan w:val="2"/>
            <w:shd w:val="clear" w:color="auto" w:fill="66E0DA"/>
          </w:tcPr>
          <w:p>
            <w:pPr>
              <w:jc w:val="right"/>
              <w:ind w:right="140"/>
              <w:spacing w:after="0"/>
              <w:rPr>
                <w:sz w:val="20"/>
                <w:szCs w:val="20"/>
                <w:color w:val="auto"/>
              </w:rPr>
            </w:pPr>
            <w:r>
              <w:rPr>
                <w:rFonts w:ascii="Arial" w:cs="Arial" w:eastAsia="Arial" w:hAnsi="Arial"/>
                <w:sz w:val="12"/>
                <w:szCs w:val="12"/>
                <w:color w:val="auto"/>
              </w:rPr>
              <w:t>4.3%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66E0DA"/>
          </w:tcPr>
          <w:p>
            <w:pPr>
              <w:jc w:val="right"/>
              <w:ind w:right="120"/>
              <w:spacing w:after="0"/>
              <w:rPr>
                <w:sz w:val="20"/>
                <w:szCs w:val="20"/>
                <w:color w:val="auto"/>
              </w:rPr>
            </w:pPr>
            <w:r>
              <w:rPr>
                <w:rFonts w:ascii="Arial" w:cs="Arial" w:eastAsia="Arial" w:hAnsi="Arial"/>
                <w:sz w:val="12"/>
                <w:szCs w:val="12"/>
                <w:color w:val="auto"/>
              </w:rPr>
              <w:t>4.3%</w:t>
            </w:r>
          </w:p>
        </w:tc>
        <w:tc>
          <w:tcPr>
            <w:tcW w:w="660" w:type="dxa"/>
            <w:vAlign w:val="bottom"/>
            <w:gridSpan w:val="2"/>
            <w:shd w:val="clear" w:color="auto" w:fill="66E0DA"/>
          </w:tcPr>
          <w:p>
            <w:pPr>
              <w:jc w:val="right"/>
              <w:ind w:right="120"/>
              <w:spacing w:after="0"/>
              <w:rPr>
                <w:sz w:val="20"/>
                <w:szCs w:val="20"/>
                <w:color w:val="auto"/>
              </w:rPr>
            </w:pPr>
            <w:r>
              <w:rPr>
                <w:rFonts w:ascii="Arial" w:cs="Arial" w:eastAsia="Arial" w:hAnsi="Arial"/>
                <w:sz w:val="12"/>
                <w:szCs w:val="12"/>
                <w:color w:val="auto"/>
              </w:rPr>
              <w:t>10.8%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8.9%</w:t>
            </w:r>
          </w:p>
        </w:tc>
      </w:tr>
      <w:tr>
        <w:trPr>
          <w:trHeight w:val="110"/>
        </w:trPr>
        <w:tc>
          <w:tcPr>
            <w:tcW w:w="2600" w:type="dxa"/>
            <w:vAlign w:val="bottom"/>
          </w:tcPr>
          <w:p>
            <w:pPr>
              <w:ind w:left="300"/>
              <w:spacing w:after="0" w:line="110" w:lineRule="exact"/>
              <w:rPr>
                <w:sz w:val="20"/>
                <w:szCs w:val="20"/>
                <w:color w:val="auto"/>
              </w:rPr>
            </w:pPr>
            <w:r>
              <w:rPr>
                <w:rFonts w:ascii="Arial" w:cs="Arial" w:eastAsia="Arial" w:hAnsi="Arial"/>
                <w:sz w:val="12"/>
                <w:szCs w:val="12"/>
                <w:color w:val="auto"/>
              </w:rPr>
              <w:t>Credit Card</w:t>
            </w:r>
          </w:p>
        </w:tc>
        <w:tc>
          <w:tcPr>
            <w:tcW w:w="680" w:type="dxa"/>
            <w:vAlign w:val="bottom"/>
            <w:gridSpan w:val="2"/>
          </w:tcPr>
          <w:p>
            <w:pPr>
              <w:jc w:val="right"/>
              <w:ind w:right="240"/>
              <w:spacing w:after="0" w:line="110" w:lineRule="exact"/>
              <w:rPr>
                <w:sz w:val="20"/>
                <w:szCs w:val="20"/>
                <w:color w:val="auto"/>
              </w:rPr>
            </w:pPr>
            <w:r>
              <w:rPr>
                <w:rFonts w:ascii="Arial" w:cs="Arial" w:eastAsia="Arial" w:hAnsi="Arial"/>
                <w:sz w:val="12"/>
                <w:szCs w:val="12"/>
                <w:color w:val="auto"/>
              </w:rPr>
              <w:t>5,750</w:t>
            </w:r>
          </w:p>
        </w:tc>
        <w:tc>
          <w:tcPr>
            <w:tcW w:w="500" w:type="dxa"/>
            <w:vAlign w:val="bottom"/>
          </w:tcPr>
          <w:p>
            <w:pPr>
              <w:jc w:val="right"/>
              <w:spacing w:after="0" w:line="110" w:lineRule="exact"/>
              <w:rPr>
                <w:sz w:val="20"/>
                <w:szCs w:val="20"/>
                <w:color w:val="auto"/>
              </w:rPr>
            </w:pPr>
            <w:r>
              <w:rPr>
                <w:rFonts w:ascii="Arial" w:cs="Arial" w:eastAsia="Arial" w:hAnsi="Arial"/>
                <w:sz w:val="12"/>
                <w:szCs w:val="12"/>
                <w:color w:val="auto"/>
              </w:rPr>
              <w:t>4,412</w:t>
            </w:r>
          </w:p>
        </w:tc>
        <w:tc>
          <w:tcPr>
            <w:tcW w:w="720" w:type="dxa"/>
            <w:vAlign w:val="bottom"/>
            <w:gridSpan w:val="2"/>
          </w:tcPr>
          <w:p>
            <w:pPr>
              <w:jc w:val="right"/>
              <w:spacing w:after="0" w:line="110" w:lineRule="exact"/>
              <w:rPr>
                <w:sz w:val="20"/>
                <w:szCs w:val="20"/>
                <w:color w:val="auto"/>
              </w:rPr>
            </w:pPr>
            <w:r>
              <w:rPr>
                <w:rFonts w:ascii="Arial" w:cs="Arial" w:eastAsia="Arial" w:hAnsi="Arial"/>
                <w:sz w:val="12"/>
                <w:szCs w:val="12"/>
                <w:color w:val="auto"/>
              </w:rPr>
              <w:t>4,075</w:t>
            </w:r>
          </w:p>
        </w:tc>
        <w:tc>
          <w:tcPr>
            <w:tcW w:w="240" w:type="dxa"/>
            <w:vAlign w:val="bottom"/>
          </w:tcPr>
          <w:p>
            <w:pPr>
              <w:spacing w:after="0"/>
              <w:rPr>
                <w:sz w:val="9"/>
                <w:szCs w:val="9"/>
                <w:color w:val="auto"/>
              </w:rPr>
            </w:pPr>
          </w:p>
        </w:tc>
        <w:tc>
          <w:tcPr>
            <w:tcW w:w="660" w:type="dxa"/>
            <w:vAlign w:val="bottom"/>
            <w:gridSpan w:val="2"/>
          </w:tcPr>
          <w:p>
            <w:pPr>
              <w:jc w:val="right"/>
              <w:ind w:right="220"/>
              <w:spacing w:after="0" w:line="110" w:lineRule="exact"/>
              <w:rPr>
                <w:sz w:val="20"/>
                <w:szCs w:val="20"/>
                <w:color w:val="auto"/>
              </w:rPr>
            </w:pPr>
            <w:r>
              <w:rPr>
                <w:rFonts w:ascii="Arial" w:cs="Arial" w:eastAsia="Arial" w:hAnsi="Arial"/>
                <w:sz w:val="12"/>
                <w:szCs w:val="12"/>
                <w:color w:val="auto"/>
              </w:rPr>
              <w:t>4,412</w:t>
            </w:r>
          </w:p>
        </w:tc>
        <w:tc>
          <w:tcPr>
            <w:tcW w:w="420" w:type="dxa"/>
            <w:vAlign w:val="bottom"/>
          </w:tcPr>
          <w:p>
            <w:pPr>
              <w:jc w:val="right"/>
              <w:spacing w:after="0" w:line="110" w:lineRule="exact"/>
              <w:rPr>
                <w:sz w:val="20"/>
                <w:szCs w:val="20"/>
                <w:color w:val="auto"/>
              </w:rPr>
            </w:pPr>
            <w:r>
              <w:rPr>
                <w:rFonts w:ascii="Arial" w:cs="Arial" w:eastAsia="Arial" w:hAnsi="Arial"/>
                <w:sz w:val="12"/>
                <w:szCs w:val="12"/>
                <w:color w:val="auto"/>
              </w:rPr>
              <w:t>4,075</w:t>
            </w:r>
          </w:p>
        </w:tc>
        <w:tc>
          <w:tcPr>
            <w:tcW w:w="200" w:type="dxa"/>
            <w:vAlign w:val="bottom"/>
          </w:tcPr>
          <w:p>
            <w:pPr>
              <w:spacing w:after="0"/>
              <w:rPr>
                <w:sz w:val="9"/>
                <w:szCs w:val="9"/>
                <w:color w:val="auto"/>
              </w:rPr>
            </w:pPr>
          </w:p>
        </w:tc>
        <w:tc>
          <w:tcPr>
            <w:tcW w:w="660" w:type="dxa"/>
            <w:vAlign w:val="bottom"/>
            <w:gridSpan w:val="3"/>
            <w:shd w:val="clear" w:color="auto" w:fill="F17EC7"/>
          </w:tcPr>
          <w:p>
            <w:pPr>
              <w:jc w:val="right"/>
              <w:ind w:right="140"/>
              <w:spacing w:after="0" w:line="110" w:lineRule="exact"/>
              <w:rPr>
                <w:sz w:val="20"/>
                <w:szCs w:val="20"/>
                <w:color w:val="auto"/>
              </w:rPr>
            </w:pPr>
            <w:r>
              <w:rPr>
                <w:rFonts w:ascii="Arial" w:cs="Arial" w:eastAsia="Arial" w:hAnsi="Arial"/>
                <w:sz w:val="12"/>
                <w:szCs w:val="12"/>
                <w:color w:val="auto"/>
              </w:rPr>
              <w:t>-7.6%</w:t>
            </w:r>
          </w:p>
        </w:tc>
        <w:tc>
          <w:tcPr>
            <w:tcW w:w="540" w:type="dxa"/>
            <w:vAlign w:val="bottom"/>
            <w:gridSpan w:val="2"/>
            <w:shd w:val="clear" w:color="auto" w:fill="F17EC7"/>
          </w:tcPr>
          <w:p>
            <w:pPr>
              <w:jc w:val="right"/>
              <w:ind w:right="20"/>
              <w:spacing w:after="0" w:line="110" w:lineRule="exact"/>
              <w:rPr>
                <w:sz w:val="20"/>
                <w:szCs w:val="20"/>
                <w:color w:val="auto"/>
              </w:rPr>
            </w:pPr>
            <w:r>
              <w:rPr>
                <w:rFonts w:ascii="Arial" w:cs="Arial" w:eastAsia="Arial" w:hAnsi="Arial"/>
                <w:sz w:val="12"/>
                <w:szCs w:val="12"/>
                <w:color w:val="auto"/>
              </w:rPr>
              <w:t>-29.1%</w:t>
            </w:r>
          </w:p>
        </w:tc>
        <w:tc>
          <w:tcPr>
            <w:tcW w:w="120" w:type="dxa"/>
            <w:vAlign w:val="bottom"/>
            <w:shd w:val="clear" w:color="auto" w:fill="F17EC7"/>
          </w:tcPr>
          <w:p>
            <w:pPr>
              <w:spacing w:after="0"/>
              <w:rPr>
                <w:sz w:val="9"/>
                <w:szCs w:val="9"/>
                <w:color w:val="auto"/>
              </w:rPr>
            </w:pPr>
          </w:p>
        </w:tc>
        <w:tc>
          <w:tcPr>
            <w:tcW w:w="640" w:type="dxa"/>
            <w:vAlign w:val="bottom"/>
            <w:gridSpan w:val="2"/>
          </w:tcPr>
          <w:p>
            <w:pPr>
              <w:jc w:val="right"/>
              <w:ind w:right="120"/>
              <w:spacing w:after="0" w:line="110" w:lineRule="exact"/>
              <w:rPr>
                <w:sz w:val="20"/>
                <w:szCs w:val="20"/>
                <w:color w:val="auto"/>
              </w:rPr>
            </w:pPr>
            <w:r>
              <w:rPr>
                <w:rFonts w:ascii="Arial" w:cs="Arial" w:eastAsia="Arial" w:hAnsi="Arial"/>
                <w:sz w:val="12"/>
                <w:szCs w:val="12"/>
                <w:color w:val="auto"/>
              </w:rPr>
              <w:t>-7.6%</w:t>
            </w:r>
          </w:p>
        </w:tc>
        <w:tc>
          <w:tcPr>
            <w:tcW w:w="660" w:type="dxa"/>
            <w:vAlign w:val="bottom"/>
            <w:gridSpan w:val="2"/>
            <w:shd w:val="clear" w:color="auto" w:fill="F17EC7"/>
          </w:tcPr>
          <w:p>
            <w:pPr>
              <w:jc w:val="right"/>
              <w:ind w:right="120"/>
              <w:spacing w:after="0" w:line="110" w:lineRule="exact"/>
              <w:rPr>
                <w:sz w:val="20"/>
                <w:szCs w:val="20"/>
                <w:color w:val="auto"/>
              </w:rPr>
            </w:pPr>
            <w:r>
              <w:rPr>
                <w:rFonts w:ascii="Arial" w:cs="Arial" w:eastAsia="Arial" w:hAnsi="Arial"/>
                <w:sz w:val="12"/>
                <w:szCs w:val="12"/>
                <w:color w:val="auto"/>
              </w:rPr>
              <w:t>-29.1%</w:t>
            </w:r>
          </w:p>
        </w:tc>
        <w:tc>
          <w:tcPr>
            <w:tcW w:w="660" w:type="dxa"/>
            <w:vAlign w:val="bottom"/>
            <w:gridSpan w:val="2"/>
          </w:tcPr>
          <w:p>
            <w:pPr>
              <w:jc w:val="right"/>
              <w:ind w:right="140"/>
              <w:spacing w:after="0" w:line="110" w:lineRule="exact"/>
              <w:rPr>
                <w:sz w:val="20"/>
                <w:szCs w:val="20"/>
                <w:color w:val="auto"/>
              </w:rPr>
            </w:pPr>
            <w:r>
              <w:rPr>
                <w:rFonts w:ascii="Arial" w:cs="Arial" w:eastAsia="Arial" w:hAnsi="Arial"/>
                <w:sz w:val="12"/>
                <w:szCs w:val="12"/>
                <w:color w:val="auto"/>
              </w:rPr>
              <w:t>4.9%</w:t>
            </w:r>
          </w:p>
        </w:tc>
        <w:tc>
          <w:tcPr>
            <w:tcW w:w="660" w:type="dxa"/>
            <w:vAlign w:val="bottom"/>
            <w:gridSpan w:val="2"/>
          </w:tcPr>
          <w:p>
            <w:pPr>
              <w:jc w:val="right"/>
              <w:ind w:right="140"/>
              <w:spacing w:after="0" w:line="110" w:lineRule="exact"/>
              <w:rPr>
                <w:sz w:val="20"/>
                <w:szCs w:val="20"/>
                <w:color w:val="auto"/>
              </w:rPr>
            </w:pPr>
            <w:r>
              <w:rPr>
                <w:rFonts w:ascii="Arial" w:cs="Arial" w:eastAsia="Arial" w:hAnsi="Arial"/>
                <w:sz w:val="12"/>
                <w:szCs w:val="12"/>
                <w:color w:val="auto"/>
              </w:rPr>
              <w:t>3.2%</w:t>
            </w:r>
          </w:p>
        </w:tc>
        <w:tc>
          <w:tcPr>
            <w:tcW w:w="640" w:type="dxa"/>
            <w:vAlign w:val="bottom"/>
            <w:gridSpan w:val="2"/>
          </w:tcPr>
          <w:p>
            <w:pPr>
              <w:jc w:val="right"/>
              <w:ind w:right="120"/>
              <w:spacing w:after="0" w:line="110" w:lineRule="exact"/>
              <w:rPr>
                <w:sz w:val="20"/>
                <w:szCs w:val="20"/>
                <w:color w:val="auto"/>
              </w:rPr>
            </w:pPr>
            <w:r>
              <w:rPr>
                <w:rFonts w:ascii="Arial" w:cs="Arial" w:eastAsia="Arial" w:hAnsi="Arial"/>
                <w:sz w:val="12"/>
                <w:szCs w:val="12"/>
                <w:color w:val="auto"/>
              </w:rPr>
              <w:t>3.0%</w:t>
            </w:r>
          </w:p>
        </w:tc>
        <w:tc>
          <w:tcPr>
            <w:tcW w:w="640" w:type="dxa"/>
            <w:vAlign w:val="bottom"/>
            <w:gridSpan w:val="2"/>
          </w:tcPr>
          <w:p>
            <w:pPr>
              <w:jc w:val="right"/>
              <w:ind w:right="20"/>
              <w:spacing w:after="0" w:line="110" w:lineRule="exact"/>
              <w:rPr>
                <w:sz w:val="20"/>
                <w:szCs w:val="20"/>
                <w:color w:val="auto"/>
              </w:rPr>
            </w:pPr>
            <w:r>
              <w:rPr>
                <w:rFonts w:ascii="Arial" w:cs="Arial" w:eastAsia="Arial" w:hAnsi="Arial"/>
                <w:sz w:val="12"/>
                <w:szCs w:val="12"/>
                <w:color w:val="auto"/>
              </w:rPr>
              <w:t>3.6%</w:t>
            </w: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Mibanco</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10,629</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12,679</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12,923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9,865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10,102</w:t>
            </w:r>
          </w:p>
        </w:tc>
        <w:tc>
          <w:tcPr>
            <w:tcW w:w="660" w:type="dxa"/>
            <w:vAlign w:val="bottom"/>
            <w:gridSpan w:val="3"/>
            <w:shd w:val="clear" w:color="auto" w:fill="66E0DA"/>
          </w:tcPr>
          <w:p>
            <w:pPr>
              <w:jc w:val="right"/>
              <w:ind w:right="120"/>
              <w:spacing w:after="0"/>
              <w:rPr>
                <w:sz w:val="20"/>
                <w:szCs w:val="20"/>
                <w:color w:val="auto"/>
              </w:rPr>
            </w:pPr>
            <w:r>
              <w:rPr>
                <w:rFonts w:ascii="Arial" w:cs="Arial" w:eastAsia="Arial" w:hAnsi="Arial"/>
                <w:sz w:val="12"/>
                <w:szCs w:val="12"/>
                <w:b w:val="1"/>
                <w:bCs w:val="1"/>
                <w:color w:val="auto"/>
              </w:rPr>
              <w:t>1.9%</w:t>
            </w:r>
          </w:p>
        </w:tc>
        <w:tc>
          <w:tcPr>
            <w:tcW w:w="540" w:type="dxa"/>
            <w:vAlign w:val="bottom"/>
            <w:gridSpan w:val="2"/>
            <w:shd w:val="clear" w:color="auto" w:fill="66E0DA"/>
          </w:tcPr>
          <w:p>
            <w:pPr>
              <w:jc w:val="right"/>
              <w:spacing w:after="0"/>
              <w:rPr>
                <w:sz w:val="20"/>
                <w:szCs w:val="20"/>
                <w:color w:val="auto"/>
              </w:rPr>
            </w:pPr>
            <w:r>
              <w:rPr>
                <w:rFonts w:ascii="Arial" w:cs="Arial" w:eastAsia="Arial" w:hAnsi="Arial"/>
                <w:sz w:val="12"/>
                <w:szCs w:val="12"/>
                <w:b w:val="1"/>
                <w:bCs w:val="1"/>
                <w:color w:val="auto"/>
              </w:rPr>
              <w:t>21.6%</w:t>
            </w:r>
          </w:p>
        </w:tc>
        <w:tc>
          <w:tcPr>
            <w:tcW w:w="120" w:type="dxa"/>
            <w:vAlign w:val="bottom"/>
            <w:shd w:val="clear" w:color="auto" w:fill="66E0DA"/>
          </w:tcPr>
          <w:p>
            <w:pPr>
              <w:spacing w:after="0"/>
              <w:rPr>
                <w:sz w:val="12"/>
                <w:szCs w:val="12"/>
                <w:color w:val="auto"/>
              </w:rPr>
            </w:pPr>
          </w:p>
        </w:tc>
        <w:tc>
          <w:tcPr>
            <w:tcW w:w="640" w:type="dxa"/>
            <w:vAlign w:val="bottom"/>
            <w:gridSpan w:val="2"/>
            <w:shd w:val="clear" w:color="auto" w:fill="66E0DA"/>
          </w:tcPr>
          <w:p>
            <w:pPr>
              <w:jc w:val="right"/>
              <w:ind w:right="100"/>
              <w:spacing w:after="0"/>
              <w:rPr>
                <w:sz w:val="20"/>
                <w:szCs w:val="20"/>
                <w:color w:val="auto"/>
              </w:rPr>
            </w:pPr>
            <w:r>
              <w:rPr>
                <w:rFonts w:ascii="Arial" w:cs="Arial" w:eastAsia="Arial" w:hAnsi="Arial"/>
                <w:sz w:val="12"/>
                <w:szCs w:val="12"/>
                <w:b w:val="1"/>
                <w:bCs w:val="1"/>
                <w:color w:val="auto"/>
              </w:rPr>
              <w:t>2.4%</w:t>
            </w:r>
          </w:p>
        </w:tc>
        <w:tc>
          <w:tcPr>
            <w:tcW w:w="660" w:type="dxa"/>
            <w:vAlign w:val="bottom"/>
            <w:gridSpan w:val="2"/>
            <w:shd w:val="clear" w:color="auto" w:fill="F17EC7"/>
          </w:tcPr>
          <w:p>
            <w:pPr>
              <w:jc w:val="right"/>
              <w:ind w:right="100"/>
              <w:spacing w:after="0"/>
              <w:rPr>
                <w:sz w:val="20"/>
                <w:szCs w:val="20"/>
                <w:color w:val="auto"/>
              </w:rPr>
            </w:pPr>
            <w:r>
              <w:rPr>
                <w:rFonts w:ascii="Arial" w:cs="Arial" w:eastAsia="Arial" w:hAnsi="Arial"/>
                <w:sz w:val="12"/>
                <w:szCs w:val="12"/>
                <w:b w:val="1"/>
                <w:bCs w:val="1"/>
                <w:color w:val="auto"/>
              </w:rPr>
              <w:t>-5.0%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9.5%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9.0%</w:t>
            </w:r>
          </w:p>
        </w:tc>
      </w:tr>
      <w:tr>
        <w:trPr>
          <w:trHeight w:val="126"/>
        </w:trPr>
        <w:tc>
          <w:tcPr>
            <w:tcW w:w="2600" w:type="dxa"/>
            <w:vAlign w:val="bottom"/>
          </w:tcPr>
          <w:p>
            <w:pPr>
              <w:spacing w:after="0" w:line="126" w:lineRule="exact"/>
              <w:rPr>
                <w:sz w:val="20"/>
                <w:szCs w:val="20"/>
                <w:color w:val="auto"/>
              </w:rPr>
            </w:pPr>
            <w:r>
              <w:rPr>
                <w:rFonts w:ascii="Arial" w:cs="Arial" w:eastAsia="Arial" w:hAnsi="Arial"/>
                <w:sz w:val="12"/>
                <w:szCs w:val="12"/>
                <w:b w:val="1"/>
                <w:bCs w:val="1"/>
                <w:color w:val="auto"/>
              </w:rPr>
              <w:t>Mibanco Colombia</w:t>
            </w:r>
          </w:p>
        </w:tc>
        <w:tc>
          <w:tcPr>
            <w:tcW w:w="680" w:type="dxa"/>
            <w:vAlign w:val="bottom"/>
            <w:gridSpan w:val="2"/>
          </w:tcPr>
          <w:p>
            <w:pPr>
              <w:jc w:val="right"/>
              <w:ind w:right="240"/>
              <w:spacing w:after="0" w:line="126" w:lineRule="exact"/>
              <w:rPr>
                <w:sz w:val="20"/>
                <w:szCs w:val="20"/>
                <w:color w:val="auto"/>
              </w:rPr>
            </w:pPr>
            <w:r>
              <w:rPr>
                <w:rFonts w:ascii="Arial" w:cs="Arial" w:eastAsia="Arial" w:hAnsi="Arial"/>
                <w:sz w:val="12"/>
                <w:szCs w:val="12"/>
                <w:b w:val="1"/>
                <w:bCs w:val="1"/>
                <w:color w:val="auto"/>
              </w:rPr>
              <w:t>835</w:t>
            </w:r>
          </w:p>
        </w:tc>
        <w:tc>
          <w:tcPr>
            <w:tcW w:w="5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866</w:t>
            </w:r>
          </w:p>
        </w:tc>
        <w:tc>
          <w:tcPr>
            <w:tcW w:w="960" w:type="dxa"/>
            <w:vAlign w:val="bottom"/>
            <w:gridSpan w:val="3"/>
          </w:tcPr>
          <w:p>
            <w:pPr>
              <w:jc w:val="right"/>
              <w:ind w:right="240"/>
              <w:spacing w:after="0" w:line="126" w:lineRule="exact"/>
              <w:rPr>
                <w:sz w:val="20"/>
                <w:szCs w:val="20"/>
                <w:color w:val="auto"/>
              </w:rPr>
            </w:pPr>
            <w:r>
              <w:rPr>
                <w:rFonts w:ascii="Arial" w:cs="Arial" w:eastAsia="Arial" w:hAnsi="Arial"/>
                <w:sz w:val="12"/>
                <w:szCs w:val="12"/>
                <w:b w:val="1"/>
                <w:bCs w:val="1"/>
                <w:color w:val="auto"/>
              </w:rPr>
              <w:t>909</w:t>
            </w:r>
          </w:p>
        </w:tc>
        <w:tc>
          <w:tcPr>
            <w:tcW w:w="660" w:type="dxa"/>
            <w:vAlign w:val="bottom"/>
            <w:gridSpan w:val="2"/>
          </w:tcPr>
          <w:p>
            <w:pPr>
              <w:jc w:val="right"/>
              <w:ind w:right="220"/>
              <w:spacing w:after="0" w:line="126" w:lineRule="exact"/>
              <w:rPr>
                <w:sz w:val="20"/>
                <w:szCs w:val="20"/>
                <w:color w:val="auto"/>
              </w:rPr>
            </w:pPr>
            <w:r>
              <w:rPr>
                <w:rFonts w:ascii="Arial" w:cs="Arial" w:eastAsia="Arial" w:hAnsi="Arial"/>
                <w:sz w:val="12"/>
                <w:szCs w:val="12"/>
                <w:b w:val="1"/>
                <w:bCs w:val="1"/>
                <w:color w:val="auto"/>
              </w:rPr>
              <w:t>866</w:t>
            </w:r>
          </w:p>
        </w:tc>
        <w:tc>
          <w:tcPr>
            <w:tcW w:w="620" w:type="dxa"/>
            <w:vAlign w:val="bottom"/>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909</w:t>
            </w:r>
          </w:p>
        </w:tc>
        <w:tc>
          <w:tcPr>
            <w:tcW w:w="660" w:type="dxa"/>
            <w:vAlign w:val="bottom"/>
            <w:gridSpan w:val="3"/>
          </w:tcPr>
          <w:p>
            <w:pPr>
              <w:jc w:val="right"/>
              <w:ind w:right="120"/>
              <w:spacing w:after="0" w:line="126" w:lineRule="exact"/>
              <w:rPr>
                <w:sz w:val="20"/>
                <w:szCs w:val="20"/>
                <w:color w:val="auto"/>
              </w:rPr>
            </w:pPr>
            <w:r>
              <w:rPr>
                <w:rFonts w:ascii="Arial" w:cs="Arial" w:eastAsia="Arial" w:hAnsi="Arial"/>
                <w:sz w:val="12"/>
                <w:szCs w:val="12"/>
                <w:b w:val="1"/>
                <w:bCs w:val="1"/>
                <w:color w:val="auto"/>
              </w:rPr>
              <w:t>4.9%</w:t>
            </w:r>
          </w:p>
        </w:tc>
        <w:tc>
          <w:tcPr>
            <w:tcW w:w="54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8.9%</w:t>
            </w:r>
          </w:p>
        </w:tc>
        <w:tc>
          <w:tcPr>
            <w:tcW w:w="120" w:type="dxa"/>
            <w:vAlign w:val="bottom"/>
          </w:tcPr>
          <w:p>
            <w:pPr>
              <w:spacing w:after="0"/>
              <w:rPr>
                <w:sz w:val="10"/>
                <w:szCs w:val="10"/>
                <w:color w:val="auto"/>
              </w:rPr>
            </w:pPr>
          </w:p>
        </w:tc>
        <w:tc>
          <w:tcPr>
            <w:tcW w:w="64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4.9%</w:t>
            </w:r>
          </w:p>
        </w:tc>
        <w:tc>
          <w:tcPr>
            <w:tcW w:w="66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8.9%</w:t>
            </w:r>
          </w:p>
        </w:tc>
        <w:tc>
          <w:tcPr>
            <w:tcW w:w="66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0.7%</w:t>
            </w:r>
          </w:p>
        </w:tc>
        <w:tc>
          <w:tcPr>
            <w:tcW w:w="66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0.6%</w:t>
            </w:r>
          </w:p>
        </w:tc>
        <w:tc>
          <w:tcPr>
            <w:tcW w:w="64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0.7%</w:t>
            </w:r>
          </w:p>
        </w:tc>
        <w:tc>
          <w:tcPr>
            <w:tcW w:w="64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0.8%</w:t>
            </w:r>
          </w:p>
        </w:tc>
      </w:tr>
      <w:tr>
        <w:trPr>
          <w:trHeight w:val="126"/>
        </w:trPr>
        <w:tc>
          <w:tcPr>
            <w:tcW w:w="2600" w:type="dxa"/>
            <w:vAlign w:val="bottom"/>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Bolivia</w:t>
            </w:r>
          </w:p>
        </w:tc>
        <w:tc>
          <w:tcPr>
            <w:tcW w:w="68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b w:val="1"/>
                <w:bCs w:val="1"/>
                <w:color w:val="auto"/>
              </w:rPr>
              <w:t>7,686</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8,272</w:t>
            </w:r>
          </w:p>
        </w:tc>
        <w:tc>
          <w:tcPr>
            <w:tcW w:w="7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8,420</w:t>
            </w:r>
          </w:p>
        </w:tc>
        <w:tc>
          <w:tcPr>
            <w:tcW w:w="2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b w:val="1"/>
                <w:bCs w:val="1"/>
                <w:color w:val="auto"/>
              </w:rPr>
              <w:t>8,272</w:t>
            </w:r>
          </w:p>
        </w:tc>
        <w:tc>
          <w:tcPr>
            <w:tcW w:w="4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8,420</w:t>
            </w:r>
          </w:p>
        </w:tc>
        <w:tc>
          <w:tcPr>
            <w:tcW w:w="20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1.8%</w:t>
            </w:r>
          </w:p>
        </w:tc>
        <w:tc>
          <w:tcPr>
            <w:tcW w:w="5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9.5%</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1.8%</w:t>
            </w:r>
          </w:p>
        </w:tc>
        <w:tc>
          <w:tcPr>
            <w:tcW w:w="660" w:type="dxa"/>
            <w:vAlign w:val="bottom"/>
            <w:gridSpan w:val="2"/>
            <w:shd w:val="clear" w:color="auto" w:fill="66E0DA"/>
          </w:tcPr>
          <w:p>
            <w:pPr>
              <w:jc w:val="right"/>
              <w:ind w:right="100"/>
              <w:spacing w:after="0" w:line="126" w:lineRule="exact"/>
              <w:rPr>
                <w:sz w:val="20"/>
                <w:szCs w:val="20"/>
                <w:color w:val="auto"/>
              </w:rPr>
            </w:pPr>
            <w:r>
              <w:rPr>
                <w:rFonts w:ascii="Arial" w:cs="Arial" w:eastAsia="Arial" w:hAnsi="Arial"/>
                <w:sz w:val="12"/>
                <w:szCs w:val="12"/>
                <w:b w:val="1"/>
                <w:bCs w:val="1"/>
                <w:color w:val="auto"/>
              </w:rPr>
              <w:t>9.5%</w:t>
            </w:r>
          </w:p>
        </w:tc>
        <w:tc>
          <w:tcPr>
            <w:tcW w:w="6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6.6%</w:t>
            </w:r>
          </w:p>
        </w:tc>
        <w:tc>
          <w:tcPr>
            <w:tcW w:w="6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6.0%</w:t>
            </w:r>
          </w:p>
        </w:tc>
        <w:tc>
          <w:tcPr>
            <w:tcW w:w="6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6.2%</w:t>
            </w:r>
          </w:p>
        </w:tc>
        <w:tc>
          <w:tcPr>
            <w:tcW w:w="6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7.5%</w:t>
            </w:r>
          </w:p>
        </w:tc>
      </w:tr>
      <w:tr>
        <w:trPr>
          <w:trHeight w:val="151"/>
        </w:trPr>
        <w:tc>
          <w:tcPr>
            <w:tcW w:w="2600" w:type="dxa"/>
            <w:vAlign w:val="bottom"/>
          </w:tcPr>
          <w:p>
            <w:pPr>
              <w:spacing w:after="0"/>
              <w:rPr>
                <w:sz w:val="20"/>
                <w:szCs w:val="20"/>
                <w:color w:val="auto"/>
              </w:rPr>
            </w:pPr>
            <w:r>
              <w:rPr>
                <w:rFonts w:ascii="Arial" w:cs="Arial" w:eastAsia="Arial" w:hAnsi="Arial"/>
                <w:sz w:val="12"/>
                <w:szCs w:val="12"/>
                <w:b w:val="1"/>
                <w:bCs w:val="1"/>
                <w:color w:val="auto"/>
              </w:rPr>
              <w:t>ASB</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2,415</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2,342</w:t>
            </w:r>
          </w:p>
        </w:tc>
        <w:tc>
          <w:tcPr>
            <w:tcW w:w="720" w:type="dxa"/>
            <w:vAlign w:val="bottom"/>
            <w:gridSpan w:val="2"/>
          </w:tcPr>
          <w:p>
            <w:pPr>
              <w:jc w:val="right"/>
              <w:spacing w:after="0"/>
              <w:rPr>
                <w:sz w:val="20"/>
                <w:szCs w:val="20"/>
                <w:color w:val="auto"/>
              </w:rPr>
            </w:pPr>
            <w:r>
              <w:rPr>
                <w:rFonts w:ascii="Arial" w:cs="Arial" w:eastAsia="Arial" w:hAnsi="Arial"/>
                <w:sz w:val="12"/>
                <w:szCs w:val="12"/>
                <w:b w:val="1"/>
                <w:bCs w:val="1"/>
                <w:color w:val="auto"/>
              </w:rPr>
              <w:t>2,516</w:t>
            </w:r>
          </w:p>
        </w:tc>
        <w:tc>
          <w:tcPr>
            <w:tcW w:w="24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2,342</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2,516</w:t>
            </w:r>
          </w:p>
        </w:tc>
        <w:tc>
          <w:tcPr>
            <w:tcW w:w="200" w:type="dxa"/>
            <w:vAlign w:val="bottom"/>
          </w:tcPr>
          <w:p>
            <w:pPr>
              <w:spacing w:after="0"/>
              <w:rPr>
                <w:sz w:val="13"/>
                <w:szCs w:val="13"/>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7.4%</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rPr>
              <w:t>4.2%</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7.4%</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4.2%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2.1%</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1.7%</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1.8%</w:t>
            </w:r>
          </w:p>
        </w:tc>
        <w:tc>
          <w:tcPr>
            <w:tcW w:w="640" w:type="dxa"/>
            <w:vAlign w:val="bottom"/>
            <w:gridSpan w:val="2"/>
          </w:tcPr>
          <w:p>
            <w:pPr>
              <w:jc w:val="right"/>
              <w:spacing w:after="0"/>
              <w:rPr>
                <w:sz w:val="20"/>
                <w:szCs w:val="20"/>
                <w:color w:val="auto"/>
              </w:rPr>
            </w:pPr>
            <w:r>
              <w:rPr>
                <w:rFonts w:ascii="Arial" w:cs="Arial" w:eastAsia="Arial" w:hAnsi="Arial"/>
                <w:sz w:val="12"/>
                <w:szCs w:val="12"/>
                <w:b w:val="1"/>
                <w:bCs w:val="1"/>
                <w:color w:val="auto"/>
              </w:rPr>
              <w:t>2.2%</w:t>
            </w:r>
          </w:p>
        </w:tc>
      </w:tr>
    </w:tbl>
    <w:p>
      <w:pPr>
        <w:spacing w:after="0" w:line="10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280035" cy="88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035" cy="88265"/>
                    </a:xfrm>
                    <a:prstGeom prst="rect">
                      <a:avLst/>
                    </a:prstGeom>
                    <a:noFill/>
                  </pic:spPr>
                </pic:pic>
              </a:graphicData>
            </a:graphic>
          </wp:anchor>
        </w:drawing>
      </w:r>
    </w:p>
    <w:p>
      <w:pPr>
        <w:spacing w:after="0" w:line="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280035" cy="88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0035" cy="8826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For consolidation purposes, loans generated in FC are converted to LC.</w:t>
      </w:r>
    </w:p>
    <w:p>
      <w:pPr>
        <w:ind w:left="160" w:hanging="159"/>
        <w:spacing w:after="0" w:line="219" w:lineRule="auto"/>
        <w:tabs>
          <w:tab w:leader="none" w:pos="1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Work out unit, and other banking.</w:t>
      </w:r>
    </w:p>
    <w:p>
      <w:pPr>
        <w:ind w:left="160" w:hanging="159"/>
        <w:spacing w:after="0" w:line="219" w:lineRule="auto"/>
        <w:tabs>
          <w:tab w:leader="none" w:pos="160" w:val="left"/>
        </w:tabs>
        <w:numPr>
          <w:ilvl w:val="0"/>
          <w:numId w:val="6"/>
        </w:numPr>
        <w:rPr>
          <w:rFonts w:ascii="Arial" w:cs="Arial" w:eastAsia="Arial" w:hAnsi="Arial"/>
          <w:sz w:val="12"/>
          <w:szCs w:val="12"/>
          <w:color w:val="auto"/>
        </w:rPr>
      </w:pPr>
      <w:r>
        <w:rPr>
          <w:rFonts w:ascii="Arial" w:cs="Arial" w:eastAsia="Arial" w:hAnsi="Arial"/>
          <w:sz w:val="12"/>
          <w:szCs w:val="12"/>
          <w:color w:val="auto"/>
        </w:rPr>
        <w:t>Figures differ from previously reporte, please consider the data presented on this report that now inclides Mibanco Colombia.</w:t>
      </w:r>
    </w:p>
    <w:p>
      <w:pPr>
        <w:ind w:left="160" w:hanging="159"/>
        <w:spacing w:after="0"/>
        <w:tabs>
          <w:tab w:leader="none" w:pos="160" w:val="left"/>
        </w:tabs>
        <w:numPr>
          <w:ilvl w:val="0"/>
          <w:numId w:val="6"/>
        </w:numPr>
        <w:rPr>
          <w:rFonts w:ascii="Arial" w:cs="Arial" w:eastAsia="Arial" w:hAnsi="Arial"/>
          <w:sz w:val="12"/>
          <w:szCs w:val="12"/>
          <w:color w:val="auto"/>
        </w:rPr>
      </w:pPr>
      <w:r>
        <w:rPr>
          <w:rFonts w:ascii="Arial" w:cs="Arial" w:eastAsia="Arial" w:hAnsi="Arial"/>
          <w:sz w:val="12"/>
          <w:szCs w:val="12"/>
          <w:color w:val="auto"/>
        </w:rPr>
        <w:t>Structural Portfolio excludes the average daily balances from loans offered through de Reactiva Peru y FAE-Mype Government Programs.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QoQ growth in ADB for loans by segments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Expressed in millions of 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-0.3% (-0.1%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132080</wp:posOffset>
            </wp:positionV>
            <wp:extent cx="5598160" cy="2374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9816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280035" cy="80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0035" cy="8001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280035" cy="88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0035" cy="88265"/>
                    </a:xfrm>
                    <a:prstGeom prst="rect">
                      <a:avLst/>
                    </a:prstGeom>
                    <a:noFill/>
                  </pic:spPr>
                </pic:pic>
              </a:graphicData>
            </a:graphic>
          </wp:anchor>
        </w:drawing>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figure above shows a decrease of -0.3% QoQ (-0.1% structural) in loans measured in ADB, which was attributable to differing evolutions for diverse business segments.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Wholesale Banking portfolio reported a drop of -3.5% QoQ in ADB due to a decrease in structural balances in the Corporate segment and, albeit to a lesser degree, to a drop in the Middle Market segment. Balances for Corporate Banking fell -4.4% QoQ while Middle Market Banking decreased -2.4% QoQ. This decline was attributable to the fact that many wholesale clients took a conservative approach to financing in a context of sluggish business activity due to the pandemic. In this context, less financing was sought, and clients moved to cancel short-term debt.</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Retail Banking portfolio evolved positively, advancing +1.3 QoQ in terms of ABD. This was attributable to growth in balances in the Mortgage, SME-Pyme and Consumer segments, which reverted a downward trend in 4Q20 in a context of economic recovery. On the contrary, loans in the Credit Card segment fell due to the drop in big-ticket purchases amid new confinement restrictions in 1Q21 and consequent constraints on the risk appetite for this segment. The SME-Business segment, like the Corporate segment, reported a decrease in structural balances. This was attributable to the fact that many clients received low-cost funding from Reactiva Peru and are managing excess liquidity in a context of economic contraction. This combination of factors prompted some clients to cancel debt.</w:t>
      </w:r>
    </w:p>
    <w:p>
      <w:pPr>
        <w:spacing w:after="0" w:line="5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17"/>
          <w:szCs w:val="17"/>
          <w:color w:val="auto"/>
        </w:rPr>
        <w:t>Despite the effect of new confinement measures, Mibanco reported loan growth of +1.9% QoQ thanks to an uptick in structural loans this quarter. If we exclude Government loans from the calculation base, structural loans at Mibanco grew 2.4% QoQ. Mibanco Colombia registered record disbursement levels, which led growth in their portfolio balances of +4.9% QoQ. This was attributable to a recovery in the microfinance segment in Colombia and to company strategies to optimize the productivity and distribution of the salesforce.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At BCP Bolivia, the loan portfolio grew +1.8% QoQ, which reflected an increase in loan reprogramming and in the exchange rate.</w:t>
      </w: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YoY growth in the ADB of loans by segment</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Expressed in millions of 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+ 17.2% (-3.8%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132080</wp:posOffset>
            </wp:positionV>
            <wp:extent cx="5598160" cy="2463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98160" cy="246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Government Programs (Reactiva y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280035" cy="80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035" cy="8001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280035" cy="88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0035" cy="8826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YoY growth by segment measured in ADB shows: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Growth in the SME-Business segments (+89.4% YoY), SME-Business (+97.8% YoY) and Middle Market (+22.0% YoY), bolstered by Reactiva Peru, led expansion in ADB. Growth in these segments was followed by expansion in Consumer (+10.8% YoY) and Mortgage (+4.8% YoY), which were negatively impacted by quarantine measures in 2Q20 and 3Q20 but in 4Q20, resumed growth alongside economic recovery. Credit cards, on the contrary, fell (-29% YoY) given that this product is used in sectors that have suffered the brunt of the pandemic’s impact and continue to lag due to on-going restrictions: travel, restaurants, retail purchases. To this is added the internal risk appetite constraints for this segment given the actual economic environment. If we exclude Government loans from the calculation base, SME-Pyme registered expansion of +4.2% while SME-Business contracted -21.4% YoY.</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ADB for the total Wholesale Banking portfolio registered growth of +4.6% YoY. Within this portfolio, the Middle Market Banking segment reported an increase of +22.0% YoY due to Reactiva Peru but the Corporate Banking segment registered a drop of -6.4% YoY after the demand for financing fell. The exchange rate effect, which was affected by the appreciation of the US Dollar, also drove variations. It is important to note that 40.7% of Middle Market loans and 57.7% of Corporate loans are denominated in FC. If we exclude the exchange rate effect, the Middle market segment reports growth of +18.7% while Corporate Banking registers a drop of -10.0%. If we exclude Government loans from the calculation base, Middle Market Banking and Corporate Banking fell -8.7% respectively.</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Growth in Mibanco loans was situated at +21.6% YoY and driven by loans disbursed under Reactiva Peru and FAE-Mype. Loans under Reactiva and FAE represented approximately 22% of Mibanco’s average daily balances at the end of March 2021. If we exclude Government loans from the calculation base, Mibanco’s structural portfolio registered a drop of -5.0% YoY in average daily balances. Regarding Mibanco Colombia, loans in ADB registered growth of +8.9% YoY as disbursements have reached record levels this quarter due to the fact that the Colombian microfinance market has resumed growth and the company’s commercial and operating strategy yielded benefits.</w:t>
      </w:r>
    </w:p>
    <w:p>
      <w:pPr>
        <w:spacing w:after="0" w:line="8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6"/>
          <w:szCs w:val="16"/>
          <w:color w:val="auto"/>
        </w:rPr>
        <w:t>The +9.5% YoY expansion reported for the ADB of BCP Bolivia’s loans was primarily attributable to growth in Corporate Banking and loan reprogramming. The Commercial Mortgage segment also contributed, albeit to a lesser degree, to growth in ADB. Nevertheless, total growth was offset by a drop in the retail portfolio, which absorbed the brunt of the pandemic and was affected by downturn in microloans in a risk adverse context marked by ongoing uncertainty.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1.2.2. Evolution of the level of loan dollarization at Credicorp by segment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Evolution of average daily balances by currency </w:t>
      </w:r>
      <w:r>
        <w:rPr>
          <w:rFonts w:ascii="Arial" w:cs="Arial" w:eastAsia="Arial" w:hAnsi="Arial"/>
          <w:sz w:val="27"/>
          <w:szCs w:val="27"/>
          <w:b w:val="1"/>
          <w:bCs w:val="1"/>
          <w:color w:val="auto"/>
          <w:vertAlign w:val="superscript"/>
        </w:rPr>
        <w:t>(1)(2)(3)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2"/>
                <w:szCs w:val="12"/>
                <w:b w:val="1"/>
                <w:bCs w:val="1"/>
                <w:color w:val="auto"/>
                <w:w w:val="97"/>
              </w:rPr>
              <w:t>DOMESTIC CURRENCY LOANS</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right"/>
              <w:ind w:right="461"/>
              <w:spacing w:after="0"/>
              <w:rPr>
                <w:sz w:val="20"/>
                <w:szCs w:val="20"/>
                <w:color w:val="auto"/>
              </w:rPr>
            </w:pPr>
            <w:r>
              <w:rPr>
                <w:rFonts w:ascii="Arial" w:cs="Arial" w:eastAsia="Arial" w:hAnsi="Arial"/>
                <w:sz w:val="12"/>
                <w:szCs w:val="12"/>
                <w:b w:val="1"/>
                <w:bCs w:val="1"/>
                <w:color w:val="auto"/>
              </w:rPr>
              <w:t>% change</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FOREIGN CURRENCY LOANS</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5"/>
          </w:tcPr>
          <w:p>
            <w:pPr>
              <w:jc w:val="center"/>
              <w:ind w:right="61"/>
              <w:spacing w:after="0"/>
              <w:rPr>
                <w:sz w:val="20"/>
                <w:szCs w:val="20"/>
                <w:color w:val="auto"/>
              </w:rPr>
            </w:pPr>
            <w:r>
              <w:rPr>
                <w:rFonts w:ascii="Arial" w:cs="Arial" w:eastAsia="Arial" w:hAnsi="Arial"/>
                <w:sz w:val="12"/>
                <w:szCs w:val="12"/>
                <w:b w:val="1"/>
                <w:bCs w:val="1"/>
                <w:color w:val="auto"/>
                <w:w w:val="91"/>
              </w:rPr>
              <w:t>% part. by currency</w:t>
            </w:r>
          </w:p>
        </w:tc>
      </w:tr>
      <w:tr>
        <w:trPr>
          <w:trHeight w:val="131"/>
        </w:trPr>
        <w:tc>
          <w:tcPr>
            <w:tcW w:w="1480" w:type="dxa"/>
            <w:vAlign w:val="bottom"/>
          </w:tcPr>
          <w:p>
            <w:pPr>
              <w:spacing w:after="0"/>
              <w:rPr>
                <w:sz w:val="11"/>
                <w:szCs w:val="11"/>
                <w:color w:val="auto"/>
              </w:rPr>
            </w:pPr>
          </w:p>
        </w:tc>
        <w:tc>
          <w:tcPr>
            <w:tcW w:w="1700" w:type="dxa"/>
            <w:vAlign w:val="bottom"/>
            <w:gridSpan w:val="7"/>
          </w:tcPr>
          <w:p>
            <w:pPr>
              <w:jc w:val="right"/>
              <w:ind w:right="380"/>
              <w:spacing w:after="0" w:line="132" w:lineRule="exact"/>
              <w:rPr>
                <w:sz w:val="20"/>
                <w:szCs w:val="20"/>
                <w:color w:val="auto"/>
              </w:rPr>
            </w:pPr>
            <w:r>
              <w:rPr>
                <w:rFonts w:ascii="Arial" w:cs="Arial" w:eastAsia="Arial" w:hAnsi="Arial"/>
                <w:sz w:val="12"/>
                <w:szCs w:val="12"/>
                <w:i w:val="1"/>
                <w:iCs w:val="1"/>
                <w:color w:val="auto"/>
              </w:rPr>
              <w:t>Expressed in million S/</w:t>
            </w:r>
          </w:p>
        </w:tc>
        <w:tc>
          <w:tcPr>
            <w:tcW w:w="1020" w:type="dxa"/>
            <w:vAlign w:val="bottom"/>
            <w:gridSpan w:val="3"/>
          </w:tcPr>
          <w:p>
            <w:pPr>
              <w:jc w:val="right"/>
              <w:ind w:right="201"/>
              <w:spacing w:after="0" w:line="132" w:lineRule="exact"/>
              <w:rPr>
                <w:sz w:val="20"/>
                <w:szCs w:val="20"/>
                <w:color w:val="auto"/>
              </w:rPr>
            </w:pPr>
            <w:r>
              <w:rPr>
                <w:rFonts w:ascii="Arial" w:cs="Arial" w:eastAsia="Arial" w:hAnsi="Arial"/>
                <w:sz w:val="12"/>
                <w:szCs w:val="12"/>
                <w:b w:val="1"/>
                <w:bCs w:val="1"/>
                <w:color w:val="auto"/>
              </w:rPr>
              <w:t>Structural</w:t>
            </w:r>
          </w:p>
        </w:tc>
        <w:tc>
          <w:tcPr>
            <w:tcW w:w="100" w:type="dxa"/>
            <w:vAlign w:val="bottom"/>
          </w:tcPr>
          <w:p>
            <w:pPr>
              <w:spacing w:after="0"/>
              <w:rPr>
                <w:sz w:val="11"/>
                <w:szCs w:val="11"/>
                <w:color w:val="auto"/>
              </w:rPr>
            </w:pPr>
          </w:p>
        </w:tc>
        <w:tc>
          <w:tcPr>
            <w:tcW w:w="1400" w:type="dxa"/>
            <w:vAlign w:val="bottom"/>
            <w:gridSpan w:val="5"/>
          </w:tcPr>
          <w:p>
            <w:pPr>
              <w:jc w:val="right"/>
              <w:ind w:right="501"/>
              <w:spacing w:after="0" w:line="132" w:lineRule="exact"/>
              <w:rPr>
                <w:sz w:val="20"/>
                <w:szCs w:val="20"/>
                <w:color w:val="auto"/>
              </w:rPr>
            </w:pPr>
            <w:r>
              <w:rPr>
                <w:rFonts w:ascii="Arial" w:cs="Arial" w:eastAsia="Arial" w:hAnsi="Arial"/>
                <w:sz w:val="12"/>
                <w:szCs w:val="12"/>
                <w:b w:val="1"/>
                <w:bCs w:val="1"/>
                <w:color w:val="auto"/>
              </w:rPr>
              <w:t>% change</w:t>
            </w:r>
          </w:p>
        </w:tc>
        <w:tc>
          <w:tcPr>
            <w:tcW w:w="1320" w:type="dxa"/>
            <w:vAlign w:val="bottom"/>
            <w:gridSpan w:val="4"/>
          </w:tcPr>
          <w:p>
            <w:pPr>
              <w:jc w:val="right"/>
              <w:ind w:right="461"/>
              <w:spacing w:after="0" w:line="132" w:lineRule="exact"/>
              <w:rPr>
                <w:sz w:val="20"/>
                <w:szCs w:val="20"/>
                <w:color w:val="auto"/>
              </w:rPr>
            </w:pPr>
            <w:r>
              <w:rPr>
                <w:rFonts w:ascii="Arial" w:cs="Arial" w:eastAsia="Arial" w:hAnsi="Arial"/>
                <w:sz w:val="12"/>
                <w:szCs w:val="12"/>
                <w:b w:val="1"/>
                <w:bCs w:val="1"/>
                <w:color w:val="auto"/>
              </w:rPr>
              <w:t>Structural</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6"/>
          </w:tcPr>
          <w:p>
            <w:pPr>
              <w:jc w:val="right"/>
              <w:ind w:right="261"/>
              <w:spacing w:after="0" w:line="132" w:lineRule="exact"/>
              <w:rPr>
                <w:sz w:val="20"/>
                <w:szCs w:val="20"/>
                <w:color w:val="auto"/>
              </w:rPr>
            </w:pPr>
            <w:r>
              <w:rPr>
                <w:rFonts w:ascii="Arial" w:cs="Arial" w:eastAsia="Arial" w:hAnsi="Arial"/>
                <w:sz w:val="12"/>
                <w:szCs w:val="12"/>
                <w:i w:val="1"/>
                <w:iCs w:val="1"/>
                <w:color w:val="auto"/>
              </w:rPr>
              <w:t>Expressed in million US$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left="301"/>
              <w:spacing w:after="0" w:line="132" w:lineRule="exact"/>
              <w:rPr>
                <w:sz w:val="20"/>
                <w:szCs w:val="20"/>
                <w:color w:val="auto"/>
              </w:rPr>
            </w:pPr>
            <w:r>
              <w:rPr>
                <w:rFonts w:ascii="Arial" w:cs="Arial" w:eastAsia="Arial" w:hAnsi="Arial"/>
                <w:sz w:val="12"/>
                <w:szCs w:val="12"/>
                <w:b w:val="1"/>
                <w:bCs w:val="1"/>
                <w:color w:val="auto"/>
                <w:w w:val="95"/>
              </w:rPr>
              <w:t>1Q21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1"/>
        </w:trPr>
        <w:tc>
          <w:tcPr>
            <w:tcW w:w="148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21"/>
              <w:spacing w:after="0" w:line="132" w:lineRule="exact"/>
              <w:rPr>
                <w:sz w:val="20"/>
                <w:szCs w:val="20"/>
                <w:color w:val="auto"/>
              </w:rPr>
            </w:pPr>
            <w:r>
              <w:rPr>
                <w:rFonts w:ascii="Arial" w:cs="Arial" w:eastAsia="Arial" w:hAnsi="Arial"/>
                <w:sz w:val="12"/>
                <w:szCs w:val="12"/>
                <w:b w:val="1"/>
                <w:bCs w:val="1"/>
                <w:color w:val="auto"/>
              </w:rPr>
              <w:t>1Q20</w:t>
            </w:r>
          </w:p>
        </w:tc>
        <w:tc>
          <w:tcPr>
            <w:tcW w:w="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4Q20</w:t>
            </w: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1Q21</w:t>
            </w:r>
          </w:p>
        </w:tc>
        <w:tc>
          <w:tcPr>
            <w:tcW w:w="1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21"/>
              <w:spacing w:after="0" w:line="132" w:lineRule="exact"/>
              <w:rPr>
                <w:sz w:val="20"/>
                <w:szCs w:val="20"/>
                <w:color w:val="auto"/>
              </w:rPr>
            </w:pPr>
            <w:r>
              <w:rPr>
                <w:rFonts w:ascii="Arial" w:cs="Arial" w:eastAsia="Arial" w:hAnsi="Arial"/>
                <w:sz w:val="12"/>
                <w:szCs w:val="12"/>
                <w:b w:val="1"/>
                <w:bCs w:val="1"/>
                <w:color w:val="auto"/>
              </w:rPr>
              <w:t>4Q20</w:t>
            </w:r>
          </w:p>
        </w:tc>
        <w:tc>
          <w:tcPr>
            <w:tcW w:w="12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1Q21</w:t>
            </w:r>
          </w:p>
        </w:tc>
        <w:tc>
          <w:tcPr>
            <w:tcW w:w="10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QoQ</w:t>
            </w:r>
          </w:p>
        </w:tc>
        <w:tc>
          <w:tcPr>
            <w:tcW w:w="260" w:type="dxa"/>
            <w:vAlign w:val="bottom"/>
            <w:tcBorders>
              <w:top w:val="single" w:sz="8" w:color="auto"/>
              <w:bottom w:val="single" w:sz="8" w:color="CCEEFF"/>
            </w:tcBorders>
            <w:gridSpan w:val="2"/>
          </w:tcPr>
          <w:p>
            <w:pPr>
              <w:spacing w:after="0"/>
              <w:rPr>
                <w:sz w:val="11"/>
                <w:szCs w:val="11"/>
                <w:color w:val="auto"/>
              </w:rPr>
            </w:pPr>
          </w:p>
        </w:tc>
        <w:tc>
          <w:tcPr>
            <w:tcW w:w="440" w:type="dxa"/>
            <w:vAlign w:val="bottom"/>
            <w:tcBorders>
              <w:top w:val="single" w:sz="8" w:color="auto"/>
              <w:bottom w:val="single" w:sz="8" w:color="auto"/>
            </w:tcBorders>
          </w:tcPr>
          <w:p>
            <w:pPr>
              <w:jc w:val="right"/>
              <w:ind w:right="61"/>
              <w:spacing w:after="0" w:line="132" w:lineRule="exact"/>
              <w:rPr>
                <w:sz w:val="20"/>
                <w:szCs w:val="20"/>
                <w:color w:val="auto"/>
              </w:rPr>
            </w:pPr>
            <w:r>
              <w:rPr>
                <w:rFonts w:ascii="Arial" w:cs="Arial" w:eastAsia="Arial" w:hAnsi="Arial"/>
                <w:sz w:val="12"/>
                <w:szCs w:val="12"/>
                <w:b w:val="1"/>
                <w:bCs w:val="1"/>
                <w:color w:val="auto"/>
              </w:rPr>
              <w:t>YoY</w:t>
            </w:r>
          </w:p>
        </w:tc>
        <w:tc>
          <w:tcPr>
            <w:tcW w:w="2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QoQ</w:t>
            </w:r>
          </w:p>
        </w:tc>
        <w:tc>
          <w:tcPr>
            <w:tcW w:w="22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1"/>
              <w:spacing w:after="0" w:line="132" w:lineRule="exact"/>
              <w:rPr>
                <w:sz w:val="20"/>
                <w:szCs w:val="20"/>
                <w:color w:val="auto"/>
              </w:rPr>
            </w:pPr>
            <w:r>
              <w:rPr>
                <w:rFonts w:ascii="Arial" w:cs="Arial" w:eastAsia="Arial" w:hAnsi="Arial"/>
                <w:sz w:val="12"/>
                <w:szCs w:val="12"/>
                <w:b w:val="1"/>
                <w:bCs w:val="1"/>
                <w:color w:val="auto"/>
              </w:rPr>
              <w:t>YoY</w:t>
            </w:r>
          </w:p>
        </w:tc>
        <w:tc>
          <w:tcPr>
            <w:tcW w:w="2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21"/>
              <w:spacing w:after="0" w:line="132" w:lineRule="exact"/>
              <w:rPr>
                <w:sz w:val="20"/>
                <w:szCs w:val="20"/>
                <w:color w:val="auto"/>
              </w:rPr>
            </w:pPr>
            <w:r>
              <w:rPr>
                <w:rFonts w:ascii="Arial" w:cs="Arial" w:eastAsia="Arial" w:hAnsi="Arial"/>
                <w:sz w:val="12"/>
                <w:szCs w:val="12"/>
                <w:b w:val="1"/>
                <w:bCs w:val="1"/>
                <w:color w:val="auto"/>
              </w:rPr>
              <w:t>1Q20</w:t>
            </w: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4Q20</w:t>
            </w:r>
          </w:p>
        </w:tc>
        <w:tc>
          <w:tcPr>
            <w:tcW w:w="10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1Q21</w:t>
            </w:r>
          </w:p>
        </w:tc>
        <w:tc>
          <w:tcPr>
            <w:tcW w:w="10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2"/>
                <w:szCs w:val="12"/>
                <w:b w:val="1"/>
                <w:bCs w:val="1"/>
                <w:color w:val="auto"/>
              </w:rPr>
              <w:t>QoQ</w:t>
            </w:r>
          </w:p>
        </w:tc>
        <w:tc>
          <w:tcPr>
            <w:tcW w:w="22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1"/>
              <w:spacing w:after="0" w:line="132" w:lineRule="exact"/>
              <w:rPr>
                <w:sz w:val="20"/>
                <w:szCs w:val="20"/>
                <w:color w:val="auto"/>
              </w:rPr>
            </w:pPr>
            <w:r>
              <w:rPr>
                <w:rFonts w:ascii="Arial" w:cs="Arial" w:eastAsia="Arial" w:hAnsi="Arial"/>
                <w:sz w:val="12"/>
                <w:szCs w:val="12"/>
                <w:b w:val="1"/>
                <w:bCs w:val="1"/>
                <w:color w:val="auto"/>
              </w:rPr>
              <w:t>YoY</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1"/>
              <w:spacing w:after="0" w:line="132" w:lineRule="exact"/>
              <w:rPr>
                <w:sz w:val="20"/>
                <w:szCs w:val="20"/>
                <w:color w:val="auto"/>
              </w:rPr>
            </w:pPr>
            <w:r>
              <w:rPr>
                <w:rFonts w:ascii="Arial" w:cs="Arial" w:eastAsia="Arial" w:hAnsi="Arial"/>
                <w:sz w:val="12"/>
                <w:szCs w:val="12"/>
                <w:b w:val="1"/>
                <w:bCs w:val="1"/>
                <w:color w:val="auto"/>
              </w:rPr>
              <w:t>LC</w:t>
            </w:r>
          </w:p>
        </w:tc>
        <w:tc>
          <w:tcPr>
            <w:tcW w:w="2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81"/>
              <w:spacing w:after="0" w:line="132" w:lineRule="exact"/>
              <w:rPr>
                <w:sz w:val="20"/>
                <w:szCs w:val="20"/>
                <w:color w:val="auto"/>
              </w:rPr>
            </w:pPr>
            <w:r>
              <w:rPr>
                <w:rFonts w:ascii="Arial" w:cs="Arial" w:eastAsia="Arial" w:hAnsi="Arial"/>
                <w:sz w:val="12"/>
                <w:szCs w:val="12"/>
                <w:b w:val="1"/>
                <w:bCs w:val="1"/>
                <w:color w:val="auto"/>
              </w:rPr>
              <w:t>FC</w:t>
            </w:r>
          </w:p>
        </w:tc>
        <w:tc>
          <w:tcPr>
            <w:tcW w:w="140" w:type="dxa"/>
            <w:vAlign w:val="bottom"/>
            <w:tcBorders>
              <w:bottom w:val="single" w:sz="8" w:color="CCEEFF"/>
            </w:tcBorders>
          </w:tcPr>
          <w:p>
            <w:pPr>
              <w:spacing w:after="0"/>
              <w:rPr>
                <w:sz w:val="11"/>
                <w:szCs w:val="11"/>
                <w:color w:val="auto"/>
              </w:rPr>
            </w:pPr>
          </w:p>
        </w:tc>
      </w:tr>
      <w:tr>
        <w:trPr>
          <w:trHeight w:val="119"/>
        </w:trPr>
        <w:tc>
          <w:tcPr>
            <w:tcW w:w="1480" w:type="dxa"/>
            <w:vAlign w:val="bottom"/>
            <w:shd w:val="clear" w:color="auto" w:fill="CCEEFF"/>
          </w:tcPr>
          <w:p>
            <w:pPr>
              <w:spacing w:after="0" w:line="119" w:lineRule="exact"/>
              <w:rPr>
                <w:sz w:val="20"/>
                <w:szCs w:val="20"/>
                <w:color w:val="auto"/>
              </w:rPr>
            </w:pPr>
            <w:r>
              <w:rPr>
                <w:rFonts w:ascii="Arial" w:cs="Arial" w:eastAsia="Arial" w:hAnsi="Arial"/>
                <w:sz w:val="12"/>
                <w:szCs w:val="12"/>
                <w:b w:val="1"/>
                <w:bCs w:val="1"/>
                <w:color w:val="auto"/>
              </w:rPr>
              <w:t>BCP Stand-alone</w:t>
            </w: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60,854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80,945</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80,117</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59,039</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58,466</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-1.0%</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1"/>
              <w:spacing w:after="0" w:line="119" w:lineRule="exact"/>
              <w:rPr>
                <w:sz w:val="20"/>
                <w:szCs w:val="20"/>
                <w:color w:val="auto"/>
              </w:rPr>
            </w:pPr>
            <w:r>
              <w:rPr>
                <w:rFonts w:ascii="Arial" w:cs="Arial" w:eastAsia="Arial" w:hAnsi="Arial"/>
                <w:sz w:val="12"/>
                <w:szCs w:val="12"/>
                <w:b w:val="1"/>
                <w:bCs w:val="1"/>
                <w:color w:val="auto"/>
              </w:rPr>
              <w:t>31.7%</w:t>
            </w:r>
          </w:p>
        </w:tc>
        <w:tc>
          <w:tcPr>
            <w:tcW w:w="660" w:type="dxa"/>
            <w:vAlign w:val="bottom"/>
            <w:gridSpan w:val="2"/>
            <w:shd w:val="clear" w:color="auto" w:fill="CCEEFF"/>
          </w:tcPr>
          <w:p>
            <w:pPr>
              <w:jc w:val="right"/>
              <w:ind w:right="41"/>
              <w:spacing w:after="0" w:line="119" w:lineRule="exact"/>
              <w:rPr>
                <w:sz w:val="20"/>
                <w:szCs w:val="20"/>
                <w:color w:val="auto"/>
              </w:rPr>
            </w:pPr>
            <w:r>
              <w:rPr>
                <w:rFonts w:ascii="Arial" w:cs="Arial" w:eastAsia="Arial" w:hAnsi="Arial"/>
                <w:sz w:val="12"/>
                <w:szCs w:val="12"/>
                <w:b w:val="1"/>
                <w:bCs w:val="1"/>
                <w:color w:val="auto"/>
              </w:rPr>
              <w:t>-1.0%</w:t>
            </w:r>
          </w:p>
        </w:tc>
        <w:tc>
          <w:tcPr>
            <w:tcW w:w="660" w:type="dxa"/>
            <w:vAlign w:val="bottom"/>
            <w:gridSpan w:val="2"/>
            <w:shd w:val="clear" w:color="auto" w:fill="CCEEFF"/>
          </w:tcPr>
          <w:p>
            <w:pPr>
              <w:jc w:val="right"/>
              <w:ind w:right="41"/>
              <w:spacing w:after="0" w:line="119" w:lineRule="exact"/>
              <w:rPr>
                <w:sz w:val="20"/>
                <w:szCs w:val="20"/>
                <w:color w:val="auto"/>
              </w:rPr>
            </w:pPr>
            <w:r>
              <w:rPr>
                <w:rFonts w:ascii="Arial" w:cs="Arial" w:eastAsia="Arial" w:hAnsi="Arial"/>
                <w:sz w:val="12"/>
                <w:szCs w:val="12"/>
                <w:b w:val="1"/>
                <w:bCs w:val="1"/>
                <w:color w:val="auto"/>
              </w:rPr>
              <w:t>-3.9%</w:t>
            </w: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10,009</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8,865</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8,654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1"/>
              <w:spacing w:after="0" w:line="119" w:lineRule="exact"/>
              <w:rPr>
                <w:sz w:val="20"/>
                <w:szCs w:val="20"/>
                <w:color w:val="auto"/>
              </w:rPr>
            </w:pPr>
            <w:r>
              <w:rPr>
                <w:rFonts w:ascii="Arial" w:cs="Arial" w:eastAsia="Arial" w:hAnsi="Arial"/>
                <w:sz w:val="12"/>
                <w:szCs w:val="12"/>
                <w:b w:val="1"/>
                <w:bCs w:val="1"/>
                <w:color w:val="auto"/>
              </w:rPr>
              <w:t>-2.4%</w:t>
            </w:r>
          </w:p>
        </w:tc>
        <w:tc>
          <w:tcPr>
            <w:tcW w:w="5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-13.5%</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1"/>
              <w:spacing w:after="0" w:line="119" w:lineRule="exact"/>
              <w:rPr>
                <w:sz w:val="20"/>
                <w:szCs w:val="20"/>
                <w:color w:val="auto"/>
              </w:rPr>
            </w:pPr>
            <w:r>
              <w:rPr>
                <w:rFonts w:ascii="Arial" w:cs="Arial" w:eastAsia="Arial" w:hAnsi="Arial"/>
                <w:sz w:val="12"/>
                <w:szCs w:val="12"/>
                <w:b w:val="1"/>
                <w:bCs w:val="1"/>
                <w:color w:val="auto"/>
              </w:rPr>
              <w:t>71.6%</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28.4%</w:t>
            </w:r>
          </w:p>
        </w:tc>
      </w:tr>
      <w:tr>
        <w:trPr>
          <w:trHeight w:val="126"/>
        </w:trPr>
        <w:tc>
          <w:tcPr>
            <w:tcW w:w="1480" w:type="dxa"/>
            <w:vAlign w:val="bottom"/>
          </w:tcPr>
          <w:p>
            <w:pPr>
              <w:ind w:left="160"/>
              <w:spacing w:after="0" w:line="126" w:lineRule="exact"/>
              <w:rPr>
                <w:sz w:val="20"/>
                <w:szCs w:val="20"/>
                <w:color w:val="auto"/>
              </w:rPr>
            </w:pPr>
            <w:r>
              <w:rPr>
                <w:rFonts w:ascii="Arial" w:cs="Arial" w:eastAsia="Arial" w:hAnsi="Arial"/>
                <w:sz w:val="12"/>
                <w:szCs w:val="12"/>
                <w:b w:val="1"/>
                <w:bCs w:val="1"/>
                <w:color w:val="auto"/>
              </w:rPr>
              <w:t>Wholesale Banking</w:t>
            </w:r>
          </w:p>
        </w:tc>
        <w:tc>
          <w:tcPr>
            <w:tcW w:w="460" w:type="dxa"/>
            <w:vAlign w:val="bottom"/>
            <w:gridSpan w:val="2"/>
          </w:tcPr>
          <w:p>
            <w:pPr>
              <w:jc w:val="right"/>
              <w:ind w:right="20"/>
              <w:spacing w:after="0" w:line="126" w:lineRule="exact"/>
              <w:rPr>
                <w:sz w:val="20"/>
                <w:szCs w:val="20"/>
                <w:color w:val="auto"/>
              </w:rPr>
            </w:pPr>
            <w:r>
              <w:rPr>
                <w:rFonts w:ascii="Arial" w:cs="Arial" w:eastAsia="Arial" w:hAnsi="Arial"/>
                <w:sz w:val="12"/>
                <w:szCs w:val="12"/>
                <w:b w:val="1"/>
                <w:bCs w:val="1"/>
                <w:color w:val="auto"/>
              </w:rPr>
              <w:t>20,733</w:t>
            </w:r>
          </w:p>
        </w:tc>
        <w:tc>
          <w:tcPr>
            <w:tcW w:w="660" w:type="dxa"/>
            <w:vAlign w:val="bottom"/>
            <w:gridSpan w:val="3"/>
          </w:tcPr>
          <w:p>
            <w:pPr>
              <w:jc w:val="right"/>
              <w:ind w:right="100"/>
              <w:spacing w:after="0" w:line="126" w:lineRule="exact"/>
              <w:rPr>
                <w:sz w:val="20"/>
                <w:szCs w:val="20"/>
                <w:color w:val="auto"/>
              </w:rPr>
            </w:pPr>
            <w:r>
              <w:rPr>
                <w:rFonts w:ascii="Arial" w:cs="Arial" w:eastAsia="Arial" w:hAnsi="Arial"/>
                <w:sz w:val="12"/>
                <w:szCs w:val="12"/>
                <w:b w:val="1"/>
                <w:bCs w:val="1"/>
                <w:color w:val="auto"/>
              </w:rPr>
              <w:t>26,490</w:t>
            </w:r>
          </w:p>
        </w:tc>
        <w:tc>
          <w:tcPr>
            <w:tcW w:w="58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24,935</w:t>
            </w:r>
          </w:p>
        </w:tc>
        <w:tc>
          <w:tcPr>
            <w:tcW w:w="56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19,802</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18,593</w:t>
            </w:r>
          </w:p>
        </w:tc>
        <w:tc>
          <w:tcPr>
            <w:tcW w:w="60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-5.9%</w:t>
            </w:r>
          </w:p>
        </w:tc>
        <w:tc>
          <w:tcPr>
            <w:tcW w:w="120" w:type="dxa"/>
            <w:vAlign w:val="bottom"/>
          </w:tcPr>
          <w:p>
            <w:pPr>
              <w:spacing w:after="0"/>
              <w:rPr>
                <w:sz w:val="10"/>
                <w:szCs w:val="10"/>
                <w:color w:val="auto"/>
              </w:rPr>
            </w:pPr>
          </w:p>
        </w:tc>
        <w:tc>
          <w:tcPr>
            <w:tcW w:w="680" w:type="dxa"/>
            <w:vAlign w:val="bottom"/>
            <w:gridSpan w:val="2"/>
          </w:tcPr>
          <w:p>
            <w:pPr>
              <w:jc w:val="right"/>
              <w:ind w:right="61"/>
              <w:spacing w:after="0" w:line="126" w:lineRule="exact"/>
              <w:rPr>
                <w:sz w:val="20"/>
                <w:szCs w:val="20"/>
                <w:color w:val="auto"/>
              </w:rPr>
            </w:pPr>
            <w:r>
              <w:rPr>
                <w:rFonts w:ascii="Arial" w:cs="Arial" w:eastAsia="Arial" w:hAnsi="Arial"/>
                <w:sz w:val="12"/>
                <w:szCs w:val="12"/>
                <w:b w:val="1"/>
                <w:bCs w:val="1"/>
                <w:color w:val="auto"/>
              </w:rPr>
              <w:t>20.3%</w:t>
            </w:r>
          </w:p>
        </w:tc>
        <w:tc>
          <w:tcPr>
            <w:tcW w:w="660" w:type="dxa"/>
            <w:vAlign w:val="bottom"/>
            <w:gridSpan w:val="2"/>
          </w:tcPr>
          <w:p>
            <w:pPr>
              <w:jc w:val="right"/>
              <w:ind w:right="41"/>
              <w:spacing w:after="0" w:line="126" w:lineRule="exact"/>
              <w:rPr>
                <w:sz w:val="20"/>
                <w:szCs w:val="20"/>
                <w:color w:val="auto"/>
              </w:rPr>
            </w:pPr>
            <w:r>
              <w:rPr>
                <w:rFonts w:ascii="Arial" w:cs="Arial" w:eastAsia="Arial" w:hAnsi="Arial"/>
                <w:sz w:val="12"/>
                <w:szCs w:val="12"/>
                <w:b w:val="1"/>
                <w:bCs w:val="1"/>
                <w:color w:val="auto"/>
              </w:rPr>
              <w:t>-6.1%</w:t>
            </w:r>
          </w:p>
        </w:tc>
        <w:tc>
          <w:tcPr>
            <w:tcW w:w="660" w:type="dxa"/>
            <w:vAlign w:val="bottom"/>
            <w:gridSpan w:val="2"/>
          </w:tcPr>
          <w:p>
            <w:pPr>
              <w:jc w:val="right"/>
              <w:ind w:right="41"/>
              <w:spacing w:after="0" w:line="126" w:lineRule="exact"/>
              <w:rPr>
                <w:sz w:val="20"/>
                <w:szCs w:val="20"/>
                <w:color w:val="auto"/>
              </w:rPr>
            </w:pPr>
            <w:r>
              <w:rPr>
                <w:rFonts w:ascii="Arial" w:cs="Arial" w:eastAsia="Arial" w:hAnsi="Arial"/>
                <w:sz w:val="12"/>
                <w:szCs w:val="12"/>
                <w:b w:val="1"/>
                <w:bCs w:val="1"/>
                <w:color w:val="auto"/>
              </w:rPr>
              <w:t>-10.3%</w:t>
            </w:r>
          </w:p>
        </w:tc>
        <w:tc>
          <w:tcPr>
            <w:tcW w:w="4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7,873</w:t>
            </w:r>
          </w:p>
        </w:tc>
        <w:tc>
          <w:tcPr>
            <w:tcW w:w="100" w:type="dxa"/>
            <w:vAlign w:val="bottom"/>
          </w:tcPr>
          <w:p>
            <w:pPr>
              <w:spacing w:after="0"/>
              <w:rPr>
                <w:sz w:val="10"/>
                <w:szCs w:val="10"/>
                <w:color w:val="auto"/>
              </w:rPr>
            </w:pP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6,969</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6,772</w:t>
            </w:r>
          </w:p>
        </w:tc>
        <w:tc>
          <w:tcPr>
            <w:tcW w:w="660" w:type="dxa"/>
            <w:vAlign w:val="bottom"/>
            <w:gridSpan w:val="2"/>
          </w:tcPr>
          <w:p>
            <w:pPr>
              <w:jc w:val="right"/>
              <w:ind w:right="41"/>
              <w:spacing w:after="0" w:line="126" w:lineRule="exact"/>
              <w:rPr>
                <w:sz w:val="20"/>
                <w:szCs w:val="20"/>
                <w:color w:val="auto"/>
              </w:rPr>
            </w:pPr>
            <w:r>
              <w:rPr>
                <w:rFonts w:ascii="Arial" w:cs="Arial" w:eastAsia="Arial" w:hAnsi="Arial"/>
                <w:sz w:val="12"/>
                <w:szCs w:val="12"/>
                <w:b w:val="1"/>
                <w:bCs w:val="1"/>
                <w:color w:val="auto"/>
              </w:rPr>
              <w:t>-2.8%</w:t>
            </w:r>
          </w:p>
        </w:tc>
        <w:tc>
          <w:tcPr>
            <w:tcW w:w="56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-14.0%</w:t>
            </w:r>
          </w:p>
        </w:tc>
        <w:tc>
          <w:tcPr>
            <w:tcW w:w="100" w:type="dxa"/>
            <w:vAlign w:val="bottom"/>
          </w:tcPr>
          <w:p>
            <w:pPr>
              <w:spacing w:after="0"/>
              <w:rPr>
                <w:sz w:val="10"/>
                <w:szCs w:val="10"/>
                <w:color w:val="auto"/>
              </w:rPr>
            </w:pPr>
          </w:p>
        </w:tc>
        <w:tc>
          <w:tcPr>
            <w:tcW w:w="680" w:type="dxa"/>
            <w:vAlign w:val="bottom"/>
            <w:gridSpan w:val="2"/>
          </w:tcPr>
          <w:p>
            <w:pPr>
              <w:jc w:val="right"/>
              <w:ind w:right="61"/>
              <w:spacing w:after="0" w:line="126" w:lineRule="exact"/>
              <w:rPr>
                <w:sz w:val="20"/>
                <w:szCs w:val="20"/>
                <w:color w:val="auto"/>
              </w:rPr>
            </w:pPr>
            <w:r>
              <w:rPr>
                <w:rFonts w:ascii="Arial" w:cs="Arial" w:eastAsia="Arial" w:hAnsi="Arial"/>
                <w:sz w:val="12"/>
                <w:szCs w:val="12"/>
                <w:b w:val="1"/>
                <w:bCs w:val="1"/>
                <w:color w:val="auto"/>
              </w:rPr>
              <w:t>50.0%</w:t>
            </w:r>
          </w:p>
        </w:tc>
        <w:tc>
          <w:tcPr>
            <w:tcW w:w="80" w:type="dxa"/>
            <w:vAlign w:val="bottom"/>
          </w:tcPr>
          <w:p>
            <w:pPr>
              <w:spacing w:after="0"/>
              <w:rPr>
                <w:sz w:val="10"/>
                <w:szCs w:val="10"/>
                <w:color w:val="auto"/>
              </w:rPr>
            </w:pPr>
          </w:p>
        </w:tc>
        <w:tc>
          <w:tcPr>
            <w:tcW w:w="50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50.0%</w:t>
            </w:r>
          </w:p>
        </w:tc>
      </w:tr>
      <w:tr>
        <w:trPr>
          <w:trHeight w:val="126"/>
        </w:trPr>
        <w:tc>
          <w:tcPr>
            <w:tcW w:w="1480" w:type="dxa"/>
            <w:vAlign w:val="bottom"/>
            <w:shd w:val="clear" w:color="auto" w:fill="CCEEFF"/>
          </w:tcPr>
          <w:p>
            <w:pPr>
              <w:ind w:left="300"/>
              <w:spacing w:after="0" w:line="112" w:lineRule="exact"/>
              <w:rPr>
                <w:sz w:val="20"/>
                <w:szCs w:val="20"/>
                <w:color w:val="auto"/>
              </w:rPr>
            </w:pPr>
            <w:r>
              <w:rPr>
                <w:rFonts w:ascii="Arial" w:cs="Arial" w:eastAsia="Arial" w:hAnsi="Arial"/>
                <w:sz w:val="12"/>
                <w:szCs w:val="12"/>
                <w:color w:val="auto"/>
              </w:rPr>
              <w:t>Corporate</w:t>
            </w:r>
          </w:p>
        </w:tc>
        <w:tc>
          <w:tcPr>
            <w:tcW w:w="46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2"/>
                <w:szCs w:val="12"/>
                <w:color w:val="auto"/>
              </w:rPr>
              <w:t>12,186</w:t>
            </w:r>
          </w:p>
        </w:tc>
        <w:tc>
          <w:tcPr>
            <w:tcW w:w="660" w:type="dxa"/>
            <w:vAlign w:val="bottom"/>
            <w:gridSpan w:val="3"/>
            <w:shd w:val="clear" w:color="auto" w:fill="CCEEFF"/>
          </w:tcPr>
          <w:p>
            <w:pPr>
              <w:jc w:val="right"/>
              <w:ind w:right="100"/>
              <w:spacing w:after="0" w:line="112" w:lineRule="exact"/>
              <w:rPr>
                <w:sz w:val="20"/>
                <w:szCs w:val="20"/>
                <w:color w:val="auto"/>
              </w:rPr>
            </w:pPr>
            <w:r>
              <w:rPr>
                <w:rFonts w:ascii="Arial" w:cs="Arial" w:eastAsia="Arial" w:hAnsi="Arial"/>
                <w:sz w:val="12"/>
                <w:szCs w:val="12"/>
                <w:color w:val="auto"/>
              </w:rPr>
              <w:t>12,596</w:t>
            </w:r>
          </w:p>
        </w:tc>
        <w:tc>
          <w:tcPr>
            <w:tcW w:w="58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2"/>
                <w:szCs w:val="12"/>
                <w:color w:val="auto"/>
              </w:rPr>
              <w:t>11,538</w:t>
            </w:r>
          </w:p>
        </w:tc>
        <w:tc>
          <w:tcPr>
            <w:tcW w:w="56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2"/>
                <w:szCs w:val="12"/>
                <w:color w:val="auto"/>
              </w:rPr>
              <w:t>11,845</w:t>
            </w:r>
          </w:p>
        </w:tc>
        <w:tc>
          <w:tcPr>
            <w:tcW w:w="56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2"/>
                <w:szCs w:val="12"/>
                <w:color w:val="auto"/>
              </w:rPr>
              <w:t>10,887</w:t>
            </w:r>
          </w:p>
        </w:tc>
        <w:tc>
          <w:tcPr>
            <w:tcW w:w="600" w:type="dxa"/>
            <w:vAlign w:val="bottom"/>
            <w:gridSpan w:val="2"/>
            <w:shd w:val="clear" w:color="auto" w:fill="F17EC7"/>
          </w:tcPr>
          <w:p>
            <w:pPr>
              <w:jc w:val="right"/>
              <w:spacing w:after="0" w:line="112" w:lineRule="exact"/>
              <w:rPr>
                <w:sz w:val="20"/>
                <w:szCs w:val="20"/>
                <w:color w:val="auto"/>
              </w:rPr>
            </w:pPr>
            <w:r>
              <w:rPr>
                <w:rFonts w:ascii="Arial" w:cs="Arial" w:eastAsia="Arial" w:hAnsi="Arial"/>
                <w:sz w:val="12"/>
                <w:szCs w:val="12"/>
                <w:color w:val="auto"/>
              </w:rPr>
              <w:t>-8.4%</w:t>
            </w:r>
          </w:p>
        </w:tc>
        <w:tc>
          <w:tcPr>
            <w:tcW w:w="120" w:type="dxa"/>
            <w:vAlign w:val="bottom"/>
            <w:shd w:val="clear" w:color="auto" w:fill="F17EC7"/>
          </w:tcPr>
          <w:p>
            <w:pPr>
              <w:spacing w:after="0"/>
              <w:rPr>
                <w:sz w:val="10"/>
                <w:szCs w:val="10"/>
                <w:color w:val="auto"/>
              </w:rPr>
            </w:pPr>
          </w:p>
        </w:tc>
        <w:tc>
          <w:tcPr>
            <w:tcW w:w="680" w:type="dxa"/>
            <w:vAlign w:val="bottom"/>
            <w:gridSpan w:val="2"/>
            <w:shd w:val="clear" w:color="auto" w:fill="F17EC7"/>
          </w:tcPr>
          <w:p>
            <w:pPr>
              <w:jc w:val="right"/>
              <w:ind w:right="81"/>
              <w:spacing w:after="0" w:line="112" w:lineRule="exact"/>
              <w:rPr>
                <w:sz w:val="20"/>
                <w:szCs w:val="20"/>
                <w:color w:val="auto"/>
              </w:rPr>
            </w:pPr>
            <w:r>
              <w:rPr>
                <w:rFonts w:ascii="Arial" w:cs="Arial" w:eastAsia="Arial" w:hAnsi="Arial"/>
                <w:sz w:val="12"/>
                <w:szCs w:val="12"/>
                <w:color w:val="auto"/>
              </w:rPr>
              <w:t>-5.3%</w:t>
            </w:r>
          </w:p>
        </w:tc>
        <w:tc>
          <w:tcPr>
            <w:tcW w:w="660" w:type="dxa"/>
            <w:vAlign w:val="bottom"/>
            <w:gridSpan w:val="2"/>
            <w:shd w:val="clear" w:color="auto" w:fill="F17EC7"/>
          </w:tcPr>
          <w:p>
            <w:pPr>
              <w:jc w:val="right"/>
              <w:ind w:right="61"/>
              <w:spacing w:after="0" w:line="112" w:lineRule="exact"/>
              <w:rPr>
                <w:sz w:val="20"/>
                <w:szCs w:val="20"/>
                <w:color w:val="auto"/>
              </w:rPr>
            </w:pPr>
            <w:r>
              <w:rPr>
                <w:rFonts w:ascii="Arial" w:cs="Arial" w:eastAsia="Arial" w:hAnsi="Arial"/>
                <w:sz w:val="12"/>
                <w:szCs w:val="12"/>
                <w:color w:val="auto"/>
              </w:rPr>
              <w:t>-8.1%</w:t>
            </w:r>
          </w:p>
        </w:tc>
        <w:tc>
          <w:tcPr>
            <w:tcW w:w="660" w:type="dxa"/>
            <w:vAlign w:val="bottom"/>
            <w:gridSpan w:val="2"/>
            <w:shd w:val="clear" w:color="auto" w:fill="F17EC7"/>
          </w:tcPr>
          <w:p>
            <w:pPr>
              <w:jc w:val="right"/>
              <w:ind w:right="61"/>
              <w:spacing w:after="0" w:line="112" w:lineRule="exact"/>
              <w:rPr>
                <w:sz w:val="20"/>
                <w:szCs w:val="20"/>
                <w:color w:val="auto"/>
              </w:rPr>
            </w:pPr>
            <w:r>
              <w:rPr>
                <w:rFonts w:ascii="Arial" w:cs="Arial" w:eastAsia="Arial" w:hAnsi="Arial"/>
                <w:sz w:val="12"/>
                <w:szCs w:val="12"/>
                <w:color w:val="auto"/>
              </w:rPr>
              <w:t>-10.7%</w:t>
            </w:r>
          </w:p>
        </w:tc>
        <w:tc>
          <w:tcPr>
            <w:tcW w:w="440" w:type="dxa"/>
            <w:vAlign w:val="bottom"/>
            <w:shd w:val="clear" w:color="auto" w:fill="CCEEFF"/>
          </w:tcPr>
          <w:p>
            <w:pPr>
              <w:jc w:val="right"/>
              <w:spacing w:after="0" w:line="112" w:lineRule="exact"/>
              <w:rPr>
                <w:sz w:val="20"/>
                <w:szCs w:val="20"/>
                <w:color w:val="auto"/>
              </w:rPr>
            </w:pPr>
            <w:r>
              <w:rPr>
                <w:rFonts w:ascii="Arial" w:cs="Arial" w:eastAsia="Arial" w:hAnsi="Arial"/>
                <w:sz w:val="12"/>
                <w:szCs w:val="12"/>
                <w:color w:val="auto"/>
              </w:rPr>
              <w:t>4,959</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2"/>
                <w:szCs w:val="12"/>
                <w:color w:val="auto"/>
              </w:rPr>
              <w:t>4,407</w:t>
            </w:r>
          </w:p>
        </w:tc>
        <w:tc>
          <w:tcPr>
            <w:tcW w:w="54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2"/>
                <w:szCs w:val="12"/>
                <w:color w:val="auto"/>
              </w:rPr>
              <w:t>4,275</w:t>
            </w:r>
          </w:p>
        </w:tc>
        <w:tc>
          <w:tcPr>
            <w:tcW w:w="660" w:type="dxa"/>
            <w:vAlign w:val="bottom"/>
            <w:gridSpan w:val="2"/>
            <w:shd w:val="clear" w:color="auto" w:fill="F17EC7"/>
          </w:tcPr>
          <w:p>
            <w:pPr>
              <w:jc w:val="right"/>
              <w:ind w:right="61"/>
              <w:spacing w:after="0" w:line="112" w:lineRule="exact"/>
              <w:rPr>
                <w:sz w:val="20"/>
                <w:szCs w:val="20"/>
                <w:color w:val="auto"/>
              </w:rPr>
            </w:pPr>
            <w:r>
              <w:rPr>
                <w:rFonts w:ascii="Arial" w:cs="Arial" w:eastAsia="Arial" w:hAnsi="Arial"/>
                <w:sz w:val="12"/>
                <w:szCs w:val="12"/>
                <w:color w:val="auto"/>
              </w:rPr>
              <w:t>-3.0%</w:t>
            </w:r>
          </w:p>
        </w:tc>
        <w:tc>
          <w:tcPr>
            <w:tcW w:w="560" w:type="dxa"/>
            <w:vAlign w:val="bottom"/>
            <w:gridSpan w:val="2"/>
            <w:shd w:val="clear" w:color="auto" w:fill="F17EC7"/>
          </w:tcPr>
          <w:p>
            <w:pPr>
              <w:jc w:val="right"/>
              <w:spacing w:after="0" w:line="112" w:lineRule="exact"/>
              <w:rPr>
                <w:sz w:val="20"/>
                <w:szCs w:val="20"/>
                <w:color w:val="auto"/>
              </w:rPr>
            </w:pPr>
            <w:r>
              <w:rPr>
                <w:rFonts w:ascii="Arial" w:cs="Arial" w:eastAsia="Arial" w:hAnsi="Arial"/>
                <w:sz w:val="12"/>
                <w:szCs w:val="12"/>
                <w:color w:val="auto"/>
              </w:rPr>
              <w:t>-13.8%</w:t>
            </w:r>
          </w:p>
        </w:tc>
        <w:tc>
          <w:tcPr>
            <w:tcW w:w="100" w:type="dxa"/>
            <w:vAlign w:val="bottom"/>
            <w:shd w:val="clear" w:color="auto" w:fill="F17EC7"/>
          </w:tcPr>
          <w:p>
            <w:pPr>
              <w:spacing w:after="0"/>
              <w:rPr>
                <w:sz w:val="10"/>
                <w:szCs w:val="10"/>
                <w:color w:val="auto"/>
              </w:rPr>
            </w:pPr>
          </w:p>
        </w:tc>
        <w:tc>
          <w:tcPr>
            <w:tcW w:w="680" w:type="dxa"/>
            <w:vAlign w:val="bottom"/>
            <w:gridSpan w:val="2"/>
            <w:shd w:val="clear" w:color="auto" w:fill="CCEEFF"/>
          </w:tcPr>
          <w:p>
            <w:pPr>
              <w:jc w:val="right"/>
              <w:ind w:right="81"/>
              <w:spacing w:after="0" w:line="112" w:lineRule="exact"/>
              <w:rPr>
                <w:sz w:val="20"/>
                <w:szCs w:val="20"/>
                <w:color w:val="auto"/>
              </w:rPr>
            </w:pPr>
            <w:r>
              <w:rPr>
                <w:rFonts w:ascii="Arial" w:cs="Arial" w:eastAsia="Arial" w:hAnsi="Arial"/>
                <w:sz w:val="12"/>
                <w:szCs w:val="12"/>
                <w:color w:val="auto"/>
              </w:rPr>
              <w:t>42.3%</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2"/>
                <w:szCs w:val="12"/>
                <w:color w:val="auto"/>
              </w:rPr>
              <w:t>57.7%</w:t>
            </w:r>
          </w:p>
        </w:tc>
      </w:tr>
      <w:tr>
        <w:trPr>
          <w:trHeight w:val="126"/>
        </w:trPr>
        <w:tc>
          <w:tcPr>
            <w:tcW w:w="1480" w:type="dxa"/>
            <w:vAlign w:val="bottom"/>
          </w:tcPr>
          <w:p>
            <w:pPr>
              <w:ind w:left="300"/>
              <w:spacing w:after="0" w:line="126" w:lineRule="exact"/>
              <w:rPr>
                <w:sz w:val="20"/>
                <w:szCs w:val="20"/>
                <w:color w:val="auto"/>
              </w:rPr>
            </w:pPr>
            <w:r>
              <w:rPr>
                <w:rFonts w:ascii="Arial" w:cs="Arial" w:eastAsia="Arial" w:hAnsi="Arial"/>
                <w:sz w:val="12"/>
                <w:szCs w:val="12"/>
                <w:color w:val="auto"/>
              </w:rPr>
              <w:t>Middle-Market</w:t>
            </w:r>
          </w:p>
        </w:tc>
        <w:tc>
          <w:tcPr>
            <w:tcW w:w="46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8,546</w:t>
            </w:r>
          </w:p>
        </w:tc>
        <w:tc>
          <w:tcPr>
            <w:tcW w:w="660" w:type="dxa"/>
            <w:vAlign w:val="bottom"/>
            <w:gridSpan w:val="3"/>
          </w:tcPr>
          <w:p>
            <w:pPr>
              <w:jc w:val="right"/>
              <w:ind w:right="100"/>
              <w:spacing w:after="0" w:line="126" w:lineRule="exact"/>
              <w:rPr>
                <w:sz w:val="20"/>
                <w:szCs w:val="20"/>
                <w:color w:val="auto"/>
              </w:rPr>
            </w:pPr>
            <w:r>
              <w:rPr>
                <w:rFonts w:ascii="Arial" w:cs="Arial" w:eastAsia="Arial" w:hAnsi="Arial"/>
                <w:sz w:val="12"/>
                <w:szCs w:val="12"/>
                <w:color w:val="auto"/>
              </w:rPr>
              <w:t>13,894</w:t>
            </w:r>
          </w:p>
        </w:tc>
        <w:tc>
          <w:tcPr>
            <w:tcW w:w="58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13,398</w:t>
            </w:r>
          </w:p>
        </w:tc>
        <w:tc>
          <w:tcPr>
            <w:tcW w:w="56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7,957</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7,706</w:t>
            </w:r>
          </w:p>
        </w:tc>
        <w:tc>
          <w:tcPr>
            <w:tcW w:w="60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-3.6%</w:t>
            </w:r>
          </w:p>
        </w:tc>
        <w:tc>
          <w:tcPr>
            <w:tcW w:w="120" w:type="dxa"/>
            <w:vAlign w:val="bottom"/>
          </w:tcPr>
          <w:p>
            <w:pPr>
              <w:spacing w:after="0"/>
              <w:rPr>
                <w:sz w:val="10"/>
                <w:szCs w:val="10"/>
                <w:color w:val="auto"/>
              </w:rPr>
            </w:pPr>
          </w:p>
        </w:tc>
        <w:tc>
          <w:tcPr>
            <w:tcW w:w="680" w:type="dxa"/>
            <w:vAlign w:val="bottom"/>
            <w:gridSpan w:val="2"/>
            <w:shd w:val="clear" w:color="auto" w:fill="66E0DA"/>
          </w:tcPr>
          <w:p>
            <w:pPr>
              <w:jc w:val="right"/>
              <w:ind w:right="81"/>
              <w:spacing w:after="0" w:line="126" w:lineRule="exact"/>
              <w:rPr>
                <w:sz w:val="20"/>
                <w:szCs w:val="20"/>
                <w:color w:val="auto"/>
              </w:rPr>
            </w:pPr>
            <w:r>
              <w:rPr>
                <w:rFonts w:ascii="Arial" w:cs="Arial" w:eastAsia="Arial" w:hAnsi="Arial"/>
                <w:sz w:val="12"/>
                <w:szCs w:val="12"/>
                <w:color w:val="auto"/>
              </w:rPr>
              <w:t>56.8%</w:t>
            </w:r>
          </w:p>
        </w:tc>
        <w:tc>
          <w:tcPr>
            <w:tcW w:w="660" w:type="dxa"/>
            <w:vAlign w:val="bottom"/>
            <w:gridSpan w:val="2"/>
          </w:tcPr>
          <w:p>
            <w:pPr>
              <w:jc w:val="right"/>
              <w:ind w:right="61"/>
              <w:spacing w:after="0" w:line="126" w:lineRule="exact"/>
              <w:rPr>
                <w:sz w:val="20"/>
                <w:szCs w:val="20"/>
                <w:color w:val="auto"/>
              </w:rPr>
            </w:pPr>
            <w:r>
              <w:rPr>
                <w:rFonts w:ascii="Arial" w:cs="Arial" w:eastAsia="Arial" w:hAnsi="Arial"/>
                <w:sz w:val="12"/>
                <w:szCs w:val="12"/>
                <w:color w:val="auto"/>
              </w:rPr>
              <w:t>-3.2%</w:t>
            </w:r>
          </w:p>
        </w:tc>
        <w:tc>
          <w:tcPr>
            <w:tcW w:w="660" w:type="dxa"/>
            <w:vAlign w:val="bottom"/>
            <w:gridSpan w:val="2"/>
            <w:shd w:val="clear" w:color="auto" w:fill="F17EC7"/>
          </w:tcPr>
          <w:p>
            <w:pPr>
              <w:jc w:val="right"/>
              <w:ind w:right="61"/>
              <w:spacing w:after="0" w:line="126" w:lineRule="exact"/>
              <w:rPr>
                <w:sz w:val="20"/>
                <w:szCs w:val="20"/>
                <w:color w:val="auto"/>
              </w:rPr>
            </w:pPr>
            <w:r>
              <w:rPr>
                <w:rFonts w:ascii="Arial" w:cs="Arial" w:eastAsia="Arial" w:hAnsi="Arial"/>
                <w:sz w:val="12"/>
                <w:szCs w:val="12"/>
                <w:color w:val="auto"/>
              </w:rPr>
              <w:t>-9.8%</w:t>
            </w:r>
          </w:p>
        </w:tc>
        <w:tc>
          <w:tcPr>
            <w:tcW w:w="440" w:type="dxa"/>
            <w:vAlign w:val="bottom"/>
          </w:tcPr>
          <w:p>
            <w:pPr>
              <w:jc w:val="right"/>
              <w:spacing w:after="0" w:line="126" w:lineRule="exact"/>
              <w:rPr>
                <w:sz w:val="20"/>
                <w:szCs w:val="20"/>
                <w:color w:val="auto"/>
              </w:rPr>
            </w:pPr>
            <w:r>
              <w:rPr>
                <w:rFonts w:ascii="Arial" w:cs="Arial" w:eastAsia="Arial" w:hAnsi="Arial"/>
                <w:sz w:val="12"/>
                <w:szCs w:val="12"/>
                <w:color w:val="auto"/>
              </w:rPr>
              <w:t>2,914</w:t>
            </w:r>
          </w:p>
        </w:tc>
        <w:tc>
          <w:tcPr>
            <w:tcW w:w="100" w:type="dxa"/>
            <w:vAlign w:val="bottom"/>
          </w:tcPr>
          <w:p>
            <w:pPr>
              <w:spacing w:after="0"/>
              <w:rPr>
                <w:sz w:val="10"/>
                <w:szCs w:val="10"/>
                <w:color w:val="auto"/>
              </w:rPr>
            </w:pP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2,562</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2,497</w:t>
            </w:r>
          </w:p>
        </w:tc>
        <w:tc>
          <w:tcPr>
            <w:tcW w:w="660" w:type="dxa"/>
            <w:vAlign w:val="bottom"/>
            <w:gridSpan w:val="2"/>
          </w:tcPr>
          <w:p>
            <w:pPr>
              <w:jc w:val="right"/>
              <w:ind w:right="61"/>
              <w:spacing w:after="0" w:line="126" w:lineRule="exact"/>
              <w:rPr>
                <w:sz w:val="20"/>
                <w:szCs w:val="20"/>
                <w:color w:val="auto"/>
              </w:rPr>
            </w:pPr>
            <w:r>
              <w:rPr>
                <w:rFonts w:ascii="Arial" w:cs="Arial" w:eastAsia="Arial" w:hAnsi="Arial"/>
                <w:sz w:val="12"/>
                <w:szCs w:val="12"/>
                <w:color w:val="auto"/>
              </w:rPr>
              <w:t>-2.6%</w:t>
            </w:r>
          </w:p>
        </w:tc>
        <w:tc>
          <w:tcPr>
            <w:tcW w:w="560" w:type="dxa"/>
            <w:vAlign w:val="bottom"/>
            <w:gridSpan w:val="2"/>
            <w:shd w:val="clear" w:color="auto" w:fill="F17EC7"/>
          </w:tcPr>
          <w:p>
            <w:pPr>
              <w:jc w:val="right"/>
              <w:spacing w:after="0" w:line="126" w:lineRule="exact"/>
              <w:rPr>
                <w:sz w:val="20"/>
                <w:szCs w:val="20"/>
                <w:color w:val="auto"/>
              </w:rPr>
            </w:pPr>
            <w:r>
              <w:rPr>
                <w:rFonts w:ascii="Arial" w:cs="Arial" w:eastAsia="Arial" w:hAnsi="Arial"/>
                <w:sz w:val="12"/>
                <w:szCs w:val="12"/>
                <w:color w:val="auto"/>
              </w:rPr>
              <w:t>-14.3%</w:t>
            </w:r>
          </w:p>
        </w:tc>
        <w:tc>
          <w:tcPr>
            <w:tcW w:w="100" w:type="dxa"/>
            <w:vAlign w:val="bottom"/>
            <w:shd w:val="clear" w:color="auto" w:fill="F17EC7"/>
          </w:tcPr>
          <w:p>
            <w:pPr>
              <w:spacing w:after="0"/>
              <w:rPr>
                <w:sz w:val="10"/>
                <w:szCs w:val="10"/>
                <w:color w:val="auto"/>
              </w:rPr>
            </w:pPr>
          </w:p>
        </w:tc>
        <w:tc>
          <w:tcPr>
            <w:tcW w:w="680" w:type="dxa"/>
            <w:vAlign w:val="bottom"/>
            <w:gridSpan w:val="2"/>
          </w:tcPr>
          <w:p>
            <w:pPr>
              <w:jc w:val="right"/>
              <w:ind w:right="81"/>
              <w:spacing w:after="0" w:line="126" w:lineRule="exact"/>
              <w:rPr>
                <w:sz w:val="20"/>
                <w:szCs w:val="20"/>
                <w:color w:val="auto"/>
              </w:rPr>
            </w:pPr>
            <w:r>
              <w:rPr>
                <w:rFonts w:ascii="Arial" w:cs="Arial" w:eastAsia="Arial" w:hAnsi="Arial"/>
                <w:sz w:val="12"/>
                <w:szCs w:val="12"/>
                <w:color w:val="auto"/>
              </w:rPr>
              <w:t>59.3%</w:t>
            </w:r>
          </w:p>
        </w:tc>
        <w:tc>
          <w:tcPr>
            <w:tcW w:w="80" w:type="dxa"/>
            <w:vAlign w:val="bottom"/>
          </w:tcPr>
          <w:p>
            <w:pPr>
              <w:spacing w:after="0"/>
              <w:rPr>
                <w:sz w:val="10"/>
                <w:szCs w:val="10"/>
                <w:color w:val="auto"/>
              </w:rPr>
            </w:pPr>
          </w:p>
        </w:tc>
        <w:tc>
          <w:tcPr>
            <w:tcW w:w="50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40.7%</w:t>
            </w:r>
          </w:p>
        </w:tc>
      </w:tr>
      <w:tr>
        <w:trPr>
          <w:trHeight w:val="126"/>
        </w:trPr>
        <w:tc>
          <w:tcPr>
            <w:tcW w:w="1480" w:type="dxa"/>
            <w:vAlign w:val="bottom"/>
            <w:shd w:val="clear" w:color="auto" w:fill="CCEEFF"/>
          </w:tcPr>
          <w:p>
            <w:pPr>
              <w:ind w:left="160"/>
              <w:spacing w:after="0" w:line="126" w:lineRule="exact"/>
              <w:rPr>
                <w:sz w:val="20"/>
                <w:szCs w:val="20"/>
                <w:color w:val="auto"/>
              </w:rPr>
            </w:pPr>
            <w:r>
              <w:rPr>
                <w:rFonts w:ascii="Arial" w:cs="Arial" w:eastAsia="Arial" w:hAnsi="Arial"/>
                <w:sz w:val="12"/>
                <w:szCs w:val="12"/>
                <w:b w:val="1"/>
                <w:bCs w:val="1"/>
                <w:color w:val="auto"/>
              </w:rPr>
              <w:t>Retail Banking</w:t>
            </w:r>
          </w:p>
        </w:tc>
        <w:tc>
          <w:tcPr>
            <w:tcW w:w="46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b w:val="1"/>
                <w:bCs w:val="1"/>
                <w:color w:val="auto"/>
              </w:rPr>
              <w:t>40,122</w:t>
            </w:r>
          </w:p>
        </w:tc>
        <w:tc>
          <w:tcPr>
            <w:tcW w:w="660" w:type="dxa"/>
            <w:vAlign w:val="bottom"/>
            <w:gridSpan w:val="3"/>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54,455</w:t>
            </w:r>
          </w:p>
        </w:tc>
        <w:tc>
          <w:tcPr>
            <w:tcW w:w="58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55,181</w:t>
            </w:r>
          </w:p>
        </w:tc>
        <w:tc>
          <w:tcPr>
            <w:tcW w:w="5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39,237</w:t>
            </w: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39,873</w:t>
            </w:r>
          </w:p>
        </w:tc>
        <w:tc>
          <w:tcPr>
            <w:tcW w:w="6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1.3%</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b w:val="1"/>
                <w:bCs w:val="1"/>
                <w:color w:val="auto"/>
              </w:rPr>
              <w:t>37.5%</w:t>
            </w:r>
          </w:p>
        </w:tc>
        <w:tc>
          <w:tcPr>
            <w:tcW w:w="660" w:type="dxa"/>
            <w:vAlign w:val="bottom"/>
            <w:gridSpan w:val="2"/>
            <w:shd w:val="clear" w:color="auto" w:fill="CCEEFF"/>
          </w:tcPr>
          <w:p>
            <w:pPr>
              <w:jc w:val="right"/>
              <w:ind w:right="41"/>
              <w:spacing w:after="0" w:line="126" w:lineRule="exact"/>
              <w:rPr>
                <w:sz w:val="20"/>
                <w:szCs w:val="20"/>
                <w:color w:val="auto"/>
              </w:rPr>
            </w:pPr>
            <w:r>
              <w:rPr>
                <w:rFonts w:ascii="Arial" w:cs="Arial" w:eastAsia="Arial" w:hAnsi="Arial"/>
                <w:sz w:val="12"/>
                <w:szCs w:val="12"/>
                <w:b w:val="1"/>
                <w:bCs w:val="1"/>
                <w:color w:val="auto"/>
              </w:rPr>
              <w:t>1.6%</w:t>
            </w:r>
          </w:p>
        </w:tc>
        <w:tc>
          <w:tcPr>
            <w:tcW w:w="660" w:type="dxa"/>
            <w:vAlign w:val="bottom"/>
            <w:gridSpan w:val="2"/>
            <w:shd w:val="clear" w:color="auto" w:fill="CCEEFF"/>
          </w:tcPr>
          <w:p>
            <w:pPr>
              <w:jc w:val="right"/>
              <w:ind w:right="41"/>
              <w:spacing w:after="0" w:line="126" w:lineRule="exact"/>
              <w:rPr>
                <w:sz w:val="20"/>
                <w:szCs w:val="20"/>
                <w:color w:val="auto"/>
              </w:rPr>
            </w:pPr>
            <w:r>
              <w:rPr>
                <w:rFonts w:ascii="Arial" w:cs="Arial" w:eastAsia="Arial" w:hAnsi="Arial"/>
                <w:sz w:val="12"/>
                <w:szCs w:val="12"/>
                <w:b w:val="1"/>
                <w:bCs w:val="1"/>
                <w:color w:val="auto"/>
              </w:rPr>
              <w:t>-0.6%</w:t>
            </w:r>
          </w:p>
        </w:tc>
        <w:tc>
          <w:tcPr>
            <w:tcW w:w="4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2,136</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1,896</w:t>
            </w:r>
          </w:p>
        </w:tc>
        <w:tc>
          <w:tcPr>
            <w:tcW w:w="5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1,882</w:t>
            </w:r>
          </w:p>
        </w:tc>
        <w:tc>
          <w:tcPr>
            <w:tcW w:w="660" w:type="dxa"/>
            <w:vAlign w:val="bottom"/>
            <w:gridSpan w:val="2"/>
            <w:shd w:val="clear" w:color="auto" w:fill="CCEEFF"/>
          </w:tcPr>
          <w:p>
            <w:pPr>
              <w:jc w:val="right"/>
              <w:ind w:right="41"/>
              <w:spacing w:after="0" w:line="126" w:lineRule="exact"/>
              <w:rPr>
                <w:sz w:val="20"/>
                <w:szCs w:val="20"/>
                <w:color w:val="auto"/>
              </w:rPr>
            </w:pPr>
            <w:r>
              <w:rPr>
                <w:rFonts w:ascii="Arial" w:cs="Arial" w:eastAsia="Arial" w:hAnsi="Arial"/>
                <w:sz w:val="12"/>
                <w:szCs w:val="12"/>
                <w:b w:val="1"/>
                <w:bCs w:val="1"/>
                <w:color w:val="auto"/>
              </w:rPr>
              <w:t>-0.7%</w:t>
            </w:r>
          </w:p>
        </w:tc>
        <w:tc>
          <w:tcPr>
            <w:tcW w:w="5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-11.9%</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b w:val="1"/>
                <w:bCs w:val="1"/>
                <w:color w:val="auto"/>
              </w:rPr>
              <w:t>88.8%</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11.2%</w:t>
            </w:r>
          </w:p>
        </w:tc>
      </w:tr>
      <w:tr>
        <w:trPr>
          <w:trHeight w:val="126"/>
        </w:trPr>
        <w:tc>
          <w:tcPr>
            <w:tcW w:w="1480" w:type="dxa"/>
            <w:vAlign w:val="bottom"/>
          </w:tcPr>
          <w:p>
            <w:pPr>
              <w:ind w:left="300"/>
              <w:spacing w:after="0" w:line="126" w:lineRule="exact"/>
              <w:rPr>
                <w:sz w:val="20"/>
                <w:szCs w:val="20"/>
                <w:color w:val="auto"/>
              </w:rPr>
            </w:pPr>
            <w:r>
              <w:rPr>
                <w:rFonts w:ascii="Arial" w:cs="Arial" w:eastAsia="Arial" w:hAnsi="Arial"/>
                <w:sz w:val="12"/>
                <w:szCs w:val="12"/>
                <w:color w:val="auto"/>
              </w:rPr>
              <w:t>SME - Business</w:t>
            </w:r>
          </w:p>
        </w:tc>
        <w:tc>
          <w:tcPr>
            <w:tcW w:w="46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2,624</w:t>
            </w:r>
          </w:p>
        </w:tc>
        <w:tc>
          <w:tcPr>
            <w:tcW w:w="660" w:type="dxa"/>
            <w:vAlign w:val="bottom"/>
            <w:gridSpan w:val="3"/>
          </w:tcPr>
          <w:p>
            <w:pPr>
              <w:jc w:val="right"/>
              <w:ind w:right="100"/>
              <w:spacing w:after="0" w:line="126" w:lineRule="exact"/>
              <w:rPr>
                <w:sz w:val="20"/>
                <w:szCs w:val="20"/>
                <w:color w:val="auto"/>
              </w:rPr>
            </w:pPr>
            <w:r>
              <w:rPr>
                <w:rFonts w:ascii="Arial" w:cs="Arial" w:eastAsia="Arial" w:hAnsi="Arial"/>
                <w:sz w:val="12"/>
                <w:szCs w:val="12"/>
                <w:color w:val="auto"/>
              </w:rPr>
              <w:t>8,402</w:t>
            </w:r>
          </w:p>
        </w:tc>
        <w:tc>
          <w:tcPr>
            <w:tcW w:w="58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8,320</w:t>
            </w:r>
          </w:p>
        </w:tc>
        <w:tc>
          <w:tcPr>
            <w:tcW w:w="56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2,161</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1,814</w:t>
            </w:r>
          </w:p>
        </w:tc>
        <w:tc>
          <w:tcPr>
            <w:tcW w:w="600" w:type="dxa"/>
            <w:vAlign w:val="bottom"/>
            <w:gridSpan w:val="2"/>
            <w:shd w:val="clear" w:color="auto" w:fill="F17EC7"/>
          </w:tcPr>
          <w:p>
            <w:pPr>
              <w:jc w:val="right"/>
              <w:spacing w:after="0" w:line="126" w:lineRule="exact"/>
              <w:rPr>
                <w:sz w:val="20"/>
                <w:szCs w:val="20"/>
                <w:color w:val="auto"/>
              </w:rPr>
            </w:pPr>
            <w:r>
              <w:rPr>
                <w:rFonts w:ascii="Arial" w:cs="Arial" w:eastAsia="Arial" w:hAnsi="Arial"/>
                <w:sz w:val="12"/>
                <w:szCs w:val="12"/>
                <w:color w:val="auto"/>
              </w:rPr>
              <w:t>-1.0%</w:t>
            </w:r>
          </w:p>
        </w:tc>
        <w:tc>
          <w:tcPr>
            <w:tcW w:w="120" w:type="dxa"/>
            <w:vAlign w:val="bottom"/>
            <w:shd w:val="clear" w:color="auto" w:fill="F17EC7"/>
          </w:tcPr>
          <w:p>
            <w:pPr>
              <w:spacing w:after="0"/>
              <w:rPr>
                <w:sz w:val="10"/>
                <w:szCs w:val="10"/>
                <w:color w:val="auto"/>
              </w:rPr>
            </w:pPr>
          </w:p>
        </w:tc>
        <w:tc>
          <w:tcPr>
            <w:tcW w:w="680" w:type="dxa"/>
            <w:vAlign w:val="bottom"/>
            <w:gridSpan w:val="2"/>
            <w:shd w:val="clear" w:color="auto" w:fill="66E0DA"/>
          </w:tcPr>
          <w:p>
            <w:pPr>
              <w:jc w:val="right"/>
              <w:ind w:right="81"/>
              <w:spacing w:after="0" w:line="126" w:lineRule="exact"/>
              <w:rPr>
                <w:sz w:val="20"/>
                <w:szCs w:val="20"/>
                <w:color w:val="auto"/>
              </w:rPr>
            </w:pPr>
            <w:r>
              <w:rPr>
                <w:rFonts w:ascii="Arial" w:cs="Arial" w:eastAsia="Arial" w:hAnsi="Arial"/>
                <w:sz w:val="12"/>
                <w:szCs w:val="12"/>
                <w:color w:val="auto"/>
              </w:rPr>
              <w:t>217.0%</w:t>
            </w:r>
          </w:p>
        </w:tc>
        <w:tc>
          <w:tcPr>
            <w:tcW w:w="660" w:type="dxa"/>
            <w:vAlign w:val="bottom"/>
            <w:gridSpan w:val="2"/>
          </w:tcPr>
          <w:p>
            <w:pPr>
              <w:jc w:val="right"/>
              <w:ind w:right="61"/>
              <w:spacing w:after="0" w:line="126" w:lineRule="exact"/>
              <w:rPr>
                <w:sz w:val="20"/>
                <w:szCs w:val="20"/>
                <w:color w:val="auto"/>
              </w:rPr>
            </w:pPr>
            <w:r>
              <w:rPr>
                <w:rFonts w:ascii="Arial" w:cs="Arial" w:eastAsia="Arial" w:hAnsi="Arial"/>
                <w:sz w:val="12"/>
                <w:szCs w:val="12"/>
                <w:color w:val="auto"/>
              </w:rPr>
              <w:t>-16.1%</w:t>
            </w:r>
          </w:p>
        </w:tc>
        <w:tc>
          <w:tcPr>
            <w:tcW w:w="660" w:type="dxa"/>
            <w:vAlign w:val="bottom"/>
            <w:gridSpan w:val="2"/>
            <w:shd w:val="clear" w:color="auto" w:fill="F17EC7"/>
          </w:tcPr>
          <w:p>
            <w:pPr>
              <w:jc w:val="right"/>
              <w:ind w:right="61"/>
              <w:spacing w:after="0" w:line="126" w:lineRule="exact"/>
              <w:rPr>
                <w:sz w:val="20"/>
                <w:szCs w:val="20"/>
                <w:color w:val="auto"/>
              </w:rPr>
            </w:pPr>
            <w:r>
              <w:rPr>
                <w:rFonts w:ascii="Arial" w:cs="Arial" w:eastAsia="Arial" w:hAnsi="Arial"/>
                <w:sz w:val="12"/>
                <w:szCs w:val="12"/>
                <w:color w:val="auto"/>
              </w:rPr>
              <w:t>-30.9%</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828</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689</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672</w:t>
            </w:r>
          </w:p>
        </w:tc>
        <w:tc>
          <w:tcPr>
            <w:tcW w:w="660" w:type="dxa"/>
            <w:vAlign w:val="bottom"/>
            <w:gridSpan w:val="2"/>
          </w:tcPr>
          <w:p>
            <w:pPr>
              <w:jc w:val="right"/>
              <w:ind w:right="61"/>
              <w:spacing w:after="0" w:line="126" w:lineRule="exact"/>
              <w:rPr>
                <w:sz w:val="20"/>
                <w:szCs w:val="20"/>
                <w:color w:val="auto"/>
              </w:rPr>
            </w:pPr>
            <w:r>
              <w:rPr>
                <w:rFonts w:ascii="Arial" w:cs="Arial" w:eastAsia="Arial" w:hAnsi="Arial"/>
                <w:sz w:val="12"/>
                <w:szCs w:val="12"/>
                <w:color w:val="auto"/>
              </w:rPr>
              <w:t>-2.5%</w:t>
            </w:r>
          </w:p>
        </w:tc>
        <w:tc>
          <w:tcPr>
            <w:tcW w:w="560" w:type="dxa"/>
            <w:vAlign w:val="bottom"/>
            <w:gridSpan w:val="2"/>
            <w:shd w:val="clear" w:color="auto" w:fill="F17EC7"/>
          </w:tcPr>
          <w:p>
            <w:pPr>
              <w:jc w:val="right"/>
              <w:spacing w:after="0" w:line="126" w:lineRule="exact"/>
              <w:rPr>
                <w:sz w:val="20"/>
                <w:szCs w:val="20"/>
                <w:color w:val="auto"/>
              </w:rPr>
            </w:pPr>
            <w:r>
              <w:rPr>
                <w:rFonts w:ascii="Arial" w:cs="Arial" w:eastAsia="Arial" w:hAnsi="Arial"/>
                <w:sz w:val="12"/>
                <w:szCs w:val="12"/>
                <w:color w:val="auto"/>
              </w:rPr>
              <w:t>-18.9%</w:t>
            </w:r>
          </w:p>
        </w:tc>
        <w:tc>
          <w:tcPr>
            <w:tcW w:w="100" w:type="dxa"/>
            <w:vAlign w:val="bottom"/>
            <w:shd w:val="clear" w:color="auto" w:fill="F17EC7"/>
          </w:tcPr>
          <w:p>
            <w:pPr>
              <w:spacing w:after="0"/>
              <w:rPr>
                <w:sz w:val="10"/>
                <w:szCs w:val="10"/>
                <w:color w:val="auto"/>
              </w:rPr>
            </w:pPr>
          </w:p>
        </w:tc>
        <w:tc>
          <w:tcPr>
            <w:tcW w:w="680" w:type="dxa"/>
            <w:vAlign w:val="bottom"/>
            <w:gridSpan w:val="2"/>
          </w:tcPr>
          <w:p>
            <w:pPr>
              <w:jc w:val="right"/>
              <w:ind w:right="81"/>
              <w:spacing w:after="0" w:line="126" w:lineRule="exact"/>
              <w:rPr>
                <w:sz w:val="20"/>
                <w:szCs w:val="20"/>
                <w:color w:val="auto"/>
              </w:rPr>
            </w:pPr>
            <w:r>
              <w:rPr>
                <w:rFonts w:ascii="Arial" w:cs="Arial" w:eastAsia="Arial" w:hAnsi="Arial"/>
                <w:sz w:val="12"/>
                <w:szCs w:val="12"/>
                <w:color w:val="auto"/>
              </w:rPr>
              <w:t>77.1%</w:t>
            </w:r>
          </w:p>
        </w:tc>
        <w:tc>
          <w:tcPr>
            <w:tcW w:w="80" w:type="dxa"/>
            <w:vAlign w:val="bottom"/>
          </w:tcPr>
          <w:p>
            <w:pPr>
              <w:spacing w:after="0"/>
              <w:rPr>
                <w:sz w:val="10"/>
                <w:szCs w:val="10"/>
                <w:color w:val="auto"/>
              </w:rPr>
            </w:pPr>
          </w:p>
        </w:tc>
        <w:tc>
          <w:tcPr>
            <w:tcW w:w="50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22.9%</w:t>
            </w:r>
          </w:p>
        </w:tc>
      </w:tr>
      <w:tr>
        <w:trPr>
          <w:trHeight w:val="126"/>
        </w:trPr>
        <w:tc>
          <w:tcPr>
            <w:tcW w:w="1480" w:type="dxa"/>
            <w:vAlign w:val="bottom"/>
            <w:shd w:val="clear" w:color="auto" w:fill="CCEEFF"/>
          </w:tcPr>
          <w:p>
            <w:pPr>
              <w:ind w:left="300"/>
              <w:spacing w:after="0" w:line="126" w:lineRule="exact"/>
              <w:rPr>
                <w:sz w:val="20"/>
                <w:szCs w:val="20"/>
                <w:color w:val="auto"/>
              </w:rPr>
            </w:pPr>
            <w:r>
              <w:rPr>
                <w:rFonts w:ascii="Arial" w:cs="Arial" w:eastAsia="Arial" w:hAnsi="Arial"/>
                <w:sz w:val="12"/>
                <w:szCs w:val="12"/>
                <w:color w:val="auto"/>
              </w:rPr>
              <w:t>SME - Pyme</w:t>
            </w:r>
          </w:p>
        </w:tc>
        <w:tc>
          <w:tcPr>
            <w:tcW w:w="46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10,104</w:t>
            </w:r>
          </w:p>
        </w:tc>
        <w:tc>
          <w:tcPr>
            <w:tcW w:w="660" w:type="dxa"/>
            <w:vAlign w:val="bottom"/>
            <w:gridSpan w:val="3"/>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19,040</w:t>
            </w:r>
          </w:p>
        </w:tc>
        <w:tc>
          <w:tcPr>
            <w:tcW w:w="58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color w:val="auto"/>
              </w:rPr>
              <w:t>19,352</w:t>
            </w:r>
          </w:p>
        </w:tc>
        <w:tc>
          <w:tcPr>
            <w:tcW w:w="5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color w:val="auto"/>
              </w:rPr>
              <w:t>10,062</w:t>
            </w: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10,550</w:t>
            </w:r>
          </w:p>
        </w:tc>
        <w:tc>
          <w:tcPr>
            <w:tcW w:w="600" w:type="dxa"/>
            <w:vAlign w:val="bottom"/>
            <w:gridSpan w:val="2"/>
            <w:shd w:val="clear" w:color="auto" w:fill="66E0DA"/>
          </w:tcPr>
          <w:p>
            <w:pPr>
              <w:jc w:val="right"/>
              <w:spacing w:after="0" w:line="126" w:lineRule="exact"/>
              <w:rPr>
                <w:sz w:val="20"/>
                <w:szCs w:val="20"/>
                <w:color w:val="auto"/>
              </w:rPr>
            </w:pPr>
            <w:r>
              <w:rPr>
                <w:rFonts w:ascii="Arial" w:cs="Arial" w:eastAsia="Arial" w:hAnsi="Arial"/>
                <w:sz w:val="12"/>
                <w:szCs w:val="12"/>
                <w:color w:val="auto"/>
              </w:rPr>
              <w:t>1.6%</w:t>
            </w:r>
          </w:p>
        </w:tc>
        <w:tc>
          <w:tcPr>
            <w:tcW w:w="120" w:type="dxa"/>
            <w:vAlign w:val="bottom"/>
            <w:shd w:val="clear" w:color="auto" w:fill="66E0DA"/>
          </w:tcPr>
          <w:p>
            <w:pPr>
              <w:spacing w:after="0"/>
              <w:rPr>
                <w:sz w:val="10"/>
                <w:szCs w:val="10"/>
                <w:color w:val="auto"/>
              </w:rPr>
            </w:pPr>
          </w:p>
        </w:tc>
        <w:tc>
          <w:tcPr>
            <w:tcW w:w="680" w:type="dxa"/>
            <w:vAlign w:val="bottom"/>
            <w:gridSpan w:val="2"/>
            <w:shd w:val="clear" w:color="auto" w:fill="CCEEFF"/>
          </w:tcPr>
          <w:p>
            <w:pPr>
              <w:jc w:val="right"/>
              <w:ind w:right="81"/>
              <w:spacing w:after="0" w:line="126" w:lineRule="exact"/>
              <w:rPr>
                <w:sz w:val="20"/>
                <w:szCs w:val="20"/>
                <w:color w:val="auto"/>
              </w:rPr>
            </w:pPr>
            <w:r>
              <w:rPr>
                <w:rFonts w:ascii="Arial" w:cs="Arial" w:eastAsia="Arial" w:hAnsi="Arial"/>
                <w:sz w:val="12"/>
                <w:szCs w:val="12"/>
                <w:color w:val="auto"/>
              </w:rPr>
              <w:t>91.5%</w:t>
            </w:r>
          </w:p>
        </w:tc>
        <w:tc>
          <w:tcPr>
            <w:tcW w:w="66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color w:val="auto"/>
              </w:rPr>
              <w:t>4.8%</w:t>
            </w:r>
          </w:p>
        </w:tc>
        <w:tc>
          <w:tcPr>
            <w:tcW w:w="66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color w:val="auto"/>
              </w:rPr>
              <w:t>4.4%</w:t>
            </w:r>
          </w:p>
        </w:tc>
        <w:tc>
          <w:tcPr>
            <w:tcW w:w="4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55</w:t>
            </w:r>
          </w:p>
        </w:tc>
        <w:tc>
          <w:tcPr>
            <w:tcW w:w="5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57</w:t>
            </w:r>
          </w:p>
        </w:tc>
        <w:tc>
          <w:tcPr>
            <w:tcW w:w="66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color w:val="auto"/>
              </w:rPr>
              <w:t>3.6%</w:t>
            </w:r>
          </w:p>
        </w:tc>
        <w:tc>
          <w:tcPr>
            <w:tcW w:w="5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-13.4%</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1"/>
              <w:spacing w:after="0" w:line="126" w:lineRule="exact"/>
              <w:rPr>
                <w:sz w:val="20"/>
                <w:szCs w:val="20"/>
                <w:color w:val="auto"/>
              </w:rPr>
            </w:pPr>
            <w:r>
              <w:rPr>
                <w:rFonts w:ascii="Arial" w:cs="Arial" w:eastAsia="Arial" w:hAnsi="Arial"/>
                <w:sz w:val="12"/>
                <w:szCs w:val="12"/>
                <w:color w:val="auto"/>
              </w:rPr>
              <w:t>98.9%</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1.1%</w:t>
            </w:r>
          </w:p>
        </w:tc>
      </w:tr>
      <w:tr>
        <w:trPr>
          <w:trHeight w:val="126"/>
        </w:trPr>
        <w:tc>
          <w:tcPr>
            <w:tcW w:w="1480" w:type="dxa"/>
            <w:vAlign w:val="bottom"/>
          </w:tcPr>
          <w:p>
            <w:pPr>
              <w:ind w:left="300"/>
              <w:spacing w:after="0" w:line="126" w:lineRule="exact"/>
              <w:rPr>
                <w:sz w:val="20"/>
                <w:szCs w:val="20"/>
                <w:color w:val="auto"/>
              </w:rPr>
            </w:pPr>
            <w:r>
              <w:rPr>
                <w:rFonts w:ascii="Arial" w:cs="Arial" w:eastAsia="Arial" w:hAnsi="Arial"/>
                <w:sz w:val="12"/>
                <w:szCs w:val="12"/>
                <w:color w:val="auto"/>
              </w:rPr>
              <w:t>Mortgage</w:t>
            </w:r>
          </w:p>
        </w:tc>
        <w:tc>
          <w:tcPr>
            <w:tcW w:w="46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14,698</w:t>
            </w:r>
          </w:p>
        </w:tc>
        <w:tc>
          <w:tcPr>
            <w:tcW w:w="660" w:type="dxa"/>
            <w:vAlign w:val="bottom"/>
            <w:gridSpan w:val="3"/>
          </w:tcPr>
          <w:p>
            <w:pPr>
              <w:jc w:val="right"/>
              <w:ind w:right="100"/>
              <w:spacing w:after="0" w:line="126" w:lineRule="exact"/>
              <w:rPr>
                <w:sz w:val="20"/>
                <w:szCs w:val="20"/>
                <w:color w:val="auto"/>
              </w:rPr>
            </w:pPr>
            <w:r>
              <w:rPr>
                <w:rFonts w:ascii="Arial" w:cs="Arial" w:eastAsia="Arial" w:hAnsi="Arial"/>
                <w:sz w:val="12"/>
                <w:szCs w:val="12"/>
                <w:color w:val="auto"/>
              </w:rPr>
              <w:t>15,063</w:t>
            </w:r>
          </w:p>
        </w:tc>
        <w:tc>
          <w:tcPr>
            <w:tcW w:w="58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15,572</w:t>
            </w:r>
          </w:p>
        </w:tc>
        <w:tc>
          <w:tcPr>
            <w:tcW w:w="56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15,063</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15,572</w:t>
            </w:r>
          </w:p>
        </w:tc>
        <w:tc>
          <w:tcPr>
            <w:tcW w:w="60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3.4%</w:t>
            </w:r>
          </w:p>
        </w:tc>
        <w:tc>
          <w:tcPr>
            <w:tcW w:w="120" w:type="dxa"/>
            <w:vAlign w:val="bottom"/>
          </w:tcPr>
          <w:p>
            <w:pPr>
              <w:spacing w:after="0"/>
              <w:rPr>
                <w:sz w:val="10"/>
                <w:szCs w:val="10"/>
                <w:color w:val="auto"/>
              </w:rPr>
            </w:pPr>
          </w:p>
        </w:tc>
        <w:tc>
          <w:tcPr>
            <w:tcW w:w="680" w:type="dxa"/>
            <w:vAlign w:val="bottom"/>
            <w:gridSpan w:val="2"/>
          </w:tcPr>
          <w:p>
            <w:pPr>
              <w:jc w:val="right"/>
              <w:ind w:right="81"/>
              <w:spacing w:after="0" w:line="126" w:lineRule="exact"/>
              <w:rPr>
                <w:sz w:val="20"/>
                <w:szCs w:val="20"/>
                <w:color w:val="auto"/>
              </w:rPr>
            </w:pPr>
            <w:r>
              <w:rPr>
                <w:rFonts w:ascii="Arial" w:cs="Arial" w:eastAsia="Arial" w:hAnsi="Arial"/>
                <w:sz w:val="12"/>
                <w:szCs w:val="12"/>
                <w:color w:val="auto"/>
              </w:rPr>
              <w:t>5.9%</w:t>
            </w:r>
          </w:p>
        </w:tc>
        <w:tc>
          <w:tcPr>
            <w:tcW w:w="660" w:type="dxa"/>
            <w:vAlign w:val="bottom"/>
            <w:gridSpan w:val="2"/>
            <w:shd w:val="clear" w:color="auto" w:fill="66E0DA"/>
          </w:tcPr>
          <w:p>
            <w:pPr>
              <w:jc w:val="right"/>
              <w:ind w:right="61"/>
              <w:spacing w:after="0" w:line="126" w:lineRule="exact"/>
              <w:rPr>
                <w:sz w:val="20"/>
                <w:szCs w:val="20"/>
                <w:color w:val="auto"/>
              </w:rPr>
            </w:pPr>
            <w:r>
              <w:rPr>
                <w:rFonts w:ascii="Arial" w:cs="Arial" w:eastAsia="Arial" w:hAnsi="Arial"/>
                <w:sz w:val="12"/>
                <w:szCs w:val="12"/>
                <w:color w:val="auto"/>
              </w:rPr>
              <w:t>3.4%</w:t>
            </w:r>
          </w:p>
        </w:tc>
        <w:tc>
          <w:tcPr>
            <w:tcW w:w="660" w:type="dxa"/>
            <w:vAlign w:val="bottom"/>
            <w:gridSpan w:val="2"/>
            <w:shd w:val="clear" w:color="auto" w:fill="66E0DA"/>
          </w:tcPr>
          <w:p>
            <w:pPr>
              <w:jc w:val="right"/>
              <w:ind w:right="61"/>
              <w:spacing w:after="0" w:line="126" w:lineRule="exact"/>
              <w:rPr>
                <w:sz w:val="20"/>
                <w:szCs w:val="20"/>
                <w:color w:val="auto"/>
              </w:rPr>
            </w:pPr>
            <w:r>
              <w:rPr>
                <w:rFonts w:ascii="Arial" w:cs="Arial" w:eastAsia="Arial" w:hAnsi="Arial"/>
                <w:sz w:val="12"/>
                <w:szCs w:val="12"/>
                <w:color w:val="auto"/>
              </w:rPr>
              <w:t>5.9%</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646</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596</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584</w:t>
            </w:r>
          </w:p>
        </w:tc>
        <w:tc>
          <w:tcPr>
            <w:tcW w:w="660" w:type="dxa"/>
            <w:vAlign w:val="bottom"/>
            <w:gridSpan w:val="2"/>
          </w:tcPr>
          <w:p>
            <w:pPr>
              <w:jc w:val="right"/>
              <w:ind w:right="61"/>
              <w:spacing w:after="0" w:line="126" w:lineRule="exact"/>
              <w:rPr>
                <w:sz w:val="20"/>
                <w:szCs w:val="20"/>
                <w:color w:val="auto"/>
              </w:rPr>
            </w:pPr>
            <w:r>
              <w:rPr>
                <w:rFonts w:ascii="Arial" w:cs="Arial" w:eastAsia="Arial" w:hAnsi="Arial"/>
                <w:sz w:val="12"/>
                <w:szCs w:val="12"/>
                <w:color w:val="auto"/>
              </w:rPr>
              <w:t>-2.1%</w:t>
            </w:r>
          </w:p>
        </w:tc>
        <w:tc>
          <w:tcPr>
            <w:tcW w:w="56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-9.6%</w:t>
            </w:r>
          </w:p>
        </w:tc>
        <w:tc>
          <w:tcPr>
            <w:tcW w:w="100" w:type="dxa"/>
            <w:vAlign w:val="bottom"/>
          </w:tcPr>
          <w:p>
            <w:pPr>
              <w:spacing w:after="0"/>
              <w:rPr>
                <w:sz w:val="10"/>
                <w:szCs w:val="10"/>
                <w:color w:val="auto"/>
              </w:rPr>
            </w:pPr>
          </w:p>
        </w:tc>
        <w:tc>
          <w:tcPr>
            <w:tcW w:w="680" w:type="dxa"/>
            <w:vAlign w:val="bottom"/>
            <w:gridSpan w:val="2"/>
          </w:tcPr>
          <w:p>
            <w:pPr>
              <w:jc w:val="right"/>
              <w:ind w:right="81"/>
              <w:spacing w:after="0" w:line="126" w:lineRule="exact"/>
              <w:rPr>
                <w:sz w:val="20"/>
                <w:szCs w:val="20"/>
                <w:color w:val="auto"/>
              </w:rPr>
            </w:pPr>
            <w:r>
              <w:rPr>
                <w:rFonts w:ascii="Arial" w:cs="Arial" w:eastAsia="Arial" w:hAnsi="Arial"/>
                <w:sz w:val="12"/>
                <w:szCs w:val="12"/>
                <w:color w:val="auto"/>
              </w:rPr>
              <w:t>87.9%</w:t>
            </w:r>
          </w:p>
        </w:tc>
        <w:tc>
          <w:tcPr>
            <w:tcW w:w="80" w:type="dxa"/>
            <w:vAlign w:val="bottom"/>
          </w:tcPr>
          <w:p>
            <w:pPr>
              <w:spacing w:after="0"/>
              <w:rPr>
                <w:sz w:val="10"/>
                <w:szCs w:val="10"/>
                <w:color w:val="auto"/>
              </w:rPr>
            </w:pPr>
          </w:p>
        </w:tc>
        <w:tc>
          <w:tcPr>
            <w:tcW w:w="50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12.1%</w:t>
            </w:r>
          </w:p>
        </w:tc>
      </w:tr>
      <w:tr>
        <w:trPr>
          <w:trHeight w:val="126"/>
        </w:trPr>
        <w:tc>
          <w:tcPr>
            <w:tcW w:w="1480" w:type="dxa"/>
            <w:vAlign w:val="bottom"/>
            <w:shd w:val="clear" w:color="auto" w:fill="CCEEFF"/>
          </w:tcPr>
          <w:p>
            <w:pPr>
              <w:ind w:left="300"/>
              <w:spacing w:after="0" w:line="126" w:lineRule="exact"/>
              <w:rPr>
                <w:sz w:val="20"/>
                <w:szCs w:val="20"/>
                <w:color w:val="auto"/>
              </w:rPr>
            </w:pPr>
            <w:r>
              <w:rPr>
                <w:rFonts w:ascii="Arial" w:cs="Arial" w:eastAsia="Arial" w:hAnsi="Arial"/>
                <w:sz w:val="12"/>
                <w:szCs w:val="12"/>
                <w:color w:val="auto"/>
              </w:rPr>
              <w:t>Consumer</w:t>
            </w:r>
          </w:p>
        </w:tc>
        <w:tc>
          <w:tcPr>
            <w:tcW w:w="46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7,763</w:t>
            </w:r>
          </w:p>
        </w:tc>
        <w:tc>
          <w:tcPr>
            <w:tcW w:w="660" w:type="dxa"/>
            <w:vAlign w:val="bottom"/>
            <w:gridSpan w:val="3"/>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8,119</w:t>
            </w:r>
          </w:p>
        </w:tc>
        <w:tc>
          <w:tcPr>
            <w:tcW w:w="58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color w:val="auto"/>
              </w:rPr>
              <w:t>8,436</w:t>
            </w:r>
          </w:p>
        </w:tc>
        <w:tc>
          <w:tcPr>
            <w:tcW w:w="4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8,119</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8,436</w:t>
            </w:r>
          </w:p>
        </w:tc>
        <w:tc>
          <w:tcPr>
            <w:tcW w:w="6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3.9%</w:t>
            </w:r>
          </w:p>
        </w:tc>
        <w:tc>
          <w:tcPr>
            <w:tcW w:w="120" w:type="dxa"/>
            <w:vAlign w:val="bottom"/>
            <w:shd w:val="clear" w:color="auto" w:fill="66E0DA"/>
          </w:tcPr>
          <w:p>
            <w:pPr>
              <w:spacing w:after="0"/>
              <w:rPr>
                <w:sz w:val="10"/>
                <w:szCs w:val="10"/>
                <w:color w:val="auto"/>
              </w:rPr>
            </w:pPr>
          </w:p>
        </w:tc>
        <w:tc>
          <w:tcPr>
            <w:tcW w:w="680" w:type="dxa"/>
            <w:vAlign w:val="bottom"/>
            <w:gridSpan w:val="2"/>
            <w:shd w:val="clear" w:color="auto" w:fill="CCEEFF"/>
          </w:tcPr>
          <w:p>
            <w:pPr>
              <w:jc w:val="right"/>
              <w:ind w:right="81"/>
              <w:spacing w:after="0" w:line="126" w:lineRule="exact"/>
              <w:rPr>
                <w:sz w:val="20"/>
                <w:szCs w:val="20"/>
                <w:color w:val="auto"/>
              </w:rPr>
            </w:pPr>
            <w:r>
              <w:rPr>
                <w:rFonts w:ascii="Arial" w:cs="Arial" w:eastAsia="Arial" w:hAnsi="Arial"/>
                <w:sz w:val="12"/>
                <w:szCs w:val="12"/>
                <w:color w:val="auto"/>
              </w:rPr>
              <w:t>8.7%</w:t>
            </w:r>
          </w:p>
        </w:tc>
        <w:tc>
          <w:tcPr>
            <w:tcW w:w="66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color w:val="auto"/>
              </w:rPr>
              <w:t>3.9%</w:t>
            </w:r>
          </w:p>
        </w:tc>
        <w:tc>
          <w:tcPr>
            <w:tcW w:w="66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color w:val="auto"/>
              </w:rPr>
              <w:t>8.7%</w:t>
            </w:r>
          </w:p>
        </w:tc>
        <w:tc>
          <w:tcPr>
            <w:tcW w:w="5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357</w:t>
            </w: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394</w:t>
            </w:r>
          </w:p>
        </w:tc>
        <w:tc>
          <w:tcPr>
            <w:tcW w:w="5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414</w:t>
            </w:r>
          </w:p>
        </w:tc>
        <w:tc>
          <w:tcPr>
            <w:tcW w:w="66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color w:val="auto"/>
              </w:rPr>
              <w:t>4.8%</w:t>
            </w:r>
          </w:p>
        </w:tc>
        <w:tc>
          <w:tcPr>
            <w:tcW w:w="5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15.9%</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1"/>
              <w:spacing w:after="0" w:line="126" w:lineRule="exact"/>
              <w:rPr>
                <w:sz w:val="20"/>
                <w:szCs w:val="20"/>
                <w:color w:val="auto"/>
              </w:rPr>
            </w:pPr>
            <w:r>
              <w:rPr>
                <w:rFonts w:ascii="Arial" w:cs="Arial" w:eastAsia="Arial" w:hAnsi="Arial"/>
                <w:sz w:val="12"/>
                <w:szCs w:val="12"/>
                <w:color w:val="auto"/>
              </w:rPr>
              <w:t>84.7%</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15.3%</w:t>
            </w:r>
          </w:p>
        </w:tc>
      </w:tr>
      <w:tr>
        <w:trPr>
          <w:trHeight w:val="126"/>
        </w:trPr>
        <w:tc>
          <w:tcPr>
            <w:tcW w:w="1480" w:type="dxa"/>
            <w:vAlign w:val="bottom"/>
          </w:tcPr>
          <w:p>
            <w:pPr>
              <w:ind w:left="300"/>
              <w:spacing w:after="0" w:line="126" w:lineRule="exact"/>
              <w:rPr>
                <w:sz w:val="20"/>
                <w:szCs w:val="20"/>
                <w:color w:val="auto"/>
              </w:rPr>
            </w:pPr>
            <w:r>
              <w:rPr>
                <w:rFonts w:ascii="Arial" w:cs="Arial" w:eastAsia="Arial" w:hAnsi="Arial"/>
                <w:sz w:val="12"/>
                <w:szCs w:val="12"/>
                <w:color w:val="auto"/>
              </w:rPr>
              <w:t>Credit Card</w:t>
            </w:r>
          </w:p>
        </w:tc>
        <w:tc>
          <w:tcPr>
            <w:tcW w:w="46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4,932</w:t>
            </w:r>
          </w:p>
        </w:tc>
        <w:tc>
          <w:tcPr>
            <w:tcW w:w="660" w:type="dxa"/>
            <w:vAlign w:val="bottom"/>
            <w:gridSpan w:val="3"/>
          </w:tcPr>
          <w:p>
            <w:pPr>
              <w:jc w:val="right"/>
              <w:ind w:right="100"/>
              <w:spacing w:after="0" w:line="126" w:lineRule="exact"/>
              <w:rPr>
                <w:sz w:val="20"/>
                <w:szCs w:val="20"/>
                <w:color w:val="auto"/>
              </w:rPr>
            </w:pPr>
            <w:r>
              <w:rPr>
                <w:rFonts w:ascii="Arial" w:cs="Arial" w:eastAsia="Arial" w:hAnsi="Arial"/>
                <w:sz w:val="12"/>
                <w:szCs w:val="12"/>
                <w:color w:val="auto"/>
              </w:rPr>
              <w:t>3,831</w:t>
            </w:r>
          </w:p>
        </w:tc>
        <w:tc>
          <w:tcPr>
            <w:tcW w:w="58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3,502</w:t>
            </w:r>
          </w:p>
        </w:tc>
        <w:tc>
          <w:tcPr>
            <w:tcW w:w="56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3,831</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3,502</w:t>
            </w:r>
          </w:p>
        </w:tc>
        <w:tc>
          <w:tcPr>
            <w:tcW w:w="600" w:type="dxa"/>
            <w:vAlign w:val="bottom"/>
            <w:gridSpan w:val="2"/>
            <w:shd w:val="clear" w:color="auto" w:fill="F17EC7"/>
          </w:tcPr>
          <w:p>
            <w:pPr>
              <w:jc w:val="right"/>
              <w:spacing w:after="0" w:line="126" w:lineRule="exact"/>
              <w:rPr>
                <w:sz w:val="20"/>
                <w:szCs w:val="20"/>
                <w:color w:val="auto"/>
              </w:rPr>
            </w:pPr>
            <w:r>
              <w:rPr>
                <w:rFonts w:ascii="Arial" w:cs="Arial" w:eastAsia="Arial" w:hAnsi="Arial"/>
                <w:sz w:val="12"/>
                <w:szCs w:val="12"/>
                <w:color w:val="auto"/>
              </w:rPr>
              <w:t>-8.6%</w:t>
            </w:r>
          </w:p>
        </w:tc>
        <w:tc>
          <w:tcPr>
            <w:tcW w:w="120" w:type="dxa"/>
            <w:vAlign w:val="bottom"/>
            <w:shd w:val="clear" w:color="auto" w:fill="F17EC7"/>
          </w:tcPr>
          <w:p>
            <w:pPr>
              <w:spacing w:after="0"/>
              <w:rPr>
                <w:sz w:val="10"/>
                <w:szCs w:val="10"/>
                <w:color w:val="auto"/>
              </w:rPr>
            </w:pPr>
          </w:p>
        </w:tc>
        <w:tc>
          <w:tcPr>
            <w:tcW w:w="680" w:type="dxa"/>
            <w:vAlign w:val="bottom"/>
            <w:gridSpan w:val="2"/>
            <w:shd w:val="clear" w:color="auto" w:fill="F17EC7"/>
          </w:tcPr>
          <w:p>
            <w:pPr>
              <w:jc w:val="right"/>
              <w:ind w:right="81"/>
              <w:spacing w:after="0" w:line="126" w:lineRule="exact"/>
              <w:rPr>
                <w:sz w:val="20"/>
                <w:szCs w:val="20"/>
                <w:color w:val="auto"/>
              </w:rPr>
            </w:pPr>
            <w:r>
              <w:rPr>
                <w:rFonts w:ascii="Arial" w:cs="Arial" w:eastAsia="Arial" w:hAnsi="Arial"/>
                <w:sz w:val="12"/>
                <w:szCs w:val="12"/>
                <w:color w:val="auto"/>
              </w:rPr>
              <w:t>-29.0%</w:t>
            </w:r>
          </w:p>
        </w:tc>
        <w:tc>
          <w:tcPr>
            <w:tcW w:w="660" w:type="dxa"/>
            <w:vAlign w:val="bottom"/>
            <w:gridSpan w:val="2"/>
          </w:tcPr>
          <w:p>
            <w:pPr>
              <w:jc w:val="right"/>
              <w:ind w:right="61"/>
              <w:spacing w:after="0" w:line="126" w:lineRule="exact"/>
              <w:rPr>
                <w:sz w:val="20"/>
                <w:szCs w:val="20"/>
                <w:color w:val="auto"/>
              </w:rPr>
            </w:pPr>
            <w:r>
              <w:rPr>
                <w:rFonts w:ascii="Arial" w:cs="Arial" w:eastAsia="Arial" w:hAnsi="Arial"/>
                <w:sz w:val="12"/>
                <w:szCs w:val="12"/>
                <w:color w:val="auto"/>
              </w:rPr>
              <w:t>-8.6%</w:t>
            </w:r>
          </w:p>
        </w:tc>
        <w:tc>
          <w:tcPr>
            <w:tcW w:w="660" w:type="dxa"/>
            <w:vAlign w:val="bottom"/>
            <w:gridSpan w:val="2"/>
            <w:shd w:val="clear" w:color="auto" w:fill="F17EC7"/>
          </w:tcPr>
          <w:p>
            <w:pPr>
              <w:jc w:val="right"/>
              <w:ind w:right="61"/>
              <w:spacing w:after="0" w:line="126" w:lineRule="exact"/>
              <w:rPr>
                <w:sz w:val="20"/>
                <w:szCs w:val="20"/>
                <w:color w:val="auto"/>
              </w:rPr>
            </w:pPr>
            <w:r>
              <w:rPr>
                <w:rFonts w:ascii="Arial" w:cs="Arial" w:eastAsia="Arial" w:hAnsi="Arial"/>
                <w:sz w:val="12"/>
                <w:szCs w:val="12"/>
                <w:color w:val="auto"/>
              </w:rPr>
              <w:t>-29.0%</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239</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161</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156</w:t>
            </w:r>
          </w:p>
        </w:tc>
        <w:tc>
          <w:tcPr>
            <w:tcW w:w="660" w:type="dxa"/>
            <w:vAlign w:val="bottom"/>
            <w:gridSpan w:val="2"/>
          </w:tcPr>
          <w:p>
            <w:pPr>
              <w:jc w:val="right"/>
              <w:ind w:right="61"/>
              <w:spacing w:after="0" w:line="126" w:lineRule="exact"/>
              <w:rPr>
                <w:sz w:val="20"/>
                <w:szCs w:val="20"/>
                <w:color w:val="auto"/>
              </w:rPr>
            </w:pPr>
            <w:r>
              <w:rPr>
                <w:rFonts w:ascii="Arial" w:cs="Arial" w:eastAsia="Arial" w:hAnsi="Arial"/>
                <w:sz w:val="12"/>
                <w:szCs w:val="12"/>
                <w:color w:val="auto"/>
              </w:rPr>
              <w:t>-3.1%</w:t>
            </w:r>
          </w:p>
        </w:tc>
        <w:tc>
          <w:tcPr>
            <w:tcW w:w="56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-34.9%</w:t>
            </w:r>
          </w:p>
        </w:tc>
        <w:tc>
          <w:tcPr>
            <w:tcW w:w="100" w:type="dxa"/>
            <w:vAlign w:val="bottom"/>
          </w:tcPr>
          <w:p>
            <w:pPr>
              <w:spacing w:after="0"/>
              <w:rPr>
                <w:sz w:val="10"/>
                <w:szCs w:val="10"/>
                <w:color w:val="auto"/>
              </w:rPr>
            </w:pPr>
          </w:p>
        </w:tc>
        <w:tc>
          <w:tcPr>
            <w:tcW w:w="680" w:type="dxa"/>
            <w:vAlign w:val="bottom"/>
            <w:gridSpan w:val="2"/>
          </w:tcPr>
          <w:p>
            <w:pPr>
              <w:jc w:val="right"/>
              <w:ind w:right="81"/>
              <w:spacing w:after="0" w:line="126" w:lineRule="exact"/>
              <w:rPr>
                <w:sz w:val="20"/>
                <w:szCs w:val="20"/>
                <w:color w:val="auto"/>
              </w:rPr>
            </w:pPr>
            <w:r>
              <w:rPr>
                <w:rFonts w:ascii="Arial" w:cs="Arial" w:eastAsia="Arial" w:hAnsi="Arial"/>
                <w:sz w:val="12"/>
                <w:szCs w:val="12"/>
                <w:color w:val="auto"/>
              </w:rPr>
              <w:t>85.9%</w:t>
            </w:r>
          </w:p>
        </w:tc>
        <w:tc>
          <w:tcPr>
            <w:tcW w:w="80" w:type="dxa"/>
            <w:vAlign w:val="bottom"/>
          </w:tcPr>
          <w:p>
            <w:pPr>
              <w:spacing w:after="0"/>
              <w:rPr>
                <w:sz w:val="10"/>
                <w:szCs w:val="10"/>
                <w:color w:val="auto"/>
              </w:rPr>
            </w:pPr>
          </w:p>
        </w:tc>
        <w:tc>
          <w:tcPr>
            <w:tcW w:w="50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14.1%</w:t>
            </w:r>
          </w:p>
        </w:tc>
      </w:tr>
      <w:tr>
        <w:trPr>
          <w:trHeight w:val="126"/>
        </w:trPr>
        <w:tc>
          <w:tcPr>
            <w:tcW w:w="1480" w:type="dxa"/>
            <w:vAlign w:val="bottom"/>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Mibanco</w:t>
            </w:r>
          </w:p>
        </w:tc>
        <w:tc>
          <w:tcPr>
            <w:tcW w:w="46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b w:val="1"/>
                <w:bCs w:val="1"/>
                <w:color w:val="auto"/>
              </w:rPr>
              <w:t>10,064</w:t>
            </w:r>
          </w:p>
        </w:tc>
        <w:tc>
          <w:tcPr>
            <w:tcW w:w="660" w:type="dxa"/>
            <w:vAlign w:val="bottom"/>
            <w:gridSpan w:val="3"/>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12,191</w:t>
            </w:r>
          </w:p>
        </w:tc>
        <w:tc>
          <w:tcPr>
            <w:tcW w:w="58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12,441</w:t>
            </w:r>
          </w:p>
        </w:tc>
        <w:tc>
          <w:tcPr>
            <w:tcW w:w="5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9,377</w:t>
            </w: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9,619</w:t>
            </w:r>
          </w:p>
        </w:tc>
        <w:tc>
          <w:tcPr>
            <w:tcW w:w="600" w:type="dxa"/>
            <w:vAlign w:val="bottom"/>
            <w:gridSpan w:val="2"/>
            <w:shd w:val="clear" w:color="auto" w:fill="66E0DA"/>
          </w:tcPr>
          <w:p>
            <w:pPr>
              <w:jc w:val="right"/>
              <w:spacing w:after="0" w:line="126" w:lineRule="exact"/>
              <w:rPr>
                <w:sz w:val="20"/>
                <w:szCs w:val="20"/>
                <w:color w:val="auto"/>
              </w:rPr>
            </w:pPr>
            <w:r>
              <w:rPr>
                <w:rFonts w:ascii="Arial" w:cs="Arial" w:eastAsia="Arial" w:hAnsi="Arial"/>
                <w:sz w:val="12"/>
                <w:szCs w:val="12"/>
                <w:b w:val="1"/>
                <w:bCs w:val="1"/>
                <w:color w:val="auto"/>
              </w:rPr>
              <w:t>2.1%</w:t>
            </w:r>
          </w:p>
        </w:tc>
        <w:tc>
          <w:tcPr>
            <w:tcW w:w="120" w:type="dxa"/>
            <w:vAlign w:val="bottom"/>
            <w:shd w:val="clear" w:color="auto" w:fill="66E0DA"/>
          </w:tcPr>
          <w:p>
            <w:pPr>
              <w:spacing w:after="0"/>
              <w:rPr>
                <w:sz w:val="10"/>
                <w:szCs w:val="10"/>
                <w:color w:val="auto"/>
              </w:rPr>
            </w:pPr>
          </w:p>
        </w:tc>
        <w:tc>
          <w:tcPr>
            <w:tcW w:w="680" w:type="dxa"/>
            <w:vAlign w:val="bottom"/>
            <w:gridSpan w:val="2"/>
            <w:shd w:val="clear" w:color="auto" w:fill="66E0DA"/>
          </w:tcPr>
          <w:p>
            <w:pPr>
              <w:jc w:val="right"/>
              <w:ind w:right="61"/>
              <w:spacing w:after="0" w:line="126" w:lineRule="exact"/>
              <w:rPr>
                <w:sz w:val="20"/>
                <w:szCs w:val="20"/>
                <w:color w:val="auto"/>
              </w:rPr>
            </w:pPr>
            <w:r>
              <w:rPr>
                <w:rFonts w:ascii="Arial" w:cs="Arial" w:eastAsia="Arial" w:hAnsi="Arial"/>
                <w:sz w:val="12"/>
                <w:szCs w:val="12"/>
                <w:b w:val="1"/>
                <w:bCs w:val="1"/>
                <w:color w:val="auto"/>
              </w:rPr>
              <w:t>23.6%</w:t>
            </w:r>
          </w:p>
        </w:tc>
        <w:tc>
          <w:tcPr>
            <w:tcW w:w="660" w:type="dxa"/>
            <w:vAlign w:val="bottom"/>
            <w:gridSpan w:val="2"/>
            <w:shd w:val="clear" w:color="auto" w:fill="CCEEFF"/>
          </w:tcPr>
          <w:p>
            <w:pPr>
              <w:jc w:val="right"/>
              <w:ind w:right="41"/>
              <w:spacing w:after="0" w:line="126" w:lineRule="exact"/>
              <w:rPr>
                <w:sz w:val="20"/>
                <w:szCs w:val="20"/>
                <w:color w:val="auto"/>
              </w:rPr>
            </w:pPr>
            <w:r>
              <w:rPr>
                <w:rFonts w:ascii="Arial" w:cs="Arial" w:eastAsia="Arial" w:hAnsi="Arial"/>
                <w:sz w:val="12"/>
                <w:szCs w:val="12"/>
                <w:b w:val="1"/>
                <w:bCs w:val="1"/>
                <w:color w:val="auto"/>
              </w:rPr>
              <w:t>2.6%</w:t>
            </w:r>
          </w:p>
        </w:tc>
        <w:tc>
          <w:tcPr>
            <w:tcW w:w="660" w:type="dxa"/>
            <w:vAlign w:val="bottom"/>
            <w:gridSpan w:val="2"/>
            <w:shd w:val="clear" w:color="auto" w:fill="CCEEFF"/>
          </w:tcPr>
          <w:p>
            <w:pPr>
              <w:jc w:val="right"/>
              <w:ind w:right="41"/>
              <w:spacing w:after="0" w:line="126" w:lineRule="exact"/>
              <w:rPr>
                <w:sz w:val="20"/>
                <w:szCs w:val="20"/>
                <w:color w:val="auto"/>
              </w:rPr>
            </w:pPr>
            <w:r>
              <w:rPr>
                <w:rFonts w:ascii="Arial" w:cs="Arial" w:eastAsia="Arial" w:hAnsi="Arial"/>
                <w:sz w:val="12"/>
                <w:szCs w:val="12"/>
                <w:b w:val="1"/>
                <w:bCs w:val="1"/>
                <w:color w:val="auto"/>
              </w:rPr>
              <w:t>-4.4%</w:t>
            </w:r>
          </w:p>
        </w:tc>
        <w:tc>
          <w:tcPr>
            <w:tcW w:w="5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165</w:t>
            </w: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135</w:t>
            </w:r>
          </w:p>
        </w:tc>
        <w:tc>
          <w:tcPr>
            <w:tcW w:w="5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131</w:t>
            </w:r>
          </w:p>
        </w:tc>
        <w:tc>
          <w:tcPr>
            <w:tcW w:w="660" w:type="dxa"/>
            <w:vAlign w:val="bottom"/>
            <w:gridSpan w:val="2"/>
            <w:shd w:val="clear" w:color="auto" w:fill="CCEEFF"/>
          </w:tcPr>
          <w:p>
            <w:pPr>
              <w:jc w:val="right"/>
              <w:ind w:right="41"/>
              <w:spacing w:after="0" w:line="126" w:lineRule="exact"/>
              <w:rPr>
                <w:sz w:val="20"/>
                <w:szCs w:val="20"/>
                <w:color w:val="auto"/>
              </w:rPr>
            </w:pPr>
            <w:r>
              <w:rPr>
                <w:rFonts w:ascii="Arial" w:cs="Arial" w:eastAsia="Arial" w:hAnsi="Arial"/>
                <w:sz w:val="12"/>
                <w:szCs w:val="12"/>
                <w:b w:val="1"/>
                <w:bCs w:val="1"/>
                <w:color w:val="auto"/>
              </w:rPr>
              <w:t>-3.0%</w:t>
            </w:r>
          </w:p>
        </w:tc>
        <w:tc>
          <w:tcPr>
            <w:tcW w:w="5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-20.6%</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1"/>
              <w:spacing w:after="0" w:line="126" w:lineRule="exact"/>
              <w:rPr>
                <w:sz w:val="20"/>
                <w:szCs w:val="20"/>
                <w:color w:val="auto"/>
              </w:rPr>
            </w:pPr>
            <w:r>
              <w:rPr>
                <w:rFonts w:ascii="Arial" w:cs="Arial" w:eastAsia="Arial" w:hAnsi="Arial"/>
                <w:sz w:val="12"/>
                <w:szCs w:val="12"/>
                <w:b w:val="1"/>
                <w:bCs w:val="1"/>
                <w:color w:val="auto"/>
              </w:rPr>
              <w:t>96.3%</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3.7%</w:t>
            </w:r>
          </w:p>
        </w:tc>
      </w:tr>
      <w:tr>
        <w:trPr>
          <w:trHeight w:val="126"/>
        </w:trPr>
        <w:tc>
          <w:tcPr>
            <w:tcW w:w="1480" w:type="dxa"/>
            <w:vAlign w:val="bottom"/>
          </w:tcPr>
          <w:p>
            <w:pPr>
              <w:spacing w:after="0" w:line="126" w:lineRule="exact"/>
              <w:rPr>
                <w:sz w:val="20"/>
                <w:szCs w:val="20"/>
                <w:color w:val="auto"/>
              </w:rPr>
            </w:pPr>
            <w:r>
              <w:rPr>
                <w:rFonts w:ascii="Arial" w:cs="Arial" w:eastAsia="Arial" w:hAnsi="Arial"/>
                <w:sz w:val="12"/>
                <w:szCs w:val="12"/>
                <w:b w:val="1"/>
                <w:bCs w:val="1"/>
                <w:color w:val="auto"/>
              </w:rPr>
              <w:t>Mibanco Colombia</w:t>
            </w:r>
          </w:p>
        </w:tc>
        <w:tc>
          <w:tcPr>
            <w:tcW w:w="460" w:type="dxa"/>
            <w:vAlign w:val="bottom"/>
            <w:gridSpan w:val="2"/>
          </w:tcPr>
          <w:p>
            <w:pPr>
              <w:jc w:val="right"/>
              <w:ind w:right="20"/>
              <w:spacing w:after="0" w:line="126" w:lineRule="exact"/>
              <w:rPr>
                <w:sz w:val="20"/>
                <w:szCs w:val="20"/>
                <w:color w:val="auto"/>
              </w:rPr>
            </w:pPr>
            <w:r>
              <w:rPr>
                <w:rFonts w:ascii="Arial" w:cs="Arial" w:eastAsia="Arial" w:hAnsi="Arial"/>
                <w:sz w:val="12"/>
                <w:szCs w:val="12"/>
                <w:b w:val="1"/>
                <w:bCs w:val="1"/>
                <w:color w:val="auto"/>
              </w:rPr>
              <w:t>-</w:t>
            </w:r>
          </w:p>
        </w:tc>
        <w:tc>
          <w:tcPr>
            <w:tcW w:w="660" w:type="dxa"/>
            <w:vAlign w:val="bottom"/>
            <w:gridSpan w:val="3"/>
          </w:tcPr>
          <w:p>
            <w:pPr>
              <w:jc w:val="right"/>
              <w:ind w:right="100"/>
              <w:spacing w:after="0" w:line="126" w:lineRule="exact"/>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81"/>
              <w:spacing w:after="0" w:line="12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81"/>
              <w:spacing w:after="0" w:line="126"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161"/>
              <w:spacing w:after="0" w:line="126"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161"/>
              <w:spacing w:after="0" w:line="126" w:lineRule="exact"/>
              <w:rPr>
                <w:sz w:val="20"/>
                <w:szCs w:val="20"/>
                <w:color w:val="auto"/>
              </w:rPr>
            </w:pPr>
            <w:r>
              <w:rPr>
                <w:rFonts w:ascii="Arial" w:cs="Arial" w:eastAsia="Arial" w:hAnsi="Arial"/>
                <w:sz w:val="12"/>
                <w:szCs w:val="12"/>
                <w:b w:val="1"/>
                <w:bCs w:val="1"/>
                <w:color w:val="auto"/>
              </w:rPr>
              <w:t>-</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244</w:t>
            </w:r>
          </w:p>
        </w:tc>
        <w:tc>
          <w:tcPr>
            <w:tcW w:w="56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240</w:t>
            </w:r>
          </w:p>
        </w:tc>
        <w:tc>
          <w:tcPr>
            <w:tcW w:w="54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rPr>
              <w:t>247</w:t>
            </w:r>
          </w:p>
        </w:tc>
        <w:tc>
          <w:tcPr>
            <w:tcW w:w="660" w:type="dxa"/>
            <w:vAlign w:val="bottom"/>
            <w:gridSpan w:val="2"/>
          </w:tcPr>
          <w:p>
            <w:pPr>
              <w:jc w:val="right"/>
              <w:ind w:right="41"/>
              <w:spacing w:after="0" w:line="126" w:lineRule="exact"/>
              <w:rPr>
                <w:sz w:val="20"/>
                <w:szCs w:val="20"/>
                <w:color w:val="auto"/>
              </w:rPr>
            </w:pPr>
            <w:r>
              <w:rPr>
                <w:rFonts w:ascii="Arial" w:cs="Arial" w:eastAsia="Arial" w:hAnsi="Arial"/>
                <w:sz w:val="12"/>
                <w:szCs w:val="12"/>
                <w:b w:val="1"/>
                <w:bCs w:val="1"/>
                <w:color w:val="auto"/>
              </w:rPr>
              <w:t>3.0%</w:t>
            </w:r>
          </w:p>
        </w:tc>
        <w:tc>
          <w:tcPr>
            <w:tcW w:w="56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0"/>
                <w:szCs w:val="10"/>
                <w:color w:val="auto"/>
              </w:rPr>
            </w:pPr>
          </w:p>
        </w:tc>
        <w:tc>
          <w:tcPr>
            <w:tcW w:w="680" w:type="dxa"/>
            <w:vAlign w:val="bottom"/>
            <w:gridSpan w:val="2"/>
          </w:tcPr>
          <w:p>
            <w:pPr>
              <w:jc w:val="right"/>
              <w:ind w:right="181"/>
              <w:spacing w:after="0" w:line="126"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50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rPr>
              <w:t>100.0%</w:t>
            </w:r>
          </w:p>
        </w:tc>
      </w:tr>
      <w:tr>
        <w:trPr>
          <w:trHeight w:val="126"/>
        </w:trPr>
        <w:tc>
          <w:tcPr>
            <w:tcW w:w="1480" w:type="dxa"/>
            <w:vAlign w:val="bottom"/>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Bolivia</w:t>
            </w:r>
          </w:p>
        </w:tc>
        <w:tc>
          <w:tcPr>
            <w:tcW w:w="46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b w:val="1"/>
                <w:bCs w:val="1"/>
                <w:color w:val="auto"/>
              </w:rPr>
              <w:t>-</w:t>
            </w:r>
          </w:p>
        </w:tc>
        <w:tc>
          <w:tcPr>
            <w:tcW w:w="660" w:type="dxa"/>
            <w:vAlign w:val="bottom"/>
            <w:gridSpan w:val="3"/>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w:t>
            </w:r>
          </w:p>
        </w:tc>
        <w:tc>
          <w:tcPr>
            <w:tcW w:w="58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w:t>
            </w:r>
          </w:p>
        </w:tc>
        <w:tc>
          <w:tcPr>
            <w:tcW w:w="5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2"/>
                <w:szCs w:val="12"/>
                <w:b w:val="1"/>
                <w:bCs w:val="1"/>
                <w:color w:val="auto"/>
              </w:rPr>
              <w:t>-</w:t>
            </w: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81"/>
              <w:spacing w:after="0" w:line="126"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1"/>
              <w:spacing w:after="0" w:line="126"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EEFF"/>
          </w:tcPr>
          <w:p>
            <w:pPr>
              <w:jc w:val="right"/>
              <w:ind w:right="161"/>
              <w:spacing w:after="0" w:line="126"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EEFF"/>
          </w:tcPr>
          <w:p>
            <w:pPr>
              <w:jc w:val="right"/>
              <w:ind w:right="161"/>
              <w:spacing w:after="0" w:line="126" w:lineRule="exact"/>
              <w:rPr>
                <w:sz w:val="20"/>
                <w:szCs w:val="20"/>
                <w:color w:val="auto"/>
              </w:rPr>
            </w:pPr>
            <w:r>
              <w:rPr>
                <w:rFonts w:ascii="Arial" w:cs="Arial" w:eastAsia="Arial" w:hAnsi="Arial"/>
                <w:sz w:val="12"/>
                <w:szCs w:val="12"/>
                <w:b w:val="1"/>
                <w:bCs w:val="1"/>
                <w:color w:val="auto"/>
              </w:rPr>
              <w:t>-</w:t>
            </w:r>
          </w:p>
        </w:tc>
        <w:tc>
          <w:tcPr>
            <w:tcW w:w="4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2,247</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2,289</w:t>
            </w:r>
          </w:p>
        </w:tc>
        <w:tc>
          <w:tcPr>
            <w:tcW w:w="5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b w:val="1"/>
                <w:bCs w:val="1"/>
                <w:color w:val="auto"/>
              </w:rPr>
              <w:t>2,287</w:t>
            </w:r>
          </w:p>
        </w:tc>
        <w:tc>
          <w:tcPr>
            <w:tcW w:w="660" w:type="dxa"/>
            <w:vAlign w:val="bottom"/>
            <w:gridSpan w:val="2"/>
            <w:shd w:val="clear" w:color="auto" w:fill="CCEEFF"/>
          </w:tcPr>
          <w:p>
            <w:pPr>
              <w:jc w:val="right"/>
              <w:ind w:right="41"/>
              <w:spacing w:after="0" w:line="126" w:lineRule="exact"/>
              <w:rPr>
                <w:sz w:val="20"/>
                <w:szCs w:val="20"/>
                <w:color w:val="auto"/>
              </w:rPr>
            </w:pPr>
            <w:r>
              <w:rPr>
                <w:rFonts w:ascii="Arial" w:cs="Arial" w:eastAsia="Arial" w:hAnsi="Arial"/>
                <w:sz w:val="12"/>
                <w:szCs w:val="12"/>
                <w:b w:val="1"/>
                <w:bCs w:val="1"/>
                <w:color w:val="auto"/>
              </w:rPr>
              <w:t>-0.1%</w:t>
            </w:r>
          </w:p>
        </w:tc>
        <w:tc>
          <w:tcPr>
            <w:tcW w:w="5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1.8%</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1"/>
              <w:spacing w:after="0" w:line="126" w:lineRule="exact"/>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100.0%</w:t>
            </w:r>
          </w:p>
        </w:tc>
      </w:tr>
      <w:tr>
        <w:trPr>
          <w:trHeight w:val="139"/>
        </w:trPr>
        <w:tc>
          <w:tcPr>
            <w:tcW w:w="1480" w:type="dxa"/>
            <w:vAlign w:val="bottom"/>
          </w:tcPr>
          <w:p>
            <w:pPr>
              <w:spacing w:after="0"/>
              <w:rPr>
                <w:sz w:val="20"/>
                <w:szCs w:val="20"/>
                <w:color w:val="auto"/>
              </w:rPr>
            </w:pPr>
            <w:r>
              <w:rPr>
                <w:rFonts w:ascii="Arial" w:cs="Arial" w:eastAsia="Arial" w:hAnsi="Arial"/>
                <w:sz w:val="12"/>
                <w:szCs w:val="12"/>
                <w:b w:val="1"/>
                <w:bCs w:val="1"/>
                <w:color w:val="auto"/>
              </w:rPr>
              <w:t>ASB</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81"/>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81"/>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161"/>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161"/>
              <w:spacing w:after="0"/>
              <w:rPr>
                <w:sz w:val="20"/>
                <w:szCs w:val="20"/>
                <w:color w:val="auto"/>
              </w:rPr>
            </w:pPr>
            <w:r>
              <w:rPr>
                <w:rFonts w:ascii="Arial" w:cs="Arial" w:eastAsia="Arial" w:hAnsi="Arial"/>
                <w:sz w:val="12"/>
                <w:szCs w:val="12"/>
                <w:b w:val="1"/>
                <w:bCs w:val="1"/>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706</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648</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684</w:t>
            </w:r>
          </w:p>
        </w:tc>
        <w:tc>
          <w:tcPr>
            <w:tcW w:w="660" w:type="dxa"/>
            <w:vAlign w:val="bottom"/>
            <w:gridSpan w:val="2"/>
          </w:tcPr>
          <w:p>
            <w:pPr>
              <w:jc w:val="right"/>
              <w:ind w:right="41"/>
              <w:spacing w:after="0"/>
              <w:rPr>
                <w:sz w:val="20"/>
                <w:szCs w:val="20"/>
                <w:color w:val="auto"/>
              </w:rPr>
            </w:pPr>
            <w:r>
              <w:rPr>
                <w:rFonts w:ascii="Arial" w:cs="Arial" w:eastAsia="Arial" w:hAnsi="Arial"/>
                <w:sz w:val="12"/>
                <w:szCs w:val="12"/>
                <w:b w:val="1"/>
                <w:bCs w:val="1"/>
                <w:color w:val="auto"/>
              </w:rPr>
              <w:t>5.5%</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-3.2%</w:t>
            </w:r>
          </w:p>
        </w:tc>
        <w:tc>
          <w:tcPr>
            <w:tcW w:w="100" w:type="dxa"/>
            <w:vAlign w:val="bottom"/>
          </w:tcPr>
          <w:p>
            <w:pPr>
              <w:spacing w:after="0"/>
              <w:rPr>
                <w:sz w:val="12"/>
                <w:szCs w:val="12"/>
                <w:color w:val="auto"/>
              </w:rPr>
            </w:pPr>
          </w:p>
        </w:tc>
        <w:tc>
          <w:tcPr>
            <w:tcW w:w="680" w:type="dxa"/>
            <w:vAlign w:val="bottom"/>
            <w:gridSpan w:val="2"/>
          </w:tcPr>
          <w:p>
            <w:pPr>
              <w:jc w:val="right"/>
              <w:ind w:right="181"/>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rPr>
              <w:t>100.0%</w:t>
            </w:r>
          </w:p>
        </w:tc>
      </w:tr>
      <w:tr>
        <w:trPr>
          <w:trHeight w:val="119"/>
        </w:trPr>
        <w:tc>
          <w:tcPr>
            <w:tcW w:w="148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2"/>
                <w:szCs w:val="12"/>
                <w:b w:val="1"/>
                <w:bCs w:val="1"/>
                <w:color w:val="auto"/>
              </w:rPr>
              <w:t>Total loans</w:t>
            </w: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70,919</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93,136</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92,558</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68,416</w:t>
            </w: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68,086</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-0.6</w:t>
            </w:r>
          </w:p>
        </w:tc>
        <w:tc>
          <w:tcPr>
            <w:tcW w:w="140" w:type="dxa"/>
            <w:vAlign w:val="bottom"/>
            <w:tcBorders>
              <w:top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w w:val="93"/>
              </w:rPr>
              <w:t>%</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30.5</w:t>
            </w:r>
          </w:p>
        </w:tc>
        <w:tc>
          <w:tcPr>
            <w:tcW w:w="240" w:type="dxa"/>
            <w:vAlign w:val="bottom"/>
            <w:tcBorders>
              <w:top w:val="single" w:sz="8" w:color="CCEEFF"/>
            </w:tcBorders>
            <w:shd w:val="clear" w:color="auto" w:fill="CCEEFF"/>
          </w:tcPr>
          <w:p>
            <w:pPr>
              <w:jc w:val="right"/>
              <w:ind w:right="61"/>
              <w:spacing w:after="0" w:line="119" w:lineRule="exact"/>
              <w:rPr>
                <w:sz w:val="20"/>
                <w:szCs w:val="20"/>
                <w:color w:val="auto"/>
              </w:rPr>
            </w:pPr>
            <w:r>
              <w:rPr>
                <w:rFonts w:ascii="Arial" w:cs="Arial" w:eastAsia="Arial" w:hAnsi="Arial"/>
                <w:sz w:val="12"/>
                <w:szCs w:val="12"/>
                <w:b w:val="1"/>
                <w:bCs w:val="1"/>
                <w:color w:val="auto"/>
                <w:w w:val="93"/>
              </w:rPr>
              <w:t>%</w:t>
            </w: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-0.5</w:t>
            </w:r>
          </w:p>
        </w:tc>
        <w:tc>
          <w:tcPr>
            <w:tcW w:w="220" w:type="dxa"/>
            <w:vAlign w:val="bottom"/>
            <w:tcBorders>
              <w:top w:val="single" w:sz="8" w:color="CCEEFF"/>
            </w:tcBorders>
            <w:shd w:val="clear" w:color="auto" w:fill="CCEEFF"/>
          </w:tcPr>
          <w:p>
            <w:pPr>
              <w:jc w:val="right"/>
              <w:ind w:right="41"/>
              <w:spacing w:after="0" w:line="119" w:lineRule="exact"/>
              <w:rPr>
                <w:sz w:val="20"/>
                <w:szCs w:val="20"/>
                <w:color w:val="auto"/>
              </w:rPr>
            </w:pPr>
            <w:r>
              <w:rPr>
                <w:rFonts w:ascii="Arial" w:cs="Arial" w:eastAsia="Arial" w:hAnsi="Arial"/>
                <w:sz w:val="12"/>
                <w:szCs w:val="12"/>
                <w:b w:val="1"/>
                <w:bCs w:val="1"/>
                <w:color w:val="auto"/>
                <w:w w:val="93"/>
              </w:rPr>
              <w:t>%</w:t>
            </w: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-4.0</w:t>
            </w:r>
          </w:p>
        </w:tc>
        <w:tc>
          <w:tcPr>
            <w:tcW w:w="220" w:type="dxa"/>
            <w:vAlign w:val="bottom"/>
            <w:tcBorders>
              <w:top w:val="single" w:sz="8" w:color="CCEEFF"/>
            </w:tcBorders>
            <w:shd w:val="clear" w:color="auto" w:fill="CCEEFF"/>
          </w:tcPr>
          <w:p>
            <w:pPr>
              <w:jc w:val="right"/>
              <w:ind w:right="41"/>
              <w:spacing w:after="0" w:line="119" w:lineRule="exact"/>
              <w:rPr>
                <w:sz w:val="20"/>
                <w:szCs w:val="20"/>
                <w:color w:val="auto"/>
              </w:rPr>
            </w:pPr>
            <w:r>
              <w:rPr>
                <w:rFonts w:ascii="Arial" w:cs="Arial" w:eastAsia="Arial" w:hAnsi="Arial"/>
                <w:sz w:val="12"/>
                <w:szCs w:val="12"/>
                <w:b w:val="1"/>
                <w:bCs w:val="1"/>
                <w:color w:val="auto"/>
                <w:w w:val="93"/>
              </w:rPr>
              <w:t>%</w:t>
            </w: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13,371</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12,177</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12,002</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-1.4</w:t>
            </w:r>
          </w:p>
        </w:tc>
        <w:tc>
          <w:tcPr>
            <w:tcW w:w="220" w:type="dxa"/>
            <w:vAlign w:val="bottom"/>
            <w:tcBorders>
              <w:top w:val="single" w:sz="8" w:color="CCEEFF"/>
            </w:tcBorders>
            <w:shd w:val="clear" w:color="auto" w:fill="CCEEFF"/>
          </w:tcPr>
          <w:p>
            <w:pPr>
              <w:jc w:val="right"/>
              <w:ind w:right="41"/>
              <w:spacing w:after="0" w:line="119" w:lineRule="exact"/>
              <w:rPr>
                <w:sz w:val="20"/>
                <w:szCs w:val="20"/>
                <w:color w:val="auto"/>
              </w:rPr>
            </w:pPr>
            <w:r>
              <w:rPr>
                <w:rFonts w:ascii="Arial" w:cs="Arial" w:eastAsia="Arial" w:hAnsi="Arial"/>
                <w:sz w:val="12"/>
                <w:szCs w:val="12"/>
                <w:b w:val="1"/>
                <w:bCs w:val="1"/>
                <w:color w:val="auto"/>
                <w:w w:val="93"/>
              </w:rPr>
              <w:t>%</w:t>
            </w: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-10.2</w:t>
            </w:r>
          </w:p>
        </w:tc>
        <w:tc>
          <w:tcPr>
            <w:tcW w:w="120" w:type="dxa"/>
            <w:vAlign w:val="bottom"/>
            <w:tcBorders>
              <w:top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w w:val="93"/>
              </w:rPr>
              <w:t>%</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67.7</w:t>
            </w:r>
          </w:p>
        </w:tc>
        <w:tc>
          <w:tcPr>
            <w:tcW w:w="240" w:type="dxa"/>
            <w:vAlign w:val="bottom"/>
            <w:tcBorders>
              <w:top w:val="single" w:sz="8" w:color="CCEEFF"/>
            </w:tcBorders>
            <w:shd w:val="clear" w:color="auto" w:fill="CCEEFF"/>
          </w:tcPr>
          <w:p>
            <w:pPr>
              <w:jc w:val="right"/>
              <w:ind w:right="61"/>
              <w:spacing w:after="0" w:line="119" w:lineRule="exact"/>
              <w:rPr>
                <w:sz w:val="20"/>
                <w:szCs w:val="20"/>
                <w:color w:val="auto"/>
              </w:rPr>
            </w:pPr>
            <w:r>
              <w:rPr>
                <w:rFonts w:ascii="Arial" w:cs="Arial" w:eastAsia="Arial" w:hAnsi="Arial"/>
                <w:sz w:val="12"/>
                <w:szCs w:val="12"/>
                <w:b w:val="1"/>
                <w:bCs w:val="1"/>
                <w:color w:val="auto"/>
                <w:w w:val="93"/>
              </w:rPr>
              <w:t>%</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rPr>
              <w:t>32.3</w:t>
            </w:r>
          </w:p>
        </w:tc>
        <w:tc>
          <w:tcPr>
            <w:tcW w:w="140" w:type="dxa"/>
            <w:vAlign w:val="bottom"/>
            <w:tcBorders>
              <w:top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b w:val="1"/>
                <w:bCs w:val="1"/>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-822960</wp:posOffset>
            </wp:positionV>
            <wp:extent cx="1727200" cy="480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27200" cy="480060"/>
                    </a:xfrm>
                    <a:prstGeom prst="rect">
                      <a:avLst/>
                    </a:prstGeom>
                    <a:noFill/>
                  </pic:spPr>
                </pic:pic>
              </a:graphicData>
            </a:graphic>
          </wp:anchor>
        </w:drawing>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280035" cy="80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0035" cy="8001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2"/>
          <w:szCs w:val="12"/>
          <w:color w:val="auto"/>
        </w:rPr>
        <w:t>Highest growth in volumes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For consolidation purposes, loans generated in FC are converted to LC.</w:t>
      </w:r>
    </w:p>
    <w:p>
      <w:pPr>
        <w:ind w:left="160" w:hanging="159"/>
        <w:spacing w:after="0" w:line="219" w:lineRule="auto"/>
        <w:tabs>
          <w:tab w:leader="none" w:pos="1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Work out unit, and other banking.</w:t>
      </w:r>
    </w:p>
    <w:p>
      <w:pPr>
        <w:ind w:left="160" w:hanging="159"/>
        <w:spacing w:after="0" w:line="219" w:lineRule="auto"/>
        <w:tabs>
          <w:tab w:leader="none" w:pos="160" w:val="left"/>
        </w:tabs>
        <w:numPr>
          <w:ilvl w:val="0"/>
          <w:numId w:val="7"/>
        </w:numPr>
        <w:rPr>
          <w:rFonts w:ascii="Arial" w:cs="Arial" w:eastAsia="Arial" w:hAnsi="Arial"/>
          <w:sz w:val="12"/>
          <w:szCs w:val="12"/>
          <w:color w:val="auto"/>
        </w:rPr>
      </w:pPr>
      <w:r>
        <w:rPr>
          <w:rFonts w:ascii="Arial" w:cs="Arial" w:eastAsia="Arial" w:hAnsi="Arial"/>
          <w:sz w:val="12"/>
          <w:szCs w:val="12"/>
          <w:color w:val="auto"/>
        </w:rPr>
        <w:t>Structural Portfolio excludes the average daily balances from loans offered through de Reactiva Peru y FAE-Mype Government Programs.</w:t>
      </w:r>
    </w:p>
    <w:p>
      <w:pPr>
        <w:ind w:left="160" w:hanging="159"/>
        <w:spacing w:after="0"/>
        <w:tabs>
          <w:tab w:leader="none" w:pos="160" w:val="left"/>
        </w:tabs>
        <w:numPr>
          <w:ilvl w:val="0"/>
          <w:numId w:val="7"/>
        </w:numPr>
        <w:rPr>
          <w:rFonts w:ascii="Arial" w:cs="Arial" w:eastAsia="Arial" w:hAnsi="Arial"/>
          <w:sz w:val="12"/>
          <w:szCs w:val="12"/>
          <w:color w:val="auto"/>
        </w:rPr>
      </w:pPr>
      <w:r>
        <w:rPr>
          <w:rFonts w:ascii="Arial" w:cs="Arial" w:eastAsia="Arial" w:hAnsi="Arial"/>
          <w:sz w:val="12"/>
          <w:szCs w:val="12"/>
          <w:color w:val="auto"/>
        </w:rPr>
        <w:t>Figures differ from previously reported. Please consider the data presented in this report that now includes Mibanco Colombia.</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Loan evolution was mainly driven by LC balances both QoQ and YoY. In terms of the QoQ evolution, growth in LC volumes was driven by the Mortgage, Consumer, SME-Pyme and Mibanco segments, which also register higher levels of LC exposure. YoY, growth was driven by disbursements of government loans in LC, which were directed primarily towards clients in the SME-Pyme and SME-Business segments of Retail Banking; Middle Market clients in Wholesale Banking; and microfinance clients at Mibanco. In terms of structural loans in LC, the drop in balances QoQ and YoY was due primarily to a decrease in balances in the segments that benefitted from Reactiva Loans; a drop in LC loans in the Corporate segment; and the impact of the drop in Credit Card use in the context of the pandemic.</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Loan volumes in FC fell QoQ and YoY in the majority of segments in a context of a downturn in commercial activity and the fact that the Government granted large numbers of low-interest loans in ME through pandemic relief programs.</w:t>
      </w:r>
    </w:p>
    <w:p>
      <w:pPr>
        <w:spacing w:after="0" w:line="6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 xml:space="preserve">YoY evolution of the dollarization level by segment at Credicorp </w:t>
      </w:r>
      <w:r>
        <w:rPr>
          <w:rFonts w:ascii="Arial" w:cs="Arial" w:eastAsia="Arial" w:hAnsi="Arial"/>
          <w:sz w:val="27"/>
          <w:szCs w:val="27"/>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92075</wp:posOffset>
            </wp:positionV>
            <wp:extent cx="5598160" cy="1935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98160" cy="193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hanging="219"/>
        <w:spacing w:after="0"/>
        <w:tabs>
          <w:tab w:leader="none" w:pos="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Average daily balances.</w:t>
      </w:r>
    </w:p>
    <w:p>
      <w:pPr>
        <w:spacing w:after="0" w:line="18" w:lineRule="exact"/>
        <w:rPr>
          <w:rFonts w:ascii="Arial" w:cs="Arial" w:eastAsia="Arial" w:hAnsi="Arial"/>
          <w:sz w:val="17"/>
          <w:szCs w:val="17"/>
          <w:color w:val="auto"/>
        </w:rPr>
      </w:pPr>
    </w:p>
    <w:p>
      <w:pPr>
        <w:ind w:firstLine="1"/>
        <w:spacing w:after="0" w:line="247" w:lineRule="auto"/>
        <w:tabs>
          <w:tab w:leader="none" w:pos="24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FC share of Credicorp’s loan portfolio is calculated including BCP Bolivia and ASB, however the chart shows only the loan books of BCP Stand-alone and Mibanco.</w:t>
      </w:r>
    </w:p>
    <w:p>
      <w:pPr>
        <w:ind w:left="240" w:hanging="239"/>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year with the historic maximum level of dollarization for Wholesale Banking was 2012, for Mibanco was 2016 and for the rest of segments was 2009.</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At BCP Stand-alone, the loan dollarization level fell YoY to situate at 28.4%. The downward trend was present across segments but the drop in the dollarization level was visible across segments but particularly prominent in SME-Business, where dollarization fell to 23% in March 2021 versus 52% in March 2020. The aforementioned was driven by a significant increase in the volume of loan disbursements in LC, which was linked to the Reactiva Peru program.</w:t>
      </w:r>
    </w:p>
    <w:p>
      <w:pPr>
        <w:spacing w:after="0" w:line="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8148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148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2. Funding Sources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Funding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(1) Expenses are included in accordance with IFRS16.</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figure depicting the Evolution of Credicorp’s funding structure is calculated with quarter-end balances. In general, the funding structure reflects:</w:t>
      </w:r>
    </w:p>
    <w:p>
      <w:pPr>
        <w:spacing w:after="0" w:line="208" w:lineRule="exact"/>
        <w:rPr>
          <w:sz w:val="20"/>
          <w:szCs w:val="20"/>
          <w:color w:val="auto"/>
        </w:rPr>
      </w:pPr>
    </w:p>
    <w:p>
      <w:pPr>
        <w:ind w:left="600" w:hanging="423"/>
        <w:spacing w:after="0"/>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Significant growth in deposits (+4.4% QoQ and +24.3% YoY), the main source of funding, which entail lower costs compared to Other sources of funding.</w:t>
      </w:r>
    </w:p>
    <w:p>
      <w:pPr>
        <w:spacing w:after="0" w:line="230" w:lineRule="exact"/>
        <w:rPr>
          <w:rFonts w:ascii="Arial" w:cs="Arial" w:eastAsia="Arial" w:hAnsi="Arial"/>
          <w:sz w:val="15"/>
          <w:szCs w:val="15"/>
          <w:color w:val="auto"/>
        </w:rPr>
      </w:pPr>
    </w:p>
    <w:p>
      <w:pPr>
        <w:ind w:left="600" w:hanging="423"/>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QoQ, deposits registered a share of 75.3% of total funding (vs. 74.4% in 4Q20), followed by BCRP Instruments, with a 12.3% share (vs. 13.4% in 4Q20) and bonds, with a share of 9.3% (Vs. 8.5% in 4Q20).</w:t>
      </w:r>
    </w:p>
    <w:p>
      <w:pPr>
        <w:spacing w:after="0" w:line="166" w:lineRule="exact"/>
        <w:rPr>
          <w:rFonts w:ascii="Arial" w:cs="Arial" w:eastAsia="Arial" w:hAnsi="Arial"/>
          <w:sz w:val="17"/>
          <w:szCs w:val="17"/>
          <w:color w:val="auto"/>
        </w:rPr>
      </w:pPr>
    </w:p>
    <w:p>
      <w:pPr>
        <w:ind w:left="600" w:hanging="423"/>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funding structure varied YoY due to an increase in BCRP instruments (3.5% to 12.3%), which was driven by government facilities through Reactiva and FAE; this led to drop in the share of total deposits (78.7% to 75.3%).</w:t>
      </w:r>
    </w:p>
    <w:p>
      <w:pPr>
        <w:spacing w:after="0" w:line="166" w:lineRule="exact"/>
        <w:rPr>
          <w:rFonts w:ascii="Arial" w:cs="Arial" w:eastAsia="Arial" w:hAnsi="Arial"/>
          <w:sz w:val="17"/>
          <w:szCs w:val="17"/>
          <w:color w:val="auto"/>
        </w:rPr>
      </w:pPr>
    </w:p>
    <w:p>
      <w:pPr>
        <w:ind w:left="600" w:hanging="42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Growth in deposits represented 106.7% QoQ and 63.7% YoY in the total increase in funding.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2.2. Deposits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6"/>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Deposits and obligations</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w w:val="95"/>
              </w:rPr>
              <w:t>% change</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Mar 20</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Dec 20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Mar 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w w:val="97"/>
              </w:rPr>
              <w:t>QoQ</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YoY</w:t>
            </w:r>
          </w:p>
        </w:tc>
        <w:tc>
          <w:tcPr>
            <w:tcW w:w="140" w:type="dxa"/>
            <w:vAlign w:val="bottom"/>
            <w:tcBorders>
              <w:bottom w:val="single" w:sz="8" w:color="CCEEFF"/>
            </w:tcBorders>
          </w:tcPr>
          <w:p>
            <w:pPr>
              <w:spacing w:after="0"/>
              <w:rPr>
                <w:sz w:val="18"/>
                <w:szCs w:val="18"/>
                <w:color w:val="auto"/>
              </w:rPr>
            </w:pPr>
          </w:p>
        </w:tc>
      </w:tr>
      <w:tr>
        <w:trPr>
          <w:trHeight w:val="194"/>
        </w:trPr>
        <w:tc>
          <w:tcPr>
            <w:tcW w:w="5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Demand deposits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38,746,287</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54,530,355</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58,074,996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6.5%</w:t>
            </w: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49.9%</w:t>
            </w:r>
          </w:p>
        </w:tc>
      </w:tr>
      <w:tr>
        <w:trPr>
          <w:trHeight w:val="202"/>
        </w:trPr>
        <w:tc>
          <w:tcPr>
            <w:tcW w:w="5180" w:type="dxa"/>
            <w:vAlign w:val="bottom"/>
            <w:gridSpan w:val="2"/>
          </w:tcPr>
          <w:p>
            <w:pPr>
              <w:spacing w:after="0"/>
              <w:rPr>
                <w:sz w:val="20"/>
                <w:szCs w:val="20"/>
                <w:color w:val="auto"/>
              </w:rPr>
            </w:pPr>
            <w:r>
              <w:rPr>
                <w:rFonts w:ascii="Arial" w:cs="Arial" w:eastAsia="Arial" w:hAnsi="Arial"/>
                <w:sz w:val="17"/>
                <w:szCs w:val="17"/>
                <w:color w:val="auto"/>
              </w:rPr>
              <w:t>Saving deposits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37,872,908</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50,069,129</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51,013,689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2"/>
          </w:tcPr>
          <w:p>
            <w:pPr>
              <w:jc w:val="right"/>
              <w:ind w:right="56"/>
              <w:spacing w:after="0"/>
              <w:rPr>
                <w:sz w:val="20"/>
                <w:szCs w:val="20"/>
                <w:color w:val="auto"/>
              </w:rPr>
            </w:pPr>
            <w:r>
              <w:rPr>
                <w:rFonts w:ascii="Arial" w:cs="Arial" w:eastAsia="Arial" w:hAnsi="Arial"/>
                <w:sz w:val="17"/>
                <w:szCs w:val="17"/>
                <w:color w:val="auto"/>
              </w:rPr>
              <w:t>1.9%</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34.7%</w:t>
            </w:r>
          </w:p>
        </w:tc>
      </w:tr>
      <w:tr>
        <w:trPr>
          <w:trHeight w:val="202"/>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Time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35,045,214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29,324,090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31,389,760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7.0%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02"/>
        </w:trPr>
        <w:tc>
          <w:tcPr>
            <w:tcW w:w="5180" w:type="dxa"/>
            <w:vAlign w:val="bottom"/>
            <w:gridSpan w:val="2"/>
          </w:tcPr>
          <w:p>
            <w:pPr>
              <w:spacing w:after="0"/>
              <w:rPr>
                <w:sz w:val="20"/>
                <w:szCs w:val="20"/>
                <w:color w:val="auto"/>
              </w:rPr>
            </w:pPr>
            <w:r>
              <w:rPr>
                <w:rFonts w:ascii="Arial" w:cs="Arial" w:eastAsia="Arial" w:hAnsi="Arial"/>
                <w:sz w:val="17"/>
                <w:szCs w:val="17"/>
                <w:color w:val="auto"/>
              </w:rPr>
              <w:t>Severance indemnity deposits</w:t>
            </w:r>
          </w:p>
        </w:tc>
        <w:tc>
          <w:tcPr>
            <w:tcW w:w="1020" w:type="dxa"/>
            <w:vAlign w:val="bottom"/>
          </w:tcPr>
          <w:p>
            <w:pPr>
              <w:jc w:val="right"/>
              <w:spacing w:after="0"/>
              <w:rPr>
                <w:sz w:val="20"/>
                <w:szCs w:val="20"/>
                <w:color w:val="auto"/>
              </w:rPr>
            </w:pPr>
            <w:r>
              <w:rPr>
                <w:rFonts w:ascii="Arial" w:cs="Arial" w:eastAsia="Arial" w:hAnsi="Arial"/>
                <w:sz w:val="17"/>
                <w:szCs w:val="17"/>
                <w:color w:val="auto"/>
              </w:rPr>
              <w:t>7,204,922</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7,736,747</w:t>
            </w:r>
          </w:p>
        </w:tc>
        <w:tc>
          <w:tcPr>
            <w:tcW w:w="2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7,457,440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2"/>
          </w:tcPr>
          <w:p>
            <w:pPr>
              <w:jc w:val="right"/>
              <w:ind w:right="56"/>
              <w:spacing w:after="0"/>
              <w:rPr>
                <w:sz w:val="20"/>
                <w:szCs w:val="20"/>
                <w:color w:val="auto"/>
              </w:rPr>
            </w:pPr>
            <w:r>
              <w:rPr>
                <w:rFonts w:ascii="Arial" w:cs="Arial" w:eastAsia="Arial" w:hAnsi="Arial"/>
                <w:sz w:val="17"/>
                <w:szCs w:val="17"/>
                <w:color w:val="auto"/>
                <w:w w:val="94"/>
              </w:rPr>
              <w:t>-3.6%</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3.5%</w:t>
            </w:r>
          </w:p>
        </w:tc>
      </w:tr>
      <w:tr>
        <w:trPr>
          <w:trHeight w:val="214"/>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694,214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705,181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690,454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94"/>
              </w:rPr>
              <w:t>-2.1%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194"/>
        </w:trPr>
        <w:tc>
          <w:tcPr>
            <w:tcW w:w="51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Deposits and obligations</w:t>
            </w:r>
          </w:p>
        </w:tc>
        <w:tc>
          <w:tcPr>
            <w:tcW w:w="10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119,563,545</w:t>
            </w:r>
          </w:p>
        </w:tc>
        <w:tc>
          <w:tcPr>
            <w:tcW w:w="22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142,365,502</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148,626,339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4.4</w:t>
            </w:r>
          </w:p>
        </w:tc>
        <w:tc>
          <w:tcPr>
            <w:tcW w:w="2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auto"/>
                <w:w w:val="92"/>
              </w:rPr>
              <w:t>%</w:t>
            </w: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24.3</w:t>
            </w:r>
          </w:p>
        </w:tc>
        <w:tc>
          <w:tcPr>
            <w:tcW w:w="1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79"/>
              </w:rPr>
              <w:t>%</w:t>
            </w: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Deposits and obligations </w:t>
      </w:r>
      <w:r>
        <w:rPr>
          <w:rFonts w:ascii="Arial" w:cs="Arial" w:eastAsia="Arial" w:hAnsi="Arial"/>
          <w:sz w:val="17"/>
          <w:szCs w:val="17"/>
          <w:color w:val="auto"/>
        </w:rPr>
        <w:t>expanded +4.4% QoQ. The QoQ evolution of the deposit mix shows:</w:t>
      </w:r>
    </w:p>
    <w:p>
      <w:pPr>
        <w:spacing w:after="0" w:line="208" w:lineRule="exact"/>
        <w:rPr>
          <w:sz w:val="20"/>
          <w:szCs w:val="20"/>
          <w:color w:val="auto"/>
        </w:rPr>
      </w:pPr>
    </w:p>
    <w:p>
      <w:pPr>
        <w:jc w:val="both"/>
        <w:ind w:left="600" w:hanging="423"/>
        <w:spacing w:after="0" w:line="260"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 +6.5% increase in </w:t>
      </w:r>
      <w:r>
        <w:rPr>
          <w:rFonts w:ascii="Arial" w:cs="Arial" w:eastAsia="Arial" w:hAnsi="Arial"/>
          <w:sz w:val="17"/>
          <w:szCs w:val="17"/>
          <w:b w:val="1"/>
          <w:bCs w:val="1"/>
          <w:color w:val="auto"/>
        </w:rPr>
        <w:t>demand deposits</w:t>
      </w:r>
      <w:r>
        <w:rPr>
          <w:rFonts w:ascii="Arial" w:cs="Arial" w:eastAsia="Arial" w:hAnsi="Arial"/>
          <w:sz w:val="17"/>
          <w:szCs w:val="17"/>
          <w:color w:val="auto"/>
        </w:rPr>
        <w:t>; this was driven by an uptick in the deposit volume at BCP Stand-alone in Wholesale Banking in LC and FC and in current accounts in a context of high market liquidity. Growth was also driven although to a lesser extent, by an upswing in deposits after the government allowed AFP affiliates to withdraw funds from their pensions in January.</w:t>
      </w:r>
    </w:p>
    <w:p>
      <w:pPr>
        <w:spacing w:after="0" w:line="170" w:lineRule="exact"/>
        <w:rPr>
          <w:rFonts w:ascii="Arial" w:cs="Arial" w:eastAsia="Arial" w:hAnsi="Arial"/>
          <w:sz w:val="17"/>
          <w:szCs w:val="17"/>
          <w:color w:val="auto"/>
        </w:rPr>
      </w:pPr>
    </w:p>
    <w:p>
      <w:pPr>
        <w:ind w:left="600" w:hanging="423"/>
        <w:spacing w:after="0" w:line="274"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+7.0% growth in </w:t>
      </w:r>
      <w:r>
        <w:rPr>
          <w:rFonts w:ascii="Arial" w:cs="Arial" w:eastAsia="Arial" w:hAnsi="Arial"/>
          <w:sz w:val="17"/>
          <w:szCs w:val="17"/>
          <w:b w:val="1"/>
          <w:bCs w:val="1"/>
          <w:color w:val="auto"/>
        </w:rPr>
        <w:t>time deposits</w:t>
      </w:r>
      <w:r>
        <w:rPr>
          <w:rFonts w:ascii="Arial" w:cs="Arial" w:eastAsia="Arial" w:hAnsi="Arial"/>
          <w:sz w:val="17"/>
          <w:szCs w:val="17"/>
          <w:color w:val="auto"/>
        </w:rPr>
        <w:t xml:space="preserve"> was attributable to (i) an increase in balances at BCP Stand-alone in FC, which was associated growth in accounts held by corporate and institutional clients and; (ii) to a lesser extent, to the exchange rate effect in a volatile context.</w:t>
      </w:r>
    </w:p>
    <w:p>
      <w:pPr>
        <w:spacing w:after="0" w:line="158" w:lineRule="exact"/>
        <w:rPr>
          <w:rFonts w:ascii="Arial" w:cs="Arial" w:eastAsia="Arial" w:hAnsi="Arial"/>
          <w:sz w:val="17"/>
          <w:szCs w:val="17"/>
          <w:color w:val="auto"/>
        </w:rPr>
      </w:pPr>
    </w:p>
    <w:p>
      <w:pPr>
        <w:ind w:left="600" w:hanging="423"/>
        <w:spacing w:after="0" w:line="274"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+1.9% growth QoQ in </w:t>
      </w:r>
      <w:r>
        <w:rPr>
          <w:rFonts w:ascii="Arial" w:cs="Arial" w:eastAsia="Arial" w:hAnsi="Arial"/>
          <w:sz w:val="17"/>
          <w:szCs w:val="17"/>
          <w:b w:val="1"/>
          <w:bCs w:val="1"/>
          <w:color w:val="auto"/>
        </w:rPr>
        <w:t>savings deposits,</w:t>
      </w:r>
      <w:r>
        <w:rPr>
          <w:rFonts w:ascii="Arial" w:cs="Arial" w:eastAsia="Arial" w:hAnsi="Arial"/>
          <w:sz w:val="17"/>
          <w:szCs w:val="17"/>
          <w:color w:val="auto"/>
        </w:rPr>
        <w:t xml:space="preserve"> which reflected profit sharing in the month of March and was partially attenuated by a decrease in deposits by Individuals at Mibanco.</w:t>
      </w:r>
    </w:p>
    <w:p>
      <w:pPr>
        <w:spacing w:after="0" w:line="6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8" w:name="page19"/>
    <w:bookmarkEnd w:id="18"/>
    <w:p>
      <w:pPr>
        <w:ind w:left="600" w:hanging="423"/>
        <w:spacing w:after="0" w:line="274"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drop in </w:t>
      </w:r>
      <w:r>
        <w:rPr>
          <w:rFonts w:ascii="Arial" w:cs="Arial" w:eastAsia="Arial" w:hAnsi="Arial"/>
          <w:sz w:val="17"/>
          <w:szCs w:val="17"/>
          <w:b w:val="1"/>
          <w:bCs w:val="1"/>
          <w:color w:val="auto"/>
        </w:rPr>
        <w:t>severance indemnity deposits</w:t>
      </w:r>
      <w:r>
        <w:rPr>
          <w:rFonts w:ascii="Arial" w:cs="Arial" w:eastAsia="Arial" w:hAnsi="Arial"/>
          <w:sz w:val="17"/>
          <w:szCs w:val="17"/>
          <w:color w:val="auto"/>
        </w:rPr>
        <w:t xml:space="preserve"> (-3.6%); this was due to seasonality in the last quarter of the year given that this deposit is made in the month of November.</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YoY terms, </w:t>
      </w:r>
      <w:r>
        <w:rPr>
          <w:rFonts w:ascii="Arial" w:cs="Arial" w:eastAsia="Arial" w:hAnsi="Arial"/>
          <w:sz w:val="17"/>
          <w:szCs w:val="17"/>
          <w:b w:val="1"/>
          <w:bCs w:val="1"/>
          <w:color w:val="auto"/>
        </w:rPr>
        <w:t>total deposits and obligations</w:t>
      </w:r>
      <w:r>
        <w:rPr>
          <w:rFonts w:ascii="Arial" w:cs="Arial" w:eastAsia="Arial" w:hAnsi="Arial"/>
          <w:sz w:val="17"/>
          <w:szCs w:val="17"/>
          <w:color w:val="auto"/>
        </w:rPr>
        <w:t xml:space="preserve"> reported growth of +24.3%. This expansion was due to (i) an increase in the volume of government loans (Reactiva Perú an FAE) and subsequent growth in demand deposits and; (ii) Lockdowns in 2020 and at the beginning of the year, which led to an increase in savings deposits in a context of lower individual consumption. The aforementioned was attenuated by a drop in time deposits, which continued to be displaced by lower-cost deposits in the deposit mix, despite growth in the Middle Market segment of BCP Stand-alone.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2.2.1. Deposits: Dollarization level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Credicorp – Dollarization level of deposits measured in quarter-end balances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dollarization level increased QoQ, driven by a variation in the share of LC and FC in total deposits: the LC deposit level fell from 53.5% last quarter to 51.9% in 1Q21 while FC deposits rose from 46.5% to 48.1%. The QoQ variation in FC was +8.1% while LC registered a slight increase of -1.2% due to (i) an increase in the volume of balances and (ii) to the exchange rate effect. In the YoY analysis, the dollarization level fell after growth in LC (+27.4%) outpaced expansion in FC (+21.3%).</w:t>
      </w:r>
    </w:p>
    <w:p>
      <w:pPr>
        <w:spacing w:after="0" w:line="180" w:lineRule="exact"/>
        <w:rPr>
          <w:sz w:val="20"/>
          <w:szCs w:val="20"/>
          <w:color w:val="auto"/>
        </w:rPr>
      </w:pPr>
    </w:p>
    <w:p>
      <w:pPr>
        <w:jc w:val="both"/>
        <w:ind w:left="4720" w:firstLine="4"/>
        <w:spacing w:after="0" w:line="282" w:lineRule="auto"/>
        <w:tabs>
          <w:tab w:leader="none" w:pos="50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Demand and saving deposits increased in LC. Growth in deposits was led by Wholesale Banking clients while the expansion in savings was spurred by accounts held by individuals. The aforementioned offset the contraction in other type of deposits in LC.</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4" w:lineRule="exact"/>
        <w:rPr>
          <w:rFonts w:ascii="Arial" w:cs="Arial" w:eastAsia="Arial" w:hAnsi="Arial"/>
          <w:sz w:val="16"/>
          <w:szCs w:val="16"/>
          <w:color w:val="auto"/>
        </w:rPr>
      </w:pPr>
    </w:p>
    <w:p>
      <w:pPr>
        <w:jc w:val="both"/>
        <w:ind w:left="4720" w:firstLine="4"/>
        <w:spacing w:after="0" w:line="252" w:lineRule="auto"/>
        <w:tabs>
          <w:tab w:leader="none" w:pos="5017"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regard to LC volumes, growth was primarily attributable to time deposits and demand deposits and, to a lesser extent, to savings deposits. The quarterly evolution was driven by an increase in FC deposits by institutional clients and to the exchange rate effect caused by the +3.8% appreciation in the US Dollar QoQ, which drove a consequent uptick in volumes of FC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-1794510</wp:posOffset>
            </wp:positionV>
            <wp:extent cx="2399030" cy="2135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9903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2.3. Other sources of funding</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16"/>
        </w:trPr>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Other funding sources</w:t>
            </w: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7"/>
                <w:szCs w:val="17"/>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rPr>
              <w:t>% change</w:t>
            </w: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7"/>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Mar 20</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Dec 20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Mar 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QoQ</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YoY</w:t>
            </w:r>
          </w:p>
        </w:tc>
        <w:tc>
          <w:tcPr>
            <w:tcW w:w="200" w:type="dxa"/>
            <w:vAlign w:val="bottom"/>
            <w:tcBorders>
              <w:bottom w:val="single" w:sz="8" w:color="CCEEFF"/>
            </w:tcBorders>
          </w:tcPr>
          <w:p>
            <w:pPr>
              <w:spacing w:after="0"/>
              <w:rPr>
                <w:sz w:val="18"/>
                <w:szCs w:val="18"/>
                <w:color w:val="auto"/>
              </w:rPr>
            </w:pPr>
          </w:p>
        </w:tc>
      </w:tr>
      <w:tr>
        <w:trPr>
          <w:trHeight w:val="194"/>
        </w:trPr>
        <w:tc>
          <w:tcPr>
            <w:tcW w:w="4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Due to banks and correspondents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9,854,630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5,978,257</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5,393,500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76"/>
              <w:spacing w:after="0" w:line="194" w:lineRule="exact"/>
              <w:rPr>
                <w:sz w:val="20"/>
                <w:szCs w:val="20"/>
                <w:color w:val="auto"/>
              </w:rPr>
            </w:pPr>
            <w:r>
              <w:rPr>
                <w:rFonts w:ascii="Arial" w:cs="Arial" w:eastAsia="Arial" w:hAnsi="Arial"/>
                <w:sz w:val="17"/>
                <w:szCs w:val="17"/>
                <w:color w:val="auto"/>
                <w:w w:val="98"/>
              </w:rPr>
              <w:t>-9.8%</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-45.3%</w:t>
            </w:r>
          </w:p>
        </w:tc>
      </w:tr>
      <w:tr>
        <w:trPr>
          <w:trHeight w:val="202"/>
        </w:trPr>
        <w:tc>
          <w:tcPr>
            <w:tcW w:w="4500" w:type="dxa"/>
            <w:vAlign w:val="bottom"/>
            <w:gridSpan w:val="2"/>
          </w:tcPr>
          <w:p>
            <w:pPr>
              <w:spacing w:after="0"/>
              <w:rPr>
                <w:sz w:val="20"/>
                <w:szCs w:val="20"/>
                <w:color w:val="auto"/>
              </w:rPr>
            </w:pPr>
            <w:r>
              <w:rPr>
                <w:rFonts w:ascii="Arial" w:cs="Arial" w:eastAsia="Arial" w:hAnsi="Arial"/>
                <w:sz w:val="17"/>
                <w:szCs w:val="17"/>
                <w:color w:val="auto"/>
              </w:rPr>
              <w:t>BCRP instruments</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5,346,373</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25,734,963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24,303,193</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gridSpan w:val="2"/>
          </w:tcPr>
          <w:p>
            <w:pPr>
              <w:jc w:val="right"/>
              <w:ind w:right="76"/>
              <w:spacing w:after="0"/>
              <w:rPr>
                <w:sz w:val="20"/>
                <w:szCs w:val="20"/>
                <w:color w:val="auto"/>
              </w:rPr>
            </w:pPr>
            <w:r>
              <w:rPr>
                <w:rFonts w:ascii="Arial" w:cs="Arial" w:eastAsia="Arial" w:hAnsi="Arial"/>
                <w:sz w:val="17"/>
                <w:szCs w:val="17"/>
                <w:color w:val="auto"/>
                <w:w w:val="98"/>
              </w:rPr>
              <w:t>-5.6%</w:t>
            </w:r>
          </w:p>
        </w:tc>
        <w:tc>
          <w:tcPr>
            <w:tcW w:w="3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354.6%</w:t>
            </w: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Repurchase agreements</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1,935,879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1,072,920</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1,159,587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8.1%</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-40.1%</w:t>
            </w:r>
          </w:p>
        </w:tc>
      </w:tr>
      <w:tr>
        <w:trPr>
          <w:trHeight w:val="214"/>
        </w:trPr>
        <w:tc>
          <w:tcPr>
            <w:tcW w:w="4500" w:type="dxa"/>
            <w:vAlign w:val="bottom"/>
            <w:gridSpan w:val="2"/>
          </w:tcPr>
          <w:p>
            <w:pPr>
              <w:spacing w:after="0"/>
              <w:rPr>
                <w:sz w:val="20"/>
                <w:szCs w:val="20"/>
                <w:color w:val="auto"/>
              </w:rPr>
            </w:pPr>
            <w:r>
              <w:rPr>
                <w:rFonts w:ascii="Arial" w:cs="Arial" w:eastAsia="Arial" w:hAnsi="Arial"/>
                <w:sz w:val="17"/>
                <w:szCs w:val="17"/>
                <w:color w:val="auto"/>
              </w:rPr>
              <w:t>Bonds and notes issued</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15,178,148</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16,319,407</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17,863,198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76"/>
              <w:spacing w:after="0"/>
              <w:rPr>
                <w:sz w:val="20"/>
                <w:szCs w:val="20"/>
                <w:color w:val="auto"/>
              </w:rPr>
            </w:pPr>
            <w:r>
              <w:rPr>
                <w:rFonts w:ascii="Arial" w:cs="Arial" w:eastAsia="Arial" w:hAnsi="Arial"/>
                <w:sz w:val="17"/>
                <w:szCs w:val="17"/>
                <w:color w:val="auto"/>
              </w:rPr>
              <w:t>9.5%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17.7%</w:t>
            </w:r>
          </w:p>
        </w:tc>
      </w:tr>
      <w:tr>
        <w:trPr>
          <w:trHeight w:val="194"/>
        </w:trPr>
        <w:tc>
          <w:tcPr>
            <w:tcW w:w="450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other funding sources</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32,315,030</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49,105,547</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48,719,478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-0.8</w:t>
            </w:r>
          </w:p>
        </w:tc>
        <w:tc>
          <w:tcPr>
            <w:tcW w:w="300" w:type="dxa"/>
            <w:vAlign w:val="bottom"/>
            <w:tcBorders>
              <w:top w:val="single" w:sz="8" w:color="CCEEFF"/>
            </w:tcBorders>
            <w:shd w:val="clear" w:color="auto" w:fill="CCEEFF"/>
          </w:tcPr>
          <w:p>
            <w:pPr>
              <w:jc w:val="right"/>
              <w:ind w:right="36"/>
              <w:spacing w:after="0" w:line="194" w:lineRule="exact"/>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50.8</w:t>
            </w:r>
          </w:p>
        </w:tc>
        <w:tc>
          <w:tcPr>
            <w:tcW w:w="20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r>
    </w:tbl>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total of </w:t>
      </w:r>
      <w:r>
        <w:rPr>
          <w:rFonts w:ascii="Arial" w:cs="Arial" w:eastAsia="Arial" w:hAnsi="Arial"/>
          <w:sz w:val="17"/>
          <w:szCs w:val="17"/>
          <w:b w:val="1"/>
          <w:bCs w:val="1"/>
          <w:color w:val="auto"/>
        </w:rPr>
        <w:t>Other sources of funding</w:t>
      </w:r>
      <w:r>
        <w:rPr>
          <w:rFonts w:ascii="Arial" w:cs="Arial" w:eastAsia="Arial" w:hAnsi="Arial"/>
          <w:sz w:val="17"/>
          <w:szCs w:val="17"/>
          <w:color w:val="auto"/>
        </w:rPr>
        <w:t xml:space="preserve"> fell -0.8% QoQ in a context of low interest rates and a drop in the level of BCRP instruments, which was partially offset by the issuance of an international subordinated bond under BCP Stand-alone Liability management strategy.</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BCRP Instruments </w:t>
      </w:r>
      <w:r>
        <w:rPr>
          <w:rFonts w:ascii="Arial" w:cs="Arial" w:eastAsia="Arial" w:hAnsi="Arial"/>
          <w:sz w:val="17"/>
          <w:szCs w:val="17"/>
          <w:color w:val="auto"/>
        </w:rPr>
        <w:t>registered a decreased, which was mainly driven by BCP Stand-alone after securities and currency transactions with BCRP expired and pre-payments were made on transactions associated with Reactiva Perú.</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level of </w:t>
      </w:r>
      <w:r>
        <w:rPr>
          <w:rFonts w:ascii="Arial" w:cs="Arial" w:eastAsia="Arial" w:hAnsi="Arial"/>
          <w:sz w:val="17"/>
          <w:szCs w:val="17"/>
          <w:b w:val="1"/>
          <w:bCs w:val="1"/>
          <w:color w:val="auto"/>
        </w:rPr>
        <w:t>Due to banks and correspondents</w:t>
      </w:r>
      <w:r>
        <w:rPr>
          <w:rFonts w:ascii="Arial" w:cs="Arial" w:eastAsia="Arial" w:hAnsi="Arial"/>
          <w:sz w:val="17"/>
          <w:szCs w:val="17"/>
          <w:color w:val="auto"/>
        </w:rPr>
        <w:t xml:space="preserve"> fell due to the evolution at BCP Stand-alone, which registered the cancellation of obligations with foreign financial institutions in FC, which was offset by a slight increase at (i) Mibanco, due to an increase for long-term obligations with COFIDE and (ii) ASB, due to an increase in obligations in FC.</w:t>
      </w:r>
    </w:p>
    <w:p>
      <w:pPr>
        <w:spacing w:after="0" w:line="74"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5"/>
          <w:szCs w:val="15"/>
          <w:b w:val="1"/>
          <w:bCs w:val="1"/>
          <w:color w:val="auto"/>
        </w:rPr>
        <w:t xml:space="preserve">Bonds and issued notes </w:t>
      </w:r>
      <w:r>
        <w:rPr>
          <w:rFonts w:ascii="Arial" w:cs="Arial" w:eastAsia="Arial" w:hAnsi="Arial"/>
          <w:sz w:val="15"/>
          <w:szCs w:val="15"/>
          <w:color w:val="auto"/>
        </w:rPr>
        <w:t>increased driven by the Liability Management strategy at BCP, which registered growth in exchanges of subordinated callable bonds 2026</w:t>
      </w:r>
      <w:r>
        <w:rPr>
          <w:rFonts w:ascii="Arial" w:cs="Arial" w:eastAsia="Arial" w:hAnsi="Arial"/>
          <w:sz w:val="15"/>
          <w:szCs w:val="15"/>
          <w:b w:val="1"/>
          <w:bCs w:val="1"/>
          <w:color w:val="auto"/>
        </w:rPr>
        <w:t xml:space="preserve"> </w:t>
      </w:r>
      <w:r>
        <w:rPr>
          <w:rFonts w:ascii="Arial" w:cs="Arial" w:eastAsia="Arial" w:hAnsi="Arial"/>
          <w:sz w:val="15"/>
          <w:szCs w:val="15"/>
          <w:color w:val="auto"/>
        </w:rPr>
        <w:t>and 2027. These bonds were initially awarded at rates of 6.875% and 6.125% respectively. The new issuance of international subordinated bonds was made for US$ 500 million in March with a coupon rate of 3.25% and a premium of S/88 million with the objective of reprofiling expiration dates in a context of low market rates.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Repo operations </w:t>
      </w:r>
      <w:r>
        <w:rPr>
          <w:rFonts w:ascii="Arial" w:cs="Arial" w:eastAsia="Arial" w:hAnsi="Arial"/>
          <w:sz w:val="17"/>
          <w:szCs w:val="17"/>
          <w:color w:val="auto"/>
        </w:rPr>
        <w:t>increased slightly, driven by new regular repo operations at ASB and BCP Stand-alone, mainly in FC.</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the YoY evolution, </w:t>
      </w:r>
      <w:r>
        <w:rPr>
          <w:rFonts w:ascii="Arial" w:cs="Arial" w:eastAsia="Arial" w:hAnsi="Arial"/>
          <w:sz w:val="16"/>
          <w:szCs w:val="16"/>
          <w:b w:val="1"/>
          <w:bCs w:val="1"/>
          <w:color w:val="auto"/>
        </w:rPr>
        <w:t>Other sources of funding</w:t>
      </w:r>
      <w:r>
        <w:rPr>
          <w:rFonts w:ascii="Arial" w:cs="Arial" w:eastAsia="Arial" w:hAnsi="Arial"/>
          <w:sz w:val="16"/>
          <w:szCs w:val="16"/>
          <w:color w:val="auto"/>
        </w:rPr>
        <w:t xml:space="preserve"> rose +50.8%. This was attributable to growth in BCRP Instruments, which was in turn fuelled by government facilities through the Reactiva and FAE programs. Growth in this line was also driven by bonds and issued notes, as explained earlier in this section.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Loans / Deposits (C/D)</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Loan/Deposit ratio by subsidiary</w:t>
      </w:r>
    </w:p>
    <w:p>
      <w:pPr>
        <w:spacing w:after="0" w:line="212" w:lineRule="exact"/>
        <w:rPr>
          <w:sz w:val="20"/>
          <w:szCs w:val="20"/>
          <w:color w:val="auto"/>
        </w:rPr>
      </w:pPr>
    </w:p>
    <w:p>
      <w:pPr>
        <w:ind w:left="3780"/>
        <w:spacing w:after="0" w:line="269" w:lineRule="auto"/>
        <w:rPr>
          <w:sz w:val="20"/>
          <w:szCs w:val="20"/>
          <w:color w:val="auto"/>
        </w:rPr>
      </w:pPr>
      <w:r>
        <w:rPr>
          <w:rFonts w:ascii="Arial" w:cs="Arial" w:eastAsia="Arial" w:hAnsi="Arial"/>
          <w:sz w:val="17"/>
          <w:szCs w:val="17"/>
          <w:color w:val="auto"/>
        </w:rPr>
        <w:t>The L/D ratio at Credicorp contracted QoQ, situating at 92.2%. This was driven by an increase in deposits (+4.4%) and a decrease in loans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-269875</wp:posOffset>
            </wp:positionV>
            <wp:extent cx="2399030" cy="131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9030" cy="1311275"/>
                    </a:xfrm>
                    <a:prstGeom prst="rect">
                      <a:avLst/>
                    </a:prstGeom>
                    <a:noFill/>
                  </pic:spPr>
                </pic:pic>
              </a:graphicData>
            </a:graphic>
          </wp:anchor>
        </w:drawing>
      </w:r>
    </w:p>
    <w:p>
      <w:pPr>
        <w:spacing w:after="0" w:line="146" w:lineRule="exact"/>
        <w:rPr>
          <w:sz w:val="20"/>
          <w:szCs w:val="20"/>
          <w:color w:val="auto"/>
        </w:rPr>
      </w:pPr>
    </w:p>
    <w:p>
      <w:pPr>
        <w:jc w:val="both"/>
        <w:ind w:left="3780"/>
        <w:spacing w:after="0" w:line="254" w:lineRule="auto"/>
        <w:rPr>
          <w:sz w:val="20"/>
          <w:szCs w:val="20"/>
          <w:color w:val="auto"/>
        </w:rPr>
      </w:pPr>
      <w:r>
        <w:rPr>
          <w:rFonts w:ascii="Arial" w:cs="Arial" w:eastAsia="Arial" w:hAnsi="Arial"/>
          <w:sz w:val="17"/>
          <w:szCs w:val="17"/>
          <w:color w:val="auto"/>
        </w:rPr>
        <w:t>The analysis by subsidiary shows the same trend as that seen for BCP Stand-alone (90.3% Mar 21 vs 95.9% Dec 20). The QoQ decline in the L/D at BCP Stand-alone was attributable to growth in the deposit volume (+5.4%) versus a contraction in loans (-0.8%). The L/D ratio at Mibanco increased 155.2% over the same period.</w:t>
      </w:r>
    </w:p>
    <w:p>
      <w:pPr>
        <w:spacing w:after="0" w:line="180" w:lineRule="exact"/>
        <w:rPr>
          <w:sz w:val="20"/>
          <w:szCs w:val="20"/>
          <w:color w:val="auto"/>
        </w:rPr>
      </w:pPr>
    </w:p>
    <w:p>
      <w:pPr>
        <w:jc w:val="both"/>
        <w:ind w:left="3780"/>
        <w:spacing w:after="0" w:line="282" w:lineRule="auto"/>
        <w:rPr>
          <w:sz w:val="20"/>
          <w:szCs w:val="20"/>
          <w:color w:val="auto"/>
        </w:rPr>
      </w:pPr>
      <w:r>
        <w:rPr>
          <w:rFonts w:ascii="Arial" w:cs="Arial" w:eastAsia="Arial" w:hAnsi="Arial"/>
          <w:sz w:val="16"/>
          <w:szCs w:val="16"/>
          <w:color w:val="auto"/>
        </w:rPr>
        <w:t>In the YoY analysis, the L/D ratio at Credicorp and BCP Stand-alone given that the increase registered in the deposit volume (+24.3% and +27.3% respectively) outpaced growth in loans (+13.5% and +11.8% respectively). The L/D ratio at Mibanco followed the same trend as that seen in the QoQ analysis.</w:t>
      </w:r>
    </w:p>
    <w:p>
      <w:pPr>
        <w:sectPr>
          <w:pgSz w:w="11900" w:h="16838" w:orient="portrait"/>
          <w:cols w:equalWidth="0" w:num="1">
            <w:col w:w="11240"/>
          </w:cols>
          <w:pgMar w:left="320" w:top="551"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Loan/Deposit ratio by currency</w:t>
      </w:r>
    </w:p>
    <w:p>
      <w:pPr>
        <w:spacing w:after="0" w:line="208" w:lineRule="exact"/>
        <w:rPr>
          <w:sz w:val="20"/>
          <w:szCs w:val="20"/>
          <w:color w:val="auto"/>
        </w:rPr>
      </w:pPr>
    </w:p>
    <w:p>
      <w:pPr>
        <w:ind w:left="2200"/>
        <w:spacing w:after="0"/>
        <w:rPr>
          <w:sz w:val="20"/>
          <w:szCs w:val="20"/>
          <w:color w:val="auto"/>
        </w:rPr>
      </w:pPr>
      <w:r>
        <w:rPr>
          <w:rFonts w:ascii="Arial" w:cs="Arial" w:eastAsia="Arial" w:hAnsi="Arial"/>
          <w:sz w:val="15"/>
          <w:szCs w:val="15"/>
          <w:b w:val="1"/>
          <w:bCs w:val="1"/>
          <w:color w:val="auto"/>
        </w:rPr>
        <w:t>Local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156845</wp:posOffset>
            </wp:positionV>
            <wp:extent cx="2799080" cy="1223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9080" cy="1223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172720</wp:posOffset>
            </wp:positionV>
            <wp:extent cx="2799080" cy="1207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9080" cy="1207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5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the QoQ analysis by currency, the L/D ratio fell in LC at Credicorp and BCP Stand-alone after the deposits level rose (+1.9% and +1.2% respectively) in a context of high liquidity. The L/D ratios in FC at Credicorp, BCP Stand-alone and Mibanco contracted given that the deposit level rose while the loan level fell.</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In the YoY analysis, Credicorp registered an increase in the L/D ratio in LC after loan expansion (+27.9%) outpaced the expansion registered in deposits (+27.2%).</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Credicorp reported a drop in its L/D ratio in ME.</w:t>
      </w:r>
    </w:p>
    <w:p>
      <w:pPr>
        <w:spacing w:after="0" w:line="9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2.5. Funding Cost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Funding cost – Credicorp </w:t>
      </w:r>
      <w:r>
        <w:rPr>
          <w:rFonts w:ascii="Arial" w:cs="Arial" w:eastAsia="Arial" w:hAnsi="Arial"/>
          <w:sz w:val="27"/>
          <w:szCs w:val="27"/>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92075</wp:posOffset>
            </wp:positionV>
            <wp:extent cx="5198110" cy="1943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98110" cy="194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0" w:hanging="239"/>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Expenses are included in accordance with IFRS16.</w:t>
      </w:r>
    </w:p>
    <w:p>
      <w:pPr>
        <w:spacing w:after="0" w:line="18" w:lineRule="exact"/>
        <w:rPr>
          <w:rFonts w:ascii="Arial" w:cs="Arial" w:eastAsia="Arial" w:hAnsi="Arial"/>
          <w:sz w:val="17"/>
          <w:szCs w:val="17"/>
          <w:color w:val="auto"/>
        </w:rPr>
      </w:pPr>
    </w:p>
    <w:p>
      <w:pPr>
        <w:ind w:left="240" w:hanging="239"/>
        <w:spacing w:after="0"/>
        <w:tabs>
          <w:tab w:leader="none" w:pos="2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Structural Funding Cost deducts the impact in expenses and funding related to GP Loans (BCRP Repos) and deducts non-recurring events from Interest Expense.</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Credicorp’s funding cost increased +9 bps QoQ. This was driven by an increase in interest expenses (+9.3%), which was generated by premiums (S/ 88 million) for the subordinated bond issuance for US$ 500 million at BCP Stand-alone, but will allow Credicorp to reap savings going forward. The aforementioned was partially offset by an increase in the funding volume (+3.1%). The structural funding cost was 1.35% (-8 bps QoQ).</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In the YoY analysis, the funding cost fell -71 bps. This was attributable to an increase of +29.9% YoY in total funding, which was generated by the high levels of liquidity injected by government relief programs; the improvement in the deposit mix, which registered a decrease in interest on deposits of –11.7% YoY; and a rate effect, given that interest rates (national and international) are following a downward trend in a context of the economic contraction spurred by the pandemic.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Cost of funding in LC – Credicorp </w:t>
      </w:r>
      <w:r>
        <w:rPr>
          <w:rFonts w:ascii="Arial" w:cs="Arial" w:eastAsia="Arial" w:hAnsi="Arial"/>
          <w:sz w:val="27"/>
          <w:szCs w:val="27"/>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92075</wp:posOffset>
            </wp:positionV>
            <wp:extent cx="5198110" cy="2407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98110" cy="240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40" w:hanging="239"/>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funding cost by currency is calculated with the average of period-beginning and period-end balances.</w:t>
      </w:r>
    </w:p>
    <w:p>
      <w:pPr>
        <w:spacing w:after="0" w:line="18" w:lineRule="exact"/>
        <w:rPr>
          <w:rFonts w:ascii="Arial" w:cs="Arial" w:eastAsia="Arial" w:hAnsi="Arial"/>
          <w:sz w:val="17"/>
          <w:szCs w:val="17"/>
          <w:color w:val="auto"/>
        </w:rPr>
      </w:pPr>
    </w:p>
    <w:p>
      <w:pPr>
        <w:ind w:left="240" w:hanging="239"/>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Expenses are included in accordance with IFRS16.</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Structural Funding Cost deducts the impact in expenses and funding related to GP Loans (BCRP Repos) and deducts non-recurring events from Interest Expense</w:t>
      </w:r>
    </w:p>
    <w:p>
      <w:pPr>
        <w:spacing w:after="0" w:line="11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1" w:name="page22"/>
    <w:bookmarkEnd w:id="21"/>
    <w:p>
      <w:pPr>
        <w:spacing w:after="0" w:line="301" w:lineRule="auto"/>
        <w:rPr>
          <w:sz w:val="20"/>
          <w:szCs w:val="20"/>
          <w:color w:val="auto"/>
        </w:rPr>
      </w:pPr>
      <w:r>
        <w:rPr>
          <w:rFonts w:ascii="Arial" w:cs="Arial" w:eastAsia="Arial" w:hAnsi="Arial"/>
          <w:sz w:val="16"/>
          <w:szCs w:val="16"/>
          <w:color w:val="auto"/>
        </w:rPr>
        <w:t>The decrease in the funding cost in LC (-13 bps), which was driven a contraction of -9.8% in interest expenses in a context of falling interest rates and a due to an increase of 0.5% in total funding in LC. Structural funding cost in LC was situated at 1.19% in 1Q21, which represented a decline QoQ (-17 bps).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Cost of Funding in FC – Credicorp </w:t>
      </w:r>
      <w:r>
        <w:rPr>
          <w:rFonts w:ascii="Arial" w:cs="Arial" w:eastAsia="Arial" w:hAnsi="Arial"/>
          <w:sz w:val="27"/>
          <w:szCs w:val="27"/>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92075</wp:posOffset>
            </wp:positionV>
            <wp:extent cx="5198110" cy="2215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98110" cy="221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hanging="239"/>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funding cost by currency is calculated with the average of period-beginning and period-end balances.</w:t>
      </w:r>
    </w:p>
    <w:p>
      <w:pPr>
        <w:spacing w:after="0" w:line="18" w:lineRule="exact"/>
        <w:rPr>
          <w:rFonts w:ascii="Arial" w:cs="Arial" w:eastAsia="Arial" w:hAnsi="Arial"/>
          <w:sz w:val="17"/>
          <w:szCs w:val="17"/>
          <w:color w:val="auto"/>
        </w:rPr>
      </w:pPr>
    </w:p>
    <w:p>
      <w:pPr>
        <w:ind w:left="240" w:hanging="239"/>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Expenses are included in accordance with IFRS16.</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Structural Funding Cost deducts the impact in expenses and funding related to GP Loans (BCRP Repos) and deducts non-recurring events from Interest Expense</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Growth in the cost of funding in FC (+36 bps), which was driven by an increase in interest expenses. This expansion was primarily attributable to expenses on bonds and notes issued, which registered a non-recurring charge for liability management that was partially offset by growth in FC deposits. The cost of structural funding in FC was situated at 1.45%.</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variation in the cost of funding in LC and FC YoY fell -116bps and -16 bps respectively, which ratifies Credicorp’s strategy to improve the profile of expirations and reduce the funding cost curve in local and foreign currencies.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Cost of funding by subsidiary </w:t>
      </w:r>
      <w:r>
        <w:rPr>
          <w:rFonts w:ascii="Arial" w:cs="Arial" w:eastAsia="Arial" w:hAnsi="Arial"/>
          <w:sz w:val="27"/>
          <w:szCs w:val="27"/>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92075</wp:posOffset>
            </wp:positionV>
            <wp:extent cx="5198110" cy="282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98110" cy="282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hanging="239"/>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Expenses are included in accordance with IFRS16.</w:t>
      </w:r>
    </w:p>
    <w:p>
      <w:pPr>
        <w:spacing w:after="0" w:line="18" w:lineRule="exact"/>
        <w:rPr>
          <w:rFonts w:ascii="Arial" w:cs="Arial" w:eastAsia="Arial" w:hAnsi="Arial"/>
          <w:sz w:val="17"/>
          <w:szCs w:val="17"/>
          <w:color w:val="auto"/>
        </w:rPr>
      </w:pPr>
    </w:p>
    <w:p>
      <w:pPr>
        <w:ind w:left="240" w:hanging="239"/>
        <w:spacing w:after="0"/>
        <w:tabs>
          <w:tab w:leader="none" w:pos="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Structural Funding Cost deducts the impact in expenses and funding related to GP Loans (BCRP Repos) and deducts non-recurring events from Interest Expense.</w:t>
      </w:r>
    </w:p>
    <w:p>
      <w:pPr>
        <w:spacing w:after="0" w:line="218" w:lineRule="exact"/>
        <w:rPr>
          <w:rFonts w:ascii="Arial" w:cs="Arial" w:eastAsia="Arial" w:hAnsi="Arial"/>
          <w:sz w:val="15"/>
          <w:szCs w:val="15"/>
          <w:color w:val="auto"/>
        </w:rPr>
      </w:pPr>
    </w:p>
    <w:p>
      <w:pPr>
        <w:jc w:val="both"/>
        <w:ind w:left="600" w:hanging="423"/>
        <w:spacing w:after="0" w:line="251" w:lineRule="auto"/>
        <w:tabs>
          <w:tab w:leader="none" w:pos="6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cost of funding at BCP Stand-alone followed a trend similar to that seen for the cost of funding at Credicorp, which reflected an increase of +14bps QoQ due to an increase in interest expenses (+16.2%). The aforementioned was partially attenuated by the increase in total funding (+3.54%) due to (i) growth in deposits and (ii) an increase in bonds and notes issued. YoY, the cost of funding fell (-38bps) due to (i) an improvement in the funding mix after the volume of lower-cost sources of funding increased and (iii) the rate effect, where all source of funding registered a drop in their implicit rates. The ratio for the cost of structural funding at BCP Stand-alone, excluding expenses, funds related to government loans and premiums for the bond issuance, situated at 1.06%, which represented a decline of -6 bps QoQ.</w:t>
      </w:r>
    </w:p>
    <w:p>
      <w:pPr>
        <w:spacing w:after="0" w:line="8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2" w:name="page23"/>
    <w:bookmarkEnd w:id="22"/>
    <w:p>
      <w:pPr>
        <w:jc w:val="both"/>
        <w:ind w:left="423" w:hanging="423"/>
        <w:spacing w:after="0" w:line="272" w:lineRule="auto"/>
        <w:tabs>
          <w:tab w:leader="none" w:pos="4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Mibanco reported a considerable contraction in its cost of funding of -45bps QoQ. This was driven by a drop in interest expenses (-15.7% QoQ), which was mainly driven by a decrease in rates in the retail segment for time deposits. The total funding volume fell (-3.2% QoQ), which reflected withdrawals of deposits of government loans that had previously been held in its accounts. In the YoY analysis, interest expenses fell (-38.0%) due to the impact of an influx of low-rate government funds and to growth in total funding (+16.8%). The cost of structural funding at Mibanco, excluding the effects of Reactive and FAE, was situated at 2.61%. This represented a decrease of -56 bps QoQ.</w:t>
      </w:r>
    </w:p>
    <w:p>
      <w:pPr>
        <w:spacing w:after="0" w:line="166" w:lineRule="exact"/>
        <w:rPr>
          <w:rFonts w:ascii="Arial" w:cs="Arial" w:eastAsia="Arial" w:hAnsi="Arial"/>
          <w:sz w:val="16"/>
          <w:szCs w:val="16"/>
          <w:color w:val="auto"/>
        </w:rPr>
      </w:pPr>
    </w:p>
    <w:p>
      <w:pPr>
        <w:jc w:val="both"/>
        <w:ind w:left="423" w:hanging="423"/>
        <w:spacing w:after="0" w:line="258" w:lineRule="auto"/>
        <w:tabs>
          <w:tab w:leader="none" w:pos="4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of funding at BCP Bolivia fell slightly QoQ (-2 bps) due to an increase in average funding, which was offset by growth in interest expenses (+2.4%). The cost of funding YoY increased slightly (+6 bps), which was driven by an increase in expenses on deposits given that the expansion of higher-cost deposits (+18.0%) outpaced the growth registered by funding (+10.6%).</w:t>
      </w:r>
    </w:p>
    <w:p>
      <w:pPr>
        <w:spacing w:after="0" w:line="75" w:lineRule="exact"/>
        <w:rPr>
          <w:sz w:val="20"/>
          <w:szCs w:val="20"/>
          <w:color w:val="auto"/>
        </w:rPr>
      </w:pPr>
    </w:p>
    <w:p>
      <w:pPr>
        <w:ind w:left="10863"/>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11430</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63"/>
          </w:cols>
          <w:pgMar w:left="497" w:top="555" w:right="3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6317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631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8"/>
        </w:trPr>
        <w:tc>
          <w:tcPr>
            <w:tcW w:w="5100" w:type="dxa"/>
            <w:vAlign w:val="bottom"/>
            <w:gridSpan w:val="3"/>
          </w:tcPr>
          <w:p>
            <w:pPr>
              <w:spacing w:after="0"/>
              <w:rPr>
                <w:sz w:val="20"/>
                <w:szCs w:val="20"/>
                <w:color w:val="auto"/>
              </w:rPr>
            </w:pPr>
            <w:r>
              <w:rPr>
                <w:rFonts w:ascii="Arial" w:cs="Arial" w:eastAsia="Arial" w:hAnsi="Arial"/>
                <w:sz w:val="17"/>
                <w:szCs w:val="17"/>
                <w:b w:val="1"/>
                <w:bCs w:val="1"/>
                <w:color w:val="auto"/>
              </w:rPr>
              <w:t>3. Net Interest Income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5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interest income</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Quarter</w:t>
            </w: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b w:val="1"/>
                <w:bCs w:val="1"/>
                <w:color w:val="auto"/>
                <w:w w:val="95"/>
              </w:rPr>
              <w:t>% change</w:t>
            </w: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1Q20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4Q20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1Q21</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QoQ</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YoY</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Interest income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3,163,609</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b w:val="1"/>
                <w:bCs w:val="1"/>
                <w:color w:val="auto"/>
                <w:w w:val="84"/>
              </w:rPr>
              <w:t>2,703,100</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2,816,073</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b w:val="1"/>
                <w:bCs w:val="1"/>
                <w:color w:val="auto"/>
              </w:rPr>
              <w:t>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-11.0%</w:t>
            </w:r>
          </w:p>
        </w:tc>
        <w:tc>
          <w:tcPr>
            <w:tcW w:w="0" w:type="dxa"/>
            <w:vAlign w:val="bottom"/>
          </w:tcPr>
          <w:p>
            <w:pPr>
              <w:spacing w:after="0"/>
              <w:rPr>
                <w:sz w:val="1"/>
                <w:szCs w:val="1"/>
                <w:color w:val="auto"/>
              </w:rPr>
            </w:pPr>
          </w:p>
        </w:tc>
      </w:tr>
      <w:tr>
        <w:trPr>
          <w:trHeight w:val="202"/>
        </w:trPr>
        <w:tc>
          <w:tcPr>
            <w:tcW w:w="5100" w:type="dxa"/>
            <w:vAlign w:val="bottom"/>
            <w:gridSpan w:val="3"/>
          </w:tcPr>
          <w:p>
            <w:pPr>
              <w:ind w:left="160"/>
              <w:spacing w:after="0"/>
              <w:rPr>
                <w:sz w:val="20"/>
                <w:szCs w:val="20"/>
                <w:color w:val="auto"/>
              </w:rPr>
            </w:pPr>
            <w:r>
              <w:rPr>
                <w:rFonts w:ascii="Arial" w:cs="Arial" w:eastAsia="Arial" w:hAnsi="Arial"/>
                <w:sz w:val="17"/>
                <w:szCs w:val="17"/>
                <w:color w:val="auto"/>
              </w:rPr>
              <w:t>Interest on loans</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2,770,351</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2,325,836</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2,432,761</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2"/>
        </w:trPr>
        <w:tc>
          <w:tcPr>
            <w:tcW w:w="51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Dividends on investments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7,879</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3,987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3,221</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02"/>
        </w:trPr>
        <w:tc>
          <w:tcPr>
            <w:tcW w:w="5100" w:type="dxa"/>
            <w:vAlign w:val="bottom"/>
            <w:gridSpan w:val="3"/>
          </w:tcPr>
          <w:p>
            <w:pPr>
              <w:ind w:left="160"/>
              <w:spacing w:after="0"/>
              <w:rPr>
                <w:sz w:val="20"/>
                <w:szCs w:val="20"/>
                <w:color w:val="auto"/>
              </w:rPr>
            </w:pPr>
            <w:r>
              <w:rPr>
                <w:rFonts w:ascii="Arial" w:cs="Arial" w:eastAsia="Arial" w:hAnsi="Arial"/>
                <w:sz w:val="17"/>
                <w:szCs w:val="17"/>
                <w:color w:val="auto"/>
              </w:rPr>
              <w:t>Interest on deposits with banks</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49,113</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8,456</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7,896</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-83.9%</w:t>
            </w:r>
          </w:p>
        </w:tc>
        <w:tc>
          <w:tcPr>
            <w:tcW w:w="0" w:type="dxa"/>
            <w:vAlign w:val="bottom"/>
          </w:tcPr>
          <w:p>
            <w:pPr>
              <w:spacing w:after="0"/>
              <w:rPr>
                <w:sz w:val="1"/>
                <w:szCs w:val="1"/>
                <w:color w:val="auto"/>
              </w:rPr>
            </w:pPr>
          </w:p>
        </w:tc>
      </w:tr>
      <w:tr>
        <w:trPr>
          <w:trHeight w:val="202"/>
        </w:trPr>
        <w:tc>
          <w:tcPr>
            <w:tcW w:w="51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Interest on securities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322,734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351,502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362,964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2"/>
        </w:trPr>
        <w:tc>
          <w:tcPr>
            <w:tcW w:w="5100" w:type="dxa"/>
            <w:vAlign w:val="bottom"/>
            <w:gridSpan w:val="3"/>
          </w:tcPr>
          <w:p>
            <w:pPr>
              <w:ind w:left="160"/>
              <w:spacing w:after="0"/>
              <w:rPr>
                <w:sz w:val="20"/>
                <w:szCs w:val="20"/>
                <w:color w:val="auto"/>
              </w:rPr>
            </w:pPr>
            <w:r>
              <w:rPr>
                <w:rFonts w:ascii="Arial" w:cs="Arial" w:eastAsia="Arial" w:hAnsi="Arial"/>
                <w:sz w:val="17"/>
                <w:szCs w:val="17"/>
                <w:color w:val="auto"/>
              </w:rPr>
              <w:t>Other interest income</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13,532</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13,319</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9,231</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39"/>
        </w:trPr>
        <w:tc>
          <w:tcPr>
            <w:tcW w:w="51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27"/>
                <w:szCs w:val="27"/>
                <w:b w:val="1"/>
                <w:bCs w:val="1"/>
                <w:color w:val="auto"/>
                <w:vertAlign w:val="superscript"/>
              </w:rPr>
              <w:t>(1)</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784,082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633,880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692,690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-11.7%</w:t>
            </w:r>
          </w:p>
        </w:tc>
        <w:tc>
          <w:tcPr>
            <w:tcW w:w="0" w:type="dxa"/>
            <w:vAlign w:val="bottom"/>
          </w:tcPr>
          <w:p>
            <w:pPr>
              <w:spacing w:after="0"/>
              <w:rPr>
                <w:sz w:val="1"/>
                <w:szCs w:val="1"/>
                <w:color w:val="auto"/>
              </w:rPr>
            </w:pPr>
          </w:p>
        </w:tc>
      </w:tr>
      <w:tr>
        <w:trPr>
          <w:trHeight w:val="202"/>
        </w:trPr>
        <w:tc>
          <w:tcPr>
            <w:tcW w:w="5100" w:type="dxa"/>
            <w:vAlign w:val="bottom"/>
            <w:gridSpan w:val="3"/>
          </w:tcPr>
          <w:p>
            <w:pPr>
              <w:ind w:left="160"/>
              <w:spacing w:after="0"/>
              <w:rPr>
                <w:sz w:val="20"/>
                <w:szCs w:val="20"/>
                <w:color w:val="auto"/>
              </w:rPr>
            </w:pPr>
            <w:r>
              <w:rPr>
                <w:rFonts w:ascii="Arial" w:cs="Arial" w:eastAsia="Arial" w:hAnsi="Arial"/>
                <w:sz w:val="17"/>
                <w:szCs w:val="17"/>
                <w:color w:val="auto"/>
              </w:rPr>
              <w:t>Interest on deposits</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364,107</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245,221</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222,643</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02"/>
        </w:trPr>
        <w:tc>
          <w:tcPr>
            <w:tcW w:w="51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Interest on borrow ed funds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137,126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118,457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112,228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02"/>
        </w:trPr>
        <w:tc>
          <w:tcPr>
            <w:tcW w:w="5100" w:type="dxa"/>
            <w:vAlign w:val="bottom"/>
            <w:gridSpan w:val="3"/>
          </w:tcPr>
          <w:p>
            <w:pPr>
              <w:ind w:left="160"/>
              <w:spacing w:after="0"/>
              <w:rPr>
                <w:sz w:val="20"/>
                <w:szCs w:val="20"/>
                <w:color w:val="auto"/>
              </w:rPr>
            </w:pPr>
            <w:r>
              <w:rPr>
                <w:rFonts w:ascii="Arial" w:cs="Arial" w:eastAsia="Arial" w:hAnsi="Arial"/>
                <w:sz w:val="17"/>
                <w:szCs w:val="17"/>
                <w:color w:val="auto"/>
              </w:rPr>
              <w:t>Interest on bonds and subordinated notes</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198,114</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185,104</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266,971</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52"/>
        </w:trPr>
        <w:tc>
          <w:tcPr>
            <w:tcW w:w="5100" w:type="dxa"/>
            <w:vAlign w:val="bottom"/>
            <w:gridSpan w:val="3"/>
            <w:shd w:val="clear" w:color="auto" w:fill="CCEEFF"/>
          </w:tcPr>
          <w:p>
            <w:pPr>
              <w:ind w:left="160"/>
              <w:spacing w:after="0" w:line="251" w:lineRule="exact"/>
              <w:rPr>
                <w:sz w:val="20"/>
                <w:szCs w:val="20"/>
                <w:color w:val="auto"/>
              </w:rPr>
            </w:pPr>
            <w:r>
              <w:rPr>
                <w:rFonts w:ascii="Arial" w:cs="Arial" w:eastAsia="Arial" w:hAnsi="Arial"/>
                <w:sz w:val="17"/>
                <w:szCs w:val="17"/>
                <w:color w:val="auto"/>
              </w:rPr>
              <w:t xml:space="preserve">Other interest expense </w:t>
            </w:r>
            <w:r>
              <w:rPr>
                <w:rFonts w:ascii="Arial" w:cs="Arial" w:eastAsia="Arial" w:hAnsi="Arial"/>
                <w:sz w:val="27"/>
                <w:szCs w:val="27"/>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84,735</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85,098</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90,848</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line="251" w:lineRule="exact"/>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27"/>
                <w:szCs w:val="27"/>
                <w:b w:val="1"/>
                <w:bCs w:val="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3"/>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2,379,527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2,069,220</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2,123,383</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b w:val="1"/>
                <w:bCs w:val="1"/>
                <w:color w:val="auto"/>
              </w:rPr>
              <w:t>-10.8%</w:t>
            </w:r>
          </w:p>
        </w:tc>
        <w:tc>
          <w:tcPr>
            <w:tcW w:w="0" w:type="dxa"/>
            <w:vAlign w:val="bottom"/>
          </w:tcPr>
          <w:p>
            <w:pPr>
              <w:spacing w:after="0"/>
              <w:rPr>
                <w:sz w:val="1"/>
                <w:szCs w:val="1"/>
                <w:color w:val="auto"/>
              </w:rPr>
            </w:pPr>
          </w:p>
        </w:tc>
      </w:tr>
      <w:tr>
        <w:trPr>
          <w:trHeight w:val="20"/>
        </w:trPr>
        <w:tc>
          <w:tcPr>
            <w:tcW w:w="5100" w:type="dxa"/>
            <w:vAlign w:val="bottom"/>
            <w:gridSpan w:val="3"/>
            <w:vMerge w:val="restart"/>
            <w:shd w:val="clear" w:color="auto" w:fill="CCEEFF"/>
          </w:tcPr>
          <w:p>
            <w:pPr>
              <w:spacing w:after="0" w:line="251" w:lineRule="exact"/>
              <w:rPr>
                <w:sz w:val="20"/>
                <w:szCs w:val="20"/>
                <w:color w:val="auto"/>
              </w:rPr>
            </w:pPr>
            <w:r>
              <w:rPr>
                <w:rFonts w:ascii="Arial" w:cs="Arial" w:eastAsia="Arial" w:hAnsi="Arial"/>
                <w:sz w:val="17"/>
                <w:szCs w:val="17"/>
                <w:b w:val="1"/>
                <w:bCs w:val="1"/>
                <w:color w:val="auto"/>
              </w:rPr>
              <w:t xml:space="preserve">Risk-adjusted Net interest income </w:t>
            </w:r>
            <w:r>
              <w:rPr>
                <w:rFonts w:ascii="Arial" w:cs="Arial" w:eastAsia="Arial" w:hAnsi="Arial"/>
                <w:sz w:val="27"/>
                <w:szCs w:val="27"/>
                <w:b w:val="1"/>
                <w:bCs w:val="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3"/>
            <w:vMerge w:val="continue"/>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1,038,046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1,336,555</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1,565,736</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50.8%</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line="251" w:lineRule="exact"/>
              <w:rPr>
                <w:sz w:val="20"/>
                <w:szCs w:val="20"/>
                <w:color w:val="auto"/>
              </w:rPr>
            </w:pPr>
            <w:r>
              <w:rPr>
                <w:rFonts w:ascii="Arial" w:cs="Arial" w:eastAsia="Arial" w:hAnsi="Arial"/>
                <w:sz w:val="17"/>
                <w:szCs w:val="17"/>
                <w:color w:val="auto"/>
              </w:rPr>
              <w:t xml:space="preserve">Average interest earning assets </w:t>
            </w:r>
            <w:r>
              <w:rPr>
                <w:rFonts w:ascii="Arial" w:cs="Arial" w:eastAsia="Arial" w:hAnsi="Arial"/>
                <w:sz w:val="27"/>
                <w:szCs w:val="27"/>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3"/>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3"/>
              </w:rPr>
              <w:t>177,952,974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w w:val="90"/>
              </w:rPr>
              <w:t>222,098,498</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w w:val="93"/>
              </w:rPr>
              <w:t>227,856,239</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
        </w:trPr>
        <w:tc>
          <w:tcPr>
            <w:tcW w:w="5100" w:type="dxa"/>
            <w:vAlign w:val="bottom"/>
            <w:gridSpan w:val="3"/>
            <w:vMerge w:val="restart"/>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Net interest margin </w:t>
            </w:r>
            <w:r>
              <w:rPr>
                <w:rFonts w:ascii="Arial" w:cs="Arial" w:eastAsia="Arial" w:hAnsi="Arial"/>
                <w:sz w:val="27"/>
                <w:szCs w:val="27"/>
                <w:color w:val="auto"/>
                <w:vertAlign w:val="superscript"/>
              </w:rPr>
              <w:t>(2)</w:t>
            </w: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00" w:type="dxa"/>
            <w:vAlign w:val="bottom"/>
            <w:gridSpan w:val="3"/>
            <w:vMerge w:val="continue"/>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5.35%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3.73%</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3.73%</w:t>
            </w:r>
          </w:p>
        </w:tc>
        <w:tc>
          <w:tcPr>
            <w:tcW w:w="10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560"/>
              <w:spacing w:after="0"/>
              <w:rPr>
                <w:sz w:val="20"/>
                <w:szCs w:val="20"/>
                <w:color w:val="auto"/>
              </w:rPr>
            </w:pPr>
            <w:r>
              <w:rPr>
                <w:rFonts w:ascii="Arial" w:cs="Arial" w:eastAsia="Arial" w:hAnsi="Arial"/>
                <w:sz w:val="17"/>
                <w:szCs w:val="17"/>
                <w:b w:val="1"/>
                <w:bCs w:val="1"/>
                <w:color w:val="auto"/>
              </w:rPr>
              <w:t>0bps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-162bps</w:t>
            </w:r>
          </w:p>
        </w:tc>
        <w:tc>
          <w:tcPr>
            <w:tcW w:w="0" w:type="dxa"/>
            <w:vAlign w:val="bottom"/>
          </w:tcPr>
          <w:p>
            <w:pPr>
              <w:spacing w:after="0"/>
              <w:rPr>
                <w:sz w:val="1"/>
                <w:szCs w:val="1"/>
                <w:color w:val="auto"/>
              </w:rPr>
            </w:pPr>
          </w:p>
        </w:tc>
      </w:tr>
      <w:tr>
        <w:trPr>
          <w:trHeight w:val="239"/>
        </w:trPr>
        <w:tc>
          <w:tcPr>
            <w:tcW w:w="5100" w:type="dxa"/>
            <w:vAlign w:val="bottom"/>
            <w:gridSpan w:val="3"/>
          </w:tcPr>
          <w:p>
            <w:pPr>
              <w:spacing w:after="0" w:line="239" w:lineRule="exact"/>
              <w:rPr>
                <w:sz w:val="20"/>
                <w:szCs w:val="20"/>
                <w:color w:val="auto"/>
              </w:rPr>
            </w:pPr>
            <w:r>
              <w:rPr>
                <w:rFonts w:ascii="Arial" w:cs="Arial" w:eastAsia="Arial" w:hAnsi="Arial"/>
                <w:sz w:val="17"/>
                <w:szCs w:val="17"/>
                <w:b w:val="1"/>
                <w:bCs w:val="1"/>
                <w:color w:val="auto"/>
              </w:rPr>
              <w:t xml:space="preserve">Risk-adjusted Net interest margin </w:t>
            </w:r>
            <w:r>
              <w:rPr>
                <w:rFonts w:ascii="Arial" w:cs="Arial" w:eastAsia="Arial" w:hAnsi="Arial"/>
                <w:sz w:val="27"/>
                <w:szCs w:val="27"/>
                <w:color w:val="auto"/>
                <w:vertAlign w:val="superscript"/>
              </w:rPr>
              <w:t>(2)</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2.33%</w:t>
            </w: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2.41%</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2.75%</w:t>
            </w:r>
          </w:p>
        </w:tc>
        <w:tc>
          <w:tcPr>
            <w:tcW w:w="100" w:type="dxa"/>
            <w:vAlign w:val="bottom"/>
          </w:tcPr>
          <w:p>
            <w:pPr>
              <w:spacing w:after="0"/>
              <w:rPr>
                <w:sz w:val="20"/>
                <w:szCs w:val="20"/>
                <w:color w:val="auto"/>
              </w:rPr>
            </w:pPr>
          </w:p>
        </w:tc>
        <w:tc>
          <w:tcPr>
            <w:tcW w:w="1440" w:type="dxa"/>
            <w:vAlign w:val="bottom"/>
            <w:gridSpan w:val="4"/>
          </w:tcPr>
          <w:p>
            <w:pPr>
              <w:jc w:val="right"/>
              <w:ind w:right="560"/>
              <w:spacing w:after="0"/>
              <w:rPr>
                <w:sz w:val="20"/>
                <w:szCs w:val="20"/>
                <w:color w:val="auto"/>
              </w:rPr>
            </w:pPr>
            <w:r>
              <w:rPr>
                <w:rFonts w:ascii="Arial" w:cs="Arial" w:eastAsia="Arial" w:hAnsi="Arial"/>
                <w:sz w:val="17"/>
                <w:szCs w:val="17"/>
                <w:b w:val="1"/>
                <w:bCs w:val="1"/>
                <w:color w:val="auto"/>
              </w:rPr>
              <w:t>34bps</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42bps</w:t>
            </w:r>
          </w:p>
        </w:tc>
        <w:tc>
          <w:tcPr>
            <w:tcW w:w="0" w:type="dxa"/>
            <w:vAlign w:val="bottom"/>
          </w:tcPr>
          <w:p>
            <w:pPr>
              <w:spacing w:after="0"/>
              <w:rPr>
                <w:sz w:val="1"/>
                <w:szCs w:val="1"/>
                <w:color w:val="auto"/>
              </w:rPr>
            </w:pPr>
          </w:p>
        </w:tc>
      </w:tr>
      <w:tr>
        <w:trPr>
          <w:trHeight w:val="202"/>
        </w:trPr>
        <w:tc>
          <w:tcPr>
            <w:tcW w:w="51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provisions for loan losses / Net interest income</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56.38%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35.41%</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26.26%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-30.1%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40" w:hanging="239"/>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Figures differ from previously reported, please consider the data presented on this report.</w:t>
      </w:r>
    </w:p>
    <w:p>
      <w:pPr>
        <w:spacing w:after="0" w:line="18" w:lineRule="exact"/>
        <w:rPr>
          <w:rFonts w:ascii="Arial" w:cs="Arial" w:eastAsia="Arial" w:hAnsi="Arial"/>
          <w:sz w:val="17"/>
          <w:szCs w:val="17"/>
          <w:color w:val="auto"/>
        </w:rPr>
      </w:pPr>
    </w:p>
    <w:p>
      <w:pPr>
        <w:ind w:left="240" w:hanging="239"/>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Annualized.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Interest Income</w:t>
      </w:r>
    </w:p>
    <w:p>
      <w:pPr>
        <w:sectPr>
          <w:pgSz w:w="11900" w:h="16838" w:orient="portrait"/>
          <w:cols w:equalWidth="0" w:num="1">
            <w:col w:w="11240"/>
          </w:cols>
          <w:pgMar w:left="320" w:top="551" w:right="339" w:bottom="1440" w:gutter="0" w:footer="0" w:header="0"/>
        </w:sectPr>
      </w:pPr>
    </w:p>
    <w:p>
      <w:pPr>
        <w:spacing w:after="0" w:line="208" w:lineRule="exact"/>
        <w:rPr>
          <w:sz w:val="20"/>
          <w:szCs w:val="20"/>
          <w:color w:val="auto"/>
        </w:rPr>
      </w:pPr>
    </w:p>
    <w:p>
      <w:pPr>
        <w:jc w:val="center"/>
        <w:ind w:right="800"/>
        <w:spacing w:after="0"/>
        <w:rPr>
          <w:sz w:val="20"/>
          <w:szCs w:val="20"/>
          <w:color w:val="auto"/>
        </w:rPr>
      </w:pPr>
      <w:r>
        <w:rPr>
          <w:rFonts w:ascii="Arial" w:cs="Arial" w:eastAsia="Arial" w:hAnsi="Arial"/>
          <w:sz w:val="15"/>
          <w:szCs w:val="15"/>
          <w:b w:val="1"/>
          <w:bCs w:val="1"/>
          <w:color w:val="auto"/>
        </w:rPr>
        <w:t>Interest income – Local currency</w:t>
      </w:r>
    </w:p>
    <w:p>
      <w:pPr>
        <w:spacing w:after="0" w:line="45"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520"/>
        <w:spacing w:after="0"/>
        <w:rPr>
          <w:sz w:val="20"/>
          <w:szCs w:val="20"/>
          <w:color w:val="auto"/>
        </w:rPr>
      </w:pPr>
      <w:r>
        <w:rPr>
          <w:rFonts w:ascii="Arial" w:cs="Arial" w:eastAsia="Arial" w:hAnsi="Arial"/>
          <w:sz w:val="15"/>
          <w:szCs w:val="15"/>
          <w:b w:val="1"/>
          <w:bCs w:val="1"/>
          <w:color w:val="auto"/>
        </w:rPr>
        <w:t>Interest income – Foreign Currency</w:t>
      </w:r>
    </w:p>
    <w:p>
      <w:pPr>
        <w:spacing w:after="0" w:line="45" w:lineRule="exact"/>
        <w:rPr>
          <w:sz w:val="20"/>
          <w:szCs w:val="20"/>
          <w:color w:val="auto"/>
        </w:rPr>
      </w:pPr>
    </w:p>
    <w:p>
      <w:pPr>
        <w:jc w:val="center"/>
        <w:ind w:right="1520"/>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132080</wp:posOffset>
            </wp:positionV>
            <wp:extent cx="6174105" cy="2038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105" cy="2038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080"/>
          </w:cols>
          <w:pgMar w:left="320" w:top="5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QoQ analysis, the 4.2% increase in Interest Income mainly reflects the 4.6% increase in interest on loans given that in 4Q20, a non-recurring charge was registered in this account for a deterioration in interest income at BCP Bolivia.</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exclude the non-recurring charge from 4Q20 registered at BCP Bolivia and amortizations of the interest impairment relative to frozen loans, adjusted Interest Income fell -1.1% QoQ due to lower interest rates and the change in the AGI structure described below:</w:t>
      </w:r>
    </w:p>
    <w:p>
      <w:pPr>
        <w:spacing w:after="0" w:line="166" w:lineRule="exact"/>
        <w:rPr>
          <w:sz w:val="20"/>
          <w:szCs w:val="20"/>
          <w:color w:val="auto"/>
        </w:rPr>
      </w:pPr>
    </w:p>
    <w:p>
      <w:pPr>
        <w:jc w:val="both"/>
        <w:ind w:left="600" w:hanging="297"/>
        <w:spacing w:after="0" w:line="258"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rate effect: the rate effect was negative, which was primarily attributable to loan repricing and an alignment with market rates, primarily in Retail Banking and in the Consumer and SME-Pyme segments in particular, and driven, although to a lesser extent, by the evolution of short-term working capital loans and foreign trade products within Wholesale Banking.</w:t>
      </w:r>
    </w:p>
    <w:p>
      <w:pPr>
        <w:spacing w:after="0" w:line="175" w:lineRule="exact"/>
        <w:rPr>
          <w:rFonts w:ascii="Arial" w:cs="Arial" w:eastAsia="Arial" w:hAnsi="Arial"/>
          <w:sz w:val="17"/>
          <w:szCs w:val="17"/>
          <w:color w:val="auto"/>
        </w:rPr>
      </w:pPr>
    </w:p>
    <w:p>
      <w:pPr>
        <w:jc w:val="both"/>
        <w:ind w:left="600" w:hanging="297"/>
        <w:spacing w:after="0" w:line="275"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 in IEA mix: the growth in the investment portfolio and available funds increased the share of this assets in the IEA composition. This trend was fueled by the decrease in total loans balances, which was associated with an increase in cancelations from Wholesale clients. Growth in the Consumer, Mortgage and SME-Pyme segments was insufficient to offset the impact of this decline and consequently, the share of total loans within IEAs declined. In this context, interest on loans fell while interest on securities, which generate less income than interest on loans, increased.</w:t>
      </w:r>
    </w:p>
    <w:p>
      <w:pPr>
        <w:spacing w:after="0" w:line="64"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25" w:name="page26"/>
    <w:bookmarkEnd w:id="25"/>
    <w:p>
      <w:pPr>
        <w:jc w:val="both"/>
        <w:spacing w:after="0" w:line="258" w:lineRule="auto"/>
        <w:rPr>
          <w:sz w:val="20"/>
          <w:szCs w:val="20"/>
          <w:color w:val="auto"/>
        </w:rPr>
      </w:pPr>
      <w:r>
        <w:rPr>
          <w:rFonts w:ascii="Arial" w:cs="Arial" w:eastAsia="Arial" w:hAnsi="Arial"/>
          <w:sz w:val="17"/>
          <w:szCs w:val="17"/>
          <w:color w:val="auto"/>
        </w:rPr>
        <w:t>In the YoY analysis, interest income fell -11.0%. If we exclude amortizations of provisions due to interest impairment relative to frozen loans, adjusted Interest Income fell -12.6% YoY. This was attributable to a less profitable asset mix, due to a decrease in the volume of structural loans, lower interest rates and the prevalence of low-interest government loans:</w:t>
      </w:r>
    </w:p>
    <w:p>
      <w:pPr>
        <w:spacing w:after="0" w:line="176" w:lineRule="exact"/>
        <w:rPr>
          <w:sz w:val="20"/>
          <w:szCs w:val="20"/>
          <w:color w:val="auto"/>
        </w:rPr>
      </w:pPr>
    </w:p>
    <w:p>
      <w:pPr>
        <w:jc w:val="both"/>
        <w:ind w:left="600" w:hanging="297"/>
        <w:spacing w:after="0" w:line="275"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Mix effect: the decrease in structural loans, which was primarily seen in Wholesale Banking and in the SME-Business and Credit Card segment in Retail Banking. This decline, coupled with growth in the investment portfolio and available funds due to high liquidity systemwide, led to a scenario in which structural loans accounted for a smaller percentage of the IEA mix. Additionally, the significant weight of government loans within total loans also added to this effect. The latter was partially offset by the growth in interest on securities due to the increase in the investment portfolio.</w:t>
      </w:r>
    </w:p>
    <w:p>
      <w:pPr>
        <w:spacing w:after="0" w:line="164" w:lineRule="exact"/>
        <w:rPr>
          <w:rFonts w:ascii="Arial" w:cs="Arial" w:eastAsia="Arial" w:hAnsi="Arial"/>
          <w:sz w:val="16"/>
          <w:szCs w:val="16"/>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Rate effect: the drop in interest rates in the structural portfolio, and the prevalence of low-rate government loans, drove this effect.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Interest Expenses</w:t>
      </w:r>
    </w:p>
    <w:p>
      <w:pPr>
        <w:sectPr>
          <w:pgSz w:w="11900" w:h="16838" w:orient="portrait"/>
          <w:cols w:equalWidth="0" w:num="1">
            <w:col w:w="11240"/>
          </w:cols>
          <w:pgMar w:left="320" w:top="555" w:right="339" w:bottom="1440" w:gutter="0" w:footer="0" w:header="0"/>
        </w:sectPr>
      </w:pPr>
    </w:p>
    <w:p>
      <w:pPr>
        <w:spacing w:after="0" w:line="208"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Interest expenses – Local Currency</w:t>
      </w:r>
    </w:p>
    <w:p>
      <w:pPr>
        <w:spacing w:after="0" w:line="57"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Interest expenses – Foreign Currency</w:t>
      </w:r>
    </w:p>
    <w:p>
      <w:pPr>
        <w:spacing w:after="0" w:line="57"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132080</wp:posOffset>
            </wp:positionV>
            <wp:extent cx="6205855" cy="17113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05855" cy="1711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5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QoQ analysis, interest expenses increased 9.3%; this was primarily attributable to a non-recurring charge of S/88 million that was registered in the interest on bonds and subordinated notes account in FC, which was associated with a liability management transaction at BCP Stand-alone. If we exclude this non-recurring charge, adjusted interest expenses contracted -4.6% in a context of an improvement in the funding structure:</w:t>
      </w:r>
    </w:p>
    <w:p>
      <w:pPr>
        <w:spacing w:after="0" w:line="176" w:lineRule="exact"/>
        <w:rPr>
          <w:sz w:val="20"/>
          <w:szCs w:val="20"/>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Rate effect: a slight decline was evident QoQ in passive rates, mainly in severance indemnity deposits and time deposits.</w:t>
      </w:r>
    </w:p>
    <w:p>
      <w:pPr>
        <w:spacing w:after="0" w:line="207"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Mix effect: growth in demand deposits, followed by an uptick in savings and time deposits, improved the funding structure by increasing deposits’ share of total funding.</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YoY analysis, interest expenses fell -11.7%. If we exclude the non-recurring charge for the liability management in BCP Stand-Alone this quarter, adjusted interest expenses fell -22.9%, which was attributable to:</w:t>
      </w:r>
    </w:p>
    <w:p>
      <w:pPr>
        <w:spacing w:after="0" w:line="166" w:lineRule="exact"/>
        <w:rPr>
          <w:sz w:val="20"/>
          <w:szCs w:val="20"/>
          <w:color w:val="auto"/>
        </w:rPr>
      </w:pPr>
    </w:p>
    <w:p>
      <w:pPr>
        <w:ind w:left="600" w:hanging="297"/>
        <w:spacing w:after="0" w:line="269"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Rate effect: The contraction in interest expenses was attributable to a drop in the funding cost in a context marked by a decrease in market rates and the impact of low-cost funding generated by government loans.</w:t>
      </w:r>
    </w:p>
    <w:p>
      <w:pPr>
        <w:spacing w:after="0" w:line="16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Mix effect: The reduction in the cost of funding and in interest expenses was also attributable, although to a lesser extent, to a significant flow of low-cost funding for government loans, which bolstered liquidity systemwide and led to an increase in retail funding.</w:t>
      </w:r>
    </w:p>
    <w:p>
      <w:pPr>
        <w:spacing w:after="0" w:line="6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3.3. Net Interest Margin (NIM) and risk-adjusted NIM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NIM and Risk-adjusted NIM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142240</wp:posOffset>
            </wp:positionV>
            <wp:extent cx="5598160" cy="1911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9816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1Q21, NIM situated at 3.73%. This figure shows no variation with regard to 4Q20 but reflects a decline in terms of the 5.35% registered in 1Q20 and was impacted by non-recurring events, mainly the interest expenses associated with the liability management at BCP Stand-alone. The combined impact of non-recurring events led NIM to fall –7 bps in 1Q21. Additionally, NIM continue to be impacted by government loans, which led NIM to drop -36bps this quarter. Regarding the Structural NIM, which exclude non-recurring charges and GP loans, the evolution shows:</w:t>
      </w:r>
    </w:p>
    <w:p>
      <w:pPr>
        <w:spacing w:after="0" w:line="180" w:lineRule="exact"/>
        <w:rPr>
          <w:sz w:val="20"/>
          <w:szCs w:val="20"/>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Structural Portfolio posted NIM of 4.18% in 1Q21, which reflected a drop of -12 bps QoQ and -117 YoY. Structural NIM declined due to:</w:t>
      </w:r>
    </w:p>
    <w:p>
      <w:pPr>
        <w:spacing w:after="0" w:line="207" w:lineRule="exact"/>
        <w:rPr>
          <w:rFonts w:ascii="Arial" w:cs="Arial" w:eastAsia="Arial" w:hAnsi="Arial"/>
          <w:sz w:val="17"/>
          <w:szCs w:val="17"/>
          <w:color w:val="auto"/>
        </w:rPr>
      </w:pPr>
    </w:p>
    <w:p>
      <w:pPr>
        <w:ind w:left="940" w:hanging="347"/>
        <w:spacing w:after="0" w:line="269" w:lineRule="auto"/>
        <w:tabs>
          <w:tab w:leader="none" w:pos="9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mix effect: the decline in structural loans and the consequent reduction in their share of IEAs, which was countered by an uptick in the share of investments and available funds.</w:t>
      </w:r>
    </w:p>
    <w:p>
      <w:pPr>
        <w:spacing w:after="0" w:line="166" w:lineRule="exact"/>
        <w:rPr>
          <w:rFonts w:ascii="Arial" w:cs="Arial" w:eastAsia="Arial" w:hAnsi="Arial"/>
          <w:sz w:val="17"/>
          <w:szCs w:val="17"/>
          <w:color w:val="auto"/>
        </w:rPr>
      </w:pPr>
    </w:p>
    <w:p>
      <w:pPr>
        <w:ind w:left="940" w:hanging="347"/>
        <w:spacing w:after="0"/>
        <w:tabs>
          <w:tab w:leader="none" w:pos="9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Rate effect: The decrease in market rates had an impact on the repricing of the structural portfolio and on the generation of interest income.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NIM registered by each of Credicorp’s subsidiaries: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BCP</w:t>
            </w:r>
          </w:p>
        </w:tc>
        <w:tc>
          <w:tcPr>
            <w:tcW w:w="142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 xml:space="preserve">Mibanco </w:t>
            </w:r>
            <w:r>
              <w:rPr>
                <w:rFonts w:ascii="Arial" w:cs="Arial" w:eastAsia="Arial" w:hAnsi="Arial"/>
                <w:sz w:val="27"/>
                <w:szCs w:val="27"/>
                <w:b w:val="1"/>
                <w:bCs w:val="1"/>
                <w:color w:val="auto"/>
                <w:vertAlign w:val="superscript"/>
              </w:rPr>
              <w:t>(1)</w:t>
            </w:r>
          </w:p>
        </w:tc>
        <w:tc>
          <w:tcPr>
            <w:tcW w:w="280" w:type="dxa"/>
            <w:vAlign w:val="bottom"/>
            <w:vMerge w:val="restart"/>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4"/>
              </w:rPr>
              <w:t>BCP</w:t>
            </w:r>
          </w:p>
        </w:tc>
        <w:tc>
          <w:tcPr>
            <w:tcW w:w="146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 xml:space="preserve">Credicorp </w:t>
            </w:r>
            <w:r>
              <w:rPr>
                <w:rFonts w:ascii="Arial" w:cs="Arial" w:eastAsia="Arial" w:hAnsi="Arial"/>
                <w:sz w:val="27"/>
                <w:szCs w:val="27"/>
                <w:b w:val="1"/>
                <w:bCs w:val="1"/>
                <w:color w:val="auto"/>
                <w:vertAlign w:val="superscript"/>
              </w:rPr>
              <w:t>(1)</w:t>
            </w:r>
          </w:p>
        </w:tc>
        <w:tc>
          <w:tcPr>
            <w:tcW w:w="2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NIM Breakdown</w:t>
            </w:r>
          </w:p>
        </w:tc>
        <w:tc>
          <w:tcPr>
            <w:tcW w:w="2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17"/>
                <w:szCs w:val="17"/>
                <w:b w:val="1"/>
                <w:bCs w:val="1"/>
                <w:color w:val="auto"/>
                <w:w w:val="85"/>
              </w:rPr>
              <w:t xml:space="preserve">Stand-alone </w:t>
            </w:r>
            <w:r>
              <w:rPr>
                <w:rFonts w:ascii="Arial" w:cs="Arial" w:eastAsia="Arial" w:hAnsi="Arial"/>
                <w:sz w:val="27"/>
                <w:szCs w:val="27"/>
                <w:b w:val="1"/>
                <w:bCs w:val="1"/>
                <w:color w:val="auto"/>
                <w:w w:val="85"/>
                <w:vertAlign w:val="superscript"/>
              </w:rPr>
              <w:t>(1)</w:t>
            </w:r>
          </w:p>
        </w:tc>
        <w:tc>
          <w:tcPr>
            <w:tcW w:w="26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CEEFF"/>
            </w:tcBorders>
            <w:vMerge w:val="continue"/>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Bolivia</w:t>
            </w:r>
          </w:p>
        </w:tc>
        <w:tc>
          <w:tcPr>
            <w:tcW w:w="2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1Q20</w:t>
            </w:r>
          </w:p>
        </w:tc>
        <w:tc>
          <w:tcPr>
            <w:tcW w:w="2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4.70%</w:t>
            </w:r>
          </w:p>
        </w:tc>
        <w:tc>
          <w:tcPr>
            <w:tcW w:w="17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15.16%</w:t>
            </w:r>
          </w:p>
        </w:tc>
        <w:tc>
          <w:tcPr>
            <w:tcW w:w="17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3.60%</w:t>
            </w:r>
          </w:p>
        </w:tc>
        <w:tc>
          <w:tcPr>
            <w:tcW w:w="16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b w:val="1"/>
                <w:bCs w:val="1"/>
                <w:color w:val="auto"/>
              </w:rPr>
              <w:t>5.35%</w:t>
            </w:r>
          </w:p>
        </w:tc>
        <w:tc>
          <w:tcPr>
            <w:tcW w:w="0" w:type="dxa"/>
            <w:vAlign w:val="bottom"/>
          </w:tcPr>
          <w:p>
            <w:pPr>
              <w:spacing w:after="0"/>
              <w:rPr>
                <w:sz w:val="1"/>
                <w:szCs w:val="1"/>
                <w:color w:val="auto"/>
              </w:rPr>
            </w:pPr>
          </w:p>
        </w:tc>
      </w:tr>
      <w:tr>
        <w:trPr>
          <w:trHeight w:val="202"/>
        </w:trPr>
        <w:tc>
          <w:tcPr>
            <w:tcW w:w="2260" w:type="dxa"/>
            <w:vAlign w:val="bottom"/>
            <w:gridSpan w:val="2"/>
          </w:tcPr>
          <w:p>
            <w:pPr>
              <w:spacing w:after="0"/>
              <w:rPr>
                <w:sz w:val="20"/>
                <w:szCs w:val="20"/>
                <w:color w:val="auto"/>
              </w:rPr>
            </w:pPr>
            <w:r>
              <w:rPr>
                <w:rFonts w:ascii="Arial" w:cs="Arial" w:eastAsia="Arial" w:hAnsi="Arial"/>
                <w:sz w:val="17"/>
                <w:szCs w:val="17"/>
                <w:b w:val="1"/>
                <w:bCs w:val="1"/>
                <w:color w:val="auto"/>
              </w:rPr>
              <w:t>4Q20</w:t>
            </w: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3.60%</w:t>
            </w:r>
          </w:p>
        </w:tc>
        <w:tc>
          <w:tcPr>
            <w:tcW w:w="1700" w:type="dxa"/>
            <w:vAlign w:val="bottom"/>
            <w:gridSpan w:val="2"/>
          </w:tcPr>
          <w:p>
            <w:pPr>
              <w:jc w:val="right"/>
              <w:ind w:right="140"/>
              <w:spacing w:after="0"/>
              <w:rPr>
                <w:sz w:val="20"/>
                <w:szCs w:val="20"/>
                <w:color w:val="auto"/>
              </w:rPr>
            </w:pPr>
            <w:r>
              <w:rPr>
                <w:rFonts w:ascii="Arial" w:cs="Arial" w:eastAsia="Arial" w:hAnsi="Arial"/>
                <w:sz w:val="17"/>
                <w:szCs w:val="17"/>
                <w:color w:val="auto"/>
              </w:rPr>
              <w:t>10.20%</w:t>
            </w:r>
          </w:p>
        </w:tc>
        <w:tc>
          <w:tcPr>
            <w:tcW w:w="1700" w:type="dxa"/>
            <w:vAlign w:val="bottom"/>
            <w:gridSpan w:val="2"/>
          </w:tcPr>
          <w:p>
            <w:pPr>
              <w:jc w:val="right"/>
              <w:ind w:right="140"/>
              <w:spacing w:after="0"/>
              <w:rPr>
                <w:sz w:val="20"/>
                <w:szCs w:val="20"/>
                <w:color w:val="auto"/>
              </w:rPr>
            </w:pPr>
            <w:r>
              <w:rPr>
                <w:rFonts w:ascii="Arial" w:cs="Arial" w:eastAsia="Arial" w:hAnsi="Arial"/>
                <w:sz w:val="17"/>
                <w:szCs w:val="17"/>
                <w:color w:val="auto"/>
              </w:rPr>
              <w:t>-2.99%</w:t>
            </w:r>
          </w:p>
        </w:tc>
        <w:tc>
          <w:tcPr>
            <w:tcW w:w="16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3.73%</w:t>
            </w:r>
          </w:p>
        </w:tc>
        <w:tc>
          <w:tcPr>
            <w:tcW w:w="0" w:type="dxa"/>
            <w:vAlign w:val="bottom"/>
          </w:tcPr>
          <w:p>
            <w:pPr>
              <w:spacing w:after="0"/>
              <w:rPr>
                <w:sz w:val="1"/>
                <w:szCs w:val="1"/>
                <w:color w:val="auto"/>
              </w:rPr>
            </w:pPr>
          </w:p>
        </w:tc>
      </w:tr>
      <w:tr>
        <w:trPr>
          <w:trHeight w:val="202"/>
        </w:trPr>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1Q21</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3.23%</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10.37%</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3.73%</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NIM: Annualized Net interest income / Average period end and period beginning interest earning assets.</w:t>
      </w:r>
    </w:p>
    <w:p>
      <w:pPr>
        <w:spacing w:after="0" w:line="18" w:lineRule="exact"/>
        <w:rPr>
          <w:sz w:val="20"/>
          <w:szCs w:val="20"/>
          <w:color w:val="auto"/>
        </w:rPr>
      </w:pPr>
    </w:p>
    <w:p>
      <w:pPr>
        <w:ind w:right="3480" w:firstLine="1"/>
        <w:spacing w:after="0" w:line="552" w:lineRule="auto"/>
        <w:tabs>
          <w:tab w:leader="none" w:pos="238" w:val="left"/>
        </w:tabs>
        <w:numPr>
          <w:ilvl w:val="0"/>
          <w:numId w:val="24"/>
        </w:numPr>
        <w:rPr>
          <w:rFonts w:ascii="Arial" w:cs="Arial" w:eastAsia="Arial" w:hAnsi="Arial"/>
          <w:sz w:val="15"/>
          <w:szCs w:val="15"/>
          <w:color w:val="auto"/>
        </w:rPr>
      </w:pPr>
      <w:r>
        <w:rPr>
          <w:rFonts w:ascii="Arial" w:cs="Arial" w:eastAsia="Arial" w:hAnsi="Arial"/>
          <w:sz w:val="15"/>
          <w:szCs w:val="15"/>
          <w:color w:val="auto"/>
        </w:rPr>
        <w:t>Credicorp also includes Credicorp Capital, Prima, Grupo Credito and Eliminations for consolidation purposes. In the QoQ evolution, NIM situated at 3.73% at the Credicorp level due to mixed evolutions at the subsidiary level:</w:t>
      </w:r>
    </w:p>
    <w:p>
      <w:pPr>
        <w:ind w:left="600" w:hanging="297"/>
        <w:spacing w:after="0" w:line="269" w:lineRule="auto"/>
        <w:tabs>
          <w:tab w:leader="none" w:pos="6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At BCP Stand-alone, NIM fell -37pbs due to the increase in the IEA volume and to a change in the mix, which reflects a decrease in the share of structural loans. The non-recurring charge for the issuance premium relative to the liability management also had an impact.</w:t>
      </w:r>
    </w:p>
    <w:p>
      <w:pPr>
        <w:spacing w:after="0" w:line="166" w:lineRule="exact"/>
        <w:rPr>
          <w:rFonts w:ascii="Arial" w:cs="Arial" w:eastAsia="Arial" w:hAnsi="Arial"/>
          <w:sz w:val="17"/>
          <w:szCs w:val="17"/>
          <w:color w:val="auto"/>
        </w:rPr>
      </w:pPr>
    </w:p>
    <w:p>
      <w:pPr>
        <w:ind w:left="600" w:hanging="297"/>
        <w:spacing w:after="0" w:line="269" w:lineRule="auto"/>
        <w:tabs>
          <w:tab w:leader="none" w:pos="6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Mibanco Perú registered a +17bps increase in NIM QoQ due to the recovery in structural loans, which registered an uptick in placements of smaller loan amounts at higher interest rates that bolstered recovery QoQ.</w:t>
      </w:r>
    </w:p>
    <w:p>
      <w:pPr>
        <w:spacing w:after="0" w:line="166" w:lineRule="exact"/>
        <w:rPr>
          <w:rFonts w:ascii="Arial" w:cs="Arial" w:eastAsia="Arial" w:hAnsi="Arial"/>
          <w:sz w:val="17"/>
          <w:szCs w:val="17"/>
          <w:color w:val="auto"/>
        </w:rPr>
      </w:pPr>
    </w:p>
    <w:p>
      <w:pPr>
        <w:ind w:left="600" w:hanging="297"/>
        <w:spacing w:after="0"/>
        <w:tabs>
          <w:tab w:leader="none" w:pos="6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BCP Bolivia reported a recovery in its margin after having registered a non-recurring charge for interest impairment in 4Q20.</w:t>
      </w:r>
    </w:p>
    <w:p>
      <w:pPr>
        <w:spacing w:after="0" w:line="10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In the YoY evolution, Credicorp’s NIM fell -162pbs after:</w:t>
      </w:r>
    </w:p>
    <w:p>
      <w:pPr>
        <w:spacing w:after="0" w:line="208" w:lineRule="exact"/>
        <w:rPr>
          <w:sz w:val="20"/>
          <w:szCs w:val="20"/>
          <w:color w:val="auto"/>
        </w:rPr>
      </w:pPr>
    </w:p>
    <w:p>
      <w:pPr>
        <w:jc w:val="both"/>
        <w:ind w:left="600" w:hanging="297"/>
        <w:spacing w:after="0" w:line="258"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BCP Stand-alone’s NIM deteriorated -147bps YoY; this was due primarily to the impact of GP loans, which increased the amount of IEAs with lower interest rates; the decrease of structural loans and a subsequent decline in their share of IEAs; a drop in market rates; and a non-recurring charge for the liability management at BCP Stand-Alone.</w:t>
      </w:r>
    </w:p>
    <w:p>
      <w:pPr>
        <w:spacing w:after="0" w:line="175" w:lineRule="exact"/>
        <w:rPr>
          <w:rFonts w:ascii="Arial" w:cs="Arial" w:eastAsia="Arial" w:hAnsi="Arial"/>
          <w:sz w:val="17"/>
          <w:szCs w:val="17"/>
          <w:color w:val="auto"/>
        </w:rPr>
      </w:pPr>
    </w:p>
    <w:p>
      <w:pPr>
        <w:ind w:left="600" w:hanging="297"/>
        <w:spacing w:after="0" w:line="337" w:lineRule="auto"/>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Mibanco, NIM fell –479bps YoY due to the prevalence of GP loans; a decrease in the structural portfolio; and, to a lesser extent, to reversals of accrued interest for clients that reprogrammed loans but fell delinquent once grace periods expired. In BCP Bolivia, NIM fell due to a decrease in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Risk-adjusted NIM </w:t>
      </w:r>
      <w:r>
        <w:rPr>
          <w:rFonts w:ascii="Arial" w:cs="Arial" w:eastAsia="Arial" w:hAnsi="Arial"/>
          <w:sz w:val="17"/>
          <w:szCs w:val="17"/>
          <w:color w:val="auto"/>
        </w:rPr>
        <w:t>increased +34bps QoQ and y +42bps YoY due to a decrease in provisions in 1Q20.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If we analyze risk-adjusted NIM by subsidiary, we find: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BCP</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BCP</w:t>
            </w:r>
          </w:p>
        </w:tc>
        <w:tc>
          <w:tcPr>
            <w:tcW w:w="1320" w:type="dxa"/>
            <w:vAlign w:val="bottom"/>
            <w:vMerge w:val="restart"/>
          </w:tcPr>
          <w:p>
            <w:pPr>
              <w:ind w:left="200"/>
              <w:spacing w:after="0"/>
              <w:rPr>
                <w:sz w:val="20"/>
                <w:szCs w:val="20"/>
                <w:color w:val="auto"/>
              </w:rPr>
            </w:pPr>
            <w:r>
              <w:rPr>
                <w:rFonts w:ascii="Arial" w:cs="Arial" w:eastAsia="Arial" w:hAnsi="Arial"/>
                <w:sz w:val="17"/>
                <w:szCs w:val="17"/>
                <w:b w:val="1"/>
                <w:bCs w:val="1"/>
                <w:color w:val="auto"/>
              </w:rPr>
              <w:t xml:space="preserve">Credicorp </w:t>
            </w:r>
            <w:r>
              <w:rPr>
                <w:rFonts w:ascii="Arial" w:cs="Arial" w:eastAsia="Arial" w:hAnsi="Arial"/>
                <w:sz w:val="27"/>
                <w:szCs w:val="27"/>
                <w:b w:val="1"/>
                <w:bCs w:val="1"/>
                <w:color w:val="auto"/>
                <w:vertAlign w:val="superscript"/>
              </w:rPr>
              <w:t>(1)</w:t>
            </w:r>
          </w:p>
        </w:tc>
        <w:tc>
          <w:tcPr>
            <w:tcW w:w="2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Risk Adjusted NIM Breakdown</w:t>
            </w:r>
          </w:p>
        </w:tc>
        <w:tc>
          <w:tcPr>
            <w:tcW w:w="2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Stand-alone</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w w:val="92"/>
              </w:rPr>
              <w:t>Mibanco</w:t>
            </w: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Bolivia</w:t>
            </w: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1Q20</w:t>
            </w:r>
          </w:p>
        </w:tc>
        <w:tc>
          <w:tcPr>
            <w:tcW w:w="2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1.45%</w:t>
            </w:r>
          </w:p>
        </w:tc>
        <w:tc>
          <w:tcPr>
            <w:tcW w:w="10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w w:val="91"/>
              </w:rPr>
              <w:t>9.54%</w:t>
            </w:r>
          </w:p>
        </w:tc>
        <w:tc>
          <w:tcPr>
            <w:tcW w:w="15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2.11%</w:t>
            </w:r>
          </w:p>
        </w:tc>
        <w:tc>
          <w:tcPr>
            <w:tcW w:w="15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b w:val="1"/>
                <w:bCs w:val="1"/>
                <w:color w:val="auto"/>
              </w:rPr>
              <w:t>2.33%</w:t>
            </w:r>
          </w:p>
        </w:tc>
        <w:tc>
          <w:tcPr>
            <w:tcW w:w="0" w:type="dxa"/>
            <w:vAlign w:val="bottom"/>
          </w:tcPr>
          <w:p>
            <w:pPr>
              <w:spacing w:after="0"/>
              <w:rPr>
                <w:sz w:val="1"/>
                <w:szCs w:val="1"/>
                <w:color w:val="auto"/>
              </w:rPr>
            </w:pPr>
          </w:p>
        </w:tc>
      </w:tr>
      <w:tr>
        <w:trPr>
          <w:trHeight w:val="202"/>
        </w:trPr>
        <w:tc>
          <w:tcPr>
            <w:tcW w:w="2720" w:type="dxa"/>
            <w:vAlign w:val="bottom"/>
            <w:gridSpan w:val="2"/>
          </w:tcPr>
          <w:p>
            <w:pPr>
              <w:spacing w:after="0"/>
              <w:rPr>
                <w:sz w:val="20"/>
                <w:szCs w:val="20"/>
                <w:color w:val="auto"/>
              </w:rPr>
            </w:pPr>
            <w:r>
              <w:rPr>
                <w:rFonts w:ascii="Arial" w:cs="Arial" w:eastAsia="Arial" w:hAnsi="Arial"/>
                <w:sz w:val="17"/>
                <w:szCs w:val="17"/>
                <w:b w:val="1"/>
                <w:bCs w:val="1"/>
                <w:color w:val="auto"/>
              </w:rPr>
              <w:t>4Q20</w:t>
            </w: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2.28%</w:t>
            </w:r>
          </w:p>
        </w:tc>
        <w:tc>
          <w:tcPr>
            <w:tcW w:w="102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7.09%</w:t>
            </w: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-4.37%</w:t>
            </w:r>
          </w:p>
        </w:tc>
        <w:tc>
          <w:tcPr>
            <w:tcW w:w="1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2.41%</w:t>
            </w:r>
          </w:p>
        </w:tc>
        <w:tc>
          <w:tcPr>
            <w:tcW w:w="0" w:type="dxa"/>
            <w:vAlign w:val="bottom"/>
          </w:tcPr>
          <w:p>
            <w:pPr>
              <w:spacing w:after="0"/>
              <w:rPr>
                <w:sz w:val="1"/>
                <w:szCs w:val="1"/>
                <w:color w:val="auto"/>
              </w:rPr>
            </w:pP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1Q21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2.37%</w:t>
            </w:r>
          </w:p>
        </w:tc>
        <w:tc>
          <w:tcPr>
            <w:tcW w:w="10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6.81%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2.75%</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Risk-Adjusted NIM: (Annualized Net interest income - annualized provisions) / Average period end and period beginning interest earning assets.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 Credicorp also includes Credicorp Capital, Prima, Grupo Credito and Eliminations for consolidation purposes.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BCP Stand-alone registered an increase in risk-adjusted NIM of +10bps QoQ and +92bps YoY, which corresponds to a reduction in net provisions this quarter.</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At Mibanco, risk-adjusted NIM reflected a deterioration of -28bps QoQ and -273bps YoY. The QoQ evolution was attributable to an increase in provisions after a number of clients registered a deterioration in their debt service capacity and migrated from stage 2 to stage 3. The YoY evolution was attributable to a decrease in NIM in a context marked by a high prevalence of low-rate government loans; a drop in structural loans; and interest reversals for delinquency relative to loans with expired grace periods. It is important to note that the increase in risk is within business expectations and is covered by the provisions that were set aside in 2020. This point will be further explained in section 4. Portfolio Quality.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At BCP Bolivia, NIM rose +627pbs QoQ due to the non-recurring charge registered in 4Q20 but fell -20pbs YoY due to a decrease in placement rates.</w:t>
      </w:r>
    </w:p>
    <w:p>
      <w:pPr>
        <w:spacing w:after="0" w:line="11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6741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674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4. Portfolio Quality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4.1. Reprogrammed loans and payment ratios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1Q21, the payment ratio for past due installments remained stable QoQ at both BCP Stand-alone and Mibanco. In the case of Retail Banking at BCP Stand-alone, payments on loans due fell to 95% in March versus 94% in December, while the ratio at Mibanco remained at 93%. In both cases, the results reflect a higher volume of installments due, after the loans with grace periods expired.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At the end of March, on-time structural loans presented the following evolution: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case of Retail Banking at BCP Stand-alone, 76% of the portfolio is up-to-date; 20% is reprogrammed; and 4% is past due (versus 74%, 20% and6% at the end of 4Q20 respectively). At Mibanco, 57% of the portfolio is up-to-date; 34% is reprogrammed; and 9% is past due (versus 49%, 45% and 6% at the end of 4Q20 respectively).</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include reprogrammed loans from Wholesale Banking at BCP Stand-alone and from BCP Bolivia, the level of reprogrammed loans for Credicorp represents approximately 15% of total loans. Loan reprogramming has helped attenuate portfolio deterioration.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4.2. Provisions and the CofR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Provision for credit losses on loan portfolio, net of recoveries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Quarter</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620"/>
              <w:spacing w:after="0"/>
              <w:rPr>
                <w:sz w:val="20"/>
                <w:szCs w:val="20"/>
                <w:color w:val="auto"/>
              </w:rPr>
            </w:pPr>
            <w:r>
              <w:rPr>
                <w:rFonts w:ascii="Arial" w:cs="Arial" w:eastAsia="Arial" w:hAnsi="Arial"/>
                <w:sz w:val="17"/>
                <w:szCs w:val="17"/>
                <w:b w:val="1"/>
                <w:bCs w:val="1"/>
                <w:color w:val="auto"/>
              </w:rPr>
              <w:t>% change</w:t>
            </w: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1Q20</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4Q20</w:t>
            </w:r>
          </w:p>
        </w:tc>
        <w:tc>
          <w:tcPr>
            <w:tcW w:w="20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1Q21</w:t>
            </w:r>
          </w:p>
        </w:tc>
        <w:tc>
          <w:tcPr>
            <w:tcW w:w="20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QoQ</w:t>
            </w:r>
          </w:p>
        </w:tc>
        <w:tc>
          <w:tcPr>
            <w:tcW w:w="280" w:type="dxa"/>
            <w:vAlign w:val="bottom"/>
            <w:tcBorders>
              <w:bottom w:val="single" w:sz="8" w:color="CCEEFF"/>
            </w:tcBorders>
            <w:gridSpan w:val="2"/>
          </w:tcPr>
          <w:p>
            <w:pPr>
              <w:spacing w:after="0"/>
              <w:rPr>
                <w:sz w:val="17"/>
                <w:szCs w:val="17"/>
                <w:color w:val="auto"/>
              </w:rPr>
            </w:pPr>
          </w:p>
        </w:tc>
        <w:tc>
          <w:tcPr>
            <w:tcW w:w="340" w:type="dxa"/>
            <w:vAlign w:val="bottom"/>
            <w:tcBorders>
              <w:bottom w:val="single" w:sz="8" w:color="auto"/>
            </w:tcBorders>
            <w:gridSpan w:val="2"/>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YoY</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Gross provision for credit losses on loan portfolio</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(1,388,711)</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(785,194)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(622,982)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-20.7%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rPr>
                <w:sz w:val="20"/>
                <w:szCs w:val="20"/>
                <w:color w:val="auto"/>
              </w:rPr>
            </w:pPr>
            <w:r>
              <w:rPr>
                <w:rFonts w:ascii="Arial" w:cs="Arial" w:eastAsia="Arial" w:hAnsi="Arial"/>
                <w:sz w:val="17"/>
                <w:szCs w:val="17"/>
                <w:color w:val="auto"/>
              </w:rPr>
              <w:t>Recoveries of written-off loans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47,230</w:t>
            </w: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52,529</w:t>
            </w:r>
          </w:p>
        </w:tc>
        <w:tc>
          <w:tcPr>
            <w:tcW w:w="14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65,335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02"/>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Provision for credit losses on loan portfolio, net of recoveries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(1,341,481)</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(732,665)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(557,647)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-58.4%</w:t>
            </w:r>
          </w:p>
        </w:tc>
        <w:tc>
          <w:tcPr>
            <w:tcW w:w="0" w:type="dxa"/>
            <w:vAlign w:val="bottom"/>
          </w:tcPr>
          <w:p>
            <w:pPr>
              <w:spacing w:after="0"/>
              <w:rPr>
                <w:sz w:val="1"/>
                <w:szCs w:val="1"/>
                <w:color w:val="auto"/>
              </w:rPr>
            </w:pPr>
          </w:p>
        </w:tc>
      </w:tr>
      <w:tr>
        <w:trPr>
          <w:trHeight w:val="428"/>
        </w:trPr>
        <w:tc>
          <w:tcPr>
            <w:tcW w:w="5060" w:type="dxa"/>
            <w:vAlign w:val="bottom"/>
            <w:vMerge w:val="restart"/>
          </w:tcPr>
          <w:p>
            <w:pPr>
              <w:spacing w:after="0"/>
              <w:rPr>
                <w:sz w:val="20"/>
                <w:szCs w:val="20"/>
                <w:color w:val="auto"/>
              </w:rPr>
            </w:pPr>
            <w:r>
              <w:rPr>
                <w:rFonts w:ascii="Arial" w:cs="Arial" w:eastAsia="Arial" w:hAnsi="Arial"/>
                <w:sz w:val="17"/>
                <w:szCs w:val="17"/>
                <w:b w:val="1"/>
                <w:bCs w:val="1"/>
                <w:color w:val="auto"/>
              </w:rPr>
              <w:t>Cost of risk and Provisions</w:t>
            </w:r>
          </w:p>
        </w:tc>
        <w:tc>
          <w:tcPr>
            <w:tcW w:w="120" w:type="dxa"/>
            <w:vAlign w:val="bottom"/>
            <w:vMerge w:val="restart"/>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7"/>
                <w:szCs w:val="17"/>
                <w:b w:val="1"/>
                <w:bCs w:val="1"/>
                <w:color w:val="auto"/>
              </w:rPr>
              <w:t>Quarter</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Borders>
              <w:bottom w:val="single" w:sz="8" w:color="auto"/>
            </w:tcBorders>
            <w:gridSpan w:val="5"/>
          </w:tcPr>
          <w:p>
            <w:pPr>
              <w:ind w:left="740"/>
              <w:spacing w:after="0"/>
              <w:rPr>
                <w:sz w:val="20"/>
                <w:szCs w:val="20"/>
                <w:color w:val="auto"/>
              </w:rPr>
            </w:pPr>
            <w:r>
              <w:rPr>
                <w:rFonts w:ascii="Arial" w:cs="Arial" w:eastAsia="Arial" w:hAnsi="Arial"/>
                <w:sz w:val="17"/>
                <w:szCs w:val="17"/>
                <w:b w:val="1"/>
                <w:bCs w:val="1"/>
                <w:color w:val="auto"/>
                <w:w w:val="88"/>
              </w:rPr>
              <w:t>% change</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1Q20</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4Q20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1Q21</w:t>
            </w:r>
          </w:p>
        </w:tc>
        <w:tc>
          <w:tcPr>
            <w:tcW w:w="260" w:type="dxa"/>
            <w:vAlign w:val="bottom"/>
            <w:tcBorders>
              <w:bottom w:val="single" w:sz="8" w:color="CCEEFF"/>
            </w:tcBorders>
            <w:gridSpan w:val="2"/>
          </w:tcPr>
          <w:p>
            <w:pPr>
              <w:spacing w:after="0"/>
              <w:rPr>
                <w:sz w:val="18"/>
                <w:szCs w:val="18"/>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QoQ</w:t>
            </w:r>
          </w:p>
        </w:tc>
        <w:tc>
          <w:tcPr>
            <w:tcW w:w="20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YoY</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6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 xml:space="preserve">Cost of risk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4.45%</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1.63%</w:t>
            </w:r>
          </w:p>
        </w:tc>
        <w:tc>
          <w:tcPr>
            <w:tcW w:w="146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-50 bps</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-282 bps</w:t>
            </w:r>
          </w:p>
        </w:tc>
        <w:tc>
          <w:tcPr>
            <w:tcW w:w="0" w:type="dxa"/>
            <w:vAlign w:val="bottom"/>
          </w:tcPr>
          <w:p>
            <w:pPr>
              <w:spacing w:after="0"/>
              <w:rPr>
                <w:sz w:val="1"/>
                <w:szCs w:val="1"/>
                <w:color w:val="auto"/>
              </w:rPr>
            </w:pPr>
          </w:p>
        </w:tc>
      </w:tr>
      <w:tr>
        <w:trPr>
          <w:trHeight w:val="239"/>
        </w:trPr>
        <w:tc>
          <w:tcPr>
            <w:tcW w:w="518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Structural Cost of risk </w:t>
            </w:r>
            <w:r>
              <w:rPr>
                <w:rFonts w:ascii="Arial" w:cs="Arial" w:eastAsia="Arial" w:hAnsi="Arial"/>
                <w:sz w:val="27"/>
                <w:szCs w:val="27"/>
                <w:color w:val="auto"/>
                <w:vertAlign w:val="superscript"/>
              </w:rPr>
              <w:t>(2)</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4.45%</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2.64%</w:t>
            </w:r>
          </w:p>
        </w:tc>
        <w:tc>
          <w:tcPr>
            <w:tcW w:w="1360" w:type="dxa"/>
            <w:vAlign w:val="bottom"/>
            <w:gridSpan w:val="5"/>
          </w:tcPr>
          <w:p>
            <w:pPr>
              <w:jc w:val="right"/>
              <w:ind w:right="120"/>
              <w:spacing w:after="0"/>
              <w:rPr>
                <w:sz w:val="20"/>
                <w:szCs w:val="20"/>
                <w:color w:val="auto"/>
              </w:rPr>
            </w:pPr>
            <w:r>
              <w:rPr>
                <w:rFonts w:ascii="Arial" w:cs="Arial" w:eastAsia="Arial" w:hAnsi="Arial"/>
                <w:sz w:val="17"/>
                <w:szCs w:val="17"/>
                <w:color w:val="auto"/>
              </w:rPr>
              <w:t>1.92%</w:t>
            </w:r>
          </w:p>
        </w:tc>
        <w:tc>
          <w:tcPr>
            <w:tcW w:w="1460" w:type="dxa"/>
            <w:vAlign w:val="bottom"/>
            <w:gridSpan w:val="5"/>
          </w:tcPr>
          <w:p>
            <w:pPr>
              <w:jc w:val="right"/>
              <w:ind w:right="460"/>
              <w:spacing w:after="0"/>
              <w:rPr>
                <w:sz w:val="20"/>
                <w:szCs w:val="20"/>
                <w:color w:val="auto"/>
              </w:rPr>
            </w:pPr>
            <w:r>
              <w:rPr>
                <w:rFonts w:ascii="Arial" w:cs="Arial" w:eastAsia="Arial" w:hAnsi="Arial"/>
                <w:sz w:val="17"/>
                <w:szCs w:val="17"/>
                <w:color w:val="auto"/>
              </w:rPr>
              <w:t>-72 bps</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-253 bps</w:t>
            </w:r>
          </w:p>
        </w:tc>
        <w:tc>
          <w:tcPr>
            <w:tcW w:w="0" w:type="dxa"/>
            <w:vAlign w:val="bottom"/>
          </w:tcPr>
          <w:p>
            <w:pPr>
              <w:spacing w:after="0"/>
              <w:rPr>
                <w:sz w:val="1"/>
                <w:szCs w:val="1"/>
                <w:color w:val="auto"/>
              </w:rPr>
            </w:pPr>
          </w:p>
        </w:tc>
      </w:tr>
      <w:tr>
        <w:trPr>
          <w:trHeight w:val="189"/>
        </w:trPr>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w w:val="92"/>
              </w:rPr>
              <w:t>Provision for credit losses on loan portfolio, net of recoveries / Net interest</w:t>
            </w: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56.4%</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26.3%</w:t>
            </w:r>
          </w:p>
        </w:tc>
        <w:tc>
          <w:tcPr>
            <w:tcW w:w="146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-910 bps</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2"/>
              </w:rPr>
              <w:t>-3010 bps</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40" w:hanging="239"/>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Annualized Provision for credit losses on loan portfolio, net of recoveries / Total loans.</w:t>
      </w:r>
    </w:p>
    <w:p>
      <w:pPr>
        <w:spacing w:after="0" w:line="18" w:lineRule="exact"/>
        <w:rPr>
          <w:rFonts w:ascii="Arial" w:cs="Arial" w:eastAsia="Arial" w:hAnsi="Arial"/>
          <w:sz w:val="17"/>
          <w:szCs w:val="17"/>
          <w:color w:val="auto"/>
        </w:rPr>
      </w:pPr>
    </w:p>
    <w:p>
      <w:pPr>
        <w:ind w:right="880" w:firstLine="1"/>
        <w:spacing w:after="0" w:line="254" w:lineRule="auto"/>
        <w:tabs>
          <w:tab w:leader="none" w:pos="23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Structural Cost of risk excludes the provisions for credit losses on loan portfolio, net of recoveries and total loans from the Reactiva Peru and FAE Government Programs.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Provisions continued to follow a downward trend, contracting -23.9% QoQ. This level was the lowest sign since the beginning of the pandemic. This contraction was attributable to:</w:t>
      </w:r>
    </w:p>
    <w:p>
      <w:pPr>
        <w:spacing w:after="0" w:line="166" w:lineRule="exact"/>
        <w:rPr>
          <w:sz w:val="20"/>
          <w:szCs w:val="20"/>
          <w:color w:val="auto"/>
        </w:rPr>
      </w:pPr>
    </w:p>
    <w:p>
      <w:pPr>
        <w:jc w:val="both"/>
        <w:ind w:left="300" w:hanging="299"/>
        <w:spacing w:after="0" w:line="258"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BCP Stand-alone: due to a reduction in the probability of default (PD) of the majority of segments, which reflects an uptick in transactional activity; a reduction in provisions due to a decrease in the volume of loans entering to Stage 3, in line with a decrease in total refinanced loans and an upturn in client payments; adequate management of Retail Banking products; and a reversal of provisions from clients in Stage 2.</w:t>
      </w:r>
    </w:p>
    <w:p>
      <w:pPr>
        <w:spacing w:after="0" w:line="175" w:lineRule="exact"/>
        <w:rPr>
          <w:rFonts w:ascii="Arial" w:cs="Arial" w:eastAsia="Arial" w:hAnsi="Arial"/>
          <w:sz w:val="17"/>
          <w:szCs w:val="17"/>
          <w:color w:val="auto"/>
        </w:rPr>
      </w:pPr>
    </w:p>
    <w:p>
      <w:pPr>
        <w:ind w:left="300" w:hanging="299"/>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BCP Bolivia: due to the effect of the loan reprogramming, as established by the Bolivian government in the context of COVID-19.</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aforementioned was offset by growth in Mibanco’s provisions due to portfolio deterioration (mainly of clients that moved from Stage 2 to Stage 3) and due to alignment with bureau information after clients registered delinquency with other entities in the financial system.</w:t>
      </w:r>
    </w:p>
    <w:p>
      <w:pPr>
        <w:spacing w:after="0" w:line="6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627380</wp:posOffset>
            </wp:positionH>
            <wp:positionV relativeFrom="page">
              <wp:posOffset>360680</wp:posOffset>
            </wp:positionV>
            <wp:extent cx="6525895" cy="1183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2589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0"/>
        <w:spacing w:after="0"/>
        <w:tabs>
          <w:tab w:leader="none" w:pos="5820" w:val="left"/>
        </w:tabs>
        <w:rPr>
          <w:sz w:val="20"/>
          <w:szCs w:val="20"/>
          <w:color w:val="auto"/>
        </w:rPr>
      </w:pPr>
      <w:r>
        <w:rPr>
          <w:rFonts w:ascii="Arial" w:cs="Arial" w:eastAsia="Arial" w:hAnsi="Arial"/>
          <w:sz w:val="17"/>
          <w:szCs w:val="17"/>
          <w:color w:val="auto"/>
        </w:rPr>
        <w:t>(1) Others include BCP Bolivia, ASB and eliminations.</w:t>
      </w:r>
      <w:r>
        <w:rPr>
          <w:sz w:val="20"/>
          <w:szCs w:val="20"/>
          <w:color w:val="auto"/>
        </w:rPr>
        <w:tab/>
      </w:r>
      <w:r>
        <w:rPr>
          <w:rFonts w:ascii="Arial" w:cs="Arial" w:eastAsia="Arial" w:hAnsi="Arial"/>
          <w:sz w:val="15"/>
          <w:szCs w:val="15"/>
          <w:color w:val="auto"/>
        </w:rPr>
        <w:t>(1) Others include BCP Bolivia, ASB and eliminations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In the YoY analysis, provisions showed a significant reduction compared to 1Q20, due to the forward-looking provisions registered at the beginning of the pandemic and a reduction in the portfolio PD levels, particularly in the SME-Pyme segment. The reduction in forward-looking provisions was attributable to adjustments in macroeconomic projections at the model level, which had a greater impact on Individuals and Wholesale Banking and drove Credicorp’s drop in provisions of -58.4%.</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line with the aforementioned, the CofR at Credicorp fell -50 bps QoQ and -282 bps YoY. If we exclude Government Program loans (GP) and the corresponding provisions, the cost of risk of Credicorp’s structural portfolio is situated at 1.92% versus 2.64% in 4Q20.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gridSpan w:val="3"/>
          </w:tcPr>
          <w:p>
            <w:pPr>
              <w:spacing w:after="0"/>
              <w:rPr>
                <w:sz w:val="20"/>
                <w:szCs w:val="20"/>
                <w:color w:val="auto"/>
              </w:rPr>
            </w:pPr>
            <w:r>
              <w:rPr>
                <w:rFonts w:ascii="Arial" w:cs="Arial" w:eastAsia="Arial" w:hAnsi="Arial"/>
                <w:sz w:val="17"/>
                <w:szCs w:val="17"/>
                <w:b w:val="1"/>
                <w:bCs w:val="1"/>
                <w:color w:val="auto"/>
              </w:rPr>
              <w:t>4.3. Delinquency</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03"/>
        </w:trPr>
        <w:tc>
          <w:tcPr>
            <w:tcW w:w="4820" w:type="dxa"/>
            <w:vAlign w:val="bottom"/>
            <w:gridSpan w:val="3"/>
          </w:tcPr>
          <w:p>
            <w:pPr>
              <w:ind w:left="560"/>
              <w:spacing w:after="0"/>
              <w:rPr>
                <w:sz w:val="20"/>
                <w:szCs w:val="20"/>
                <w:color w:val="auto"/>
              </w:rPr>
            </w:pPr>
            <w:r>
              <w:rPr>
                <w:rFonts w:ascii="Arial" w:cs="Arial" w:eastAsia="Arial" w:hAnsi="Arial"/>
                <w:sz w:val="17"/>
                <w:szCs w:val="17"/>
                <w:b w:val="1"/>
                <w:bCs w:val="1"/>
                <w:color w:val="auto"/>
              </w:rPr>
              <w:t>Portfolio quality and Delinquency ratios</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7"/>
                <w:szCs w:val="17"/>
                <w:b w:val="1"/>
                <w:bCs w:val="1"/>
                <w:color w:val="auto"/>
              </w:rPr>
              <w:t>A s of</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w w:val="90"/>
              </w:rPr>
              <w:t>% change</w:t>
            </w: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7"/>
        </w:trPr>
        <w:tc>
          <w:tcPr>
            <w:tcW w:w="560" w:type="dxa"/>
            <w:vAlign w:val="bottom"/>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Mar 20</w:t>
            </w: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Dec 20</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Mar 21</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QoQ</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YoY</w:t>
            </w:r>
          </w:p>
        </w:tc>
        <w:tc>
          <w:tcPr>
            <w:tcW w:w="180" w:type="dxa"/>
            <w:vAlign w:val="bottom"/>
            <w:tcBorders>
              <w:bottom w:val="single" w:sz="8" w:color="CCEEFF"/>
            </w:tcBorders>
          </w:tcPr>
          <w:p>
            <w:pPr>
              <w:spacing w:after="0"/>
              <w:rPr>
                <w:sz w:val="18"/>
                <w:szCs w:val="18"/>
                <w:color w:val="auto"/>
              </w:rPr>
            </w:pPr>
          </w:p>
        </w:tc>
      </w:tr>
      <w:tr>
        <w:trPr>
          <w:trHeight w:val="194"/>
        </w:trPr>
        <w:tc>
          <w:tcPr>
            <w:tcW w:w="560" w:type="dxa"/>
            <w:vAlign w:val="bottom"/>
          </w:tcPr>
          <w:p>
            <w:pPr>
              <w:spacing w:after="0"/>
              <w:rPr>
                <w:sz w:val="16"/>
                <w:szCs w:val="16"/>
                <w:color w:val="auto"/>
              </w:rPr>
            </w:pPr>
          </w:p>
        </w:tc>
        <w:tc>
          <w:tcPr>
            <w:tcW w:w="41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loans (Quarter-end balance)</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7"/>
              </w:rPr>
              <w:t>120,708,515</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9"/>
              </w:rPr>
              <w:t>137,659,885</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9"/>
              </w:rPr>
              <w:t>137,031,239</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b w:val="1"/>
                <w:bCs w:val="1"/>
                <w:color w:val="auto"/>
              </w:rPr>
              <w:t>-0.5%</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13.5%</w:t>
            </w:r>
          </w:p>
        </w:tc>
      </w:tr>
      <w:tr>
        <w:trPr>
          <w:trHeight w:val="202"/>
        </w:trPr>
        <w:tc>
          <w:tcPr>
            <w:tcW w:w="5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Structural Loan Portfolio</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w w:val="97"/>
              </w:rPr>
              <w:t>120,708,515</w:t>
            </w:r>
          </w:p>
        </w:tc>
        <w:tc>
          <w:tcPr>
            <w:tcW w:w="28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9"/>
              </w:rPr>
              <w:t>113,017,319</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9"/>
              </w:rPr>
              <w:t>112,782,997</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-0.2%</w:t>
            </w:r>
          </w:p>
        </w:tc>
        <w:tc>
          <w:tcPr>
            <w:tcW w:w="2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-6.6%</w:t>
            </w:r>
          </w:p>
        </w:tc>
      </w:tr>
      <w:tr>
        <w:trPr>
          <w:trHeight w:val="202"/>
        </w:trPr>
        <w:tc>
          <w:tcPr>
            <w:tcW w:w="56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Allowance for loan losses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5,931,772</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9,898,760</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9,744,298</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64.3%</w:t>
            </w:r>
          </w:p>
        </w:tc>
      </w:tr>
      <w:tr>
        <w:trPr>
          <w:trHeight w:val="202"/>
        </w:trPr>
        <w:tc>
          <w:tcPr>
            <w:tcW w:w="5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Write-offs</w:t>
            </w:r>
          </w:p>
        </w:tc>
        <w:tc>
          <w:tcPr>
            <w:tcW w:w="940" w:type="dxa"/>
            <w:vAlign w:val="bottom"/>
          </w:tcPr>
          <w:p>
            <w:pPr>
              <w:jc w:val="right"/>
              <w:spacing w:after="0"/>
              <w:rPr>
                <w:sz w:val="20"/>
                <w:szCs w:val="20"/>
                <w:color w:val="auto"/>
              </w:rPr>
            </w:pPr>
            <w:r>
              <w:rPr>
                <w:rFonts w:ascii="Arial" w:cs="Arial" w:eastAsia="Arial" w:hAnsi="Arial"/>
                <w:sz w:val="17"/>
                <w:szCs w:val="17"/>
                <w:color w:val="auto"/>
              </w:rPr>
              <w:t>519,866</w:t>
            </w:r>
          </w:p>
        </w:tc>
        <w:tc>
          <w:tcPr>
            <w:tcW w:w="28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509,001</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767,136</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50.7%</w:t>
            </w:r>
          </w:p>
        </w:tc>
        <w:tc>
          <w:tcPr>
            <w:tcW w:w="2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47.6%</w:t>
            </w:r>
          </w:p>
        </w:tc>
      </w:tr>
      <w:tr>
        <w:trPr>
          <w:trHeight w:val="239"/>
        </w:trPr>
        <w:tc>
          <w:tcPr>
            <w:tcW w:w="560" w:type="dxa"/>
            <w:vAlign w:val="bottom"/>
          </w:tcPr>
          <w:p>
            <w:pPr>
              <w:spacing w:after="0"/>
              <w:rPr>
                <w:sz w:val="20"/>
                <w:szCs w:val="20"/>
                <w:color w:val="auto"/>
              </w:rPr>
            </w:pPr>
          </w:p>
        </w:tc>
        <w:tc>
          <w:tcPr>
            <w:tcW w:w="426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Internal overdue loans (IOLs) </w:t>
            </w:r>
            <w:r>
              <w:rPr>
                <w:rFonts w:ascii="Arial" w:cs="Arial" w:eastAsia="Arial" w:hAnsi="Arial"/>
                <w:sz w:val="27"/>
                <w:szCs w:val="27"/>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3,579,504</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4,675,731</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4,868,483</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36.0%</w:t>
            </w:r>
          </w:p>
        </w:tc>
      </w:tr>
      <w:tr>
        <w:trPr>
          <w:trHeight w:val="239"/>
        </w:trPr>
        <w:tc>
          <w:tcPr>
            <w:tcW w:w="560" w:type="dxa"/>
            <w:vAlign w:val="bottom"/>
          </w:tcPr>
          <w:p>
            <w:pPr>
              <w:spacing w:after="0"/>
              <w:rPr>
                <w:sz w:val="20"/>
                <w:szCs w:val="20"/>
                <w:color w:val="auto"/>
              </w:rPr>
            </w:pPr>
          </w:p>
        </w:tc>
        <w:tc>
          <w:tcPr>
            <w:tcW w:w="426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Internal overdue loans over 90-days </w:t>
            </w:r>
            <w:r>
              <w:rPr>
                <w:rFonts w:ascii="Arial" w:cs="Arial" w:eastAsia="Arial" w:hAnsi="Arial"/>
                <w:sz w:val="27"/>
                <w:szCs w:val="27"/>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7"/>
                <w:szCs w:val="17"/>
                <w:color w:val="auto"/>
              </w:rPr>
              <w:t>2,572,478</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3,709,865</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3,789,286</w:t>
            </w: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47.3%</w:t>
            </w:r>
          </w:p>
        </w:tc>
      </w:tr>
      <w:tr>
        <w:trPr>
          <w:trHeight w:val="202"/>
        </w:trPr>
        <w:tc>
          <w:tcPr>
            <w:tcW w:w="56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Refinanced loans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1,125,394</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1,664,626</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1,951,855</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73.4%</w:t>
            </w:r>
          </w:p>
        </w:tc>
      </w:tr>
      <w:tr>
        <w:trPr>
          <w:trHeight w:val="239"/>
        </w:trPr>
        <w:tc>
          <w:tcPr>
            <w:tcW w:w="560" w:type="dxa"/>
            <w:vAlign w:val="bottom"/>
          </w:tcPr>
          <w:p>
            <w:pPr>
              <w:spacing w:after="0"/>
              <w:rPr>
                <w:sz w:val="20"/>
                <w:szCs w:val="20"/>
                <w:color w:val="auto"/>
              </w:rPr>
            </w:pPr>
          </w:p>
        </w:tc>
        <w:tc>
          <w:tcPr>
            <w:tcW w:w="426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Non-performing loans (NPLs) </w:t>
            </w:r>
            <w:r>
              <w:rPr>
                <w:rFonts w:ascii="Arial" w:cs="Arial" w:eastAsia="Arial" w:hAnsi="Arial"/>
                <w:sz w:val="27"/>
                <w:szCs w:val="27"/>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17"/>
                <w:szCs w:val="17"/>
                <w:color w:val="auto"/>
              </w:rPr>
              <w:t>4,704,898</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6,340,357</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6,820,338</w:t>
            </w: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45.0%</w:t>
            </w:r>
          </w:p>
        </w:tc>
      </w:tr>
      <w:tr>
        <w:trPr>
          <w:trHeight w:val="202"/>
        </w:trPr>
        <w:tc>
          <w:tcPr>
            <w:tcW w:w="56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IOL ratio</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3.55%</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15 bps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 bps</w:t>
            </w:r>
          </w:p>
        </w:tc>
      </w:tr>
      <w:tr>
        <w:trPr>
          <w:trHeight w:val="202"/>
        </w:trPr>
        <w:tc>
          <w:tcPr>
            <w:tcW w:w="5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Structural IOL ratio</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2.97%</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4.14%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4.32%</w:t>
            </w:r>
          </w:p>
        </w:tc>
        <w:tc>
          <w:tcPr>
            <w:tcW w:w="1400" w:type="dxa"/>
            <w:vAlign w:val="bottom"/>
            <w:gridSpan w:val="3"/>
          </w:tcPr>
          <w:p>
            <w:pPr>
              <w:jc w:val="right"/>
              <w:ind w:right="520"/>
              <w:spacing w:after="0"/>
              <w:rPr>
                <w:sz w:val="20"/>
                <w:szCs w:val="20"/>
                <w:color w:val="auto"/>
              </w:rPr>
            </w:pPr>
            <w:r>
              <w:rPr>
                <w:rFonts w:ascii="Arial" w:cs="Arial" w:eastAsia="Arial" w:hAnsi="Arial"/>
                <w:sz w:val="17"/>
                <w:szCs w:val="17"/>
                <w:color w:val="auto"/>
              </w:rPr>
              <w:t>18 bps</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135 bps</w:t>
            </w:r>
          </w:p>
        </w:tc>
      </w:tr>
      <w:tr>
        <w:trPr>
          <w:trHeight w:val="202"/>
        </w:trPr>
        <w:tc>
          <w:tcPr>
            <w:tcW w:w="56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IOL over 90-days ratio</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2.13%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2.77%</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8 bps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 bps</w:t>
            </w:r>
          </w:p>
        </w:tc>
      </w:tr>
      <w:tr>
        <w:trPr>
          <w:trHeight w:val="202"/>
        </w:trPr>
        <w:tc>
          <w:tcPr>
            <w:tcW w:w="5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NPL ratio</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3.90%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4.61%</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4.98%</w:t>
            </w:r>
          </w:p>
        </w:tc>
        <w:tc>
          <w:tcPr>
            <w:tcW w:w="1400" w:type="dxa"/>
            <w:vAlign w:val="bottom"/>
            <w:gridSpan w:val="3"/>
          </w:tcPr>
          <w:p>
            <w:pPr>
              <w:jc w:val="right"/>
              <w:ind w:right="520"/>
              <w:spacing w:after="0"/>
              <w:rPr>
                <w:sz w:val="20"/>
                <w:szCs w:val="20"/>
                <w:color w:val="auto"/>
              </w:rPr>
            </w:pPr>
            <w:r>
              <w:rPr>
                <w:rFonts w:ascii="Arial" w:cs="Arial" w:eastAsia="Arial" w:hAnsi="Arial"/>
                <w:sz w:val="17"/>
                <w:szCs w:val="17"/>
                <w:color w:val="auto"/>
              </w:rPr>
              <w:t>37 bps</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108 bps</w:t>
            </w:r>
          </w:p>
        </w:tc>
      </w:tr>
      <w:tr>
        <w:trPr>
          <w:trHeight w:val="202"/>
        </w:trPr>
        <w:tc>
          <w:tcPr>
            <w:tcW w:w="56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Structural NPL ratio</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5.61%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6.05%</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44 bps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215 bps</w:t>
            </w:r>
          </w:p>
        </w:tc>
      </w:tr>
      <w:tr>
        <w:trPr>
          <w:trHeight w:val="202"/>
        </w:trPr>
        <w:tc>
          <w:tcPr>
            <w:tcW w:w="5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Allowance for loan losses over Total loans</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4.91%</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7.19%</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7.11%</w:t>
            </w:r>
          </w:p>
        </w:tc>
        <w:tc>
          <w:tcPr>
            <w:tcW w:w="1400" w:type="dxa"/>
            <w:vAlign w:val="bottom"/>
            <w:gridSpan w:val="3"/>
          </w:tcPr>
          <w:p>
            <w:pPr>
              <w:jc w:val="right"/>
              <w:ind w:right="520"/>
              <w:spacing w:after="0"/>
              <w:rPr>
                <w:sz w:val="20"/>
                <w:szCs w:val="20"/>
                <w:color w:val="auto"/>
              </w:rPr>
            </w:pPr>
            <w:r>
              <w:rPr>
                <w:rFonts w:ascii="Arial" w:cs="Arial" w:eastAsia="Arial" w:hAnsi="Arial"/>
                <w:sz w:val="17"/>
                <w:szCs w:val="17"/>
                <w:color w:val="auto"/>
              </w:rPr>
              <w:t>-10 bps</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220 bps</w:t>
            </w:r>
          </w:p>
        </w:tc>
      </w:tr>
      <w:tr>
        <w:trPr>
          <w:trHeight w:val="202"/>
        </w:trPr>
        <w:tc>
          <w:tcPr>
            <w:tcW w:w="56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Coverage ratio of IOLs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200.2%</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-1150 bps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5"/>
              </w:rPr>
              <w:t>3450 bps</w:t>
            </w:r>
          </w:p>
        </w:tc>
      </w:tr>
      <w:tr>
        <w:trPr>
          <w:trHeight w:val="202"/>
        </w:trPr>
        <w:tc>
          <w:tcPr>
            <w:tcW w:w="5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Coverage ratio of IOL 90-days</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230.6%</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266.8%</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257.2%</w:t>
            </w:r>
          </w:p>
        </w:tc>
        <w:tc>
          <w:tcPr>
            <w:tcW w:w="1400" w:type="dxa"/>
            <w:vAlign w:val="bottom"/>
            <w:gridSpan w:val="3"/>
          </w:tcPr>
          <w:p>
            <w:pPr>
              <w:jc w:val="right"/>
              <w:ind w:right="520"/>
              <w:spacing w:after="0"/>
              <w:rPr>
                <w:sz w:val="20"/>
                <w:szCs w:val="20"/>
                <w:color w:val="auto"/>
              </w:rPr>
            </w:pPr>
            <w:r>
              <w:rPr>
                <w:rFonts w:ascii="Arial" w:cs="Arial" w:eastAsia="Arial" w:hAnsi="Arial"/>
                <w:sz w:val="17"/>
                <w:szCs w:val="17"/>
                <w:color w:val="auto"/>
              </w:rPr>
              <w:t>-960 bps</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85"/>
              </w:rPr>
              <w:t>2660 bps</w:t>
            </w:r>
          </w:p>
        </w:tc>
      </w:tr>
      <w:tr>
        <w:trPr>
          <w:trHeight w:val="202"/>
        </w:trPr>
        <w:tc>
          <w:tcPr>
            <w:tcW w:w="56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Coverage ratio of NPLs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156.1%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142.9%</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-1320 bps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5"/>
              </w:rPr>
              <w:t>1680 bps</w:t>
            </w:r>
          </w:p>
        </w:tc>
      </w:tr>
    </w:tbl>
    <w:p>
      <w:pPr>
        <w:spacing w:after="0" w:line="189" w:lineRule="exact"/>
        <w:rPr>
          <w:sz w:val="20"/>
          <w:szCs w:val="20"/>
          <w:color w:val="auto"/>
        </w:rPr>
      </w:pPr>
    </w:p>
    <w:p>
      <w:pPr>
        <w:ind w:left="800" w:hanging="233"/>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overdue loans and loans under legal collection. (Quarter-end balances)</w:t>
      </w:r>
    </w:p>
    <w:p>
      <w:pPr>
        <w:spacing w:after="0" w:line="18" w:lineRule="exact"/>
        <w:rPr>
          <w:rFonts w:ascii="Arial" w:cs="Arial" w:eastAsia="Arial" w:hAnsi="Arial"/>
          <w:sz w:val="17"/>
          <w:szCs w:val="17"/>
          <w:color w:val="auto"/>
        </w:rPr>
      </w:pPr>
    </w:p>
    <w:p>
      <w:pPr>
        <w:ind w:left="800" w:hanging="233"/>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Non-performing loans include internal overdue loans and refinanced loans. (Quarter-end balances)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terms of delinquency, it is important to note that:</w:t>
      </w:r>
    </w:p>
    <w:p>
      <w:pPr>
        <w:spacing w:after="0" w:line="208" w:lineRule="exact"/>
        <w:rPr>
          <w:sz w:val="20"/>
          <w:szCs w:val="20"/>
          <w:color w:val="auto"/>
        </w:rPr>
      </w:pPr>
    </w:p>
    <w:p>
      <w:pPr>
        <w:jc w:val="both"/>
        <w:ind w:left="600" w:hanging="297"/>
        <w:spacing w:after="0" w:line="251"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Total IOL increased +4.1% QoQ and +36.0% YoY. In the QoQ analysis, growth in IOLs was driven mainly by Mibanco, where some clients registered a deterioration in their debt service capacity after grace periods expired. At BCP Bolivia, the increase during the same period was attributable to the deterioration of the portfolio, mainly in the Consumer and Mortgage segment. BCP Stand-alone, on the contrary, reported a contraction in IOL loans QoQ after the Credit Card segment registered a significant improvement in payment behavior. The reduction in the IOL level at BCP Stand-alone was partially attenuated by the deterioration posted by a small number of institutional clients in Wholesale Banking, particularly in the construction and telecommunications sectors. In the YoY analysis, deterioration was visible across segments and was particularly marked at BCP Stand-alone and Mibanco, which reflects the expiration of grace periods on loan facilities.</w:t>
      </w:r>
    </w:p>
    <w:p>
      <w:pPr>
        <w:spacing w:after="0" w:line="181" w:lineRule="exact"/>
        <w:rPr>
          <w:rFonts w:ascii="Arial" w:cs="Arial" w:eastAsia="Arial" w:hAnsi="Arial"/>
          <w:sz w:val="17"/>
          <w:szCs w:val="17"/>
          <w:color w:val="auto"/>
        </w:rPr>
      </w:pPr>
    </w:p>
    <w:p>
      <w:pPr>
        <w:jc w:val="both"/>
        <w:ind w:left="600" w:hanging="297"/>
        <w:spacing w:after="0" w:line="272"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refinanced loans increased +17.3% QoQ and +73.4% YoY. In the QoQ and YoY analysis, growth was driven mainly by BCP Stand-alone, and by the Consumer and SME-Pyme segments in particular, after clients who had initially not qualified for reprogramming facilities were offered refinancing options. BCP Bolivia also contributed to the expansion in refinanced loans after the Bolivian government decreed that all deferred loans were automatically eligible for refinancing and/or reprogramming. The aforementioned was partially offset by a reduction in refinanced loans at Mibanco after refinanced loans expired and migrated to the IOL portfolio, and due to the increase of write-offs.</w:t>
      </w:r>
    </w:p>
    <w:p>
      <w:pPr>
        <w:spacing w:after="0" w:line="6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ind w:left="600" w:hanging="297"/>
        <w:spacing w:after="0" w:line="282"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write-offs grew 50.7% QoQ and 47.6% YoY. In the QoQ analysis, the increase was driven by an uptick in Retail Banking, particularly in the Consumer and Credit Card segments. YoY growth, in turn, was attributable to a regulatory mandate, in place until 3Q20, which impeded loans from continuing to accumulate overdue days, which impeded loans from progressing naturally to a situation of loss and its subsequent write-off.</w:t>
      </w:r>
    </w:p>
    <w:p>
      <w:pPr>
        <w:spacing w:after="0" w:line="157" w:lineRule="exact"/>
        <w:rPr>
          <w:rFonts w:ascii="Arial" w:cs="Arial" w:eastAsia="Arial" w:hAnsi="Arial"/>
          <w:sz w:val="16"/>
          <w:szCs w:val="16"/>
          <w:color w:val="auto"/>
        </w:rPr>
      </w:pPr>
    </w:p>
    <w:p>
      <w:pPr>
        <w:jc w:val="both"/>
        <w:ind w:left="600" w:hanging="297"/>
        <w:spacing w:after="0" w:line="258"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Coverage ratios for IOL and NPL loans contracted QoQ, which was attributable to a slight decrease in the stock of provisions and to an increase in the IOL and refinanced portfolios. Significant YoY growth in coverage ratios was in line with a +64.3% increase in the stock of provisions in 2020 in the context of the pandemic.</w:t>
      </w:r>
    </w:p>
    <w:p>
      <w:pPr>
        <w:spacing w:after="0" w:line="176" w:lineRule="exact"/>
        <w:rPr>
          <w:sz w:val="20"/>
          <w:szCs w:val="20"/>
          <w:color w:val="auto"/>
        </w:rPr>
      </w:pPr>
    </w:p>
    <w:p>
      <w:pPr>
        <w:jc w:val="both"/>
        <w:ind w:left="8100"/>
        <w:spacing w:after="0" w:line="266" w:lineRule="auto"/>
        <w:rPr>
          <w:sz w:val="20"/>
          <w:szCs w:val="20"/>
          <w:color w:val="auto"/>
        </w:rPr>
      </w:pPr>
      <w:r>
        <w:rPr>
          <w:rFonts w:ascii="Arial" w:cs="Arial" w:eastAsia="Arial" w:hAnsi="Arial"/>
          <w:sz w:val="16"/>
          <w:szCs w:val="16"/>
          <w:i w:val="1"/>
          <w:iCs w:val="1"/>
          <w:color w:val="auto"/>
        </w:rPr>
        <w:t>When analyzing the evolution of delinquency indicators, it is necessary to note that: (i) traditional delinquency indicators (IOL and NPL ratios) continue to be distorted by the presence of loans that have collateral (commercial and residential properties). This means that a significant portion of loans that are more than 150 days overdue cannot be written-off, despite being fully provisioned, given that the judicial process to liquidate the collateral can take up to five years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-1545590</wp:posOffset>
            </wp:positionV>
            <wp:extent cx="3998595" cy="17672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98595" cy="1767205"/>
                    </a:xfrm>
                    <a:prstGeom prst="rect">
                      <a:avLst/>
                    </a:prstGeom>
                    <a:noFill/>
                  </pic:spPr>
                </pic:pic>
              </a:graphicData>
            </a:graphic>
          </wp:anchor>
        </w:drawing>
      </w:r>
    </w:p>
    <w:p>
      <w:pPr>
        <w:spacing w:after="0" w:line="316" w:lineRule="exact"/>
        <w:rPr>
          <w:sz w:val="20"/>
          <w:szCs w:val="20"/>
          <w:color w:val="auto"/>
        </w:rPr>
      </w:pPr>
    </w:p>
    <w:p>
      <w:pPr>
        <w:ind w:right="3600" w:firstLine="1"/>
        <w:spacing w:after="0" w:line="269" w:lineRule="auto"/>
        <w:tabs>
          <w:tab w:leader="none" w:pos="25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Structural Cost of risk excludes the provisions for credit losses on loan portfolio, net of recoveries and total loans from the Reactiva Peru and FAE Government Programs.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 Delinquency by Segment</w:t>
      </w:r>
    </w:p>
    <w:p>
      <w:pPr>
        <w:spacing w:after="0" w:line="208" w:lineRule="exact"/>
        <w:rPr>
          <w:sz w:val="20"/>
          <w:szCs w:val="20"/>
          <w:color w:val="auto"/>
        </w:rPr>
      </w:pPr>
    </w:p>
    <w:p>
      <w:pPr>
        <w:spacing w:after="0"/>
        <w:tabs>
          <w:tab w:leader="none" w:pos="7720" w:val="left"/>
        </w:tabs>
        <w:rPr>
          <w:sz w:val="20"/>
          <w:szCs w:val="20"/>
          <w:color w:val="auto"/>
        </w:rPr>
      </w:pPr>
      <w:r>
        <w:rPr>
          <w:rFonts w:ascii="Arial" w:cs="Arial" w:eastAsia="Arial" w:hAnsi="Arial"/>
          <w:sz w:val="17"/>
          <w:szCs w:val="17"/>
          <w:b w:val="1"/>
          <w:bCs w:val="1"/>
          <w:color w:val="auto"/>
        </w:rPr>
        <w:t>BCP Stand-alone – Wholesale Banking: NPL ratio by Segment</w:t>
      </w:r>
      <w:r>
        <w:rPr>
          <w:sz w:val="20"/>
          <w:szCs w:val="20"/>
          <w:color w:val="auto"/>
        </w:rPr>
        <w:tab/>
      </w:r>
      <w:r>
        <w:rPr>
          <w:rFonts w:ascii="Arial" w:cs="Arial" w:eastAsia="Arial" w:hAnsi="Arial"/>
          <w:sz w:val="15"/>
          <w:szCs w:val="15"/>
          <w:b w:val="1"/>
          <w:bCs w:val="1"/>
          <w:color w:val="auto"/>
        </w:rPr>
        <w:t>NPL ratio by Segment</w:t>
      </w:r>
    </w:p>
    <w:p>
      <w:pPr>
        <w:spacing w:after="0" w:line="212" w:lineRule="exact"/>
        <w:rPr>
          <w:sz w:val="20"/>
          <w:szCs w:val="20"/>
          <w:color w:val="auto"/>
        </w:rPr>
      </w:pPr>
    </w:p>
    <w:p>
      <w:pPr>
        <w:jc w:val="both"/>
        <w:ind w:right="5840"/>
        <w:spacing w:after="0" w:line="286" w:lineRule="auto"/>
        <w:rPr>
          <w:sz w:val="20"/>
          <w:szCs w:val="20"/>
          <w:color w:val="auto"/>
        </w:rPr>
      </w:pPr>
      <w:r>
        <w:rPr>
          <w:rFonts w:ascii="Arial" w:cs="Arial" w:eastAsia="Arial" w:hAnsi="Arial"/>
          <w:sz w:val="15"/>
          <w:szCs w:val="15"/>
          <w:color w:val="auto"/>
        </w:rPr>
        <w:t>In the QoQ analysis, the IOL and NPL ratios deteriorated (+15 bps and +22 bps respectively). The increase in both ratios was driven by growth in IOL and refinanced loans, which was attributable to the evolution of a small number of clients in Middle Market Banking. The uptick in IOL loans was driven by the real estate and cinematographic industries, which have been heavily hit by both confinement and social distancing measures. Growth in refinanced loans was attributable to a client in the retail sector, which refinanced its position and extended its loan term. The increase in ratios was also attributable to a contraction in loans in the Wholesale segment, which is discussed in section 1.2.1 Evolution of loans in average daily balances (ADB).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-1296670</wp:posOffset>
            </wp:positionV>
            <wp:extent cx="3489960" cy="2383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8996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YoY analysis, deterioration in delinquency ratios was attributable to growth in the IOL portfolio, which was driven by a small number of clients in Corporate Banking in the transportation and energy sectors. Growth in the IOL portfolio reflected the impact of COVID-19, which meant that some clients were unable to service their debts. It is important to note that the number of refinanced loans fell over the period given that overdue loans migrated to the IOL portfolio. The -6% drop in loans negatively impacted the ratio.</w:t>
      </w:r>
    </w:p>
    <w:p>
      <w:pPr>
        <w:spacing w:after="0" w:line="7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BCP Stand-alone – Retail Banking:</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high-risk Retail Banking portfolio, which is comprised of the IOL and reprogrammed portfolio, fell 3%. This drop was mainly associated with a decrease in the balance of IOL loans, which fell across segments but was particularly marked in Mortgage and Credit Cards. Additionally, 63% of IOL loans are up to 30 days overdue, where the probability of payment is higher than that associated with loans that are between 60 and 120 days overdue (the composition of loans that are between 60 to 120 days overdue also registered a favorable decreasing, falling from 25% in 4Q20 to 20% in 1Q21).</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reduction in the IOL portfolio was driven primarily by loans to clients that received 1 or 2 facilities, which are considered higher risk. It is important to note that, as of 1Q21, only 7% of the total reprogramming facilities are still in grace periods.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Delinquency ratios in Retail Banking fell QoQ and YoY, which was primarily driven by a growth in loans and write-offs. For more information, see 1.2.1. Evolution of loans by business segment and 4.3 Delinquency.</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i w:val="1"/>
          <w:iCs w:val="1"/>
          <w:color w:val="auto"/>
        </w:rPr>
        <w:t>In the SME-Pyme segment, play close attention to the early delinquency ratio, which excludes loans that are overdue &lt; 60 days (volatile loans with a very high percentage of recovery, and those that are &gt;150 days (loans that are fully provisioned but cannot be written-off due to the existence of collateral – commercial properties that take 5 years to liquidate. Collateral scenarios also affect IOL loans that are &gt;150 days in the Mortgage segment.</w:t>
      </w:r>
    </w:p>
    <w:p>
      <w:pPr>
        <w:spacing w:after="0" w:line="560" w:lineRule="exact"/>
        <w:rPr>
          <w:sz w:val="20"/>
          <w:szCs w:val="20"/>
          <w:color w:val="auto"/>
        </w:rPr>
      </w:pPr>
    </w:p>
    <w:p>
      <w:pPr>
        <w:sectPr>
          <w:pgSz w:w="11900" w:h="16838" w:orient="portrait"/>
          <w:cols w:equalWidth="0" w:num="2">
            <w:col w:w="7640" w:space="460"/>
            <w:col w:w="3140"/>
          </w:cols>
          <w:pgMar w:left="320" w:top="551" w:right="339" w:bottom="1440" w:gutter="0" w:footer="0" w:header="0"/>
        </w:sectPr>
      </w:pPr>
    </w:p>
    <w:p>
      <w:pPr>
        <w:spacing w:after="0"/>
        <w:rPr>
          <w:sz w:val="20"/>
          <w:szCs w:val="20"/>
          <w:color w:val="auto"/>
        </w:rPr>
      </w:pPr>
      <w:r>
        <w:rPr>
          <w:rFonts w:ascii="Arial" w:cs="Arial" w:eastAsia="Arial" w:hAnsi="Arial"/>
          <w:sz w:val="16"/>
          <w:szCs w:val="16"/>
          <w:color w:val="auto"/>
        </w:rPr>
        <w:t>In the QoQ analysis, the reduction in ratios was also attributable to a contraction in the NPL portfolio, which was seen particularly in the following segments:</w:t>
      </w:r>
    </w:p>
    <w:p>
      <w:pPr>
        <w:spacing w:after="0" w:line="219" w:lineRule="exact"/>
        <w:rPr>
          <w:sz w:val="20"/>
          <w:szCs w:val="20"/>
          <w:color w:val="auto"/>
        </w:rPr>
      </w:pPr>
    </w:p>
    <w:p>
      <w:pPr>
        <w:ind w:left="600" w:hanging="297"/>
        <w:spacing w:after="0" w:line="269"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Credit cards: where the IOL and refinanced portfolios registered a drop due to an increase in the payment ratio (rose from 97% in 4Q20 to 98% in 1Q21). Additionally, the drop in the level of NPL loans was attributable to an increase in write-offs.</w:t>
      </w:r>
    </w:p>
    <w:p>
      <w:pPr>
        <w:spacing w:after="0" w:line="16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Consumer: a lower volume of overdue loans and a higher level of write-offs, which was slightly offset by the increase in refinanced loans. The latter is the result of the impact of the quarantine for the entire month of February, when customers took advantage of credit facilities.</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aforementioned was partially offset by an increase in the NPL portfolio in the Mortgage and SME-Business segments, which was driven primarily by the increase registered in IOL loans after the grace periods on reprogrammed loans expired. In the Mortgage segment, the uptick in volumes of IOL loans corresponds to clients that obtained 1 or 2 facilities. Additionally, the uptick in the NPL portfolio was linked to an increase in the origination of Mivivienda loans, which reflects our strategy to penetrate riskier segments to maximize the portfolio’s profitability. In the case of SME-Business, the increase in the NPL portfolio was driven by clients that had not received neither facilities nor Reactiva loans, reflected in lower payment ratios. Deterioration at the portfolio was also due to an uptick in refinanced loans, after clients accepted facilities.</w:t>
      </w:r>
    </w:p>
    <w:p>
      <w:pPr>
        <w:sectPr>
          <w:pgSz w:w="11900" w:h="16838" w:orient="portrait"/>
          <w:cols w:equalWidth="0" w:num="1">
            <w:col w:w="11240"/>
          </w:cols>
          <w:pgMar w:left="320" w:top="551" w:right="339" w:bottom="1440" w:gutter="0" w:footer="0" w:header="0"/>
          <w:type w:val="continuous"/>
        </w:sectPr>
      </w:pP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 xml:space="preserve">In the YoY analysis, the contraction in delinquency ratios was associated to with a significant increase in the inflow of GP loans. This was attenuated by an uptick in IOL and refinanced loans. This growth was, in large part, attributable to the negative effects generated by the pandemic throughout 2020, which rendered some clients incapable of servicing their debts. This deterioration led to an expected subsequent decline in the credit quality of these clients, who had availed of different facilities (freezing, skips, increasing installments, reprogramming, among others). A portion of these clients later fell in delinquent once grace periods ended. Growth in the number of clients unable to service their debt was driven primarily by the Consumer and SME-Pyme segments. In the Consumer segment, the increase was mainly fueled by an increase in volumes of overdue loans, which was primarily associated with clients with 1, 2 or more facilities. This increase was also attributable to an uptick in loan origination through digital channels, where risk profiles are higher, and to growth in refinanced loans, after clients were offered refinancing facilities. In SME-Pyme, new delinquency increased, which was driven primarily by clients </w:t>
      </w:r>
      <w:r>
        <w:rPr>
          <w:rFonts w:ascii="Arial" w:cs="Arial" w:eastAsia="Arial" w:hAnsi="Arial"/>
          <w:sz w:val="15"/>
          <w:szCs w:val="15"/>
          <w:color w:val="auto"/>
        </w:rPr>
        <w:t>that received 1, 2 or more</w:t>
      </w:r>
      <w:r>
        <w:rPr>
          <w:rFonts w:ascii="Arial" w:cs="Arial" w:eastAsia="Arial" w:hAnsi="Arial"/>
          <w:sz w:val="19"/>
          <w:szCs w:val="19"/>
          <w:color w:val="auto"/>
        </w:rPr>
        <w:t xml:space="preserve"> </w:t>
      </w:r>
      <w:r>
        <w:rPr>
          <w:rFonts w:ascii="Arial" w:cs="Arial" w:eastAsia="Arial" w:hAnsi="Arial"/>
          <w:sz w:val="15"/>
          <w:szCs w:val="15"/>
          <w:color w:val="auto"/>
        </w:rPr>
        <w:t>facilities and by those that had not received Reactiva loans. In the last quarter, however, new delinquency was similar for portfolios with and without Reactiva given that the total portfolio reflected a significant decrease in the liquidity levels generated by Reactiva disbursements.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It is important to note that in the Consumer segment, we have set aside adequate levels of forward-looking provisions to mitigate risks of non-payment associated with clients that have been affected by the pandemic and with products sold through digital channels, where higher risk is offset by lower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31</w:t>
      </w:r>
    </w:p>
    <w:p>
      <w:pPr>
        <w:sectPr>
          <w:pgSz w:w="11900" w:h="16838" w:orient="portrait"/>
          <w:cols w:equalWidth="0" w:num="2">
            <w:col w:w="7540" w:space="560"/>
            <w:col w:w="3140"/>
          </w:cols>
          <w:pgMar w:left="320" w:top="55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Mibanco:</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At Mibanco, delinquency ratios increased QoQ and YoY due to a deterioration in the situation of clients that had not taken or qualified for the facilities offered or those whose grace periods had expired. It is important to note that growth in the IOL portfolio was driven by an increase in the volume of loans that expired throughout the quarter. The increase in expirations was associated primarily with the reprogrammed portfolio. Finally, portfolio deterioration was also driven by the quarantine in February, which slowed activity in the microfinance sector and subsequently affected loan payments. The aforementioned was slightly attenuated by an increase in write-offs, which are considered in the refinanced portfolio.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BCP Bolivia:</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BCP Bolivia reported a deterioration in the QoQ and YoY ratios due to an increase in the IOL portfolio. This growth was driven by the Consumer and Mortgage segment, as well as by the refinanced portfolio. It is important to note that the uptick in refinanced loans reflected a massive, automatic reprogramming of loans after the government decreed that loan deferrals- with grace periods for capital and interest for up to 6 months- were mandatory.</w:t>
      </w:r>
    </w:p>
    <w:p>
      <w:pPr>
        <w:spacing w:after="0" w:line="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6517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6517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8"/>
        </w:trPr>
        <w:tc>
          <w:tcPr>
            <w:tcW w:w="4080" w:type="dxa"/>
            <w:vAlign w:val="bottom"/>
            <w:gridSpan w:val="5"/>
          </w:tcPr>
          <w:p>
            <w:pPr>
              <w:spacing w:after="0"/>
              <w:rPr>
                <w:sz w:val="20"/>
                <w:szCs w:val="20"/>
                <w:color w:val="auto"/>
              </w:rPr>
            </w:pPr>
            <w:r>
              <w:rPr>
                <w:rFonts w:ascii="Arial" w:cs="Arial" w:eastAsia="Arial" w:hAnsi="Arial"/>
                <w:sz w:val="17"/>
                <w:szCs w:val="17"/>
                <w:b w:val="1"/>
                <w:bCs w:val="1"/>
                <w:color w:val="auto"/>
              </w:rPr>
              <w:t>5. Non-Financial Income (NFI)</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03"/>
        </w:trPr>
        <w:tc>
          <w:tcPr>
            <w:tcW w:w="4080" w:type="dxa"/>
            <w:vAlign w:val="bottom"/>
            <w:gridSpan w:val="5"/>
          </w:tcPr>
          <w:p>
            <w:pPr>
              <w:spacing w:after="0"/>
              <w:rPr>
                <w:sz w:val="20"/>
                <w:szCs w:val="20"/>
                <w:color w:val="auto"/>
              </w:rPr>
            </w:pPr>
            <w:r>
              <w:rPr>
                <w:rFonts w:ascii="Arial" w:cs="Arial" w:eastAsia="Arial" w:hAnsi="Arial"/>
                <w:sz w:val="17"/>
                <w:szCs w:val="17"/>
                <w:b w:val="1"/>
                <w:bCs w:val="1"/>
                <w:color w:val="auto"/>
              </w:rPr>
              <w:t>Non-financial income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6"/>
          </w:tcPr>
          <w:p>
            <w:pPr>
              <w:ind w:left="20"/>
              <w:spacing w:after="0"/>
              <w:rPr>
                <w:sz w:val="20"/>
                <w:szCs w:val="20"/>
                <w:color w:val="auto"/>
              </w:rPr>
            </w:pPr>
            <w:r>
              <w:rPr>
                <w:rFonts w:ascii="Arial" w:cs="Arial" w:eastAsia="Arial" w:hAnsi="Arial"/>
                <w:sz w:val="17"/>
                <w:szCs w:val="17"/>
                <w:b w:val="1"/>
                <w:bCs w:val="1"/>
                <w:color w:val="auto"/>
              </w:rPr>
              <w:t>Quarter</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5"/>
          </w:tcPr>
          <w:p>
            <w:pPr>
              <w:ind w:left="460"/>
              <w:spacing w:after="0"/>
              <w:rPr>
                <w:sz w:val="20"/>
                <w:szCs w:val="20"/>
                <w:color w:val="auto"/>
              </w:rPr>
            </w:pPr>
            <w:r>
              <w:rPr>
                <w:rFonts w:ascii="Arial" w:cs="Arial" w:eastAsia="Arial" w:hAnsi="Arial"/>
                <w:sz w:val="17"/>
                <w:szCs w:val="17"/>
                <w:b w:val="1"/>
                <w:bCs w:val="1"/>
                <w:color w:val="auto"/>
                <w:w w:val="90"/>
              </w:rPr>
              <w:t>% change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3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1Q20</w:t>
            </w:r>
          </w:p>
        </w:tc>
        <w:tc>
          <w:tcPr>
            <w:tcW w:w="180" w:type="dxa"/>
            <w:vAlign w:val="bottom"/>
            <w:tcBorders>
              <w:top w:val="single" w:sz="8" w:color="auto"/>
              <w:bottom w:val="single" w:sz="8" w:color="CCEEFF"/>
            </w:tcBorders>
            <w:gridSpan w:val="2"/>
          </w:tcPr>
          <w:p>
            <w:pPr>
              <w:spacing w:after="0"/>
              <w:rPr>
                <w:sz w:val="17"/>
                <w:szCs w:val="17"/>
                <w:color w:val="auto"/>
              </w:rPr>
            </w:pPr>
          </w:p>
        </w:tc>
        <w:tc>
          <w:tcPr>
            <w:tcW w:w="80" w:type="dxa"/>
            <w:vAlign w:val="bottom"/>
            <w:tcBorders>
              <w:top w:val="single" w:sz="8" w:color="auto"/>
              <w:bottom w:val="single" w:sz="8" w:color="auto"/>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4Q20</w:t>
            </w:r>
          </w:p>
        </w:tc>
        <w:tc>
          <w:tcPr>
            <w:tcW w:w="180" w:type="dxa"/>
            <w:vAlign w:val="bottom"/>
            <w:tcBorders>
              <w:top w:val="single" w:sz="8" w:color="auto"/>
              <w:bottom w:val="single" w:sz="8" w:color="CCEEFF"/>
            </w:tcBorders>
            <w:gridSpan w:val="2"/>
          </w:tcPr>
          <w:p>
            <w:pPr>
              <w:spacing w:after="0"/>
              <w:rPr>
                <w:sz w:val="17"/>
                <w:szCs w:val="17"/>
                <w:color w:val="auto"/>
              </w:rPr>
            </w:pPr>
          </w:p>
        </w:tc>
        <w:tc>
          <w:tcPr>
            <w:tcW w:w="80" w:type="dxa"/>
            <w:vAlign w:val="bottom"/>
            <w:tcBorders>
              <w:top w:val="single" w:sz="8" w:color="auto"/>
              <w:bottom w:val="single" w:sz="8" w:color="auto"/>
            </w:tcBorders>
            <w:gridSpan w:val="2"/>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1Q21</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b w:val="1"/>
                <w:bCs w:val="1"/>
                <w:color w:val="auto"/>
              </w:rPr>
              <w:t>QoQ</w:t>
            </w:r>
          </w:p>
        </w:tc>
        <w:tc>
          <w:tcPr>
            <w:tcW w:w="280" w:type="dxa"/>
            <w:vAlign w:val="bottom"/>
            <w:tcBorders>
              <w:top w:val="single" w:sz="8" w:color="auto"/>
              <w:bottom w:val="single" w:sz="8" w:color="CCEEFF"/>
            </w:tcBorders>
            <w:gridSpan w:val="2"/>
          </w:tcPr>
          <w:p>
            <w:pPr>
              <w:spacing w:after="0"/>
              <w:rPr>
                <w:sz w:val="17"/>
                <w:szCs w:val="17"/>
                <w:color w:val="auto"/>
              </w:rPr>
            </w:pPr>
          </w:p>
        </w:tc>
        <w:tc>
          <w:tcPr>
            <w:tcW w:w="240" w:type="dxa"/>
            <w:vAlign w:val="bottom"/>
            <w:tcBorders>
              <w:top w:val="single" w:sz="8" w:color="auto"/>
              <w:bottom w:val="single" w:sz="8" w:color="auto"/>
            </w:tcBorders>
            <w:gridSpan w:val="2"/>
          </w:tcPr>
          <w:p>
            <w:pPr>
              <w:spacing w:after="0"/>
              <w:rPr>
                <w:sz w:val="17"/>
                <w:szCs w:val="17"/>
                <w:color w:val="auto"/>
              </w:rPr>
            </w:pPr>
          </w:p>
        </w:tc>
        <w:tc>
          <w:tcPr>
            <w:tcW w:w="5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w w:val="84"/>
              </w:rPr>
              <w:t>YoY</w:t>
            </w:r>
          </w:p>
        </w:tc>
        <w:tc>
          <w:tcPr>
            <w:tcW w:w="180" w:type="dxa"/>
            <w:vAlign w:val="bottom"/>
            <w:tcBorders>
              <w:bottom w:val="single" w:sz="8" w:color="CCEEFF"/>
            </w:tcBorders>
          </w:tcPr>
          <w:p>
            <w:pPr>
              <w:spacing w:after="0"/>
              <w:rPr>
                <w:sz w:val="17"/>
                <w:szCs w:val="17"/>
                <w:color w:val="auto"/>
              </w:rPr>
            </w:pPr>
          </w:p>
        </w:tc>
        <w:tc>
          <w:tcPr>
            <w:tcW w:w="940" w:type="dxa"/>
            <w:vAlign w:val="bottom"/>
          </w:tcPr>
          <w:p>
            <w:pPr>
              <w:spacing w:after="0"/>
              <w:rPr>
                <w:sz w:val="17"/>
                <w:szCs w:val="17"/>
                <w:color w:val="auto"/>
              </w:rPr>
            </w:pPr>
          </w:p>
        </w:tc>
      </w:tr>
      <w:tr>
        <w:trPr>
          <w:trHeight w:val="194"/>
        </w:trPr>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Fee income</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760,329</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873,155</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830,771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9.3%</w:t>
            </w:r>
          </w:p>
        </w:tc>
        <w:tc>
          <w:tcPr>
            <w:tcW w:w="940" w:type="dxa"/>
            <w:vAlign w:val="bottom"/>
          </w:tcPr>
          <w:p>
            <w:pPr>
              <w:spacing w:after="0"/>
              <w:rPr>
                <w:sz w:val="16"/>
                <w:szCs w:val="16"/>
                <w:color w:val="auto"/>
              </w:rPr>
            </w:pPr>
          </w:p>
        </w:tc>
      </w:tr>
      <w:tr>
        <w:trPr>
          <w:trHeight w:val="202"/>
        </w:trPr>
        <w:tc>
          <w:tcPr>
            <w:tcW w:w="4080" w:type="dxa"/>
            <w:vAlign w:val="bottom"/>
            <w:gridSpan w:val="5"/>
          </w:tcPr>
          <w:p>
            <w:pPr>
              <w:spacing w:after="0"/>
              <w:rPr>
                <w:sz w:val="20"/>
                <w:szCs w:val="20"/>
                <w:color w:val="auto"/>
              </w:rPr>
            </w:pPr>
            <w:r>
              <w:rPr>
                <w:rFonts w:ascii="Arial" w:cs="Arial" w:eastAsia="Arial" w:hAnsi="Arial"/>
                <w:sz w:val="17"/>
                <w:szCs w:val="17"/>
                <w:color w:val="auto"/>
              </w:rPr>
              <w:t>Net gain on foreign exchange transactions</w:t>
            </w: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rPr>
              <w:t>166,983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151,464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rPr>
              <w:t>179,889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940" w:type="dxa"/>
            <w:vAlign w:val="bottom"/>
          </w:tcPr>
          <w:p>
            <w:pPr>
              <w:spacing w:after="0"/>
              <w:rPr>
                <w:sz w:val="17"/>
                <w:szCs w:val="17"/>
                <w:color w:val="auto"/>
              </w:rPr>
            </w:pPr>
          </w:p>
        </w:tc>
      </w:tr>
      <w:tr>
        <w:trPr>
          <w:trHeight w:val="202"/>
        </w:trPr>
        <w:tc>
          <w:tcPr>
            <w:tcW w:w="40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gain on securities</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(120,633)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162,523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16,287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-90.0%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n.a.</w:t>
            </w:r>
          </w:p>
        </w:tc>
        <w:tc>
          <w:tcPr>
            <w:tcW w:w="940" w:type="dxa"/>
            <w:vAlign w:val="bottom"/>
          </w:tcPr>
          <w:p>
            <w:pPr>
              <w:spacing w:after="0"/>
              <w:rPr>
                <w:sz w:val="17"/>
                <w:szCs w:val="17"/>
                <w:color w:val="auto"/>
              </w:rPr>
            </w:pPr>
          </w:p>
        </w:tc>
      </w:tr>
      <w:tr>
        <w:trPr>
          <w:trHeight w:val="239"/>
        </w:trPr>
        <w:tc>
          <w:tcPr>
            <w:tcW w:w="4080" w:type="dxa"/>
            <w:vAlign w:val="bottom"/>
            <w:gridSpan w:val="5"/>
          </w:tcPr>
          <w:p>
            <w:pPr>
              <w:spacing w:after="0" w:line="239" w:lineRule="exact"/>
              <w:rPr>
                <w:sz w:val="20"/>
                <w:szCs w:val="20"/>
                <w:color w:val="auto"/>
              </w:rPr>
            </w:pPr>
            <w:r>
              <w:rPr>
                <w:rFonts w:ascii="Arial" w:cs="Arial" w:eastAsia="Arial" w:hAnsi="Arial"/>
                <w:sz w:val="17"/>
                <w:szCs w:val="17"/>
                <w:color w:val="auto"/>
              </w:rPr>
              <w:t xml:space="preserve">Net gain from associates </w:t>
            </w:r>
            <w:r>
              <w:rPr>
                <w:rFonts w:ascii="Arial" w:cs="Arial" w:eastAsia="Arial" w:hAnsi="Arial"/>
                <w:sz w:val="27"/>
                <w:szCs w:val="27"/>
                <w:color w:val="auto"/>
                <w:vertAlign w:val="superscript"/>
              </w:rPr>
              <w:t>(1)</w:t>
            </w: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rPr>
              <w:t>19,225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rPr>
              <w:t>19,297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rPr>
              <w:t>29,405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7"/>
                <w:szCs w:val="17"/>
                <w:color w:val="auto"/>
              </w:rPr>
              <w:t>52.4%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53.0%</w:t>
            </w:r>
          </w:p>
        </w:tc>
        <w:tc>
          <w:tcPr>
            <w:tcW w:w="940" w:type="dxa"/>
            <w:vAlign w:val="bottom"/>
          </w:tcPr>
          <w:p>
            <w:pPr>
              <w:spacing w:after="0"/>
              <w:rPr>
                <w:sz w:val="20"/>
                <w:szCs w:val="20"/>
                <w:color w:val="auto"/>
              </w:rPr>
            </w:pPr>
          </w:p>
        </w:tc>
      </w:tr>
      <w:tr>
        <w:trPr>
          <w:trHeight w:val="202"/>
        </w:trPr>
        <w:tc>
          <w:tcPr>
            <w:tcW w:w="40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gain on derivatives held for trading</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35,430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18,298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69,723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281.0%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940" w:type="dxa"/>
            <w:vAlign w:val="bottom"/>
          </w:tcPr>
          <w:p>
            <w:pPr>
              <w:spacing w:after="0"/>
              <w:rPr>
                <w:sz w:val="17"/>
                <w:szCs w:val="17"/>
                <w:color w:val="auto"/>
              </w:rPr>
            </w:pPr>
          </w:p>
        </w:tc>
      </w:tr>
      <w:tr>
        <w:trPr>
          <w:trHeight w:val="202"/>
        </w:trPr>
        <w:tc>
          <w:tcPr>
            <w:tcW w:w="4080" w:type="dxa"/>
            <w:vAlign w:val="bottom"/>
            <w:gridSpan w:val="5"/>
          </w:tcPr>
          <w:p>
            <w:pPr>
              <w:spacing w:after="0"/>
              <w:rPr>
                <w:sz w:val="20"/>
                <w:szCs w:val="20"/>
                <w:color w:val="auto"/>
              </w:rPr>
            </w:pPr>
            <w:r>
              <w:rPr>
                <w:rFonts w:ascii="Arial" w:cs="Arial" w:eastAsia="Arial" w:hAnsi="Arial"/>
                <w:sz w:val="17"/>
                <w:szCs w:val="17"/>
                <w:color w:val="auto"/>
              </w:rPr>
              <w:t>Net gain from exchange differences</w:t>
            </w:r>
          </w:p>
        </w:tc>
        <w:tc>
          <w:tcPr>
            <w:tcW w:w="900" w:type="dxa"/>
            <w:vAlign w:val="bottom"/>
            <w:gridSpan w:val="4"/>
          </w:tcPr>
          <w:p>
            <w:pPr>
              <w:jc w:val="right"/>
              <w:ind w:right="120"/>
              <w:spacing w:after="0"/>
              <w:rPr>
                <w:sz w:val="20"/>
                <w:szCs w:val="20"/>
                <w:color w:val="auto"/>
              </w:rPr>
            </w:pPr>
            <w:r>
              <w:rPr>
                <w:rFonts w:ascii="Arial" w:cs="Arial" w:eastAsia="Arial" w:hAnsi="Arial"/>
                <w:sz w:val="17"/>
                <w:szCs w:val="17"/>
                <w:color w:val="auto"/>
              </w:rPr>
              <w:t>(20,849)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11,152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7"/>
                <w:szCs w:val="17"/>
                <w:color w:val="auto"/>
              </w:rPr>
              <w:t>(5,536)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7"/>
                <w:szCs w:val="17"/>
                <w:color w:val="auto"/>
              </w:rPr>
              <w:t>-149.6%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96"/>
              <w:spacing w:after="0"/>
              <w:rPr>
                <w:sz w:val="20"/>
                <w:szCs w:val="20"/>
                <w:color w:val="auto"/>
              </w:rPr>
            </w:pPr>
            <w:r>
              <w:rPr>
                <w:rFonts w:ascii="Arial" w:cs="Arial" w:eastAsia="Arial" w:hAnsi="Arial"/>
                <w:sz w:val="17"/>
                <w:szCs w:val="17"/>
                <w:color w:val="auto"/>
              </w:rPr>
              <w:t>n.a.</w:t>
            </w:r>
          </w:p>
        </w:tc>
        <w:tc>
          <w:tcPr>
            <w:tcW w:w="940" w:type="dxa"/>
            <w:vAlign w:val="bottom"/>
          </w:tcPr>
          <w:p>
            <w:pPr>
              <w:spacing w:after="0"/>
              <w:rPr>
                <w:sz w:val="17"/>
                <w:szCs w:val="17"/>
                <w:color w:val="auto"/>
              </w:rPr>
            </w:pPr>
          </w:p>
        </w:tc>
      </w:tr>
      <w:tr>
        <w:trPr>
          <w:trHeight w:val="214"/>
        </w:trPr>
        <w:tc>
          <w:tcPr>
            <w:tcW w:w="40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Other non-financial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117,770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94,517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73,991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940" w:type="dxa"/>
            <w:vAlign w:val="bottom"/>
          </w:tcPr>
          <w:p>
            <w:pPr>
              <w:spacing w:after="0"/>
              <w:rPr>
                <w:sz w:val="18"/>
                <w:szCs w:val="18"/>
                <w:color w:val="auto"/>
              </w:rPr>
            </w:pPr>
          </w:p>
        </w:tc>
      </w:tr>
      <w:tr>
        <w:trPr>
          <w:trHeight w:val="194"/>
        </w:trPr>
        <w:tc>
          <w:tcPr>
            <w:tcW w:w="4080" w:type="dxa"/>
            <w:vAlign w:val="bottom"/>
            <w:gridSpan w:val="5"/>
          </w:tcPr>
          <w:p>
            <w:pPr>
              <w:spacing w:after="0" w:line="194" w:lineRule="exact"/>
              <w:rPr>
                <w:sz w:val="20"/>
                <w:szCs w:val="20"/>
                <w:color w:val="auto"/>
              </w:rPr>
            </w:pPr>
            <w:r>
              <w:rPr>
                <w:rFonts w:ascii="Arial" w:cs="Arial" w:eastAsia="Arial" w:hAnsi="Arial"/>
                <w:sz w:val="17"/>
                <w:szCs w:val="17"/>
                <w:b w:val="1"/>
                <w:bCs w:val="1"/>
                <w:color w:val="auto"/>
              </w:rPr>
              <w:t>Total non-financial income, net</w:t>
            </w:r>
          </w:p>
        </w:tc>
        <w:tc>
          <w:tcPr>
            <w:tcW w:w="72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b w:val="1"/>
                <w:bCs w:val="1"/>
                <w:color w:val="auto"/>
              </w:rPr>
              <w:t>958,255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b w:val="1"/>
                <w:bCs w:val="1"/>
                <w:color w:val="auto"/>
                <w:w w:val="92"/>
              </w:rPr>
              <w:t>1,330,406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b w:val="1"/>
                <w:bCs w:val="1"/>
                <w:color w:val="auto"/>
                <w:w w:val="92"/>
              </w:rPr>
              <w:t>1,194,530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b w:val="1"/>
                <w:bCs w:val="1"/>
                <w:color w:val="auto"/>
              </w:rPr>
              <w:t>-10.2</w:t>
            </w:r>
          </w:p>
        </w:tc>
        <w:tc>
          <w:tcPr>
            <w:tcW w:w="280" w:type="dxa"/>
            <w:vAlign w:val="bottom"/>
            <w:gridSpan w:val="2"/>
          </w:tcPr>
          <w:p>
            <w:pPr>
              <w:jc w:val="right"/>
              <w:ind w:right="100"/>
              <w:spacing w:after="0" w:line="194" w:lineRule="exact"/>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24.7</w:t>
            </w:r>
          </w:p>
        </w:tc>
        <w:tc>
          <w:tcPr>
            <w:tcW w:w="1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92"/>
              </w:rPr>
              <w:t>%</w:t>
            </w:r>
          </w:p>
        </w:tc>
        <w:tc>
          <w:tcPr>
            <w:tcW w:w="940" w:type="dxa"/>
            <w:vAlign w:val="bottom"/>
          </w:tcPr>
          <w:p>
            <w:pPr>
              <w:spacing w:after="0"/>
              <w:rPr>
                <w:sz w:val="16"/>
                <w:szCs w:val="16"/>
                <w:color w:val="auto"/>
              </w:rPr>
            </w:pPr>
          </w:p>
        </w:tc>
      </w:tr>
      <w:tr>
        <w:trPr>
          <w:trHeight w:val="395"/>
        </w:trPr>
        <w:tc>
          <w:tcPr>
            <w:tcW w:w="6040" w:type="dxa"/>
            <w:vAlign w:val="bottom"/>
            <w:gridSpan w:val="17"/>
          </w:tcPr>
          <w:p>
            <w:pPr>
              <w:spacing w:after="0"/>
              <w:rPr>
                <w:sz w:val="20"/>
                <w:szCs w:val="20"/>
                <w:color w:val="auto"/>
              </w:rPr>
            </w:pPr>
            <w:r>
              <w:rPr>
                <w:rFonts w:ascii="Arial" w:cs="Arial" w:eastAsia="Arial" w:hAnsi="Arial"/>
                <w:sz w:val="17"/>
                <w:szCs w:val="17"/>
                <w:color w:val="auto"/>
                <w:w w:val="95"/>
              </w:rPr>
              <w:t>(1) Includes gains on other investments, mainly made up of the profit of Banmedica.</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3"/>
        </w:trPr>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rPr>
              <w:t>Quarter</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ind w:left="480"/>
              <w:spacing w:after="0"/>
              <w:rPr>
                <w:sz w:val="20"/>
                <w:szCs w:val="20"/>
                <w:color w:val="auto"/>
              </w:rPr>
            </w:pPr>
            <w:r>
              <w:rPr>
                <w:rFonts w:ascii="Arial" w:cs="Arial" w:eastAsia="Arial" w:hAnsi="Arial"/>
                <w:sz w:val="17"/>
                <w:szCs w:val="17"/>
                <w:b w:val="1"/>
                <w:bCs w:val="1"/>
                <w:color w:val="auto"/>
                <w:w w:val="88"/>
              </w:rPr>
              <w:t>% change</w:t>
            </w: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(S/ 000)</w:t>
            </w:r>
          </w:p>
        </w:tc>
        <w:tc>
          <w:tcPr>
            <w:tcW w:w="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rPr>
              <w:t>1Q20</w:t>
            </w:r>
          </w:p>
        </w:tc>
        <w:tc>
          <w:tcPr>
            <w:tcW w:w="1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rPr>
              <w:t>4Q20</w:t>
            </w:r>
          </w:p>
        </w:tc>
        <w:tc>
          <w:tcPr>
            <w:tcW w:w="1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rPr>
              <w:t>1Q21</w:t>
            </w:r>
          </w:p>
        </w:tc>
        <w:tc>
          <w:tcPr>
            <w:tcW w:w="1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QoQ</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w w:val="84"/>
              </w:rPr>
              <w:t>YoY</w:t>
            </w:r>
          </w:p>
        </w:tc>
        <w:tc>
          <w:tcPr>
            <w:tcW w:w="180" w:type="dxa"/>
            <w:vAlign w:val="bottom"/>
            <w:tcBorders>
              <w:bottom w:val="single" w:sz="8" w:color="CCEEFF"/>
            </w:tcBorders>
          </w:tcPr>
          <w:p>
            <w:pPr>
              <w:spacing w:after="0"/>
              <w:rPr>
                <w:sz w:val="17"/>
                <w:szCs w:val="17"/>
                <w:color w:val="auto"/>
              </w:rPr>
            </w:pPr>
          </w:p>
        </w:tc>
        <w:tc>
          <w:tcPr>
            <w:tcW w:w="940" w:type="dxa"/>
            <w:vAlign w:val="bottom"/>
          </w:tcPr>
          <w:p>
            <w:pPr>
              <w:spacing w:after="0"/>
              <w:rPr>
                <w:sz w:val="17"/>
                <w:szCs w:val="17"/>
                <w:color w:val="auto"/>
              </w:rPr>
            </w:pPr>
          </w:p>
        </w:tc>
      </w:tr>
      <w:tr>
        <w:trPr>
          <w:trHeight w:val="194"/>
        </w:trPr>
        <w:tc>
          <w:tcPr>
            <w:tcW w:w="39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EPS contribution (50%)</w:t>
            </w:r>
          </w:p>
        </w:tc>
        <w:tc>
          <w:tcPr>
            <w:tcW w:w="8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17,186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16,625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23,377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36.0%</w:t>
            </w:r>
          </w:p>
        </w:tc>
        <w:tc>
          <w:tcPr>
            <w:tcW w:w="940" w:type="dxa"/>
            <w:vAlign w:val="bottom"/>
          </w:tcPr>
          <w:p>
            <w:pPr>
              <w:spacing w:after="0"/>
              <w:rPr>
                <w:sz w:val="16"/>
                <w:szCs w:val="16"/>
                <w:color w:val="auto"/>
              </w:rPr>
            </w:pPr>
          </w:p>
        </w:tc>
      </w:tr>
      <w:tr>
        <w:trPr>
          <w:trHeight w:val="214"/>
        </w:trPr>
        <w:tc>
          <w:tcPr>
            <w:tcW w:w="4080" w:type="dxa"/>
            <w:vAlign w:val="bottom"/>
            <w:gridSpan w:val="5"/>
          </w:tcPr>
          <w:p>
            <w:pPr>
              <w:spacing w:after="0"/>
              <w:rPr>
                <w:sz w:val="20"/>
                <w:szCs w:val="20"/>
                <w:color w:val="auto"/>
              </w:rPr>
            </w:pPr>
            <w:r>
              <w:rPr>
                <w:rFonts w:ascii="Arial" w:cs="Arial" w:eastAsia="Arial" w:hAnsi="Arial"/>
                <w:sz w:val="17"/>
                <w:szCs w:val="17"/>
                <w:color w:val="auto"/>
              </w:rPr>
              <w:t>(-) Private health insurance deduction (50%)</w:t>
            </w:r>
          </w:p>
        </w:tc>
        <w:tc>
          <w:tcPr>
            <w:tcW w:w="900" w:type="dxa"/>
            <w:vAlign w:val="bottom"/>
            <w:gridSpan w:val="4"/>
          </w:tcPr>
          <w:p>
            <w:pPr>
              <w:jc w:val="right"/>
              <w:ind w:right="100"/>
              <w:spacing w:after="0"/>
              <w:rPr>
                <w:sz w:val="20"/>
                <w:szCs w:val="20"/>
                <w:color w:val="auto"/>
              </w:rPr>
            </w:pPr>
            <w:r>
              <w:rPr>
                <w:rFonts w:ascii="Arial" w:cs="Arial" w:eastAsia="Arial" w:hAnsi="Arial"/>
                <w:sz w:val="17"/>
                <w:szCs w:val="17"/>
                <w:color w:val="auto"/>
              </w:rPr>
              <w:t>(6,430)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right"/>
              <w:ind w:right="21"/>
              <w:spacing w:after="0"/>
              <w:rPr>
                <w:sz w:val="20"/>
                <w:szCs w:val="20"/>
                <w:color w:val="auto"/>
              </w:rPr>
            </w:pPr>
            <w:r>
              <w:rPr>
                <w:rFonts w:ascii="Arial" w:cs="Arial" w:eastAsia="Arial" w:hAnsi="Arial"/>
                <w:sz w:val="17"/>
                <w:szCs w:val="17"/>
                <w:color w:val="auto"/>
              </w:rPr>
              <w:t>(17,079)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7"/>
                <w:szCs w:val="17"/>
                <w:color w:val="auto"/>
              </w:rPr>
              <w:t>(13,906)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116.3%</w:t>
            </w:r>
          </w:p>
        </w:tc>
        <w:tc>
          <w:tcPr>
            <w:tcW w:w="940" w:type="dxa"/>
            <w:vAlign w:val="bottom"/>
          </w:tcPr>
          <w:p>
            <w:pPr>
              <w:spacing w:after="0"/>
              <w:rPr>
                <w:sz w:val="18"/>
                <w:szCs w:val="18"/>
                <w:color w:val="auto"/>
              </w:rPr>
            </w:pPr>
          </w:p>
        </w:tc>
      </w:tr>
      <w:tr>
        <w:trPr>
          <w:trHeight w:val="194"/>
        </w:trPr>
        <w:tc>
          <w:tcPr>
            <w:tcW w:w="4080" w:type="dxa"/>
            <w:vAlign w:val="bottom"/>
            <w:tcBorders>
              <w:top w:val="single" w:sz="8" w:color="CCEEFF"/>
            </w:tcBorders>
            <w:gridSpan w:val="5"/>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 Net gain from association with Banmedica</w:t>
            </w: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10,756</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(454</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9,471</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gridSpan w:val="2"/>
            <w:shd w:val="clear" w:color="auto" w:fill="CCEEFF"/>
          </w:tcPr>
          <w:p>
            <w:pPr>
              <w:ind w:left="460"/>
              <w:spacing w:after="0" w:line="194" w:lineRule="exact"/>
              <w:rPr>
                <w:sz w:val="20"/>
                <w:szCs w:val="20"/>
                <w:color w:val="auto"/>
              </w:rPr>
            </w:pPr>
            <w:r>
              <w:rPr>
                <w:rFonts w:ascii="Arial" w:cs="Arial" w:eastAsia="Arial" w:hAnsi="Arial"/>
                <w:sz w:val="17"/>
                <w:szCs w:val="17"/>
                <w:b w:val="1"/>
                <w:bCs w:val="1"/>
                <w:color w:val="auto"/>
                <w:w w:val="81"/>
              </w:rPr>
              <w:t>n.a.</w:t>
            </w:r>
          </w:p>
        </w:tc>
        <w:tc>
          <w:tcPr>
            <w:tcW w:w="320" w:type="dxa"/>
            <w:vAlign w:val="bottom"/>
            <w:tcBorders>
              <w:top w:val="single" w:sz="8" w:color="CCEEFF"/>
            </w:tcBorders>
            <w:gridSpan w:val="2"/>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-11.9</w:t>
            </w:r>
          </w:p>
        </w:tc>
        <w:tc>
          <w:tcPr>
            <w:tcW w:w="18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2"/>
              </w:rPr>
              <w:t>%</w:t>
            </w:r>
          </w:p>
        </w:tc>
        <w:tc>
          <w:tcPr>
            <w:tcW w:w="940" w:type="dxa"/>
            <w:vAlign w:val="bottom"/>
          </w:tcPr>
          <w:p>
            <w:pPr>
              <w:spacing w:after="0"/>
              <w:rPr>
                <w:sz w:val="16"/>
                <w:szCs w:val="16"/>
                <w:color w:val="auto"/>
              </w:rPr>
            </w:pPr>
          </w:p>
        </w:tc>
      </w:tr>
      <w:tr>
        <w:trPr>
          <w:trHeight w:val="395"/>
        </w:trPr>
        <w:tc>
          <w:tcPr>
            <w:tcW w:w="4080" w:type="dxa"/>
            <w:vAlign w:val="bottom"/>
            <w:gridSpan w:val="5"/>
          </w:tcPr>
          <w:p>
            <w:pPr>
              <w:ind w:left="1480"/>
              <w:spacing w:after="0"/>
              <w:rPr>
                <w:sz w:val="20"/>
                <w:szCs w:val="20"/>
                <w:color w:val="auto"/>
              </w:rPr>
            </w:pPr>
            <w:r>
              <w:rPr>
                <w:rFonts w:ascii="Arial" w:cs="Arial" w:eastAsia="Arial" w:hAnsi="Arial"/>
                <w:sz w:val="17"/>
                <w:szCs w:val="17"/>
                <w:b w:val="1"/>
                <w:bCs w:val="1"/>
                <w:color w:val="auto"/>
                <w:w w:val="94"/>
              </w:rPr>
              <w:t>Evolution of non-financial income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gridSpan w:val="8"/>
          </w:tcPr>
          <w:p>
            <w:pPr>
              <w:ind w:left="100"/>
              <w:spacing w:after="0"/>
              <w:rPr>
                <w:sz w:val="20"/>
                <w:szCs w:val="20"/>
                <w:color w:val="auto"/>
              </w:rPr>
            </w:pPr>
            <w:r>
              <w:rPr>
                <w:rFonts w:ascii="Arial" w:cs="Arial" w:eastAsia="Arial" w:hAnsi="Arial"/>
                <w:sz w:val="17"/>
                <w:szCs w:val="17"/>
                <w:b w:val="1"/>
                <w:bCs w:val="1"/>
                <w:color w:val="auto"/>
                <w:w w:val="88"/>
              </w:rPr>
              <w:t>QoQ evolution of non-financial 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144145</wp:posOffset>
            </wp:positionV>
            <wp:extent cx="6365875" cy="2367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65875" cy="236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140"/>
        <w:spacing w:after="0" w:line="269" w:lineRule="auto"/>
        <w:rPr>
          <w:sz w:val="20"/>
          <w:szCs w:val="20"/>
          <w:color w:val="auto"/>
        </w:rPr>
      </w:pPr>
      <w:r>
        <w:rPr>
          <w:rFonts w:ascii="Arial" w:cs="Arial" w:eastAsia="Arial" w:hAnsi="Arial"/>
          <w:sz w:val="17"/>
          <w:szCs w:val="17"/>
          <w:color w:val="auto"/>
        </w:rPr>
        <w:t>(1) Other includes Grupo Credito, Credicorp Stand-alone, eliminations and others.</w:t>
      </w:r>
    </w:p>
    <w:p>
      <w:pPr>
        <w:spacing w:after="0" w:line="292" w:lineRule="exact"/>
        <w:rPr>
          <w:sz w:val="20"/>
          <w:szCs w:val="20"/>
          <w:color w:val="auto"/>
        </w:rPr>
      </w:pPr>
    </w:p>
    <w:p>
      <w:pPr>
        <w:ind w:left="300" w:right="5860"/>
        <w:spacing w:after="0" w:line="269" w:lineRule="auto"/>
        <w:tabs>
          <w:tab w:leader="none" w:pos="5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gains on other investments, mainly made up of the profit of Banmedica.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-10-2% drop QoQ in NFI was due to:</w:t>
      </w:r>
    </w:p>
    <w:p>
      <w:pPr>
        <w:spacing w:after="0" w:line="204" w:lineRule="exact"/>
        <w:rPr>
          <w:sz w:val="20"/>
          <w:szCs w:val="20"/>
          <w:color w:val="auto"/>
        </w:rPr>
      </w:pPr>
    </w:p>
    <w:p>
      <w:pPr>
        <w:ind w:left="600" w:hanging="297"/>
        <w:spacing w:after="0" w:line="274"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 decrease in income attributable to </w:t>
      </w:r>
      <w:r>
        <w:rPr>
          <w:rFonts w:ascii="Arial" w:cs="Arial" w:eastAsia="Arial" w:hAnsi="Arial"/>
          <w:sz w:val="17"/>
          <w:szCs w:val="17"/>
          <w:b w:val="1"/>
          <w:bCs w:val="1"/>
          <w:color w:val="auto"/>
        </w:rPr>
        <w:t>the Net gain on securities (-90.0%),</w:t>
      </w:r>
      <w:r>
        <w:rPr>
          <w:rFonts w:ascii="Arial" w:cs="Arial" w:eastAsia="Arial" w:hAnsi="Arial"/>
          <w:sz w:val="17"/>
          <w:szCs w:val="17"/>
          <w:color w:val="auto"/>
        </w:rPr>
        <w:t xml:space="preserve"> which was driven by losses on ASB’s fixed income portfolio due to higher market rates. This was offset by gains on the sale of sovereign bonds at BCP Stand-alone.</w:t>
      </w:r>
    </w:p>
    <w:p>
      <w:pPr>
        <w:spacing w:after="0" w:line="158" w:lineRule="exact"/>
        <w:rPr>
          <w:rFonts w:ascii="Arial" w:cs="Arial" w:eastAsia="Arial" w:hAnsi="Arial"/>
          <w:sz w:val="17"/>
          <w:szCs w:val="17"/>
          <w:color w:val="auto"/>
        </w:rPr>
      </w:pPr>
    </w:p>
    <w:p>
      <w:pPr>
        <w:jc w:val="both"/>
        <w:ind w:left="600" w:hanging="297"/>
        <w:spacing w:after="0" w:line="284"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decrease in </w:t>
      </w:r>
      <w:r>
        <w:rPr>
          <w:rFonts w:ascii="Arial" w:cs="Arial" w:eastAsia="Arial" w:hAnsi="Arial"/>
          <w:sz w:val="16"/>
          <w:szCs w:val="16"/>
          <w:b w:val="1"/>
          <w:bCs w:val="1"/>
          <w:color w:val="auto"/>
        </w:rPr>
        <w:t>Fee Income (-4.9%),</w:t>
      </w:r>
      <w:r>
        <w:rPr>
          <w:rFonts w:ascii="Arial" w:cs="Arial" w:eastAsia="Arial" w:hAnsi="Arial"/>
          <w:sz w:val="16"/>
          <w:szCs w:val="16"/>
          <w:color w:val="auto"/>
        </w:rPr>
        <w:t xml:space="preserve"> mainly at Mibanco, where extraordinary fee income was registered in 4Q20 for bancassurance that corresponds to loans that were reprogrammed during the quarantine in 2020 and, to a lesser extent, at BCP Stand-alone due to (i) the quarantine imposed by the government during the month of February and client migration to digital channels, which currently account for 79% of all transactions.</w:t>
      </w:r>
    </w:p>
    <w:p>
      <w:pPr>
        <w:spacing w:after="0" w:line="152" w:lineRule="exact"/>
        <w:rPr>
          <w:rFonts w:ascii="Arial" w:cs="Arial" w:eastAsia="Arial" w:hAnsi="Arial"/>
          <w:sz w:val="16"/>
          <w:szCs w:val="16"/>
          <w:color w:val="auto"/>
        </w:rPr>
      </w:pPr>
    </w:p>
    <w:p>
      <w:pPr>
        <w:ind w:left="600" w:hanging="297"/>
        <w:spacing w:after="0" w:line="274"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 drop in net gains of Credicorp Capital’s capital market strategy, which consist on offsetting losses on </w:t>
      </w:r>
      <w:r>
        <w:rPr>
          <w:rFonts w:ascii="Arial" w:cs="Arial" w:eastAsia="Arial" w:hAnsi="Arial"/>
          <w:sz w:val="17"/>
          <w:szCs w:val="17"/>
          <w:b w:val="1"/>
          <w:bCs w:val="1"/>
          <w:color w:val="auto"/>
        </w:rPr>
        <w:t>Net gain on securities with Net gains on speculative</w:t>
      </w:r>
      <w:r>
        <w:rPr>
          <w:rFonts w:ascii="Arial" w:cs="Arial" w:eastAsia="Arial" w:hAnsi="Arial"/>
          <w:sz w:val="17"/>
          <w:szCs w:val="17"/>
          <w:color w:val="auto"/>
        </w:rPr>
        <w:t xml:space="preserve"> </w:t>
      </w:r>
      <w:r>
        <w:rPr>
          <w:rFonts w:ascii="Arial" w:cs="Arial" w:eastAsia="Arial" w:hAnsi="Arial"/>
          <w:sz w:val="17"/>
          <w:szCs w:val="17"/>
          <w:b w:val="1"/>
          <w:bCs w:val="1"/>
          <w:color w:val="auto"/>
        </w:rPr>
        <w:t>derivatives.</w:t>
      </w:r>
    </w:p>
    <w:p>
      <w:pPr>
        <w:spacing w:after="0" w:line="158" w:lineRule="exact"/>
        <w:rPr>
          <w:rFonts w:ascii="Arial" w:cs="Arial" w:eastAsia="Arial" w:hAnsi="Arial"/>
          <w:sz w:val="17"/>
          <w:szCs w:val="17"/>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loss on the </w:t>
      </w:r>
      <w:r>
        <w:rPr>
          <w:rFonts w:ascii="Arial" w:cs="Arial" w:eastAsia="Arial" w:hAnsi="Arial"/>
          <w:sz w:val="17"/>
          <w:szCs w:val="17"/>
          <w:b w:val="1"/>
          <w:bCs w:val="1"/>
          <w:color w:val="auto"/>
        </w:rPr>
        <w:t>Net gain for exchange differences</w:t>
      </w:r>
      <w:r>
        <w:rPr>
          <w:rFonts w:ascii="Arial" w:cs="Arial" w:eastAsia="Arial" w:hAnsi="Arial"/>
          <w:sz w:val="17"/>
          <w:szCs w:val="17"/>
          <w:color w:val="auto"/>
        </w:rPr>
        <w:t xml:space="preserve"> due the -3.76% depreciation of the Sol against the US dollar.</w:t>
      </w:r>
    </w:p>
    <w:p>
      <w:pPr>
        <w:spacing w:after="0" w:line="11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YoY evolution of non-financial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142240</wp:posOffset>
            </wp:positionV>
            <wp:extent cx="2351405" cy="1951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51405"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 Other includes Grupo Credito, Credicorp Stand-alone, eliminations and others.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YoY, </w:t>
      </w:r>
      <w:r>
        <w:rPr>
          <w:rFonts w:ascii="Arial" w:cs="Arial" w:eastAsia="Arial" w:hAnsi="Arial"/>
          <w:sz w:val="17"/>
          <w:szCs w:val="17"/>
          <w:color w:val="auto"/>
        </w:rPr>
        <w:t>growth of 24.7% in NII was attributable to:</w:t>
      </w:r>
    </w:p>
    <w:p>
      <w:pPr>
        <w:spacing w:after="0" w:line="208" w:lineRule="exact"/>
        <w:rPr>
          <w:sz w:val="20"/>
          <w:szCs w:val="20"/>
          <w:color w:val="auto"/>
        </w:rPr>
      </w:pPr>
    </w:p>
    <w:p>
      <w:pPr>
        <w:ind w:left="600" w:hanging="297"/>
        <w:spacing w:after="0" w:line="274"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An increase in income from the </w:t>
      </w:r>
      <w:r>
        <w:rPr>
          <w:rFonts w:ascii="Arial" w:cs="Arial" w:eastAsia="Arial" w:hAnsi="Arial"/>
          <w:sz w:val="17"/>
          <w:szCs w:val="17"/>
          <w:b w:val="1"/>
          <w:bCs w:val="1"/>
          <w:color w:val="auto"/>
        </w:rPr>
        <w:t>Net Gain on Securities</w:t>
      </w:r>
      <w:r>
        <w:rPr>
          <w:rFonts w:ascii="Arial" w:cs="Arial" w:eastAsia="Arial" w:hAnsi="Arial"/>
          <w:sz w:val="17"/>
          <w:szCs w:val="17"/>
          <w:color w:val="auto"/>
        </w:rPr>
        <w:t xml:space="preserve"> given that (i) in 1Q20, losses were reported due to a drop in markets in the month of March 2020 and (ii) gains on the sales of sovereign bonds in the months of January and February at BCP Stand-alone.</w:t>
      </w:r>
    </w:p>
    <w:p>
      <w:pPr>
        <w:spacing w:after="0" w:line="158" w:lineRule="exact"/>
        <w:rPr>
          <w:rFonts w:ascii="Arial" w:cs="Arial" w:eastAsia="Arial" w:hAnsi="Arial"/>
          <w:sz w:val="17"/>
          <w:szCs w:val="17"/>
          <w:color w:val="auto"/>
        </w:rPr>
      </w:pPr>
    </w:p>
    <w:p>
      <w:pPr>
        <w:jc w:val="both"/>
        <w:ind w:left="600" w:hanging="297"/>
        <w:spacing w:after="0" w:line="260"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Growth in </w:t>
      </w:r>
      <w:r>
        <w:rPr>
          <w:rFonts w:ascii="Arial" w:cs="Arial" w:eastAsia="Arial" w:hAnsi="Arial"/>
          <w:sz w:val="17"/>
          <w:szCs w:val="17"/>
          <w:b w:val="1"/>
          <w:bCs w:val="1"/>
          <w:color w:val="auto"/>
        </w:rPr>
        <w:t>Fee Income,</w:t>
      </w:r>
      <w:r>
        <w:rPr>
          <w:rFonts w:ascii="Arial" w:cs="Arial" w:eastAsia="Arial" w:hAnsi="Arial"/>
          <w:sz w:val="17"/>
          <w:szCs w:val="17"/>
          <w:color w:val="auto"/>
        </w:rPr>
        <w:t xml:space="preserve"> which was primarily attributable to BCP Stand-alone given that in 1Q20, BCP Stand-alone granted fee waivers to its clients in the context of the pandemic and, to a lesser extent, due to the fact that commissions for mutual fund management at Credicorp Capital increased with respect to 1Q20.</w:t>
      </w:r>
    </w:p>
    <w:p>
      <w:pPr>
        <w:spacing w:after="0" w:line="170"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increase in </w:t>
      </w:r>
      <w:r>
        <w:rPr>
          <w:rFonts w:ascii="Arial" w:cs="Arial" w:eastAsia="Arial" w:hAnsi="Arial"/>
          <w:sz w:val="17"/>
          <w:szCs w:val="17"/>
          <w:b w:val="1"/>
          <w:bCs w:val="1"/>
          <w:color w:val="auto"/>
        </w:rPr>
        <w:t>Net gains on speculative</w:t>
      </w:r>
      <w:r>
        <w:rPr>
          <w:rFonts w:ascii="Arial" w:cs="Arial" w:eastAsia="Arial" w:hAnsi="Arial"/>
          <w:sz w:val="17"/>
          <w:szCs w:val="17"/>
          <w:color w:val="auto"/>
        </w:rPr>
        <w:t xml:space="preserve"> derivatives through derivative strategies at BCP Stand-alone and Credicorp Capital.</w:t>
      </w:r>
    </w:p>
    <w:p>
      <w:pPr>
        <w:spacing w:after="0" w:line="11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8"/>
        </w:trPr>
        <w:tc>
          <w:tcPr>
            <w:tcW w:w="5300" w:type="dxa"/>
            <w:vAlign w:val="bottom"/>
            <w:gridSpan w:val="4"/>
          </w:tcPr>
          <w:p>
            <w:pPr>
              <w:spacing w:after="0"/>
              <w:rPr>
                <w:sz w:val="20"/>
                <w:szCs w:val="20"/>
                <w:color w:val="auto"/>
              </w:rPr>
            </w:pPr>
            <w:r>
              <w:rPr>
                <w:rFonts w:ascii="Arial" w:cs="Arial" w:eastAsia="Arial" w:hAnsi="Arial"/>
                <w:sz w:val="17"/>
                <w:szCs w:val="17"/>
                <w:b w:val="1"/>
                <w:bCs w:val="1"/>
                <w:color w:val="auto"/>
              </w:rPr>
              <w:t>5.1. Fee Income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03"/>
        </w:trPr>
        <w:tc>
          <w:tcPr>
            <w:tcW w:w="5300" w:type="dxa"/>
            <w:vAlign w:val="bottom"/>
            <w:gridSpan w:val="4"/>
          </w:tcPr>
          <w:p>
            <w:pPr>
              <w:spacing w:after="0"/>
              <w:rPr>
                <w:sz w:val="20"/>
                <w:szCs w:val="20"/>
                <w:color w:val="auto"/>
              </w:rPr>
            </w:pPr>
            <w:r>
              <w:rPr>
                <w:rFonts w:ascii="Arial" w:cs="Arial" w:eastAsia="Arial" w:hAnsi="Arial"/>
                <w:sz w:val="17"/>
                <w:szCs w:val="17"/>
                <w:b w:val="1"/>
                <w:bCs w:val="1"/>
                <w:color w:val="auto"/>
              </w:rPr>
              <w:t>5.1.2. Fee Income in the Banking Business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3"/>
        </w:trPr>
        <w:tc>
          <w:tcPr>
            <w:tcW w:w="1200" w:type="dxa"/>
            <w:vAlign w:val="bottom"/>
          </w:tcPr>
          <w:p>
            <w:pPr>
              <w:spacing w:after="0"/>
              <w:rPr>
                <w:sz w:val="24"/>
                <w:szCs w:val="24"/>
                <w:color w:val="auto"/>
              </w:rPr>
            </w:pPr>
          </w:p>
        </w:tc>
        <w:tc>
          <w:tcPr>
            <w:tcW w:w="7040" w:type="dxa"/>
            <w:vAlign w:val="bottom"/>
            <w:gridSpan w:val="12"/>
          </w:tcPr>
          <w:p>
            <w:pPr>
              <w:jc w:val="center"/>
              <w:ind w:left="1736"/>
              <w:spacing w:after="0"/>
              <w:rPr>
                <w:sz w:val="20"/>
                <w:szCs w:val="20"/>
                <w:color w:val="auto"/>
              </w:rPr>
            </w:pPr>
            <w:r>
              <w:rPr>
                <w:rFonts w:ascii="Arial" w:cs="Arial" w:eastAsia="Arial" w:hAnsi="Arial"/>
                <w:sz w:val="17"/>
                <w:szCs w:val="17"/>
                <w:b w:val="1"/>
                <w:bCs w:val="1"/>
                <w:color w:val="auto"/>
                <w:w w:val="86"/>
              </w:rPr>
              <w:t>Composition of fee income in the banking business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3"/>
        </w:trPr>
        <w:tc>
          <w:tcPr>
            <w:tcW w:w="120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Arial" w:cs="Arial" w:eastAsia="Arial" w:hAnsi="Arial"/>
                <w:sz w:val="17"/>
                <w:szCs w:val="17"/>
                <w:b w:val="1"/>
                <w:bCs w:val="1"/>
                <w:color w:val="auto"/>
              </w:rPr>
              <w:t>Fee Income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7"/>
                <w:szCs w:val="17"/>
                <w:b w:val="1"/>
                <w:bCs w:val="1"/>
                <w:color w:val="auto"/>
              </w:rPr>
              <w:t>Quarter</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ind w:left="500"/>
              <w:spacing w:after="0"/>
              <w:rPr>
                <w:sz w:val="20"/>
                <w:szCs w:val="20"/>
                <w:color w:val="auto"/>
              </w:rPr>
            </w:pPr>
            <w:r>
              <w:rPr>
                <w:rFonts w:ascii="Arial" w:cs="Arial" w:eastAsia="Arial" w:hAnsi="Arial"/>
                <w:sz w:val="17"/>
                <w:szCs w:val="17"/>
                <w:b w:val="1"/>
                <w:bCs w:val="1"/>
                <w:color w:val="auto"/>
                <w:w w:val="88"/>
              </w:rPr>
              <w:t>% change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7"/>
        </w:trPr>
        <w:tc>
          <w:tcPr>
            <w:tcW w:w="1200" w:type="dxa"/>
            <w:vAlign w:val="bottom"/>
          </w:tcPr>
          <w:p>
            <w:pPr>
              <w:spacing w:after="0"/>
              <w:rPr>
                <w:sz w:val="17"/>
                <w:szCs w:val="17"/>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1Q20</w:t>
            </w: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4Q20</w:t>
            </w:r>
          </w:p>
        </w:tc>
        <w:tc>
          <w:tcPr>
            <w:tcW w:w="1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1Q21</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QoQ</w:t>
            </w:r>
          </w:p>
        </w:tc>
        <w:tc>
          <w:tcPr>
            <w:tcW w:w="2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gridSpan w:val="2"/>
          </w:tcPr>
          <w:p>
            <w:pPr>
              <w:spacing w:after="0"/>
              <w:rPr>
                <w:sz w:val="17"/>
                <w:szCs w:val="17"/>
                <w:color w:val="auto"/>
              </w:rPr>
            </w:pPr>
          </w:p>
        </w:tc>
        <w:tc>
          <w:tcPr>
            <w:tcW w:w="5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90"/>
              </w:rPr>
              <w:t>YoY</w:t>
            </w:r>
          </w:p>
        </w:tc>
        <w:tc>
          <w:tcPr>
            <w:tcW w:w="180" w:type="dxa"/>
            <w:vAlign w:val="bottom"/>
            <w:tcBorders>
              <w:bottom w:val="single" w:sz="8" w:color="CCEEFF"/>
            </w:tcBorders>
          </w:tcPr>
          <w:p>
            <w:pPr>
              <w:spacing w:after="0"/>
              <w:rPr>
                <w:sz w:val="17"/>
                <w:szCs w:val="17"/>
                <w:color w:val="auto"/>
              </w:rPr>
            </w:pPr>
          </w:p>
        </w:tc>
      </w:tr>
      <w:tr>
        <w:trPr>
          <w:trHeight w:val="232"/>
        </w:trPr>
        <w:tc>
          <w:tcPr>
            <w:tcW w:w="1200" w:type="dxa"/>
            <w:vAlign w:val="bottom"/>
          </w:tcPr>
          <w:p>
            <w:pPr>
              <w:spacing w:after="0"/>
              <w:rPr>
                <w:sz w:val="20"/>
                <w:szCs w:val="20"/>
                <w:color w:val="auto"/>
              </w:rPr>
            </w:pPr>
          </w:p>
        </w:tc>
        <w:tc>
          <w:tcPr>
            <w:tcW w:w="392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 xml:space="preserve">Miscellaneous accounts </w:t>
            </w:r>
            <w:r>
              <w:rPr>
                <w:rFonts w:ascii="Arial" w:cs="Arial" w:eastAsia="Arial" w:hAnsi="Arial"/>
                <w:sz w:val="26"/>
                <w:szCs w:val="26"/>
                <w:color w:val="auto"/>
                <w:vertAlign w:val="superscript"/>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164,963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184,634</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181,065</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39"/>
        </w:trPr>
        <w:tc>
          <w:tcPr>
            <w:tcW w:w="1200" w:type="dxa"/>
            <w:vAlign w:val="bottom"/>
          </w:tcPr>
          <w:p>
            <w:pPr>
              <w:spacing w:after="0"/>
              <w:rPr>
                <w:sz w:val="20"/>
                <w:szCs w:val="20"/>
                <w:color w:val="auto"/>
              </w:rPr>
            </w:pPr>
          </w:p>
        </w:tc>
        <w:tc>
          <w:tcPr>
            <w:tcW w:w="41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Credit cards </w:t>
            </w:r>
            <w:r>
              <w:rPr>
                <w:rFonts w:ascii="Arial" w:cs="Arial" w:eastAsia="Arial" w:hAnsi="Arial"/>
                <w:sz w:val="27"/>
                <w:szCs w:val="27"/>
                <w:color w:val="auto"/>
                <w:vertAlign w:val="superscript"/>
              </w:rPr>
              <w:t>(2)</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60,435</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65,867</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54,020</w:t>
            </w:r>
          </w:p>
        </w:tc>
        <w:tc>
          <w:tcPr>
            <w:tcW w:w="100" w:type="dxa"/>
            <w:vAlign w:val="bottom"/>
          </w:tcPr>
          <w:p>
            <w:pPr>
              <w:spacing w:after="0"/>
              <w:rPr>
                <w:sz w:val="20"/>
                <w:szCs w:val="20"/>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-10.6%</w:t>
            </w:r>
          </w:p>
        </w:tc>
      </w:tr>
      <w:tr>
        <w:trPr>
          <w:trHeight w:val="202"/>
        </w:trPr>
        <w:tc>
          <w:tcPr>
            <w:tcW w:w="120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Drafts and transfers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61,846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83,451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84,625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36.8%</w:t>
            </w:r>
          </w:p>
        </w:tc>
      </w:tr>
      <w:tr>
        <w:trPr>
          <w:trHeight w:val="239"/>
        </w:trPr>
        <w:tc>
          <w:tcPr>
            <w:tcW w:w="1200" w:type="dxa"/>
            <w:vAlign w:val="bottom"/>
          </w:tcPr>
          <w:p>
            <w:pPr>
              <w:spacing w:after="0"/>
              <w:rPr>
                <w:sz w:val="20"/>
                <w:szCs w:val="20"/>
                <w:color w:val="auto"/>
              </w:rPr>
            </w:pPr>
          </w:p>
        </w:tc>
        <w:tc>
          <w:tcPr>
            <w:tcW w:w="41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Personal loans </w:t>
            </w:r>
            <w:r>
              <w:rPr>
                <w:rFonts w:ascii="Arial" w:cs="Arial" w:eastAsia="Arial" w:hAnsi="Arial"/>
                <w:sz w:val="27"/>
                <w:szCs w:val="27"/>
                <w:color w:val="auto"/>
                <w:vertAlign w:val="superscript"/>
              </w:rPr>
              <w:t>(2)</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28,352</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26,463</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24,271</w:t>
            </w:r>
          </w:p>
        </w:tc>
        <w:tc>
          <w:tcPr>
            <w:tcW w:w="100" w:type="dxa"/>
            <w:vAlign w:val="bottom"/>
          </w:tcPr>
          <w:p>
            <w:pPr>
              <w:spacing w:after="0"/>
              <w:rPr>
                <w:sz w:val="20"/>
                <w:szCs w:val="20"/>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-14.4%</w:t>
            </w:r>
          </w:p>
        </w:tc>
      </w:tr>
      <w:tr>
        <w:trPr>
          <w:trHeight w:val="239"/>
        </w:trPr>
        <w:tc>
          <w:tcPr>
            <w:tcW w:w="1200" w:type="dxa"/>
            <w:vAlign w:val="bottom"/>
          </w:tcPr>
          <w:p>
            <w:pPr>
              <w:spacing w:after="0"/>
              <w:rPr>
                <w:sz w:val="20"/>
                <w:szCs w:val="20"/>
                <w:color w:val="auto"/>
              </w:rPr>
            </w:pPr>
          </w:p>
        </w:tc>
        <w:tc>
          <w:tcPr>
            <w:tcW w:w="41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SME loans </w:t>
            </w:r>
            <w:r>
              <w:rPr>
                <w:rFonts w:ascii="Arial" w:cs="Arial" w:eastAsia="Arial" w:hAnsi="Arial"/>
                <w:sz w:val="27"/>
                <w:szCs w:val="27"/>
                <w:color w:val="auto"/>
                <w:vertAlign w:val="superscript"/>
              </w:rPr>
              <w:t>(2)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18,808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24,343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14,535</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-40.3%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39"/>
        </w:trPr>
        <w:tc>
          <w:tcPr>
            <w:tcW w:w="1200" w:type="dxa"/>
            <w:vAlign w:val="bottom"/>
          </w:tcPr>
          <w:p>
            <w:pPr>
              <w:spacing w:after="0"/>
              <w:rPr>
                <w:sz w:val="20"/>
                <w:szCs w:val="20"/>
                <w:color w:val="auto"/>
              </w:rPr>
            </w:pPr>
          </w:p>
        </w:tc>
        <w:tc>
          <w:tcPr>
            <w:tcW w:w="41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Insurance </w:t>
            </w:r>
            <w:r>
              <w:rPr>
                <w:rFonts w:ascii="Arial" w:cs="Arial" w:eastAsia="Arial" w:hAnsi="Arial"/>
                <w:sz w:val="27"/>
                <w:szCs w:val="27"/>
                <w:color w:val="auto"/>
                <w:vertAlign w:val="superscript"/>
              </w:rPr>
              <w:t>(2)</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25,179</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26,112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27,189</w:t>
            </w:r>
          </w:p>
        </w:tc>
        <w:tc>
          <w:tcPr>
            <w:tcW w:w="100" w:type="dxa"/>
            <w:vAlign w:val="bottom"/>
          </w:tcPr>
          <w:p>
            <w:pPr>
              <w:spacing w:after="0"/>
              <w:rPr>
                <w:sz w:val="20"/>
                <w:szCs w:val="20"/>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8.0%</w:t>
            </w:r>
          </w:p>
        </w:tc>
      </w:tr>
      <w:tr>
        <w:trPr>
          <w:trHeight w:val="239"/>
        </w:trPr>
        <w:tc>
          <w:tcPr>
            <w:tcW w:w="1200" w:type="dxa"/>
            <w:vAlign w:val="bottom"/>
          </w:tcPr>
          <w:p>
            <w:pPr>
              <w:spacing w:after="0"/>
              <w:rPr>
                <w:sz w:val="20"/>
                <w:szCs w:val="20"/>
                <w:color w:val="auto"/>
              </w:rPr>
            </w:pPr>
          </w:p>
        </w:tc>
        <w:tc>
          <w:tcPr>
            <w:tcW w:w="41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Mortgage loans </w:t>
            </w:r>
            <w:r>
              <w:rPr>
                <w:rFonts w:ascii="Arial" w:cs="Arial" w:eastAsia="Arial" w:hAnsi="Arial"/>
                <w:sz w:val="27"/>
                <w:szCs w:val="27"/>
                <w:color w:val="auto"/>
                <w:vertAlign w:val="superscript"/>
              </w:rPr>
              <w:t>(2)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9,402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-29.9%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39"/>
        </w:trPr>
        <w:tc>
          <w:tcPr>
            <w:tcW w:w="1200" w:type="dxa"/>
            <w:vAlign w:val="bottom"/>
          </w:tcPr>
          <w:p>
            <w:pPr>
              <w:spacing w:after="0"/>
              <w:rPr>
                <w:sz w:val="20"/>
                <w:szCs w:val="20"/>
                <w:color w:val="auto"/>
              </w:rPr>
            </w:pPr>
          </w:p>
        </w:tc>
        <w:tc>
          <w:tcPr>
            <w:tcW w:w="41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Off-balance sheet </w:t>
            </w:r>
            <w:r>
              <w:rPr>
                <w:rFonts w:ascii="Arial" w:cs="Arial" w:eastAsia="Arial" w:hAnsi="Arial"/>
                <w:sz w:val="27"/>
                <w:szCs w:val="27"/>
                <w:color w:val="auto"/>
                <w:vertAlign w:val="superscript"/>
              </w:rPr>
              <w:t>(3)</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50,093</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53,825</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59,864</w:t>
            </w:r>
          </w:p>
        </w:tc>
        <w:tc>
          <w:tcPr>
            <w:tcW w:w="100" w:type="dxa"/>
            <w:vAlign w:val="bottom"/>
          </w:tcPr>
          <w:p>
            <w:pPr>
              <w:spacing w:after="0"/>
              <w:rPr>
                <w:sz w:val="20"/>
                <w:szCs w:val="20"/>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19.5%</w:t>
            </w:r>
          </w:p>
        </w:tc>
      </w:tr>
      <w:tr>
        <w:trPr>
          <w:trHeight w:val="239"/>
        </w:trPr>
        <w:tc>
          <w:tcPr>
            <w:tcW w:w="1200" w:type="dxa"/>
            <w:vAlign w:val="bottom"/>
          </w:tcPr>
          <w:p>
            <w:pPr>
              <w:spacing w:after="0"/>
              <w:rPr>
                <w:sz w:val="20"/>
                <w:szCs w:val="20"/>
                <w:color w:val="auto"/>
              </w:rPr>
            </w:pPr>
          </w:p>
        </w:tc>
        <w:tc>
          <w:tcPr>
            <w:tcW w:w="41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Payments and collections </w:t>
            </w:r>
            <w:r>
              <w:rPr>
                <w:rFonts w:ascii="Arial" w:cs="Arial" w:eastAsia="Arial" w:hAnsi="Arial"/>
                <w:sz w:val="27"/>
                <w:szCs w:val="27"/>
                <w:color w:val="auto"/>
                <w:vertAlign w:val="superscript"/>
              </w:rPr>
              <w:t>(3)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101,283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106,078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106,384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39"/>
        </w:trPr>
        <w:tc>
          <w:tcPr>
            <w:tcW w:w="1200" w:type="dxa"/>
            <w:vAlign w:val="bottom"/>
          </w:tcPr>
          <w:p>
            <w:pPr>
              <w:spacing w:after="0"/>
              <w:rPr>
                <w:sz w:val="20"/>
                <w:szCs w:val="20"/>
                <w:color w:val="auto"/>
              </w:rPr>
            </w:pPr>
          </w:p>
        </w:tc>
        <w:tc>
          <w:tcPr>
            <w:tcW w:w="41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Commercial loans </w:t>
            </w:r>
            <w:r>
              <w:rPr>
                <w:rFonts w:ascii="Arial" w:cs="Arial" w:eastAsia="Arial" w:hAnsi="Arial"/>
                <w:sz w:val="27"/>
                <w:szCs w:val="27"/>
                <w:color w:val="auto"/>
                <w:vertAlign w:val="superscript"/>
              </w:rPr>
              <w:t>(3)(4)</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17,978</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17,628</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15,392</w:t>
            </w:r>
          </w:p>
        </w:tc>
        <w:tc>
          <w:tcPr>
            <w:tcW w:w="100" w:type="dxa"/>
            <w:vAlign w:val="bottom"/>
          </w:tcPr>
          <w:p>
            <w:pPr>
              <w:spacing w:after="0"/>
              <w:rPr>
                <w:sz w:val="20"/>
                <w:szCs w:val="20"/>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-12.7%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-14.4%</w:t>
            </w:r>
          </w:p>
        </w:tc>
      </w:tr>
      <w:tr>
        <w:trPr>
          <w:trHeight w:val="239"/>
        </w:trPr>
        <w:tc>
          <w:tcPr>
            <w:tcW w:w="1200" w:type="dxa"/>
            <w:vAlign w:val="bottom"/>
          </w:tcPr>
          <w:p>
            <w:pPr>
              <w:spacing w:after="0"/>
              <w:rPr>
                <w:sz w:val="20"/>
                <w:szCs w:val="20"/>
                <w:color w:val="auto"/>
              </w:rPr>
            </w:pPr>
          </w:p>
        </w:tc>
        <w:tc>
          <w:tcPr>
            <w:tcW w:w="41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Foreign trade </w:t>
            </w:r>
            <w:r>
              <w:rPr>
                <w:rFonts w:ascii="Arial" w:cs="Arial" w:eastAsia="Arial" w:hAnsi="Arial"/>
                <w:sz w:val="27"/>
                <w:szCs w:val="27"/>
                <w:color w:val="auto"/>
                <w:vertAlign w:val="superscript"/>
              </w:rPr>
              <w:t>(3)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11,576</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14,775</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15,191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w:t>
            </w:r>
          </w:p>
        </w:tc>
      </w:tr>
      <w:tr>
        <w:trPr>
          <w:trHeight w:val="239"/>
        </w:trPr>
        <w:tc>
          <w:tcPr>
            <w:tcW w:w="1200" w:type="dxa"/>
            <w:vAlign w:val="bottom"/>
          </w:tcPr>
          <w:p>
            <w:pPr>
              <w:spacing w:after="0"/>
              <w:rPr>
                <w:sz w:val="20"/>
                <w:szCs w:val="20"/>
                <w:color w:val="auto"/>
              </w:rPr>
            </w:pPr>
          </w:p>
        </w:tc>
        <w:tc>
          <w:tcPr>
            <w:tcW w:w="41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Corporate finance and mutual funds </w:t>
            </w:r>
            <w:r>
              <w:rPr>
                <w:rFonts w:ascii="Arial" w:cs="Arial" w:eastAsia="Arial" w:hAnsi="Arial"/>
                <w:sz w:val="27"/>
                <w:szCs w:val="27"/>
                <w:color w:val="auto"/>
                <w:vertAlign w:val="superscript"/>
              </w:rPr>
              <w:t>(4)</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16,673</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14,136</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13,583</w:t>
            </w:r>
          </w:p>
        </w:tc>
        <w:tc>
          <w:tcPr>
            <w:tcW w:w="100" w:type="dxa"/>
            <w:vAlign w:val="bottom"/>
          </w:tcPr>
          <w:p>
            <w:pPr>
              <w:spacing w:after="0"/>
              <w:rPr>
                <w:sz w:val="20"/>
                <w:szCs w:val="20"/>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-18.5%</w:t>
            </w:r>
          </w:p>
        </w:tc>
      </w:tr>
      <w:tr>
        <w:trPr>
          <w:trHeight w:val="202"/>
        </w:trPr>
        <w:tc>
          <w:tcPr>
            <w:tcW w:w="120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Mibanco</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23,533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57,140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17,647</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-69.1%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02"/>
        </w:trPr>
        <w:tc>
          <w:tcPr>
            <w:tcW w:w="120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7"/>
                <w:szCs w:val="17"/>
                <w:color w:val="auto"/>
              </w:rPr>
              <w:t>BCP Bolivia</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26,350</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27,886</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34,532</w:t>
            </w:r>
          </w:p>
        </w:tc>
        <w:tc>
          <w:tcPr>
            <w:tcW w:w="100" w:type="dxa"/>
            <w:vAlign w:val="bottom"/>
          </w:tcPr>
          <w:p>
            <w:pPr>
              <w:spacing w:after="0"/>
              <w:rPr>
                <w:sz w:val="17"/>
                <w:szCs w:val="17"/>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23.8%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31.1%</w:t>
            </w:r>
          </w:p>
        </w:tc>
      </w:tr>
      <w:tr>
        <w:trPr>
          <w:trHeight w:val="202"/>
        </w:trPr>
        <w:tc>
          <w:tcPr>
            <w:tcW w:w="120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ASB</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8,412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6,101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11,858</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94.4%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52"/>
        </w:trPr>
        <w:tc>
          <w:tcPr>
            <w:tcW w:w="1200" w:type="dxa"/>
            <w:vAlign w:val="bottom"/>
          </w:tcPr>
          <w:p>
            <w:pPr>
              <w:spacing w:after="0"/>
              <w:rPr>
                <w:sz w:val="21"/>
                <w:szCs w:val="21"/>
                <w:color w:val="auto"/>
              </w:rPr>
            </w:pPr>
          </w:p>
        </w:tc>
        <w:tc>
          <w:tcPr>
            <w:tcW w:w="4100" w:type="dxa"/>
            <w:vAlign w:val="bottom"/>
            <w:gridSpan w:val="3"/>
          </w:tcPr>
          <w:p>
            <w:pPr>
              <w:spacing w:after="0" w:line="251" w:lineRule="exact"/>
              <w:rPr>
                <w:sz w:val="20"/>
                <w:szCs w:val="20"/>
                <w:color w:val="auto"/>
              </w:rPr>
            </w:pPr>
            <w:r>
              <w:rPr>
                <w:rFonts w:ascii="Arial" w:cs="Arial" w:eastAsia="Arial" w:hAnsi="Arial"/>
                <w:sz w:val="17"/>
                <w:szCs w:val="17"/>
                <w:color w:val="auto"/>
              </w:rPr>
              <w:t xml:space="preserve">Others </w:t>
            </w:r>
            <w:r>
              <w:rPr>
                <w:rFonts w:ascii="Arial" w:cs="Arial" w:eastAsia="Arial" w:hAnsi="Arial"/>
                <w:sz w:val="27"/>
                <w:szCs w:val="27"/>
                <w:color w:val="auto"/>
                <w:vertAlign w:val="superscript"/>
              </w:rPr>
              <w:t>(4)(5)</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12,184</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7,861</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10,583</w:t>
            </w:r>
          </w:p>
        </w:tc>
        <w:tc>
          <w:tcPr>
            <w:tcW w:w="100" w:type="dxa"/>
            <w:vAlign w:val="bottom"/>
          </w:tcPr>
          <w:p>
            <w:pPr>
              <w:spacing w:after="0"/>
              <w:rPr>
                <w:sz w:val="21"/>
                <w:szCs w:val="21"/>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34.6%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-13.1%</w:t>
            </w:r>
          </w:p>
        </w:tc>
      </w:tr>
      <w:tr>
        <w:trPr>
          <w:trHeight w:val="194"/>
        </w:trPr>
        <w:tc>
          <w:tcPr>
            <w:tcW w:w="1200" w:type="dxa"/>
            <w:vAlign w:val="bottom"/>
          </w:tcPr>
          <w:p>
            <w:pPr>
              <w:spacing w:after="0"/>
              <w:rPr>
                <w:sz w:val="16"/>
                <w:szCs w:val="16"/>
                <w:color w:val="auto"/>
              </w:rPr>
            </w:pPr>
          </w:p>
        </w:tc>
        <w:tc>
          <w:tcPr>
            <w:tcW w:w="4100" w:type="dxa"/>
            <w:vAlign w:val="bottom"/>
            <w:tcBorders>
              <w:top w:val="single" w:sz="8" w:color="CCEEFF"/>
            </w:tcBorders>
            <w:gridSpan w:val="3"/>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fee income</w:t>
            </w:r>
          </w:p>
        </w:tc>
        <w:tc>
          <w:tcPr>
            <w:tcW w:w="7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637,067</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727,365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678,503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-6.7</w:t>
            </w:r>
          </w:p>
        </w:tc>
        <w:tc>
          <w:tcPr>
            <w:tcW w:w="260" w:type="dxa"/>
            <w:vAlign w:val="bottom"/>
            <w:tcBorders>
              <w:top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b w:val="1"/>
                <w:bCs w:val="1"/>
                <w:color w:val="auto"/>
                <w:w w:val="92"/>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6.5</w:t>
            </w:r>
          </w:p>
        </w:tc>
        <w:tc>
          <w:tcPr>
            <w:tcW w:w="18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r>
    </w:tbl>
    <w:p>
      <w:pPr>
        <w:spacing w:after="0" w:line="189"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Source: BCP</w:t>
      </w:r>
    </w:p>
    <w:p>
      <w:pPr>
        <w:spacing w:after="0" w:line="18" w:lineRule="exact"/>
        <w:rPr>
          <w:sz w:val="20"/>
          <w:szCs w:val="20"/>
          <w:color w:val="auto"/>
        </w:rPr>
      </w:pPr>
    </w:p>
    <w:p>
      <w:pPr>
        <w:ind w:left="1440" w:hanging="230"/>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Saving accounts, current accounts, debit card and master account.</w:t>
      </w:r>
    </w:p>
    <w:p>
      <w:pPr>
        <w:spacing w:after="0" w:line="6" w:lineRule="exact"/>
        <w:rPr>
          <w:rFonts w:ascii="Arial" w:cs="Arial" w:eastAsia="Arial" w:hAnsi="Arial"/>
          <w:sz w:val="17"/>
          <w:szCs w:val="17"/>
          <w:color w:val="auto"/>
        </w:rPr>
      </w:pPr>
    </w:p>
    <w:p>
      <w:pPr>
        <w:ind w:left="1440" w:hanging="230"/>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Mainly Retail fees.</w:t>
      </w:r>
    </w:p>
    <w:p>
      <w:pPr>
        <w:spacing w:after="0" w:line="6" w:lineRule="exact"/>
        <w:rPr>
          <w:rFonts w:ascii="Arial" w:cs="Arial" w:eastAsia="Arial" w:hAnsi="Arial"/>
          <w:sz w:val="17"/>
          <w:szCs w:val="17"/>
          <w:color w:val="auto"/>
        </w:rPr>
      </w:pPr>
    </w:p>
    <w:p>
      <w:pPr>
        <w:ind w:left="1440" w:hanging="230"/>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Mainly Wholesale fees.</w:t>
      </w:r>
    </w:p>
    <w:p>
      <w:pPr>
        <w:spacing w:after="0" w:line="6" w:lineRule="exact"/>
        <w:rPr>
          <w:rFonts w:ascii="Arial" w:cs="Arial" w:eastAsia="Arial" w:hAnsi="Arial"/>
          <w:sz w:val="17"/>
          <w:szCs w:val="17"/>
          <w:color w:val="auto"/>
        </w:rPr>
      </w:pPr>
    </w:p>
    <w:p>
      <w:pPr>
        <w:ind w:left="1440" w:hanging="230"/>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Figures differ from previously reported, please consider the data presented on this report.</w:t>
      </w:r>
    </w:p>
    <w:p>
      <w:pPr>
        <w:spacing w:after="0" w:line="6" w:lineRule="exact"/>
        <w:rPr>
          <w:rFonts w:ascii="Arial" w:cs="Arial" w:eastAsia="Arial" w:hAnsi="Arial"/>
          <w:sz w:val="17"/>
          <w:szCs w:val="17"/>
          <w:color w:val="auto"/>
        </w:rPr>
      </w:pPr>
    </w:p>
    <w:p>
      <w:pPr>
        <w:ind w:left="1440" w:hanging="230"/>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fees from BCP Bolivia, Mibanco, network usage and other services to third parties, among others.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Fee income in the banking business contracted -6.7% </w:t>
      </w:r>
      <w:r>
        <w:rPr>
          <w:rFonts w:ascii="Arial" w:cs="Arial" w:eastAsia="Arial" w:hAnsi="Arial"/>
          <w:sz w:val="17"/>
          <w:szCs w:val="17"/>
          <w:b w:val="1"/>
          <w:bCs w:val="1"/>
          <w:color w:val="auto"/>
        </w:rPr>
        <w:t>QoQ.</w:t>
      </w:r>
      <w:r>
        <w:rPr>
          <w:rFonts w:ascii="Arial" w:cs="Arial" w:eastAsia="Arial" w:hAnsi="Arial"/>
          <w:sz w:val="17"/>
          <w:szCs w:val="17"/>
          <w:color w:val="auto"/>
        </w:rPr>
        <w:t xml:space="preserve"> The segments that registered the largest contraction were:</w:t>
      </w:r>
    </w:p>
    <w:p>
      <w:pPr>
        <w:spacing w:after="0" w:line="208" w:lineRule="exact"/>
        <w:rPr>
          <w:sz w:val="20"/>
          <w:szCs w:val="20"/>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Mibanco, </w:t>
      </w:r>
      <w:r>
        <w:rPr>
          <w:rFonts w:ascii="Arial" w:cs="Arial" w:eastAsia="Arial" w:hAnsi="Arial"/>
          <w:sz w:val="17"/>
          <w:szCs w:val="17"/>
          <w:color w:val="auto"/>
        </w:rPr>
        <w:t>due to extraordinary income from bancassurance commissions in 4Q20.</w:t>
      </w:r>
    </w:p>
    <w:p>
      <w:pPr>
        <w:spacing w:after="0" w:line="207" w:lineRule="exact"/>
        <w:rPr>
          <w:rFonts w:ascii="Arial" w:cs="Arial" w:eastAsia="Arial" w:hAnsi="Arial"/>
          <w:sz w:val="17"/>
          <w:szCs w:val="17"/>
          <w:color w:val="auto"/>
        </w:rPr>
      </w:pPr>
    </w:p>
    <w:p>
      <w:pPr>
        <w:ind w:left="600" w:hanging="297"/>
        <w:spacing w:after="0" w:line="274"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Credit cards, </w:t>
      </w:r>
      <w:r>
        <w:rPr>
          <w:rFonts w:ascii="Arial" w:cs="Arial" w:eastAsia="Arial" w:hAnsi="Arial"/>
          <w:sz w:val="17"/>
          <w:szCs w:val="17"/>
          <w:color w:val="auto"/>
        </w:rPr>
        <w:t>which was attributable to a drop in merchant-fee commissions after consumption levels fell below those seen in 4Q20 due to the quarantine in</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and to high seasonality in the last quarter of the year.</w:t>
      </w:r>
    </w:p>
    <w:p>
      <w:pPr>
        <w:spacing w:after="0" w:line="158" w:lineRule="exact"/>
        <w:rPr>
          <w:rFonts w:ascii="Arial" w:cs="Arial" w:eastAsia="Arial" w:hAnsi="Arial"/>
          <w:sz w:val="17"/>
          <w:szCs w:val="17"/>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SME-Pyme loans, </w:t>
      </w:r>
      <w:r>
        <w:rPr>
          <w:rFonts w:ascii="Arial" w:cs="Arial" w:eastAsia="Arial" w:hAnsi="Arial"/>
          <w:sz w:val="17"/>
          <w:szCs w:val="17"/>
          <w:color w:val="auto"/>
        </w:rPr>
        <w:t>after fewer loans were granted in this segment in 1Q21, which reflected a drop of -13.23% in billing the first quarter.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At the </w:t>
      </w:r>
      <w:r>
        <w:rPr>
          <w:rFonts w:ascii="Arial" w:cs="Arial" w:eastAsia="Arial" w:hAnsi="Arial"/>
          <w:sz w:val="17"/>
          <w:szCs w:val="17"/>
          <w:b w:val="1"/>
          <w:bCs w:val="1"/>
          <w:color w:val="auto"/>
        </w:rPr>
        <w:t>YoY</w:t>
      </w:r>
      <w:r>
        <w:rPr>
          <w:rFonts w:ascii="Arial" w:cs="Arial" w:eastAsia="Arial" w:hAnsi="Arial"/>
          <w:sz w:val="17"/>
          <w:szCs w:val="17"/>
          <w:color w:val="auto"/>
        </w:rPr>
        <w:t xml:space="preserve"> level, growth was driven primarily by:</w:t>
      </w:r>
    </w:p>
    <w:p>
      <w:pPr>
        <w:spacing w:after="0" w:line="208" w:lineRule="exact"/>
        <w:rPr>
          <w:sz w:val="20"/>
          <w:szCs w:val="20"/>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Drafts and transfers, </w:t>
      </w:r>
      <w:r>
        <w:rPr>
          <w:rFonts w:ascii="Arial" w:cs="Arial" w:eastAsia="Arial" w:hAnsi="Arial"/>
          <w:sz w:val="17"/>
          <w:szCs w:val="17"/>
          <w:color w:val="auto"/>
        </w:rPr>
        <w:t>which posted recovery after drafts and transfers were exempted from fees in 2020.</w:t>
      </w:r>
    </w:p>
    <w:p>
      <w:pPr>
        <w:spacing w:after="0" w:line="20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Miscellaneous accounts, </w:t>
      </w:r>
      <w:r>
        <w:rPr>
          <w:rFonts w:ascii="Arial" w:cs="Arial" w:eastAsia="Arial" w:hAnsi="Arial"/>
          <w:sz w:val="17"/>
          <w:szCs w:val="17"/>
          <w:color w:val="auto"/>
        </w:rPr>
        <w:t>due to an increase in transactionality, mainly relative to transfers to correspondent accounts.</w:t>
      </w:r>
    </w:p>
    <w:p>
      <w:pPr>
        <w:spacing w:after="0" w:line="20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Off balance sheet, </w:t>
      </w:r>
      <w:r>
        <w:rPr>
          <w:rFonts w:ascii="Arial" w:cs="Arial" w:eastAsia="Arial" w:hAnsi="Arial"/>
          <w:sz w:val="17"/>
          <w:szCs w:val="17"/>
          <w:color w:val="auto"/>
        </w:rPr>
        <w:t>which was attributable to an increase in transactions with wholesale clients (mining and airlines).</w:t>
      </w:r>
    </w:p>
    <w:p>
      <w:pPr>
        <w:spacing w:after="0" w:line="20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BCP Bolivia, </w:t>
      </w:r>
      <w:r>
        <w:rPr>
          <w:rFonts w:ascii="Arial" w:cs="Arial" w:eastAsia="Arial" w:hAnsi="Arial"/>
          <w:sz w:val="17"/>
          <w:szCs w:val="17"/>
          <w:color w:val="auto"/>
        </w:rPr>
        <w:t>due to an increase in foreign transfers through transactions executed by mineral exporters</w:t>
      </w:r>
    </w:p>
    <w:p>
      <w:pPr>
        <w:spacing w:after="0" w:line="11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65576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6557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8"/>
        </w:trPr>
        <w:tc>
          <w:tcPr>
            <w:tcW w:w="3540" w:type="dxa"/>
            <w:vAlign w:val="bottom"/>
            <w:gridSpan w:val="3"/>
          </w:tcPr>
          <w:p>
            <w:pPr>
              <w:spacing w:after="0"/>
              <w:rPr>
                <w:sz w:val="20"/>
                <w:szCs w:val="20"/>
                <w:color w:val="auto"/>
              </w:rPr>
            </w:pPr>
            <w:r>
              <w:rPr>
                <w:rFonts w:ascii="Arial" w:cs="Arial" w:eastAsia="Arial" w:hAnsi="Arial"/>
                <w:sz w:val="17"/>
                <w:szCs w:val="17"/>
                <w:b w:val="1"/>
                <w:bCs w:val="1"/>
                <w:color w:val="auto"/>
              </w:rPr>
              <w:t>6. Insurance Underwriting Result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41"/>
        </w:trPr>
        <w:tc>
          <w:tcPr>
            <w:tcW w:w="354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Insurance underwriting result </w:t>
            </w:r>
            <w:r>
              <w:rPr>
                <w:rFonts w:ascii="Arial" w:cs="Arial" w:eastAsia="Arial" w:hAnsi="Arial"/>
                <w:sz w:val="27"/>
                <w:szCs w:val="27"/>
                <w:b w:val="1"/>
                <w:bCs w:val="1"/>
                <w:color w:val="auto"/>
                <w:vertAlign w:val="superscript"/>
              </w:rPr>
              <w:t>(1)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4"/>
          </w:tcPr>
          <w:p>
            <w:pPr>
              <w:ind w:left="60"/>
              <w:spacing w:after="0"/>
              <w:rPr>
                <w:sz w:val="20"/>
                <w:szCs w:val="20"/>
                <w:color w:val="auto"/>
              </w:rPr>
            </w:pPr>
            <w:r>
              <w:rPr>
                <w:rFonts w:ascii="Arial" w:cs="Arial" w:eastAsia="Arial" w:hAnsi="Arial"/>
                <w:sz w:val="17"/>
                <w:szCs w:val="17"/>
                <w:b w:val="1"/>
                <w:bCs w:val="1"/>
                <w:color w:val="auto"/>
              </w:rPr>
              <w:t>Quarter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gridSpan w:val="5"/>
          </w:tcPr>
          <w:p>
            <w:pPr>
              <w:jc w:val="right"/>
              <w:ind w:right="576"/>
              <w:spacing w:after="0"/>
              <w:rPr>
                <w:sz w:val="20"/>
                <w:szCs w:val="20"/>
                <w:color w:val="auto"/>
              </w:rPr>
            </w:pPr>
            <w:r>
              <w:rPr>
                <w:rFonts w:ascii="Arial" w:cs="Arial" w:eastAsia="Arial" w:hAnsi="Arial"/>
                <w:sz w:val="17"/>
                <w:szCs w:val="17"/>
                <w:b w:val="1"/>
                <w:bCs w:val="1"/>
                <w:color w:val="auto"/>
              </w:rPr>
              <w:t>% change</w:t>
            </w:r>
          </w:p>
        </w:tc>
      </w:tr>
      <w:tr>
        <w:trPr>
          <w:trHeight w:val="207"/>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1Q20</w:t>
            </w:r>
          </w:p>
        </w:tc>
        <w:tc>
          <w:tcPr>
            <w:tcW w:w="16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4Q20</w:t>
            </w:r>
          </w:p>
        </w:tc>
        <w:tc>
          <w:tcPr>
            <w:tcW w:w="16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1Q21</w:t>
            </w:r>
          </w:p>
        </w:tc>
        <w:tc>
          <w:tcPr>
            <w:tcW w:w="16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QoQ</w:t>
            </w:r>
          </w:p>
        </w:tc>
        <w:tc>
          <w:tcPr>
            <w:tcW w:w="26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4"/>
        </w:trPr>
        <w:tc>
          <w:tcPr>
            <w:tcW w:w="3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earned premiums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80"/>
              <w:spacing w:after="0" w:line="194" w:lineRule="exact"/>
              <w:rPr>
                <w:sz w:val="20"/>
                <w:szCs w:val="20"/>
                <w:color w:val="auto"/>
              </w:rPr>
            </w:pPr>
            <w:r>
              <w:rPr>
                <w:rFonts w:ascii="Arial" w:cs="Arial" w:eastAsia="Arial" w:hAnsi="Arial"/>
                <w:sz w:val="17"/>
                <w:szCs w:val="17"/>
                <w:color w:val="auto"/>
                <w:w w:val="84"/>
              </w:rPr>
              <w:t>627,935</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652,669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643,928</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-1.3%</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2.5%</w:t>
            </w:r>
          </w:p>
        </w:tc>
      </w:tr>
      <w:tr>
        <w:trPr>
          <w:trHeight w:val="202"/>
        </w:trPr>
        <w:tc>
          <w:tcPr>
            <w:tcW w:w="3540" w:type="dxa"/>
            <w:vAlign w:val="bottom"/>
            <w:gridSpan w:val="3"/>
          </w:tcPr>
          <w:p>
            <w:pPr>
              <w:spacing w:after="0"/>
              <w:rPr>
                <w:sz w:val="20"/>
                <w:szCs w:val="20"/>
                <w:color w:val="auto"/>
              </w:rPr>
            </w:pPr>
            <w:r>
              <w:rPr>
                <w:rFonts w:ascii="Arial" w:cs="Arial" w:eastAsia="Arial" w:hAnsi="Arial"/>
                <w:sz w:val="17"/>
                <w:szCs w:val="17"/>
                <w:color w:val="auto"/>
              </w:rPr>
              <w:t>Net claims</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(373,502)</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(492,738)</w:t>
            </w:r>
          </w:p>
        </w:tc>
        <w:tc>
          <w:tcPr>
            <w:tcW w:w="80" w:type="dxa"/>
            <w:vAlign w:val="bottom"/>
          </w:tcPr>
          <w:p>
            <w:pPr>
              <w:spacing w:after="0"/>
              <w:rPr>
                <w:sz w:val="17"/>
                <w:szCs w:val="17"/>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7"/>
                <w:szCs w:val="17"/>
                <w:color w:val="auto"/>
                <w:w w:val="90"/>
              </w:rPr>
              <w:t>(623,353)</w:t>
            </w:r>
          </w:p>
        </w:tc>
        <w:tc>
          <w:tcPr>
            <w:tcW w:w="60" w:type="dxa"/>
            <w:vAlign w:val="bottom"/>
          </w:tcPr>
          <w:p>
            <w:pPr>
              <w:spacing w:after="0"/>
              <w:rPr>
                <w:sz w:val="17"/>
                <w:szCs w:val="17"/>
                <w:color w:val="auto"/>
              </w:rPr>
            </w:pPr>
          </w:p>
        </w:tc>
        <w:tc>
          <w:tcPr>
            <w:tcW w:w="900" w:type="dxa"/>
            <w:vAlign w:val="bottom"/>
            <w:gridSpan w:val="2"/>
          </w:tcPr>
          <w:p>
            <w:pPr>
              <w:jc w:val="right"/>
              <w:ind w:right="36"/>
              <w:spacing w:after="0"/>
              <w:rPr>
                <w:sz w:val="20"/>
                <w:szCs w:val="20"/>
                <w:color w:val="auto"/>
              </w:rPr>
            </w:pPr>
            <w:r>
              <w:rPr>
                <w:rFonts w:ascii="Arial" w:cs="Arial" w:eastAsia="Arial" w:hAnsi="Arial"/>
                <w:sz w:val="17"/>
                <w:szCs w:val="17"/>
                <w:color w:val="auto"/>
              </w:rPr>
              <w:t>26.5%</w:t>
            </w:r>
          </w:p>
        </w:tc>
        <w:tc>
          <w:tcPr>
            <w:tcW w:w="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66.9%</w:t>
            </w:r>
          </w:p>
        </w:tc>
      </w:tr>
      <w:tr>
        <w:trPr>
          <w:trHeight w:val="252"/>
        </w:trPr>
        <w:tc>
          <w:tcPr>
            <w:tcW w:w="3540" w:type="dxa"/>
            <w:vAlign w:val="bottom"/>
            <w:gridSpan w:val="3"/>
            <w:shd w:val="clear" w:color="auto" w:fill="CCEEFF"/>
          </w:tcPr>
          <w:p>
            <w:pPr>
              <w:spacing w:after="0" w:line="251" w:lineRule="exact"/>
              <w:rPr>
                <w:sz w:val="20"/>
                <w:szCs w:val="20"/>
                <w:color w:val="auto"/>
              </w:rPr>
            </w:pPr>
            <w:r>
              <w:rPr>
                <w:rFonts w:ascii="Arial" w:cs="Arial" w:eastAsia="Arial" w:hAnsi="Arial"/>
                <w:sz w:val="17"/>
                <w:szCs w:val="17"/>
                <w:color w:val="auto"/>
              </w:rPr>
              <w:t xml:space="preserve">Acquisition cost </w:t>
            </w:r>
            <w:r>
              <w:rPr>
                <w:rFonts w:ascii="Arial" w:cs="Arial" w:eastAsia="Arial" w:hAnsi="Arial"/>
                <w:sz w:val="27"/>
                <w:szCs w:val="27"/>
                <w:color w:val="auto"/>
                <w:vertAlign w:val="superscript"/>
              </w:rPr>
              <w:t>(2)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(112,507)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(75,065)</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(85,822)</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14.3%</w:t>
            </w:r>
          </w:p>
        </w:tc>
        <w:tc>
          <w:tcPr>
            <w:tcW w:w="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194"/>
        </w:trPr>
        <w:tc>
          <w:tcPr>
            <w:tcW w:w="3540" w:type="dxa"/>
            <w:vAlign w:val="bottom"/>
            <w:gridSpan w:val="3"/>
          </w:tcPr>
          <w:p>
            <w:pPr>
              <w:spacing w:after="0" w:line="194" w:lineRule="exact"/>
              <w:rPr>
                <w:sz w:val="20"/>
                <w:szCs w:val="20"/>
                <w:color w:val="auto"/>
              </w:rPr>
            </w:pPr>
            <w:r>
              <w:rPr>
                <w:rFonts w:ascii="Arial" w:cs="Arial" w:eastAsia="Arial" w:hAnsi="Arial"/>
                <w:sz w:val="17"/>
                <w:szCs w:val="17"/>
                <w:b w:val="1"/>
                <w:bCs w:val="1"/>
                <w:color w:val="auto"/>
              </w:rPr>
              <w:t>Total insurance underwriting result</w:t>
            </w:r>
          </w:p>
        </w:tc>
        <w:tc>
          <w:tcPr>
            <w:tcW w:w="620" w:type="dxa"/>
            <w:vAlign w:val="bottom"/>
            <w:tcBorders>
              <w:top w:val="single" w:sz="8" w:color="auto"/>
            </w:tcBorders>
          </w:tcPr>
          <w:p>
            <w:pPr>
              <w:ind w:left="80"/>
              <w:spacing w:after="0" w:line="194" w:lineRule="exact"/>
              <w:rPr>
                <w:sz w:val="20"/>
                <w:szCs w:val="20"/>
                <w:color w:val="auto"/>
              </w:rPr>
            </w:pPr>
            <w:r>
              <w:rPr>
                <w:rFonts w:ascii="Arial" w:cs="Arial" w:eastAsia="Arial" w:hAnsi="Arial"/>
                <w:sz w:val="17"/>
                <w:szCs w:val="17"/>
                <w:b w:val="1"/>
                <w:bCs w:val="1"/>
                <w:color w:val="auto"/>
                <w:w w:val="84"/>
              </w:rPr>
              <w:t>141,926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84,866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(65,247</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-176.9</w:t>
            </w:r>
          </w:p>
        </w:tc>
        <w:tc>
          <w:tcPr>
            <w:tcW w:w="26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auto"/>
                <w:w w:val="92"/>
              </w:rPr>
              <w:t>%</w:t>
            </w: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-146.0</w:t>
            </w:r>
          </w:p>
        </w:tc>
        <w:tc>
          <w:tcPr>
            <w:tcW w:w="1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79"/>
              </w:rPr>
              <w:t>%</w:t>
            </w: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Pr>
          <w:p>
            <w:pPr>
              <w:spacing w:after="0"/>
              <w:rPr>
                <w:sz w:val="20"/>
                <w:szCs w:val="20"/>
                <w:color w:val="auto"/>
              </w:rPr>
            </w:pPr>
            <w:r>
              <w:rPr>
                <w:rFonts w:ascii="Arial" w:cs="Arial" w:eastAsia="Arial" w:hAnsi="Arial"/>
                <w:sz w:val="17"/>
                <w:szCs w:val="17"/>
                <w:b w:val="1"/>
                <w:bCs w:val="1"/>
                <w:color w:val="auto"/>
              </w:rPr>
              <w:t>6.1. Life Insurance</w:t>
            </w:r>
          </w:p>
        </w:tc>
        <w:tc>
          <w:tcPr>
            <w:tcW w:w="3600" w:type="dxa"/>
            <w:vAlign w:val="bottom"/>
          </w:tcPr>
          <w:p>
            <w:pPr>
              <w:spacing w:after="0"/>
              <w:rPr>
                <w:sz w:val="18"/>
                <w:szCs w:val="18"/>
                <w:color w:val="auto"/>
              </w:rPr>
            </w:pPr>
          </w:p>
        </w:tc>
      </w:tr>
      <w:tr>
        <w:trPr>
          <w:trHeight w:val="429"/>
        </w:trPr>
        <w:tc>
          <w:tcPr>
            <w:tcW w:w="5720" w:type="dxa"/>
            <w:vAlign w:val="bottom"/>
          </w:tcPr>
          <w:p>
            <w:pPr>
              <w:jc w:val="center"/>
              <w:ind w:right="16"/>
              <w:spacing w:after="0"/>
              <w:rPr>
                <w:sz w:val="20"/>
                <w:szCs w:val="20"/>
                <w:color w:val="auto"/>
              </w:rPr>
            </w:pPr>
            <w:r>
              <w:rPr>
                <w:rFonts w:ascii="Arial" w:cs="Arial" w:eastAsia="Arial" w:hAnsi="Arial"/>
                <w:sz w:val="17"/>
                <w:szCs w:val="17"/>
                <w:b w:val="1"/>
                <w:bCs w:val="1"/>
                <w:color w:val="auto"/>
                <w:w w:val="88"/>
              </w:rPr>
              <w:t>Total premiums life insurance</w:t>
            </w:r>
          </w:p>
        </w:tc>
        <w:tc>
          <w:tcPr>
            <w:tcW w:w="3600" w:type="dxa"/>
            <w:vAlign w:val="bottom"/>
          </w:tcPr>
          <w:p>
            <w:pPr>
              <w:jc w:val="center"/>
              <w:ind w:left="1756"/>
              <w:spacing w:after="0"/>
              <w:rPr>
                <w:sz w:val="20"/>
                <w:szCs w:val="20"/>
                <w:color w:val="auto"/>
              </w:rPr>
            </w:pPr>
            <w:r>
              <w:rPr>
                <w:rFonts w:ascii="Arial" w:cs="Arial" w:eastAsia="Arial" w:hAnsi="Arial"/>
                <w:sz w:val="17"/>
                <w:szCs w:val="17"/>
                <w:b w:val="1"/>
                <w:bCs w:val="1"/>
                <w:color w:val="auto"/>
                <w:w w:val="87"/>
              </w:rPr>
              <w:t xml:space="preserve">Net earned premiums </w:t>
            </w:r>
            <w:r>
              <w:rPr>
                <w:rFonts w:ascii="Arial" w:cs="Arial" w:eastAsia="Arial" w:hAnsi="Arial"/>
                <w:sz w:val="27"/>
                <w:szCs w:val="27"/>
                <w:b w:val="1"/>
                <w:bCs w:val="1"/>
                <w:color w:val="auto"/>
                <w:w w:val="87"/>
                <w:vertAlign w:val="superscript"/>
              </w:rPr>
              <w:t>(1)</w:t>
            </w:r>
          </w:p>
        </w:tc>
      </w:tr>
      <w:tr>
        <w:trPr>
          <w:trHeight w:val="214"/>
        </w:trPr>
        <w:tc>
          <w:tcPr>
            <w:tcW w:w="5720" w:type="dxa"/>
            <w:vAlign w:val="bottom"/>
          </w:tcPr>
          <w:p>
            <w:pPr>
              <w:jc w:val="center"/>
              <w:spacing w:after="0"/>
              <w:rPr>
                <w:sz w:val="20"/>
                <w:szCs w:val="20"/>
                <w:color w:val="auto"/>
              </w:rPr>
            </w:pPr>
            <w:r>
              <w:rPr>
                <w:rFonts w:ascii="Arial" w:cs="Arial" w:eastAsia="Arial" w:hAnsi="Arial"/>
                <w:sz w:val="17"/>
                <w:szCs w:val="17"/>
                <w:color w:val="auto"/>
                <w:w w:val="94"/>
              </w:rPr>
              <w:t>(S/ millions)</w:t>
            </w:r>
          </w:p>
        </w:tc>
        <w:tc>
          <w:tcPr>
            <w:tcW w:w="3600" w:type="dxa"/>
            <w:vAlign w:val="bottom"/>
          </w:tcPr>
          <w:p>
            <w:pPr>
              <w:jc w:val="center"/>
              <w:ind w:left="1756"/>
              <w:spacing w:after="0"/>
              <w:rPr>
                <w:sz w:val="20"/>
                <w:szCs w:val="20"/>
                <w:color w:val="auto"/>
              </w:rPr>
            </w:pPr>
            <w:r>
              <w:rPr>
                <w:rFonts w:ascii="Arial" w:cs="Arial" w:eastAsia="Arial" w:hAnsi="Arial"/>
                <w:sz w:val="17"/>
                <w:szCs w:val="17"/>
                <w:color w:val="auto"/>
                <w:w w:val="94"/>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128270</wp:posOffset>
            </wp:positionV>
            <wp:extent cx="5598160" cy="1559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98160" cy="155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(1) Total premiums without premiums ceded ot reinsurance or premium reserves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Total premiums fell 1.9% QoQ, which was attributable to (i) Credit Life, due to premium reprogramming at Mibanco in 4Q20 via quarantine assistance measures; (ii) Group Life, due to a recovery in the extraordinary premium for SCTR in 4Q20, which was partially offset by an increase in renewed premiums for Statutory Life; (iii) Annuities, which was mainly attributable to an increase in sales of individual products. The aforementioned was mitigated by (iv) D&amp;S, due to an increase in collections under the new SISCO V regimen through the AFPs due to an increase in rates; (v) Individual life, due to an increase in issuance and in the exchange rate effect.</w:t>
      </w:r>
    </w:p>
    <w:p>
      <w:pPr>
        <w:spacing w:after="0" w:line="183"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Net earned premiums fell 0.3% due to the reasons outlined above and the higher ceded ratio in the AFP business (30% in 1Q21 vs. 20% in 4Q20); this was mitigated by a decrease in reserves for Annuities carry out in 1Q21, after changes were made in the parameters for investment rates and more funds were released for deaths.</w: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the YoY analysis, total premiums increased 14.4%, which was primarily attributable to (i) D&amp;S, due to an increase in collections under the new SISCO V regimen given the increase in rates; (ii) Annuities, due to an increase in premiums for individual products; (iii) Individual Life, due to an increase in sales and in the exchange rate effect; (iv) Group Life, which was mainly attributable to growth in sales for Statutory Life. The aforementioned was attenuated by Credit Life, which registered a decrease in sales at Mibanco and in the Alliance channel after solidarity payments were recorded (delinquent debt assumed by the entity) in 1Q20.</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earned premiums increased 6.5% for the reasons outline in the analysis of direct premiums; this was attenuated by an increase in reserves in Annuities and Individual Life; followed by a higher ceded ratio in AFP (30% in 1Q21 vs. 20% in 4Q20).</w:t>
      </w:r>
    </w:p>
    <w:p>
      <w:pPr>
        <w:spacing w:after="0" w:line="6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0" w:name="page41"/>
    <w:bookmarkEnd w:id="40"/>
    <w:p>
      <w:pPr>
        <w:ind w:left="1700"/>
        <w:spacing w:after="0"/>
        <w:rPr>
          <w:sz w:val="20"/>
          <w:szCs w:val="20"/>
          <w:color w:val="auto"/>
        </w:rPr>
      </w:pPr>
      <w:r>
        <w:rPr>
          <w:rFonts w:ascii="Arial" w:cs="Arial" w:eastAsia="Arial" w:hAnsi="Arial"/>
          <w:sz w:val="17"/>
          <w:szCs w:val="17"/>
          <w:b w:val="1"/>
          <w:bCs w:val="1"/>
          <w:color w:val="auto"/>
        </w:rPr>
        <w:t>Net claims for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142240</wp:posOffset>
            </wp:positionV>
            <wp:extent cx="3166745" cy="1559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66745" cy="155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6.2. Property and Casulaty</w:t>
      </w:r>
    </w:p>
    <w:p>
      <w:pPr>
        <w:spacing w:after="0" w:line="208" w:lineRule="exact"/>
        <w:rPr>
          <w:sz w:val="20"/>
          <w:szCs w:val="20"/>
          <w:color w:val="auto"/>
        </w:rPr>
      </w:pPr>
    </w:p>
    <w:p>
      <w:pPr>
        <w:jc w:val="center"/>
        <w:ind w:left="520"/>
        <w:spacing w:after="0"/>
        <w:rPr>
          <w:sz w:val="20"/>
          <w:szCs w:val="20"/>
          <w:color w:val="auto"/>
        </w:rPr>
      </w:pPr>
      <w:r>
        <w:rPr>
          <w:rFonts w:ascii="Arial" w:cs="Arial" w:eastAsia="Arial" w:hAnsi="Arial"/>
          <w:sz w:val="15"/>
          <w:szCs w:val="15"/>
          <w:b w:val="1"/>
          <w:bCs w:val="1"/>
          <w:color w:val="auto"/>
        </w:rPr>
        <w:t>Total premiums Property and Casualty</w:t>
      </w:r>
    </w:p>
    <w:p>
      <w:pPr>
        <w:spacing w:after="0" w:line="71"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5"/>
          <w:szCs w:val="15"/>
          <w:color w:val="auto"/>
        </w:rPr>
        <w:t>Net claims increased 36.7%, which was attributable to an increase in reported COVID-19 deaths and to an uptick in incurred but not reported claims (IBNR) relative to COVID-19. Claims for these concepts totaled S/ 141 million in 1Q21 (vs S/ 10 million in 4Q20) and were led by claims from Credit Life, D&amp;S, Individual Life and Annuities (increase in the policy stock). The aforementioned was mitigated by Group Life, which reported fewer claims for the SCTR. In the YoY analysis, net claims increased 116.0%. Growth was seen across all lines due to an increase in mortality due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 xml:space="preserve">Net earned premiums </w:t>
      </w:r>
      <w:r>
        <w:rPr>
          <w:rFonts w:ascii="Arial" w:cs="Arial" w:eastAsia="Arial" w:hAnsi="Arial"/>
          <w:sz w:val="27"/>
          <w:szCs w:val="27"/>
          <w:b w:val="1"/>
          <w:bCs w:val="1"/>
          <w:color w:val="auto"/>
          <w:vertAlign w:val="superscript"/>
        </w:rPr>
        <w:t>(1)</w:t>
      </w:r>
    </w:p>
    <w:p>
      <w:pPr>
        <w:jc w:val="center"/>
        <w:ind w:right="220"/>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130810</wp:posOffset>
            </wp:positionV>
            <wp:extent cx="5598160" cy="1559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98160" cy="1559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400"/>
          </w:cols>
          <w:pgMar w:left="320" w:top="5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(1) Total premiums without premiums ceded to reinsurance or premium reserves.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Total premiums fell 19.7% QoQ, which was attributable to (i) Commercial lines, due to an increase in renewed premiums in 4Q20 in the aviation, fire and third-party liability segments; (ii) Cars, due to a decrease in new sales and a drop in the renewal stock; (iii) Soat, due to a drop in sales through the digital channel. The aforementioned was mitigated by Medical Assistance, where new sales and policy renewals for comprehensive health products registered and uptick and by Personal Lines, which registered an increase in renewed premiums for the Home Mortgage product.</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earned premiums fell 2.6% for the reasons outlined in the analysis of total premiums, mitigated by a lower reserves for current risks in Cars and to a drop in ceded premiums in Commercial lines, which was driven by a decrease in the direct premium for facultative insurance.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YoY analysis, total premiums increased 5.7%; this was driven primarily by Commercial Lines, where new sales in the fire and third-party liability lines rose and by Medical Assistance, which registered an increase in new sales for comprehensive health products. These effects were attenuated by Cars and Soat, which reported a decrease in new sales and a drop in the renewal stock in the brokers and alliance channels, and by Personal Lines, which reported a decrease in sales of student accident insurance and travel insurance due to the current context.</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earned premiums fell 2.1% due to an increase in ceded premiums in the Commercial Lines, which was in line with an uptick in direct premiums for facultative insurance; this was mitigated by a decrease in current risks in the Cars Line and Personal Lines.</w:t>
      </w:r>
    </w:p>
    <w:p>
      <w:pPr>
        <w:spacing w:after="0" w:line="6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41" w:name="page42"/>
    <w:bookmarkEnd w:id="41"/>
    <w:p>
      <w:pPr>
        <w:ind w:left="1460"/>
        <w:spacing w:after="0"/>
        <w:rPr>
          <w:sz w:val="20"/>
          <w:szCs w:val="20"/>
          <w:color w:val="auto"/>
        </w:rPr>
      </w:pPr>
      <w:r>
        <w:rPr>
          <w:rFonts w:ascii="Arial" w:cs="Arial" w:eastAsia="Arial" w:hAnsi="Arial"/>
          <w:sz w:val="15"/>
          <w:szCs w:val="15"/>
          <w:b w:val="1"/>
          <w:bCs w:val="1"/>
          <w:color w:val="auto"/>
        </w:rPr>
        <w:t>Net claims in Property &amp; Casualty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156845</wp:posOffset>
            </wp:positionV>
            <wp:extent cx="2799080" cy="1271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9080" cy="1271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Arial" w:cs="Arial" w:eastAsia="Arial" w:hAnsi="Arial"/>
          <w:sz w:val="16"/>
          <w:szCs w:val="16"/>
          <w:color w:val="auto"/>
        </w:rPr>
        <w:t>Net claims fell 1.3% QoQ. This was primarily attributable to Personal Lines, after fewer cases were reported for the card protection product, and Soat, which registered a decrease in the frequency of accidents due to confinement measures. The aforementioned was attenuated by Cars, after claims presented last quarter were released and the lowest record of cases; by Medical Assistance, which registered an increase in cases for comprehensive and oncological products after clients resumed use of these products; and by Commercial Lines, which reported an increase in severity in the maritime hull segment due to sinking of vessels.</w:t>
      </w:r>
    </w:p>
    <w:p>
      <w:pPr>
        <w:spacing w:after="0" w:line="200" w:lineRule="exact"/>
        <w:rPr>
          <w:sz w:val="20"/>
          <w:szCs w:val="20"/>
          <w:color w:val="auto"/>
        </w:rPr>
      </w:pPr>
    </w:p>
    <w:p>
      <w:pPr>
        <w:sectPr>
          <w:pgSz w:w="11900" w:h="16838" w:orient="portrait"/>
          <w:cols w:equalWidth="0" w:num="2">
            <w:col w:w="5120" w:space="720"/>
            <w:col w:w="5400"/>
          </w:cols>
          <w:pgMar w:left="320" w:top="5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the YoY analysis, net claims fell 16.0%. This was primarily due to a decrease in claims in the majority of business lines, which was led by Cars and Soat, which reported a drop in claims in the context of the pandemic; by Personal lines, due to a decrease in claims frequency for the card protection products; by Student accidents, as schools and universities are closed; by Medical Assistance, after clients limited exposure by avoiding visits to clinics; and lastly, by the fact that a corporate account that registered high claims rates was lost. The aforementioned was attenuated by the Commercial Lines for the reasons outlined in the QoQ analysis.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20" w:type="dxa"/>
            <w:vAlign w:val="bottom"/>
            <w:gridSpan w:val="4"/>
          </w:tcPr>
          <w:p>
            <w:pPr>
              <w:spacing w:after="0"/>
              <w:rPr>
                <w:sz w:val="20"/>
                <w:szCs w:val="20"/>
                <w:color w:val="auto"/>
              </w:rPr>
            </w:pPr>
            <w:r>
              <w:rPr>
                <w:rFonts w:ascii="Arial" w:cs="Arial" w:eastAsia="Arial" w:hAnsi="Arial"/>
                <w:sz w:val="17"/>
                <w:szCs w:val="17"/>
                <w:b w:val="1"/>
                <w:bCs w:val="1"/>
                <w:color w:val="auto"/>
              </w:rPr>
              <w:t>6.3 Acquisition Cost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5220" w:type="dxa"/>
            <w:vAlign w:val="bottom"/>
            <w:gridSpan w:val="4"/>
          </w:tcPr>
          <w:p>
            <w:pPr>
              <w:ind w:left="1120"/>
              <w:spacing w:after="0"/>
              <w:rPr>
                <w:sz w:val="20"/>
                <w:szCs w:val="20"/>
                <w:color w:val="auto"/>
              </w:rPr>
            </w:pPr>
            <w:r>
              <w:rPr>
                <w:rFonts w:ascii="Arial" w:cs="Arial" w:eastAsia="Arial" w:hAnsi="Arial"/>
                <w:sz w:val="17"/>
                <w:szCs w:val="17"/>
                <w:b w:val="1"/>
                <w:bCs w:val="1"/>
                <w:color w:val="auto"/>
              </w:rPr>
              <w:t>Acquisition cost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94"/>
              </w:rPr>
              <w:t>Quarter</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4"/>
          </w:tcPr>
          <w:p>
            <w:pPr>
              <w:ind w:left="480"/>
              <w:spacing w:after="0"/>
              <w:rPr>
                <w:sz w:val="20"/>
                <w:szCs w:val="20"/>
                <w:color w:val="auto"/>
              </w:rPr>
            </w:pPr>
            <w:r>
              <w:rPr>
                <w:rFonts w:ascii="Arial" w:cs="Arial" w:eastAsia="Arial" w:hAnsi="Arial"/>
                <w:sz w:val="17"/>
                <w:szCs w:val="17"/>
                <w:b w:val="1"/>
                <w:bCs w:val="1"/>
                <w:color w:val="auto"/>
                <w:w w:val="90"/>
              </w:rPr>
              <w:t>% change</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20" w:type="dxa"/>
            <w:vAlign w:val="bottom"/>
            <w:gridSpan w:val="3"/>
          </w:tcPr>
          <w:p>
            <w:pPr>
              <w:ind w:left="1120"/>
              <w:spacing w:after="0"/>
              <w:rPr>
                <w:sz w:val="20"/>
                <w:szCs w:val="20"/>
                <w:color w:val="auto"/>
              </w:rPr>
            </w:pPr>
            <w:r>
              <w:rPr>
                <w:rFonts w:ascii="Arial" w:cs="Arial" w:eastAsia="Arial" w:hAnsi="Arial"/>
                <w:sz w:val="17"/>
                <w:szCs w:val="17"/>
                <w:b w:val="1"/>
                <w:bCs w:val="1"/>
                <w:color w:val="auto"/>
              </w:rPr>
              <w:t>S/ 000</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rPr>
              <w:t>1Q20</w:t>
            </w:r>
          </w:p>
        </w:tc>
        <w:tc>
          <w:tcPr>
            <w:tcW w:w="98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7"/>
                <w:szCs w:val="17"/>
                <w:b w:val="1"/>
                <w:bCs w:val="1"/>
                <w:color w:val="auto"/>
                <w:w w:val="91"/>
              </w:rPr>
              <w:t>4Q20</w:t>
            </w:r>
          </w:p>
        </w:tc>
        <w:tc>
          <w:tcPr>
            <w:tcW w:w="72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1Q21</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ind w:left="140"/>
              <w:spacing w:after="0"/>
              <w:rPr>
                <w:sz w:val="20"/>
                <w:szCs w:val="20"/>
                <w:color w:val="auto"/>
              </w:rPr>
            </w:pPr>
            <w:r>
              <w:rPr>
                <w:rFonts w:ascii="Arial" w:cs="Arial" w:eastAsia="Arial" w:hAnsi="Arial"/>
                <w:sz w:val="17"/>
                <w:szCs w:val="17"/>
                <w:b w:val="1"/>
                <w:bCs w:val="1"/>
                <w:color w:val="auto"/>
              </w:rPr>
              <w:t>QoQ</w:t>
            </w:r>
          </w:p>
        </w:tc>
        <w:tc>
          <w:tcPr>
            <w:tcW w:w="5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90"/>
              </w:rPr>
              <w:t>YoY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fees</w:t>
            </w:r>
          </w:p>
        </w:tc>
        <w:tc>
          <w:tcPr>
            <w:tcW w:w="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(66,650)</w:t>
            </w: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(63,831)</w:t>
            </w:r>
          </w:p>
        </w:tc>
        <w:tc>
          <w:tcPr>
            <w:tcW w:w="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(55,605)</w:t>
            </w:r>
          </w:p>
        </w:tc>
        <w:tc>
          <w:tcPr>
            <w:tcW w:w="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80" w:type="dxa"/>
            <w:vAlign w:val="bottom"/>
            <w:gridSpan w:val="3"/>
          </w:tcPr>
          <w:p>
            <w:pPr>
              <w:spacing w:after="0"/>
              <w:rPr>
                <w:sz w:val="20"/>
                <w:szCs w:val="20"/>
                <w:color w:val="auto"/>
              </w:rPr>
            </w:pPr>
            <w:r>
              <w:rPr>
                <w:rFonts w:ascii="Arial" w:cs="Arial" w:eastAsia="Arial" w:hAnsi="Arial"/>
                <w:sz w:val="17"/>
                <w:szCs w:val="17"/>
                <w:color w:val="auto"/>
              </w:rPr>
              <w:t>Underwriting expenses</w:t>
            </w:r>
          </w:p>
        </w:tc>
        <w:tc>
          <w:tcPr>
            <w:tcW w:w="880" w:type="dxa"/>
            <w:vAlign w:val="bottom"/>
            <w:gridSpan w:val="2"/>
          </w:tcPr>
          <w:p>
            <w:pPr>
              <w:jc w:val="right"/>
              <w:ind w:right="78"/>
              <w:spacing w:after="0"/>
              <w:rPr>
                <w:sz w:val="20"/>
                <w:szCs w:val="20"/>
                <w:color w:val="auto"/>
              </w:rPr>
            </w:pPr>
            <w:r>
              <w:rPr>
                <w:rFonts w:ascii="Arial" w:cs="Arial" w:eastAsia="Arial" w:hAnsi="Arial"/>
                <w:sz w:val="17"/>
                <w:szCs w:val="17"/>
                <w:color w:val="auto"/>
              </w:rPr>
              <w:t>(46,461)</w:t>
            </w:r>
          </w:p>
        </w:tc>
        <w:tc>
          <w:tcPr>
            <w:tcW w:w="100" w:type="dxa"/>
            <w:vAlign w:val="bottom"/>
          </w:tcPr>
          <w:p>
            <w:pPr>
              <w:spacing w:after="0"/>
              <w:rPr>
                <w:sz w:val="17"/>
                <w:szCs w:val="17"/>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7"/>
                <w:szCs w:val="17"/>
                <w:color w:val="auto"/>
              </w:rPr>
              <w:t>(19,628)</w:t>
            </w:r>
          </w:p>
        </w:tc>
        <w:tc>
          <w:tcPr>
            <w:tcW w:w="80" w:type="dxa"/>
            <w:vAlign w:val="bottom"/>
          </w:tcPr>
          <w:p>
            <w:pPr>
              <w:spacing w:after="0"/>
              <w:rPr>
                <w:sz w:val="17"/>
                <w:szCs w:val="17"/>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7"/>
                <w:szCs w:val="17"/>
                <w:color w:val="auto"/>
              </w:rPr>
              <w:t>(31,557)</w:t>
            </w:r>
          </w:p>
        </w:tc>
        <w:tc>
          <w:tcPr>
            <w:tcW w:w="80" w:type="dxa"/>
            <w:vAlign w:val="bottom"/>
          </w:tcPr>
          <w:p>
            <w:pPr>
              <w:spacing w:after="0"/>
              <w:rPr>
                <w:sz w:val="17"/>
                <w:szCs w:val="17"/>
                <w:color w:val="auto"/>
              </w:rPr>
            </w:pPr>
          </w:p>
        </w:tc>
        <w:tc>
          <w:tcPr>
            <w:tcW w:w="980" w:type="dxa"/>
            <w:vAlign w:val="bottom"/>
            <w:gridSpan w:val="2"/>
          </w:tcPr>
          <w:p>
            <w:pPr>
              <w:jc w:val="right"/>
              <w:ind w:right="36"/>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Underwriting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080" w:type="dxa"/>
            <w:vAlign w:val="bottom"/>
            <w:gridSpan w:val="3"/>
          </w:tcPr>
          <w:p>
            <w:pPr>
              <w:spacing w:after="0" w:line="194" w:lineRule="exact"/>
              <w:rPr>
                <w:sz w:val="20"/>
                <w:szCs w:val="20"/>
                <w:color w:val="auto"/>
              </w:rPr>
            </w:pPr>
            <w:r>
              <w:rPr>
                <w:rFonts w:ascii="Arial" w:cs="Arial" w:eastAsia="Arial" w:hAnsi="Arial"/>
                <w:sz w:val="17"/>
                <w:szCs w:val="17"/>
                <w:b w:val="1"/>
                <w:bCs w:val="1"/>
                <w:color w:val="auto"/>
              </w:rPr>
              <w:t>Acquisition cost</w:t>
            </w:r>
          </w:p>
        </w:tc>
        <w:tc>
          <w:tcPr>
            <w:tcW w:w="7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(112,507</w:t>
            </w:r>
          </w:p>
        </w:tc>
        <w:tc>
          <w:tcPr>
            <w:tcW w:w="160" w:type="dxa"/>
            <w:vAlign w:val="bottom"/>
          </w:tcPr>
          <w:p>
            <w:pPr>
              <w:jc w:val="right"/>
              <w:ind w:right="78"/>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(75,065</w:t>
            </w:r>
          </w:p>
        </w:tc>
        <w:tc>
          <w:tcPr>
            <w:tcW w:w="180" w:type="dxa"/>
            <w:vAlign w:val="bottom"/>
          </w:tcPr>
          <w:p>
            <w:pPr>
              <w:jc w:val="right"/>
              <w:ind w:right="98"/>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(85,822</w:t>
            </w:r>
          </w:p>
        </w:tc>
        <w:tc>
          <w:tcPr>
            <w:tcW w:w="180" w:type="dxa"/>
            <w:vAlign w:val="bottom"/>
          </w:tcPr>
          <w:p>
            <w:pPr>
              <w:jc w:val="right"/>
              <w:ind w:right="98"/>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14.3</w:t>
            </w:r>
          </w:p>
        </w:tc>
        <w:tc>
          <w:tcPr>
            <w:tcW w:w="26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auto"/>
                <w:w w:val="92"/>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b w:val="1"/>
                <w:bCs w:val="1"/>
                <w:color w:val="auto"/>
              </w:rPr>
              <w:t>-23.7</w:t>
            </w:r>
          </w:p>
        </w:tc>
        <w:tc>
          <w:tcPr>
            <w:tcW w:w="1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92"/>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Acquisition cost per business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132080</wp:posOffset>
            </wp:positionV>
            <wp:extent cx="2846705" cy="14871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46705"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acquisition cost increased 14.3% QoQ due to an increase in underwriting expenses. This was principally attributable to the P&amp;C business, which registered both profit sharing and uncollectible premiums in the Cars line and an increase in sales expenses in the Medical Assistance and Commercial Lines; to the life businesses, where underwriting income fell due to the following effects in 4Q20: profit sharing with reinsurers and the release of uncollectible premiums. The aforementioned was attenuated by a decrease in net fees, which was associated with a decrease in direct premiums in both businesses.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YoY analysis, the acquisition cost fell 23.7%, mainly in the P&amp;C business, which was primarily attributable to the reimbursement of premiums in Cars in 1Q20 for 8 million soles given that clients were unable to use their vehicles during the lockdown, and to an increase in uncollectible premiums last year. In the life business, the decrease in net fees, which was attributable to a drop in direct premiums in Credit Life via the alliance channel and lower underwriting expenses in Individual Life and Group Life, was noteworthy.</w:t>
      </w:r>
    </w:p>
    <w:p>
      <w:pPr>
        <w:spacing w:after="0" w:line="7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6.4 Underwriting Result by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result by business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132080</wp:posOffset>
            </wp:positionV>
            <wp:extent cx="3175000" cy="16236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75000" cy="162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QoQ analysis, the decrease in the underwriting result was attributable to life insurance, and to a lesser extent to P&amp;C. The result in life was due primarily to: (i) an increase in claims after more claims were reported and incurred but not reported claims (IBNR) for COVID-19 also rose; (ii) a decrease in the net premium due to extraordinary events were registered last quarter: Credit Life, after premiums for Mibanco and Group Life were reprogrammed after premiums for SCTR were recovered; (iii) increase in acquisition costs due to profit sharing registered last quarter. In P&amp;C, the decrease in the underwriting result was driven by a drop in net premiums in the Cars Line, Commercial Lines and Medical Assistance and by an increase in the acquisition cost due to provisions for profit sharing and an increase in sales expenses in the Cars Line, Medical Assistance and Commercial Lines.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the YoY analysis, the decrease in the result was attributable to the life business and attenuated by P&amp;C. The drop in Life insurance was due to an increase in claims, which was primarily due to an upswing in reported cases and in IBNR for COVID-19. This was mainly driven by D&amp;S, Credit Life, Group Life, Individual Life and, to a lesser extent, to Annuities, which experienced an increase in payments that was associated with growth in the policy stock. In P&amp;C, the increase in the underwriting result was due to a decrease in claims mainly in Cars, Medical Assistance and Personal Lines due to the confinement; and in acquisition costs after premiums were reimbursed in the Cars segment in 1Q20 for 8 million soles.</w:t>
      </w:r>
    </w:p>
    <w:p>
      <w:pPr>
        <w:spacing w:after="0" w:line="8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360680</wp:posOffset>
            </wp:positionV>
            <wp:extent cx="7141210" cy="7773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7773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8"/>
        </w:trPr>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7. Operating Expenses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w w:val="98"/>
              </w:rPr>
              <w:t>% change</w:t>
            </w: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1Q20</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4Q20</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1Q21</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w w:val="92"/>
              </w:rPr>
              <w:t>QoQ</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YoY</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Salaries and employees benefits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891,183</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792,335</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857,559</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8.2%</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rPr>
                <w:sz w:val="20"/>
                <w:szCs w:val="20"/>
                <w:color w:val="auto"/>
              </w:rPr>
            </w:pPr>
            <w:r>
              <w:rPr>
                <w:rFonts w:ascii="Arial" w:cs="Arial" w:eastAsia="Arial" w:hAnsi="Arial"/>
                <w:sz w:val="17"/>
                <w:szCs w:val="17"/>
                <w:color w:val="auto"/>
              </w:rPr>
              <w:t>Administrative, general and tax expenses</w:t>
            </w:r>
          </w:p>
        </w:tc>
        <w:tc>
          <w:tcPr>
            <w:tcW w:w="1140" w:type="dxa"/>
            <w:vAlign w:val="bottom"/>
          </w:tcPr>
          <w:p>
            <w:pPr>
              <w:jc w:val="right"/>
              <w:spacing w:after="0"/>
              <w:rPr>
                <w:sz w:val="20"/>
                <w:szCs w:val="20"/>
                <w:color w:val="auto"/>
              </w:rPr>
            </w:pPr>
            <w:r>
              <w:rPr>
                <w:rFonts w:ascii="Arial" w:cs="Arial" w:eastAsia="Arial" w:hAnsi="Arial"/>
                <w:sz w:val="17"/>
                <w:szCs w:val="17"/>
                <w:color w:val="auto"/>
              </w:rPr>
              <w:t>542,104</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749,393</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580,842</w:t>
            </w: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-22.5%</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169,959</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158,494</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166,765</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rPr>
                <w:sz w:val="20"/>
                <w:szCs w:val="20"/>
                <w:color w:val="auto"/>
              </w:rPr>
            </w:pPr>
            <w:r>
              <w:rPr>
                <w:rFonts w:ascii="Arial" w:cs="Arial" w:eastAsia="Arial" w:hAnsi="Arial"/>
                <w:sz w:val="17"/>
                <w:szCs w:val="17"/>
                <w:color w:val="auto"/>
              </w:rPr>
              <w:t>Association in participation</w:t>
            </w:r>
          </w:p>
        </w:tc>
        <w:tc>
          <w:tcPr>
            <w:tcW w:w="1140" w:type="dxa"/>
            <w:vAlign w:val="bottom"/>
          </w:tcPr>
          <w:p>
            <w:pPr>
              <w:jc w:val="right"/>
              <w:spacing w:after="0"/>
              <w:rPr>
                <w:sz w:val="20"/>
                <w:szCs w:val="20"/>
                <w:color w:val="auto"/>
              </w:rPr>
            </w:pPr>
            <w:r>
              <w:rPr>
                <w:rFonts w:ascii="Arial" w:cs="Arial" w:eastAsia="Arial" w:hAnsi="Arial"/>
                <w:sz w:val="17"/>
                <w:szCs w:val="17"/>
                <w:color w:val="auto"/>
              </w:rPr>
              <w:t>6,430</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17,079</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13,906</w:t>
            </w: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-18.6%</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116.3%</w:t>
            </w:r>
          </w:p>
        </w:tc>
        <w:tc>
          <w:tcPr>
            <w:tcW w:w="0" w:type="dxa"/>
            <w:vAlign w:val="bottom"/>
          </w:tcPr>
          <w:p>
            <w:pPr>
              <w:spacing w:after="0"/>
              <w:rPr>
                <w:sz w:val="1"/>
                <w:szCs w:val="1"/>
                <w:color w:val="auto"/>
              </w:rPr>
            </w:pPr>
          </w:p>
        </w:tc>
      </w:tr>
      <w:tr>
        <w:trPr>
          <w:trHeight w:val="252"/>
        </w:trPr>
        <w:tc>
          <w:tcPr>
            <w:tcW w:w="4620" w:type="dxa"/>
            <w:vAlign w:val="bottom"/>
            <w:gridSpan w:val="2"/>
            <w:shd w:val="clear" w:color="auto" w:fill="CCEEFF"/>
          </w:tcPr>
          <w:p>
            <w:pPr>
              <w:spacing w:after="0" w:line="251" w:lineRule="exact"/>
              <w:rPr>
                <w:sz w:val="20"/>
                <w:szCs w:val="20"/>
                <w:color w:val="auto"/>
              </w:rPr>
            </w:pPr>
            <w:r>
              <w:rPr>
                <w:rFonts w:ascii="Arial" w:cs="Arial" w:eastAsia="Arial" w:hAnsi="Arial"/>
                <w:sz w:val="17"/>
                <w:szCs w:val="17"/>
                <w:color w:val="auto"/>
              </w:rPr>
              <w:t xml:space="preserve">Acquisition cost </w:t>
            </w:r>
            <w:r>
              <w:rPr>
                <w:rFonts w:ascii="Arial" w:cs="Arial" w:eastAsia="Arial" w:hAnsi="Arial"/>
                <w:sz w:val="27"/>
                <w:szCs w:val="27"/>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112,507</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75,065</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85,822</w:t>
            </w:r>
          </w:p>
        </w:tc>
        <w:tc>
          <w:tcPr>
            <w:tcW w:w="7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14.3%</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line="251" w:lineRule="exact"/>
              <w:rPr>
                <w:sz w:val="20"/>
                <w:szCs w:val="20"/>
                <w:color w:val="auto"/>
              </w:rPr>
            </w:pPr>
            <w:r>
              <w:rPr>
                <w:rFonts w:ascii="Arial" w:cs="Arial" w:eastAsia="Arial" w:hAnsi="Arial"/>
                <w:sz w:val="17"/>
                <w:szCs w:val="17"/>
                <w:color w:val="auto"/>
              </w:rPr>
              <w:t xml:space="preserve">Operating expenses </w:t>
            </w:r>
            <w:r>
              <w:rPr>
                <w:rFonts w:ascii="Arial" w:cs="Arial" w:eastAsia="Arial" w:hAnsi="Arial"/>
                <w:sz w:val="27"/>
                <w:szCs w:val="27"/>
                <w:color w:val="auto"/>
                <w:vertAlign w:val="superscript"/>
              </w:rPr>
              <w:t>(2)</w:t>
            </w: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1,722,183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1,792,366</w:t>
            </w:r>
          </w:p>
        </w:tc>
        <w:tc>
          <w:tcPr>
            <w:tcW w:w="2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1,704,894</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40" w:hanging="239"/>
        <w:spacing w:after="0"/>
        <w:tabs>
          <w:tab w:leader="none" w:pos="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acquisition cost of Pacifico iIncludes net fees and underwriting expenses.</w:t>
      </w:r>
    </w:p>
    <w:p>
      <w:pPr>
        <w:spacing w:after="0" w:line="18" w:lineRule="exact"/>
        <w:rPr>
          <w:rFonts w:ascii="Arial" w:cs="Arial" w:eastAsia="Arial" w:hAnsi="Arial"/>
          <w:sz w:val="17"/>
          <w:szCs w:val="17"/>
          <w:color w:val="auto"/>
        </w:rPr>
      </w:pPr>
    </w:p>
    <w:p>
      <w:pPr>
        <w:ind w:firstLine="1"/>
        <w:spacing w:after="0" w:line="254" w:lineRule="auto"/>
        <w:tabs>
          <w:tab w:leader="none" w:pos="25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Operating expenses = Salaries and employees’ benefits + Administrative expenses + Depreciation and amortization + Association in participation + Acquisition cost.</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202"/>
        </w:trPr>
        <w:tc>
          <w:tcPr>
            <w:tcW w:w="4160" w:type="dxa"/>
            <w:vAlign w:val="bottom"/>
          </w:tcPr>
          <w:p>
            <w:pPr>
              <w:spacing w:after="0"/>
              <w:rPr>
                <w:sz w:val="20"/>
                <w:szCs w:val="20"/>
                <w:color w:val="auto"/>
              </w:rPr>
            </w:pPr>
            <w:r>
              <w:rPr>
                <w:rFonts w:ascii="Arial" w:cs="Arial" w:eastAsia="Arial" w:hAnsi="Arial"/>
                <w:sz w:val="17"/>
                <w:szCs w:val="17"/>
                <w:b w:val="1"/>
                <w:bCs w:val="1"/>
                <w:color w:val="auto"/>
              </w:rPr>
              <w:t>Composition of operating expenses at the end of</w:t>
            </w:r>
          </w:p>
        </w:tc>
        <w:tc>
          <w:tcPr>
            <w:tcW w:w="6120" w:type="dxa"/>
            <w:vAlign w:val="bottom"/>
            <w:gridSpan w:val="2"/>
          </w:tcPr>
          <w:p>
            <w:pPr>
              <w:ind w:left="720"/>
              <w:spacing w:after="0"/>
              <w:rPr>
                <w:sz w:val="20"/>
                <w:szCs w:val="20"/>
                <w:color w:val="auto"/>
              </w:rPr>
            </w:pPr>
            <w:r>
              <w:rPr>
                <w:rFonts w:ascii="Arial" w:cs="Arial" w:eastAsia="Arial" w:hAnsi="Arial"/>
                <w:sz w:val="17"/>
                <w:szCs w:val="17"/>
                <w:color w:val="auto"/>
                <w:w w:val="91"/>
              </w:rPr>
              <w:t xml:space="preserve">In the </w:t>
            </w:r>
            <w:r>
              <w:rPr>
                <w:rFonts w:ascii="Arial" w:cs="Arial" w:eastAsia="Arial" w:hAnsi="Arial"/>
                <w:sz w:val="17"/>
                <w:szCs w:val="17"/>
                <w:b w:val="1"/>
                <w:bCs w:val="1"/>
                <w:color w:val="auto"/>
                <w:w w:val="91"/>
              </w:rPr>
              <w:t>QoQ analysis</w:t>
            </w:r>
            <w:r>
              <w:rPr>
                <w:rFonts w:ascii="Arial" w:cs="Arial" w:eastAsia="Arial" w:hAnsi="Arial"/>
                <w:sz w:val="17"/>
                <w:szCs w:val="17"/>
                <w:color w:val="auto"/>
                <w:w w:val="91"/>
              </w:rPr>
              <w:t>, operating expenses were down-4.9%, which was due to:</w:t>
            </w:r>
          </w:p>
        </w:tc>
        <w:tc>
          <w:tcPr>
            <w:tcW w:w="0" w:type="dxa"/>
            <w:vAlign w:val="bottom"/>
          </w:tcPr>
          <w:p>
            <w:pPr>
              <w:spacing w:after="0"/>
              <w:rPr>
                <w:sz w:val="1"/>
                <w:szCs w:val="1"/>
                <w:color w:val="auto"/>
              </w:rPr>
            </w:pPr>
          </w:p>
        </w:tc>
      </w:tr>
      <w:tr>
        <w:trPr>
          <w:trHeight w:val="218"/>
        </w:trPr>
        <w:tc>
          <w:tcPr>
            <w:tcW w:w="4160" w:type="dxa"/>
            <w:vAlign w:val="bottom"/>
          </w:tcPr>
          <w:p>
            <w:pPr>
              <w:ind w:left="1380"/>
              <w:spacing w:after="0"/>
              <w:rPr>
                <w:sz w:val="20"/>
                <w:szCs w:val="20"/>
                <w:color w:val="auto"/>
              </w:rPr>
            </w:pPr>
            <w:r>
              <w:rPr>
                <w:rFonts w:ascii="Arial" w:cs="Arial" w:eastAsia="Arial" w:hAnsi="Arial"/>
                <w:sz w:val="17"/>
                <w:szCs w:val="17"/>
                <w:b w:val="1"/>
                <w:bCs w:val="1"/>
                <w:color w:val="auto"/>
              </w:rPr>
              <w:t>March-21</w:t>
            </w:r>
          </w:p>
        </w:tc>
        <w:tc>
          <w:tcPr>
            <w:tcW w:w="1440" w:type="dxa"/>
            <w:vAlign w:val="bottom"/>
            <w:vMerge w:val="restart"/>
          </w:tcPr>
          <w:p>
            <w:pPr>
              <w:ind w:left="1040"/>
              <w:spacing w:after="0"/>
              <w:rPr>
                <w:sz w:val="20"/>
                <w:szCs w:val="20"/>
                <w:color w:val="auto"/>
              </w:rPr>
            </w:pPr>
            <w:r>
              <w:rPr>
                <w:rFonts w:ascii="Arial" w:cs="Arial" w:eastAsia="Arial" w:hAnsi="Arial"/>
                <w:sz w:val="17"/>
                <w:szCs w:val="17"/>
                <w:color w:val="auto"/>
              </w:rPr>
              <w:t>(i)</w:t>
            </w:r>
          </w:p>
        </w:tc>
        <w:tc>
          <w:tcPr>
            <w:tcW w:w="4680" w:type="dxa"/>
            <w:vAlign w:val="bottom"/>
            <w:vMerge w:val="restart"/>
          </w:tcPr>
          <w:p>
            <w:pPr>
              <w:ind w:left="200"/>
              <w:spacing w:after="0"/>
              <w:rPr>
                <w:sz w:val="20"/>
                <w:szCs w:val="20"/>
                <w:color w:val="auto"/>
              </w:rPr>
            </w:pPr>
            <w:r>
              <w:rPr>
                <w:rFonts w:ascii="Arial" w:cs="Arial" w:eastAsia="Arial" w:hAnsi="Arial"/>
                <w:sz w:val="17"/>
                <w:szCs w:val="17"/>
                <w:color w:val="auto"/>
                <w:w w:val="90"/>
              </w:rPr>
              <w:t xml:space="preserve">A decrease in </w:t>
            </w:r>
            <w:r>
              <w:rPr>
                <w:rFonts w:ascii="Arial" w:cs="Arial" w:eastAsia="Arial" w:hAnsi="Arial"/>
                <w:sz w:val="17"/>
                <w:szCs w:val="17"/>
                <w:b w:val="1"/>
                <w:bCs w:val="1"/>
                <w:color w:val="auto"/>
                <w:w w:val="90"/>
              </w:rPr>
              <w:t>Administrative and general expenses and taxes</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4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80" w:type="dxa"/>
            <w:vAlign w:val="bottom"/>
          </w:tcPr>
          <w:p>
            <w:pPr>
              <w:ind w:left="200"/>
              <w:spacing w:after="0"/>
              <w:rPr>
                <w:sz w:val="20"/>
                <w:szCs w:val="20"/>
                <w:color w:val="auto"/>
              </w:rPr>
            </w:pPr>
            <w:r>
              <w:rPr>
                <w:rFonts w:ascii="Arial" w:cs="Arial" w:eastAsia="Arial" w:hAnsi="Arial"/>
                <w:sz w:val="17"/>
                <w:szCs w:val="17"/>
                <w:color w:val="auto"/>
                <w:w w:val="94"/>
              </w:rPr>
              <w:t>(drop of -22.5%); this was primarily attributable to the evolution</w:t>
            </w: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80" w:type="dxa"/>
            <w:vAlign w:val="bottom"/>
          </w:tcPr>
          <w:p>
            <w:pPr>
              <w:ind w:left="200"/>
              <w:spacing w:after="0"/>
              <w:rPr>
                <w:sz w:val="20"/>
                <w:szCs w:val="20"/>
                <w:color w:val="auto"/>
              </w:rPr>
            </w:pPr>
            <w:r>
              <w:rPr>
                <w:rFonts w:ascii="Arial" w:cs="Arial" w:eastAsia="Arial" w:hAnsi="Arial"/>
                <w:sz w:val="17"/>
                <w:szCs w:val="17"/>
                <w:color w:val="auto"/>
                <w:w w:val="90"/>
              </w:rPr>
              <w:t>of BCP Stand-alone, which reflected the effect of high seasonality</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7"/>
                <w:szCs w:val="17"/>
                <w:color w:val="auto"/>
              </w:rPr>
              <w:t>in the last quarter of the year.</w:t>
            </w:r>
          </w:p>
        </w:tc>
        <w:tc>
          <w:tcPr>
            <w:tcW w:w="0" w:type="dxa"/>
            <w:vAlign w:val="bottom"/>
          </w:tcPr>
          <w:p>
            <w:pPr>
              <w:spacing w:after="0"/>
              <w:rPr>
                <w:sz w:val="1"/>
                <w:szCs w:val="1"/>
                <w:color w:val="auto"/>
              </w:rPr>
            </w:pPr>
          </w:p>
        </w:tc>
      </w:tr>
      <w:tr>
        <w:trPr>
          <w:trHeight w:val="391"/>
        </w:trPr>
        <w:tc>
          <w:tcPr>
            <w:tcW w:w="4160" w:type="dxa"/>
            <w:vAlign w:val="bottom"/>
          </w:tcPr>
          <w:p>
            <w:pPr>
              <w:spacing w:after="0"/>
              <w:rPr>
                <w:sz w:val="24"/>
                <w:szCs w:val="24"/>
                <w:color w:val="auto"/>
              </w:rPr>
            </w:pPr>
          </w:p>
        </w:tc>
        <w:tc>
          <w:tcPr>
            <w:tcW w:w="1440" w:type="dxa"/>
            <w:vAlign w:val="bottom"/>
          </w:tcPr>
          <w:p>
            <w:pPr>
              <w:ind w:left="1040"/>
              <w:spacing w:after="0"/>
              <w:rPr>
                <w:sz w:val="20"/>
                <w:szCs w:val="20"/>
                <w:color w:val="auto"/>
              </w:rPr>
            </w:pPr>
            <w:r>
              <w:rPr>
                <w:rFonts w:ascii="Arial" w:cs="Arial" w:eastAsia="Arial" w:hAnsi="Arial"/>
                <w:sz w:val="17"/>
                <w:szCs w:val="17"/>
                <w:color w:val="auto"/>
              </w:rPr>
              <w:t>(ii)</w:t>
            </w:r>
          </w:p>
        </w:tc>
        <w:tc>
          <w:tcPr>
            <w:tcW w:w="4680" w:type="dxa"/>
            <w:vAlign w:val="bottom"/>
          </w:tcPr>
          <w:p>
            <w:pPr>
              <w:ind w:left="200"/>
              <w:spacing w:after="0"/>
              <w:rPr>
                <w:sz w:val="20"/>
                <w:szCs w:val="20"/>
                <w:color w:val="auto"/>
              </w:rPr>
            </w:pPr>
            <w:r>
              <w:rPr>
                <w:rFonts w:ascii="Arial" w:cs="Arial" w:eastAsia="Arial" w:hAnsi="Arial"/>
                <w:sz w:val="17"/>
                <w:szCs w:val="17"/>
                <w:color w:val="auto"/>
                <w:w w:val="94"/>
              </w:rPr>
              <w:t xml:space="preserve">The reduction of -18.6% in the </w:t>
            </w:r>
            <w:r>
              <w:rPr>
                <w:rFonts w:ascii="Arial" w:cs="Arial" w:eastAsia="Arial" w:hAnsi="Arial"/>
                <w:sz w:val="17"/>
                <w:szCs w:val="17"/>
                <w:b w:val="1"/>
                <w:bCs w:val="1"/>
                <w:color w:val="auto"/>
                <w:w w:val="94"/>
              </w:rPr>
              <w:t>Net gain from the Association</w:t>
            </w: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80" w:type="dxa"/>
            <w:vAlign w:val="bottom"/>
          </w:tcPr>
          <w:p>
            <w:pPr>
              <w:ind w:left="200"/>
              <w:spacing w:after="0"/>
              <w:rPr>
                <w:sz w:val="20"/>
                <w:szCs w:val="20"/>
                <w:color w:val="auto"/>
              </w:rPr>
            </w:pPr>
            <w:r>
              <w:rPr>
                <w:rFonts w:ascii="Arial" w:cs="Arial" w:eastAsia="Arial" w:hAnsi="Arial"/>
                <w:sz w:val="17"/>
                <w:szCs w:val="17"/>
                <w:color w:val="auto"/>
                <w:w w:val="96"/>
              </w:rPr>
              <w:t>with Banmedica due to a drop in earnings from health and the</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7"/>
                <w:szCs w:val="17"/>
                <w:color w:val="auto"/>
                <w:w w:val="94"/>
              </w:rPr>
              <w:t>respective decline in payments to Banmedica for said earnings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-894715</wp:posOffset>
            </wp:positionV>
            <wp:extent cx="2255520" cy="18872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55520" cy="1887220"/>
                    </a:xfrm>
                    <a:prstGeom prst="rect">
                      <a:avLst/>
                    </a:prstGeom>
                    <a:noFill/>
                  </pic:spPr>
                </pic:pic>
              </a:graphicData>
            </a:graphic>
          </wp:anchor>
        </w:drawing>
      </w:r>
    </w:p>
    <w:p>
      <w:pPr>
        <w:spacing w:after="0" w:line="165" w:lineRule="exact"/>
        <w:rPr>
          <w:sz w:val="20"/>
          <w:szCs w:val="20"/>
          <w:color w:val="auto"/>
        </w:rPr>
      </w:pPr>
    </w:p>
    <w:p>
      <w:pPr>
        <w:jc w:val="both"/>
        <w:ind w:left="5840"/>
        <w:spacing w:after="0" w:line="260" w:lineRule="auto"/>
        <w:rPr>
          <w:sz w:val="20"/>
          <w:szCs w:val="20"/>
          <w:color w:val="auto"/>
        </w:rPr>
      </w:pPr>
      <w:r>
        <w:rPr>
          <w:rFonts w:ascii="Arial" w:cs="Arial" w:eastAsia="Arial" w:hAnsi="Arial"/>
          <w:sz w:val="17"/>
          <w:szCs w:val="17"/>
          <w:color w:val="auto"/>
        </w:rPr>
        <w:t xml:space="preserve">The aforementioned was slightly attenuated by the increase of 8.2% in </w:t>
      </w:r>
      <w:r>
        <w:rPr>
          <w:rFonts w:ascii="Arial" w:cs="Arial" w:eastAsia="Arial" w:hAnsi="Arial"/>
          <w:sz w:val="17"/>
          <w:szCs w:val="17"/>
          <w:b w:val="1"/>
          <w:bCs w:val="1"/>
          <w:color w:val="auto"/>
        </w:rPr>
        <w:t>Salaries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and employee benefits </w:t>
      </w:r>
      <w:r>
        <w:rPr>
          <w:rFonts w:ascii="Arial" w:cs="Arial" w:eastAsia="Arial" w:hAnsi="Arial"/>
          <w:sz w:val="17"/>
          <w:szCs w:val="17"/>
          <w:color w:val="auto"/>
        </w:rPr>
        <w:t>after hiring and promotions resumed alongside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for variable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YoY analysis</w:t>
      </w:r>
      <w:r>
        <w:rPr>
          <w:rFonts w:ascii="Arial" w:cs="Arial" w:eastAsia="Arial" w:hAnsi="Arial"/>
          <w:sz w:val="17"/>
          <w:szCs w:val="17"/>
          <w:color w:val="auto"/>
        </w:rPr>
        <w:t>, Operating Expenses fell -1.0% due to:</w:t>
      </w:r>
    </w:p>
    <w:p>
      <w:pPr>
        <w:spacing w:after="0" w:line="208" w:lineRule="exact"/>
        <w:rPr>
          <w:sz w:val="20"/>
          <w:szCs w:val="20"/>
          <w:color w:val="auto"/>
        </w:rPr>
      </w:pPr>
    </w:p>
    <w:p>
      <w:pPr>
        <w:ind w:left="900" w:hanging="597"/>
        <w:spacing w:after="0" w:line="27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-3.8% drop in </w:t>
      </w:r>
      <w:r>
        <w:rPr>
          <w:rFonts w:ascii="Arial" w:cs="Arial" w:eastAsia="Arial" w:hAnsi="Arial"/>
          <w:sz w:val="17"/>
          <w:szCs w:val="17"/>
          <w:b w:val="1"/>
          <w:bCs w:val="1"/>
          <w:color w:val="auto"/>
        </w:rPr>
        <w:t>Salaries and employee benefits, which</w:t>
      </w:r>
      <w:r>
        <w:rPr>
          <w:rFonts w:ascii="Arial" w:cs="Arial" w:eastAsia="Arial" w:hAnsi="Arial"/>
          <w:sz w:val="17"/>
          <w:szCs w:val="17"/>
          <w:color w:val="auto"/>
        </w:rPr>
        <w:t xml:space="preserve"> was mainly attributable to BCP Stand-alone due to a drop in variable remuneration expenses and Mibanco, as a result of the advances in the implementation of its hybrid distribution model.</w:t>
      </w:r>
    </w:p>
    <w:p>
      <w:pPr>
        <w:spacing w:after="0" w:line="158" w:lineRule="exact"/>
        <w:rPr>
          <w:rFonts w:ascii="Arial" w:cs="Arial" w:eastAsia="Arial" w:hAnsi="Arial"/>
          <w:sz w:val="17"/>
          <w:szCs w:val="17"/>
          <w:color w:val="auto"/>
        </w:rPr>
      </w:pPr>
    </w:p>
    <w:p>
      <w:pPr>
        <w:ind w:left="900" w:hanging="597"/>
        <w:spacing w:after="0" w:line="27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 decrease in </w:t>
      </w:r>
      <w:r>
        <w:rPr>
          <w:rFonts w:ascii="Arial" w:cs="Arial" w:eastAsia="Arial" w:hAnsi="Arial"/>
          <w:sz w:val="17"/>
          <w:szCs w:val="17"/>
          <w:b w:val="1"/>
          <w:bCs w:val="1"/>
          <w:color w:val="auto"/>
        </w:rPr>
        <w:t>Acquisition Costs</w:t>
      </w:r>
      <w:r>
        <w:rPr>
          <w:rFonts w:ascii="Arial" w:cs="Arial" w:eastAsia="Arial" w:hAnsi="Arial"/>
          <w:sz w:val="17"/>
          <w:szCs w:val="17"/>
          <w:color w:val="auto"/>
        </w:rPr>
        <w:t xml:space="preserve"> given that in 1Q20, this account reflected car premium reimbursements made during the quarantine to compensate clients for the period that they were unable to use their vehicles.</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The reduction in expenses was partially offset by 116.7% growth in the </w:t>
      </w:r>
      <w:r>
        <w:rPr>
          <w:rFonts w:ascii="Arial" w:cs="Arial" w:eastAsia="Arial" w:hAnsi="Arial"/>
          <w:sz w:val="16"/>
          <w:szCs w:val="16"/>
          <w:b w:val="1"/>
          <w:bCs w:val="1"/>
          <w:color w:val="auto"/>
        </w:rPr>
        <w:t>Net Gain for the Association</w:t>
      </w:r>
      <w:r>
        <w:rPr>
          <w:rFonts w:ascii="Arial" w:cs="Arial" w:eastAsia="Arial" w:hAnsi="Arial"/>
          <w:sz w:val="16"/>
          <w:szCs w:val="16"/>
          <w:color w:val="auto"/>
        </w:rPr>
        <w:t xml:space="preserve"> with Banmedic, which reflected higher earnings for health insurance and, which generated a subsequent increase in payments to Banmedica in a context marked by a heightened interest in health in general.</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8"/>
        </w:trPr>
        <w:tc>
          <w:tcPr>
            <w:tcW w:w="3660" w:type="dxa"/>
            <w:vAlign w:val="bottom"/>
            <w:gridSpan w:val="3"/>
          </w:tcPr>
          <w:p>
            <w:pPr>
              <w:spacing w:after="0"/>
              <w:rPr>
                <w:sz w:val="20"/>
                <w:szCs w:val="20"/>
                <w:color w:val="auto"/>
              </w:rPr>
            </w:pPr>
            <w:r>
              <w:rPr>
                <w:rFonts w:ascii="Arial" w:cs="Arial" w:eastAsia="Arial" w:hAnsi="Arial"/>
                <w:sz w:val="17"/>
                <w:szCs w:val="17"/>
                <w:b w:val="1"/>
                <w:bCs w:val="1"/>
                <w:color w:val="auto"/>
                <w:w w:val="87"/>
              </w:rPr>
              <w:t>7.1. Administrative and general expenses and taxes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3"/>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13"/>
          </w:tcPr>
          <w:p>
            <w:pPr>
              <w:ind w:left="280"/>
              <w:spacing w:after="0"/>
              <w:rPr>
                <w:sz w:val="20"/>
                <w:szCs w:val="20"/>
                <w:color w:val="auto"/>
              </w:rPr>
            </w:pPr>
            <w:r>
              <w:rPr>
                <w:rFonts w:ascii="Arial" w:cs="Arial" w:eastAsia="Arial" w:hAnsi="Arial"/>
                <w:sz w:val="17"/>
                <w:szCs w:val="17"/>
                <w:b w:val="1"/>
                <w:bCs w:val="1"/>
                <w:color w:val="auto"/>
                <w:w w:val="91"/>
              </w:rPr>
              <w:t>Administrative and general expenses and taxes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6"/>
        </w:trPr>
        <w:tc>
          <w:tcPr>
            <w:tcW w:w="3660" w:type="dxa"/>
            <w:vAlign w:val="bottom"/>
            <w:gridSpan w:val="3"/>
          </w:tcPr>
          <w:p>
            <w:pPr>
              <w:spacing w:after="0"/>
              <w:rPr>
                <w:sz w:val="20"/>
                <w:szCs w:val="20"/>
                <w:color w:val="auto"/>
              </w:rPr>
            </w:pPr>
            <w:r>
              <w:rPr>
                <w:rFonts w:ascii="Arial" w:cs="Arial" w:eastAsia="Arial" w:hAnsi="Arial"/>
                <w:sz w:val="17"/>
                <w:szCs w:val="17"/>
                <w:b w:val="1"/>
                <w:bCs w:val="1"/>
                <w:color w:val="auto"/>
              </w:rPr>
              <w:t>Administrative, general and tax expenses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ind w:left="420"/>
              <w:spacing w:after="0"/>
              <w:rPr>
                <w:sz w:val="20"/>
                <w:szCs w:val="20"/>
                <w:color w:val="auto"/>
              </w:rPr>
            </w:pPr>
            <w:r>
              <w:rPr>
                <w:rFonts w:ascii="Arial" w:cs="Arial" w:eastAsia="Arial" w:hAnsi="Arial"/>
                <w:sz w:val="17"/>
                <w:szCs w:val="17"/>
                <w:b w:val="1"/>
                <w:bCs w:val="1"/>
                <w:color w:val="auto"/>
              </w:rPr>
              <w:t>Quarter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ind w:left="440"/>
              <w:spacing w:after="0"/>
              <w:rPr>
                <w:sz w:val="20"/>
                <w:szCs w:val="20"/>
                <w:color w:val="auto"/>
              </w:rPr>
            </w:pPr>
            <w:r>
              <w:rPr>
                <w:rFonts w:ascii="Arial" w:cs="Arial" w:eastAsia="Arial" w:hAnsi="Arial"/>
                <w:sz w:val="17"/>
                <w:szCs w:val="17"/>
                <w:b w:val="1"/>
                <w:bCs w:val="1"/>
                <w:color w:val="auto"/>
                <w:w w:val="88"/>
              </w:rPr>
              <w:t>% change</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3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1Q20</w:t>
            </w:r>
          </w:p>
        </w:tc>
        <w:tc>
          <w:tcPr>
            <w:tcW w:w="2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4Q20</w:t>
            </w:r>
          </w:p>
        </w:tc>
        <w:tc>
          <w:tcPr>
            <w:tcW w:w="2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17"/>
                <w:szCs w:val="17"/>
                <w:color w:val="auto"/>
              </w:rPr>
            </w:pPr>
          </w:p>
        </w:tc>
        <w:tc>
          <w:tcPr>
            <w:tcW w:w="4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1Q21</w:t>
            </w:r>
          </w:p>
        </w:tc>
        <w:tc>
          <w:tcPr>
            <w:tcW w:w="2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QoQ</w:t>
            </w:r>
          </w:p>
        </w:tc>
        <w:tc>
          <w:tcPr>
            <w:tcW w:w="2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gridSpan w:val="2"/>
          </w:tcPr>
          <w:p>
            <w:pPr>
              <w:spacing w:after="0"/>
              <w:rPr>
                <w:sz w:val="17"/>
                <w:szCs w:val="17"/>
                <w:color w:val="auto"/>
              </w:rPr>
            </w:pPr>
          </w:p>
        </w:tc>
        <w:tc>
          <w:tcPr>
            <w:tcW w:w="5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w w:val="90"/>
              </w:rPr>
              <w:t>YoY</w:t>
            </w:r>
          </w:p>
        </w:tc>
        <w:tc>
          <w:tcPr>
            <w:tcW w:w="140" w:type="dxa"/>
            <w:vAlign w:val="bottom"/>
            <w:tcBorders>
              <w:bottom w:val="single" w:sz="8" w:color="CCEEFF"/>
            </w:tcBorders>
          </w:tcPr>
          <w:p>
            <w:pPr>
              <w:spacing w:after="0"/>
              <w:rPr>
                <w:sz w:val="17"/>
                <w:szCs w:val="17"/>
                <w:color w:val="auto"/>
              </w:rPr>
            </w:pPr>
          </w:p>
        </w:tc>
      </w:tr>
      <w:tr>
        <w:trPr>
          <w:trHeight w:val="194"/>
        </w:trPr>
        <w:tc>
          <w:tcPr>
            <w:tcW w:w="3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Repair and maintenance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76,051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140,378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106,625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40.2%</w:t>
            </w: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Publicity</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75,256</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129,314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6"/>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72,270</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-4.0%</w:t>
            </w: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Taxes and contributions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68,017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75,477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68,808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Consulting and professional fees</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39,485</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82,153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6"/>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40,858</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7"/>
                <w:szCs w:val="17"/>
                <w:color w:val="auto"/>
              </w:rPr>
              <w:t>-50.3%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3.5%</w:t>
            </w: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Transport and communications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35,466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42,697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20.4%</w:t>
            </w: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IBM services expenses</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30,309</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43,411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6"/>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40,445</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33.4%</w:t>
            </w: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Comissions by agents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21,429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23,077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25,036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Security and protection</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15,979</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26,113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15,959</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-0.1%</w:t>
            </w: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Sundry supplies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23,639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14,819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w:t>
            </w: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Leases of low value and short-term</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18,843</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21,182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20,902</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10.9%</w:t>
            </w: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Electricity and water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11,813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10,691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Subscriptions and quotes</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10,752</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13,978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13,183</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22.6%</w:t>
            </w: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Insurance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4,910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8,274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-52.9%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68.5%</w:t>
            </w: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Electronic processing</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8,637</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12,619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9,968</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15.4%</w:t>
            </w: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Cleaning</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5,518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5,282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Audit Services</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1,250</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1,093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6"/>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17"/>
                <w:szCs w:val="17"/>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0.6%</w:t>
            </w:r>
          </w:p>
        </w:tc>
      </w:tr>
      <w:tr>
        <w:trPr>
          <w:trHeight w:val="239"/>
        </w:trPr>
        <w:tc>
          <w:tcPr>
            <w:tcW w:w="366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Services by third-party and others </w:t>
            </w:r>
            <w:r>
              <w:rPr>
                <w:rFonts w:ascii="Arial" w:cs="Arial" w:eastAsia="Arial" w:hAnsi="Arial"/>
                <w:sz w:val="27"/>
                <w:szCs w:val="27"/>
                <w:color w:val="auto"/>
                <w:vertAlign w:val="superscript"/>
              </w:rPr>
              <w:t>(1)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92,290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71,998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83,767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194"/>
        </w:trPr>
        <w:tc>
          <w:tcPr>
            <w:tcW w:w="3660" w:type="dxa"/>
            <w:vAlign w:val="bottom"/>
            <w:gridSpan w:val="3"/>
          </w:tcPr>
          <w:p>
            <w:pPr>
              <w:spacing w:after="0" w:line="194" w:lineRule="exact"/>
              <w:rPr>
                <w:sz w:val="20"/>
                <w:szCs w:val="20"/>
                <w:color w:val="auto"/>
              </w:rPr>
            </w:pPr>
            <w:r>
              <w:rPr>
                <w:rFonts w:ascii="Arial" w:cs="Arial" w:eastAsia="Arial" w:hAnsi="Arial"/>
                <w:sz w:val="17"/>
                <w:szCs w:val="17"/>
                <w:b w:val="1"/>
                <w:bCs w:val="1"/>
                <w:color w:val="auto"/>
              </w:rPr>
              <w:t>Total administrative and general expenses</w:t>
            </w: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539,644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100</w:t>
            </w:r>
          </w:p>
        </w:tc>
        <w:tc>
          <w:tcPr>
            <w:tcW w:w="2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auto"/>
                <w:w w:val="92"/>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749,393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100</w:t>
            </w:r>
          </w:p>
        </w:tc>
        <w:tc>
          <w:tcPr>
            <w:tcW w:w="2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auto"/>
                <w:w w:val="92"/>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580,842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100</w:t>
            </w:r>
          </w:p>
        </w:tc>
        <w:tc>
          <w:tcPr>
            <w:tcW w:w="280" w:type="dxa"/>
            <w:vAlign w:val="bottom"/>
          </w:tcPr>
          <w:p>
            <w:pPr>
              <w:jc w:val="right"/>
              <w:ind w:right="36"/>
              <w:spacing w:after="0" w:line="194" w:lineRule="exact"/>
              <w:rPr>
                <w:sz w:val="20"/>
                <w:szCs w:val="20"/>
                <w:color w:val="auto"/>
              </w:rPr>
            </w:pPr>
            <w:r>
              <w:rPr>
                <w:rFonts w:ascii="Arial" w:cs="Arial" w:eastAsia="Arial" w:hAnsi="Arial"/>
                <w:sz w:val="17"/>
                <w:szCs w:val="17"/>
                <w:b w:val="1"/>
                <w:bCs w:val="1"/>
                <w:color w:val="auto"/>
                <w:w w:val="92"/>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-22.5</w:t>
            </w:r>
          </w:p>
        </w:tc>
        <w:tc>
          <w:tcPr>
            <w:tcW w:w="280" w:type="dxa"/>
            <w:vAlign w:val="bottom"/>
          </w:tcPr>
          <w:p>
            <w:pPr>
              <w:jc w:val="right"/>
              <w:ind w:right="16"/>
              <w:spacing w:after="0" w:line="194"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7.6</w:t>
            </w:r>
          </w:p>
        </w:tc>
        <w:tc>
          <w:tcPr>
            <w:tcW w:w="1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79"/>
              </w:rPr>
              <w:t>%</w:t>
            </w: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p>
      <w:pPr>
        <w:ind w:firstLine="1"/>
        <w:spacing w:after="0" w:line="269" w:lineRule="auto"/>
        <w:tabs>
          <w:tab w:leader="none" w:pos="27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balance consists mainly of security and protection services, cleaning service, representation expenses, electricity and water utilities, insurance policiy expenses, subscription expenses and commission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the QoQ analysis, administrative and general expenses and taxes fell -22.5% due to:</w:t>
      </w:r>
    </w:p>
    <w:p>
      <w:pPr>
        <w:spacing w:after="0" w:line="204" w:lineRule="exact"/>
        <w:rPr>
          <w:sz w:val="20"/>
          <w:szCs w:val="20"/>
          <w:color w:val="auto"/>
        </w:rPr>
      </w:pPr>
    </w:p>
    <w:p>
      <w:pPr>
        <w:ind w:left="900" w:hanging="597"/>
        <w:spacing w:after="0" w:line="274"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 decrease in </w:t>
      </w:r>
      <w:r>
        <w:rPr>
          <w:rFonts w:ascii="Arial" w:cs="Arial" w:eastAsia="Arial" w:hAnsi="Arial"/>
          <w:sz w:val="17"/>
          <w:szCs w:val="17"/>
          <w:b w:val="1"/>
          <w:bCs w:val="1"/>
          <w:color w:val="auto"/>
        </w:rPr>
        <w:t>Publicity</w:t>
      </w:r>
      <w:r>
        <w:rPr>
          <w:rFonts w:ascii="Arial" w:cs="Arial" w:eastAsia="Arial" w:hAnsi="Arial"/>
          <w:sz w:val="17"/>
          <w:szCs w:val="17"/>
          <w:color w:val="auto"/>
        </w:rPr>
        <w:t xml:space="preserve"> expenses (-44%) given that advertising expenses were concentrated in 3Q20 and 4Q20 due to the quarantine imposed between March and September.</w:t>
      </w:r>
    </w:p>
    <w:p>
      <w:pPr>
        <w:spacing w:after="0" w:line="158" w:lineRule="exact"/>
        <w:rPr>
          <w:rFonts w:ascii="Arial" w:cs="Arial" w:eastAsia="Arial" w:hAnsi="Arial"/>
          <w:sz w:val="17"/>
          <w:szCs w:val="17"/>
          <w:color w:val="auto"/>
        </w:rPr>
      </w:pPr>
    </w:p>
    <w:p>
      <w:pPr>
        <w:ind w:left="900" w:hanging="597"/>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A drop of -50.3% in the expense for </w:t>
      </w:r>
      <w:r>
        <w:rPr>
          <w:rFonts w:ascii="Arial" w:cs="Arial" w:eastAsia="Arial" w:hAnsi="Arial"/>
          <w:sz w:val="16"/>
          <w:szCs w:val="16"/>
          <w:b w:val="1"/>
          <w:bCs w:val="1"/>
          <w:color w:val="auto"/>
        </w:rPr>
        <w:t>Consultancy and professional fees</w:t>
      </w:r>
      <w:r>
        <w:rPr>
          <w:rFonts w:ascii="Arial" w:cs="Arial" w:eastAsia="Arial" w:hAnsi="Arial"/>
          <w:sz w:val="16"/>
          <w:szCs w:val="16"/>
          <w:color w:val="auto"/>
        </w:rPr>
        <w:t xml:space="preserve"> due to seasonal effects on expenses in the last quarter of the year.</w:t>
      </w:r>
    </w:p>
    <w:p>
      <w:pPr>
        <w:spacing w:after="0" w:line="219" w:lineRule="exact"/>
        <w:rPr>
          <w:rFonts w:ascii="Arial" w:cs="Arial" w:eastAsia="Arial" w:hAnsi="Arial"/>
          <w:sz w:val="16"/>
          <w:szCs w:val="16"/>
          <w:color w:val="auto"/>
        </w:rPr>
      </w:pPr>
    </w:p>
    <w:p>
      <w:pPr>
        <w:ind w:left="900" w:hanging="597"/>
        <w:spacing w:after="0" w:line="274"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decrease in the expense for </w:t>
      </w:r>
      <w:r>
        <w:rPr>
          <w:rFonts w:ascii="Arial" w:cs="Arial" w:eastAsia="Arial" w:hAnsi="Arial"/>
          <w:sz w:val="17"/>
          <w:szCs w:val="17"/>
          <w:b w:val="1"/>
          <w:bCs w:val="1"/>
          <w:color w:val="auto"/>
        </w:rPr>
        <w:t>Repair and Maintenance</w:t>
      </w:r>
      <w:r>
        <w:rPr>
          <w:rFonts w:ascii="Arial" w:cs="Arial" w:eastAsia="Arial" w:hAnsi="Arial"/>
          <w:sz w:val="17"/>
          <w:szCs w:val="17"/>
          <w:color w:val="auto"/>
        </w:rPr>
        <w:t xml:space="preserve"> (-24.0%) after expenses for investment in and maintenance of IT equipment was recognized in the last quarter of the year.</w:t>
      </w:r>
    </w:p>
    <w:p>
      <w:pPr>
        <w:spacing w:after="0" w:line="15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In the YoY analysis, expenses increased +7.6% after higher costs were registered for </w:t>
      </w:r>
      <w:r>
        <w:rPr>
          <w:rFonts w:ascii="Arial" w:cs="Arial" w:eastAsia="Arial" w:hAnsi="Arial"/>
          <w:sz w:val="17"/>
          <w:szCs w:val="17"/>
          <w:b w:val="1"/>
          <w:bCs w:val="1"/>
          <w:color w:val="auto"/>
        </w:rPr>
        <w:t>Repair and Maintenance</w:t>
      </w:r>
      <w:r>
        <w:rPr>
          <w:rFonts w:ascii="Arial" w:cs="Arial" w:eastAsia="Arial" w:hAnsi="Arial"/>
          <w:sz w:val="17"/>
          <w:szCs w:val="17"/>
          <w:color w:val="auto"/>
        </w:rPr>
        <w:t xml:space="preserve"> and for </w:t>
      </w:r>
      <w:r>
        <w:rPr>
          <w:rFonts w:ascii="Arial" w:cs="Arial" w:eastAsia="Arial" w:hAnsi="Arial"/>
          <w:sz w:val="17"/>
          <w:szCs w:val="17"/>
          <w:b w:val="1"/>
          <w:bCs w:val="1"/>
          <w:color w:val="auto"/>
        </w:rPr>
        <w:t>IMB Services</w:t>
      </w:r>
      <w:r>
        <w:rPr>
          <w:rFonts w:ascii="Arial" w:cs="Arial" w:eastAsia="Arial" w:hAnsi="Arial"/>
          <w:sz w:val="17"/>
          <w:szCs w:val="17"/>
          <w:color w:val="auto"/>
        </w:rPr>
        <w:t>, which correspond to projects undertaken to prevent technological obsolescence and to manage IT vulnerabilities.</w:t>
      </w:r>
    </w:p>
    <w:p>
      <w:pPr>
        <w:spacing w:after="0" w:line="16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7749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7749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8"/>
        </w:trPr>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8. Operating Efficiency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3"/>
        </w:trPr>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Operating Efficiency</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bottom w:val="single" w:sz="8" w:color="auto"/>
            </w:tcBorders>
            <w:gridSpan w:val="3"/>
          </w:tcPr>
          <w:p>
            <w:pPr>
              <w:ind w:left="880"/>
              <w:spacing w:after="0"/>
              <w:rPr>
                <w:sz w:val="20"/>
                <w:szCs w:val="20"/>
                <w:color w:val="auto"/>
              </w:rPr>
            </w:pPr>
            <w:r>
              <w:rPr>
                <w:rFonts w:ascii="Arial" w:cs="Arial" w:eastAsia="Arial" w:hAnsi="Arial"/>
                <w:sz w:val="17"/>
                <w:szCs w:val="17"/>
                <w:b w:val="1"/>
                <w:bCs w:val="1"/>
                <w:color w:val="auto"/>
                <w:w w:val="98"/>
              </w:rPr>
              <w:t>% change</w:t>
            </w: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4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1Q20</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4Q20</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1Q21</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QoQ</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YoY</w:t>
            </w:r>
          </w:p>
        </w:tc>
        <w:tc>
          <w:tcPr>
            <w:tcW w:w="140" w:type="dxa"/>
            <w:vAlign w:val="bottom"/>
            <w:tcBorders>
              <w:bottom w:val="single" w:sz="8" w:color="CCEEFF"/>
            </w:tcBorders>
          </w:tcPr>
          <w:p>
            <w:pPr>
              <w:spacing w:after="0"/>
              <w:rPr>
                <w:sz w:val="18"/>
                <w:szCs w:val="18"/>
                <w:color w:val="auto"/>
              </w:rPr>
            </w:pPr>
          </w:p>
        </w:tc>
      </w:tr>
      <w:tr>
        <w:trPr>
          <w:trHeight w:val="232"/>
        </w:trPr>
        <w:tc>
          <w:tcPr>
            <w:tcW w:w="430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Operating expenses</w:t>
            </w:r>
            <w:r>
              <w:rPr>
                <w:rFonts w:ascii="Arial" w:cs="Arial" w:eastAsia="Arial" w:hAnsi="Arial"/>
                <w:sz w:val="26"/>
                <w:szCs w:val="26"/>
                <w:color w:val="auto"/>
                <w:vertAlign w:val="superscript"/>
              </w:rPr>
              <w:t>(1)</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1,722,183</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1,792,366</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1,704,894</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9"/>
        </w:trPr>
        <w:tc>
          <w:tcPr>
            <w:tcW w:w="4500" w:type="dxa"/>
            <w:vAlign w:val="bottom"/>
            <w:gridSpan w:val="2"/>
          </w:tcPr>
          <w:p>
            <w:pPr>
              <w:spacing w:after="0" w:line="239" w:lineRule="exact"/>
              <w:rPr>
                <w:sz w:val="20"/>
                <w:szCs w:val="20"/>
                <w:color w:val="auto"/>
              </w:rPr>
            </w:pPr>
            <w:r>
              <w:rPr>
                <w:rFonts w:ascii="Arial" w:cs="Arial" w:eastAsia="Arial" w:hAnsi="Arial"/>
                <w:sz w:val="17"/>
                <w:szCs w:val="17"/>
                <w:color w:val="auto"/>
              </w:rPr>
              <w:t>Operating income</w:t>
            </w:r>
            <w:r>
              <w:rPr>
                <w:rFonts w:ascii="Arial" w:cs="Arial" w:eastAsia="Arial" w:hAnsi="Arial"/>
                <w:sz w:val="27"/>
                <w:szCs w:val="27"/>
                <w:color w:val="auto"/>
                <w:vertAlign w:val="superscript"/>
              </w:rPr>
              <w:t>(2)</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3,968,580</w:t>
            </w:r>
          </w:p>
        </w:tc>
        <w:tc>
          <w:tcPr>
            <w:tcW w:w="1120" w:type="dxa"/>
            <w:vAlign w:val="bottom"/>
          </w:tcPr>
          <w:p>
            <w:pPr>
              <w:jc w:val="right"/>
              <w:spacing w:after="0"/>
              <w:rPr>
                <w:sz w:val="20"/>
                <w:szCs w:val="20"/>
                <w:color w:val="auto"/>
              </w:rPr>
            </w:pPr>
            <w:r>
              <w:rPr>
                <w:rFonts w:ascii="Arial" w:cs="Arial" w:eastAsia="Arial" w:hAnsi="Arial"/>
                <w:sz w:val="17"/>
                <w:szCs w:val="17"/>
                <w:color w:val="auto"/>
              </w:rPr>
              <w:t>3,795,255</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3,871,563</w:t>
            </w:r>
          </w:p>
        </w:tc>
        <w:tc>
          <w:tcPr>
            <w:tcW w:w="2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-2.4%</w:t>
            </w:r>
          </w:p>
        </w:tc>
      </w:tr>
      <w:tr>
        <w:trPr>
          <w:trHeight w:val="239"/>
        </w:trPr>
        <w:tc>
          <w:tcPr>
            <w:tcW w:w="450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Efficiency ratio</w:t>
            </w:r>
            <w:r>
              <w:rPr>
                <w:rFonts w:ascii="Arial" w:cs="Arial" w:eastAsia="Arial" w:hAnsi="Arial"/>
                <w:sz w:val="27"/>
                <w:szCs w:val="27"/>
                <w:color w:val="auto"/>
                <w:vertAlign w:val="superscript"/>
              </w:rPr>
              <w:t>(3)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44.0%</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-320 bps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 bps</w:t>
            </w:r>
          </w:p>
        </w:tc>
      </w:tr>
      <w:tr>
        <w:trPr>
          <w:trHeight w:val="366"/>
        </w:trPr>
        <w:tc>
          <w:tcPr>
            <w:tcW w:w="4500" w:type="dxa"/>
            <w:vAlign w:val="bottom"/>
            <w:gridSpan w:val="2"/>
          </w:tcPr>
          <w:p>
            <w:pPr>
              <w:spacing w:after="0"/>
              <w:rPr>
                <w:sz w:val="20"/>
                <w:szCs w:val="20"/>
                <w:color w:val="auto"/>
              </w:rPr>
            </w:pPr>
            <w:r>
              <w:rPr>
                <w:rFonts w:ascii="Arial" w:cs="Arial" w:eastAsia="Arial" w:hAnsi="Arial"/>
                <w:sz w:val="17"/>
                <w:szCs w:val="17"/>
                <w:color w:val="auto"/>
              </w:rPr>
              <w:t>Operating expenses / Total average assets</w:t>
            </w:r>
            <w:r>
              <w:rPr>
                <w:rFonts w:ascii="Arial" w:cs="Arial" w:eastAsia="Arial" w:hAnsi="Arial"/>
                <w:sz w:val="27"/>
                <w:szCs w:val="27"/>
                <w:color w:val="auto"/>
                <w:vertAlign w:val="superscript"/>
              </w:rPr>
              <w:t>(4)</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3.57%</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3.06%</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2.83%</w:t>
            </w:r>
          </w:p>
        </w:tc>
        <w:tc>
          <w:tcPr>
            <w:tcW w:w="1680" w:type="dxa"/>
            <w:vAlign w:val="bottom"/>
            <w:gridSpan w:val="3"/>
          </w:tcPr>
          <w:p>
            <w:pPr>
              <w:jc w:val="right"/>
              <w:ind w:right="560"/>
              <w:spacing w:after="0"/>
              <w:rPr>
                <w:sz w:val="20"/>
                <w:szCs w:val="20"/>
                <w:color w:val="auto"/>
              </w:rPr>
            </w:pPr>
            <w:r>
              <w:rPr>
                <w:rFonts w:ascii="Arial" w:cs="Arial" w:eastAsia="Arial" w:hAnsi="Arial"/>
                <w:sz w:val="17"/>
                <w:szCs w:val="17"/>
                <w:color w:val="auto"/>
              </w:rPr>
              <w:t>-23 bps</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-74 bps</w:t>
            </w:r>
          </w:p>
        </w:tc>
      </w:tr>
    </w:tbl>
    <w:p>
      <w:pPr>
        <w:spacing w:after="0" w:line="63" w:lineRule="exact"/>
        <w:rPr>
          <w:sz w:val="20"/>
          <w:szCs w:val="20"/>
          <w:color w:val="auto"/>
        </w:rPr>
      </w:pPr>
    </w:p>
    <w:p>
      <w:pPr>
        <w:ind w:firstLine="1"/>
        <w:spacing w:after="0" w:line="254" w:lineRule="auto"/>
        <w:tabs>
          <w:tab w:leader="none" w:pos="251" w:val="left"/>
        </w:tabs>
        <w:numPr>
          <w:ilvl w:val="0"/>
          <w:numId w:val="43"/>
        </w:numPr>
        <w:rPr>
          <w:rFonts w:ascii="Arial" w:cs="Arial" w:eastAsia="Arial" w:hAnsi="Arial"/>
          <w:sz w:val="17"/>
          <w:szCs w:val="17"/>
          <w:color w:val="auto"/>
        </w:rPr>
      </w:pPr>
      <w:r>
        <w:rPr>
          <w:rFonts w:ascii="Arial" w:cs="Arial" w:eastAsia="Arial" w:hAnsi="Arial"/>
          <w:sz w:val="17"/>
          <w:szCs w:val="17"/>
          <w:color w:val="auto"/>
        </w:rPr>
        <w:t>Operating expenses = Salaries and employee’s benefits + Administrative expenses + Depreciation and amortization + Association in participation + Acquisition cost.</w:t>
      </w:r>
    </w:p>
    <w:p>
      <w:pPr>
        <w:spacing w:after="0" w:line="1" w:lineRule="exact"/>
        <w:rPr>
          <w:rFonts w:ascii="Arial" w:cs="Arial" w:eastAsia="Arial" w:hAnsi="Arial"/>
          <w:sz w:val="17"/>
          <w:szCs w:val="17"/>
          <w:color w:val="auto"/>
        </w:rPr>
      </w:pPr>
    </w:p>
    <w:p>
      <w:pPr>
        <w:ind w:firstLine="1"/>
        <w:spacing w:after="0" w:line="247" w:lineRule="auto"/>
        <w:tabs>
          <w:tab w:leader="none" w:pos="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ind w:left="240" w:hanging="239"/>
        <w:spacing w:after="0"/>
        <w:tabs>
          <w:tab w:leader="none" w:pos="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Operating expenses / Operating income.</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Operating expenses / Average of Total Assets. Average is calculated with period beginning and period-ending balances.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8.1 Efficiency ratio by income and expense segment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QoQ analysis,</w:t>
      </w:r>
      <w:r>
        <w:rPr>
          <w:rFonts w:ascii="Arial" w:cs="Arial" w:eastAsia="Arial" w:hAnsi="Arial"/>
          <w:sz w:val="17"/>
          <w:szCs w:val="17"/>
          <w:color w:val="auto"/>
        </w:rPr>
        <w:t xml:space="preserve"> the efficiency ratio improved 320pbs due to:</w:t>
      </w:r>
    </w:p>
    <w:p>
      <w:pPr>
        <w:spacing w:after="0" w:line="208" w:lineRule="exact"/>
        <w:rPr>
          <w:sz w:val="20"/>
          <w:szCs w:val="20"/>
          <w:color w:val="auto"/>
        </w:rPr>
      </w:pPr>
    </w:p>
    <w:p>
      <w:pPr>
        <w:jc w:val="both"/>
        <w:ind w:left="900" w:hanging="597"/>
        <w:spacing w:after="0" w:line="260"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An improvement in operating income due to an increase in </w:t>
      </w:r>
      <w:r>
        <w:rPr>
          <w:rFonts w:ascii="Arial" w:cs="Arial" w:eastAsia="Arial" w:hAnsi="Arial"/>
          <w:sz w:val="17"/>
          <w:szCs w:val="17"/>
          <w:b w:val="1"/>
          <w:bCs w:val="1"/>
          <w:color w:val="auto"/>
        </w:rPr>
        <w:t>Net gains on derivatives</w:t>
      </w:r>
      <w:r>
        <w:rPr>
          <w:rFonts w:ascii="Arial" w:cs="Arial" w:eastAsia="Arial" w:hAnsi="Arial"/>
          <w:sz w:val="17"/>
          <w:szCs w:val="17"/>
          <w:color w:val="auto"/>
        </w:rPr>
        <w:t xml:space="preserve">, which was associated with on-target trading strategies at BCP and Credicorp Capital and with an increase in </w:t>
      </w:r>
      <w:r>
        <w:rPr>
          <w:rFonts w:ascii="Arial" w:cs="Arial" w:eastAsia="Arial" w:hAnsi="Arial"/>
          <w:sz w:val="17"/>
          <w:szCs w:val="17"/>
          <w:b w:val="1"/>
          <w:bCs w:val="1"/>
          <w:color w:val="auto"/>
        </w:rPr>
        <w:t>Net Interest Income</w:t>
      </w:r>
      <w:r>
        <w:rPr>
          <w:rFonts w:ascii="Arial" w:cs="Arial" w:eastAsia="Arial" w:hAnsi="Arial"/>
          <w:sz w:val="17"/>
          <w:szCs w:val="17"/>
          <w:color w:val="auto"/>
        </w:rPr>
        <w:t xml:space="preserve"> given that in 4Q20, impairment of reprogrammed loans was recognized and clients were reimbursed for interest accrued on refinanced loans in Bolivia.</w:t>
      </w:r>
    </w:p>
    <w:p>
      <w:pPr>
        <w:spacing w:after="0" w:line="170" w:lineRule="exact"/>
        <w:rPr>
          <w:rFonts w:ascii="Arial" w:cs="Arial" w:eastAsia="Arial" w:hAnsi="Arial"/>
          <w:sz w:val="17"/>
          <w:szCs w:val="17"/>
          <w:color w:val="auto"/>
        </w:rPr>
      </w:pPr>
    </w:p>
    <w:p>
      <w:pPr>
        <w:ind w:left="900" w:hanging="597"/>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decrease in </w:t>
      </w:r>
      <w:r>
        <w:rPr>
          <w:rFonts w:ascii="Arial" w:cs="Arial" w:eastAsia="Arial" w:hAnsi="Arial"/>
          <w:sz w:val="17"/>
          <w:szCs w:val="17"/>
          <w:b w:val="1"/>
          <w:bCs w:val="1"/>
          <w:color w:val="auto"/>
        </w:rPr>
        <w:t>Administrative and general expenses and taxes</w:t>
      </w:r>
      <w:r>
        <w:rPr>
          <w:rFonts w:ascii="Arial" w:cs="Arial" w:eastAsia="Arial" w:hAnsi="Arial"/>
          <w:sz w:val="17"/>
          <w:szCs w:val="17"/>
          <w:color w:val="auto"/>
        </w:rPr>
        <w:t xml:space="preserve"> due to seasonal effects in the last quarter of the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142240</wp:posOffset>
            </wp:positionV>
            <wp:extent cx="6510020" cy="1647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0020" cy="164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60" w:firstLine="1"/>
        <w:spacing w:after="0" w:line="254" w:lineRule="auto"/>
        <w:tabs>
          <w:tab w:leader="none" w:pos="238" w:val="left"/>
        </w:tabs>
        <w:numPr>
          <w:ilvl w:val="0"/>
          <w:numId w:val="45"/>
        </w:numPr>
        <w:rPr>
          <w:rFonts w:ascii="Arial" w:cs="Arial" w:eastAsia="Arial" w:hAnsi="Arial"/>
          <w:sz w:val="17"/>
          <w:szCs w:val="17"/>
          <w:color w:val="auto"/>
        </w:rPr>
      </w:pPr>
      <w:r>
        <w:rPr>
          <w:rFonts w:ascii="Arial" w:cs="Arial" w:eastAsia="Arial" w:hAnsi="Arial"/>
          <w:sz w:val="17"/>
          <w:szCs w:val="17"/>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7"/>
          <w:szCs w:val="17"/>
          <w:color w:val="auto"/>
        </w:rPr>
      </w:pPr>
    </w:p>
    <w:p>
      <w:pPr>
        <w:ind w:left="240" w:hanging="239"/>
        <w:spacing w:after="0"/>
        <w:tabs>
          <w:tab w:leader="none" w:pos="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Other operating expenses includes: Acquisition cost and Association in participation.</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60bps deterioration YoY in the efficiency ratio was attributable to a drop in </w:t>
      </w:r>
      <w:r>
        <w:rPr>
          <w:rFonts w:ascii="Arial" w:cs="Arial" w:eastAsia="Arial" w:hAnsi="Arial"/>
          <w:sz w:val="17"/>
          <w:szCs w:val="17"/>
          <w:b w:val="1"/>
          <w:bCs w:val="1"/>
          <w:color w:val="auto"/>
        </w:rPr>
        <w:t>Net interest income</w:t>
      </w:r>
      <w:r>
        <w:rPr>
          <w:rFonts w:ascii="Arial" w:cs="Arial" w:eastAsia="Arial" w:hAnsi="Arial"/>
          <w:sz w:val="17"/>
          <w:szCs w:val="17"/>
          <w:color w:val="auto"/>
        </w:rPr>
        <w:t>, which was attributable to the charges related to the liability management operation carried out at BCP Stand-alone and to the significant weight of low-interest government loans in the portfolio and to the reduction in loans at BCP Stand-alone and Mibanco.</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reduction in operating expenses that was generated by a drop in </w:t>
      </w:r>
      <w:r>
        <w:rPr>
          <w:rFonts w:ascii="Arial" w:cs="Arial" w:eastAsia="Arial" w:hAnsi="Arial"/>
          <w:sz w:val="17"/>
          <w:szCs w:val="17"/>
          <w:b w:val="1"/>
          <w:bCs w:val="1"/>
          <w:color w:val="auto"/>
        </w:rPr>
        <w:t>Salaries and Employee benefits</w:t>
      </w:r>
      <w:r>
        <w:rPr>
          <w:rFonts w:ascii="Arial" w:cs="Arial" w:eastAsia="Arial" w:hAnsi="Arial"/>
          <w:sz w:val="17"/>
          <w:szCs w:val="17"/>
          <w:color w:val="auto"/>
        </w:rPr>
        <w:t xml:space="preserve"> at BCP Stand-alone and Mibanco, coupled with the decrease in the </w:t>
      </w:r>
      <w:r>
        <w:rPr>
          <w:rFonts w:ascii="Arial" w:cs="Arial" w:eastAsia="Arial" w:hAnsi="Arial"/>
          <w:sz w:val="17"/>
          <w:szCs w:val="17"/>
          <w:b w:val="1"/>
          <w:bCs w:val="1"/>
          <w:color w:val="auto"/>
        </w:rPr>
        <w:t>Acquisition Cost</w:t>
      </w:r>
      <w:r>
        <w:rPr>
          <w:rFonts w:ascii="Arial" w:cs="Arial" w:eastAsia="Arial" w:hAnsi="Arial"/>
          <w:sz w:val="17"/>
          <w:szCs w:val="17"/>
          <w:color w:val="auto"/>
        </w:rPr>
        <w:t xml:space="preserve"> after car premiums were returned in 1Q20, was insufficient to offset the efficiency deterioration.</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 xml:space="preserve">8.2. Efficiency Ratio by Subsidiary </w:t>
      </w:r>
      <w:r>
        <w:rPr>
          <w:rFonts w:ascii="Arial" w:cs="Arial" w:eastAsia="Arial" w:hAnsi="Arial"/>
          <w:sz w:val="27"/>
          <w:szCs w:val="27"/>
          <w:b w:val="1"/>
          <w:bCs w:val="1"/>
          <w:color w:val="auto"/>
          <w:vertAlign w:val="superscript"/>
        </w:rPr>
        <w:t>(1)(2)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2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BCP</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vMerge w:val="restart"/>
          </w:tcPr>
          <w:p>
            <w:pPr>
              <w:jc w:val="right"/>
              <w:ind w:right="76"/>
              <w:spacing w:after="0"/>
              <w:rPr>
                <w:sz w:val="20"/>
                <w:szCs w:val="20"/>
                <w:color w:val="auto"/>
              </w:rPr>
            </w:pPr>
            <w:r>
              <w:rPr>
                <w:rFonts w:ascii="Arial" w:cs="Arial" w:eastAsia="Arial" w:hAnsi="Arial"/>
                <w:sz w:val="17"/>
                <w:szCs w:val="17"/>
                <w:b w:val="1"/>
                <w:bCs w:val="1"/>
                <w:color w:val="auto"/>
                <w:w w:val="97"/>
              </w:rPr>
              <w:t xml:space="preserve">Microfinance </w:t>
            </w:r>
            <w:r>
              <w:rPr>
                <w:rFonts w:ascii="Arial" w:cs="Arial" w:eastAsia="Arial" w:hAnsi="Arial"/>
                <w:sz w:val="27"/>
                <w:szCs w:val="27"/>
                <w:b w:val="1"/>
                <w:bCs w:val="1"/>
                <w:color w:val="auto"/>
                <w:w w:val="97"/>
                <w:vertAlign w:val="superscript"/>
              </w:rPr>
              <w:t>(3)</w:t>
            </w:r>
          </w:p>
        </w:tc>
        <w:tc>
          <w:tcPr>
            <w:tcW w:w="24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Stand-alone</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BCP Bolivia</w:t>
            </w:r>
          </w:p>
        </w:tc>
        <w:tc>
          <w:tcPr>
            <w:tcW w:w="2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vMerge w:val="continue"/>
          </w:tcPr>
          <w:p>
            <w:pPr>
              <w:spacing w:after="0"/>
              <w:rPr>
                <w:sz w:val="18"/>
                <w:szCs w:val="18"/>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Pacifico</w:t>
            </w: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Prima AFP</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Credicorp</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jc w:val="center"/>
              <w:ind w:right="96"/>
              <w:spacing w:after="0" w:line="194" w:lineRule="exact"/>
              <w:rPr>
                <w:sz w:val="20"/>
                <w:szCs w:val="20"/>
                <w:color w:val="auto"/>
              </w:rPr>
            </w:pPr>
            <w:r>
              <w:rPr>
                <w:rFonts w:ascii="Arial" w:cs="Arial" w:eastAsia="Arial" w:hAnsi="Arial"/>
                <w:sz w:val="17"/>
                <w:szCs w:val="17"/>
                <w:b w:val="1"/>
                <w:bCs w:val="1"/>
                <w:color w:val="auto"/>
                <w:w w:val="91"/>
              </w:rPr>
              <w:t>1Q20</w:t>
            </w:r>
          </w:p>
        </w:tc>
        <w:tc>
          <w:tcPr>
            <w:tcW w:w="15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38.8%</w:t>
            </w:r>
          </w:p>
        </w:tc>
        <w:tc>
          <w:tcPr>
            <w:tcW w:w="15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56.4%</w:t>
            </w:r>
          </w:p>
        </w:tc>
        <w:tc>
          <w:tcPr>
            <w:tcW w:w="17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58.4%</w:t>
            </w:r>
          </w:p>
        </w:tc>
        <w:tc>
          <w:tcPr>
            <w:tcW w:w="16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40.6%</w:t>
            </w:r>
          </w:p>
        </w:tc>
        <w:tc>
          <w:tcPr>
            <w:tcW w:w="15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40.6%</w:t>
            </w:r>
          </w:p>
        </w:tc>
        <w:tc>
          <w:tcPr>
            <w:tcW w:w="14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02"/>
        </w:trPr>
        <w:tc>
          <w:tcPr>
            <w:tcW w:w="1720" w:type="dxa"/>
            <w:vAlign w:val="bottom"/>
          </w:tcPr>
          <w:p>
            <w:pPr>
              <w:jc w:val="center"/>
              <w:ind w:right="96"/>
              <w:spacing w:after="0"/>
              <w:rPr>
                <w:sz w:val="20"/>
                <w:szCs w:val="20"/>
                <w:color w:val="auto"/>
              </w:rPr>
            </w:pPr>
            <w:r>
              <w:rPr>
                <w:rFonts w:ascii="Arial" w:cs="Arial" w:eastAsia="Arial" w:hAnsi="Arial"/>
                <w:sz w:val="17"/>
                <w:szCs w:val="17"/>
                <w:b w:val="1"/>
                <w:bCs w:val="1"/>
                <w:color w:val="auto"/>
                <w:w w:val="91"/>
              </w:rPr>
              <w:t>4Q20</w:t>
            </w: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41.5%</w:t>
            </w: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59.9%</w:t>
            </w: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39.7%</w:t>
            </w: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45.6%</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jc w:val="center"/>
              <w:ind w:right="96"/>
              <w:spacing w:after="0"/>
              <w:rPr>
                <w:sz w:val="20"/>
                <w:szCs w:val="20"/>
                <w:color w:val="auto"/>
              </w:rPr>
            </w:pPr>
            <w:r>
              <w:rPr>
                <w:rFonts w:ascii="Arial" w:cs="Arial" w:eastAsia="Arial" w:hAnsi="Arial"/>
                <w:sz w:val="17"/>
                <w:szCs w:val="17"/>
                <w:b w:val="1"/>
                <w:bCs w:val="1"/>
                <w:color w:val="auto"/>
                <w:w w:val="91"/>
              </w:rPr>
              <w:t>1Q21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37.4%</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2"/>
        </w:trPr>
        <w:tc>
          <w:tcPr>
            <w:tcW w:w="1720" w:type="dxa"/>
            <w:vAlign w:val="bottom"/>
          </w:tcPr>
          <w:p>
            <w:pPr>
              <w:jc w:val="center"/>
              <w:ind w:right="116"/>
              <w:spacing w:after="0"/>
              <w:rPr>
                <w:sz w:val="20"/>
                <w:szCs w:val="20"/>
                <w:color w:val="auto"/>
              </w:rPr>
            </w:pPr>
            <w:r>
              <w:rPr>
                <w:rFonts w:ascii="Arial" w:cs="Arial" w:eastAsia="Arial" w:hAnsi="Arial"/>
                <w:sz w:val="17"/>
                <w:szCs w:val="17"/>
                <w:b w:val="1"/>
                <w:bCs w:val="1"/>
                <w:color w:val="auto"/>
                <w:w w:val="92"/>
              </w:rPr>
              <w:t>Var. QoQ</w:t>
            </w:r>
          </w:p>
        </w:tc>
        <w:tc>
          <w:tcPr>
            <w:tcW w:w="15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-130 bps</w:t>
            </w:r>
          </w:p>
        </w:tc>
        <w:tc>
          <w:tcPr>
            <w:tcW w:w="15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n.a.</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400 bps</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-230 bps</w:t>
            </w:r>
          </w:p>
        </w:tc>
        <w:tc>
          <w:tcPr>
            <w:tcW w:w="15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90 bps</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-320 bps</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jc w:val="center"/>
              <w:ind w:right="116"/>
              <w:spacing w:after="0"/>
              <w:rPr>
                <w:sz w:val="20"/>
                <w:szCs w:val="20"/>
                <w:color w:val="auto"/>
              </w:rPr>
            </w:pPr>
            <w:r>
              <w:rPr>
                <w:rFonts w:ascii="Arial" w:cs="Arial" w:eastAsia="Arial" w:hAnsi="Arial"/>
                <w:sz w:val="17"/>
                <w:szCs w:val="17"/>
                <w:b w:val="1"/>
                <w:bCs w:val="1"/>
                <w:color w:val="auto"/>
                <w:w w:val="91"/>
              </w:rPr>
              <w:t>Var. YoY</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140 bps</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n.a.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550 bps</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-320 bps</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590 bps</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60 bps</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1"/>
        <w:spacing w:after="0" w:line="252" w:lineRule="auto"/>
        <w:tabs>
          <w:tab w:leader="none" w:pos="2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ind w:left="240" w:hanging="239"/>
        <w:spacing w:after="0"/>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efficiency ratio differ from previously reported, please consider the data presented on this report.</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Microfinance includes Mibanco, Bancompartir and Encumbra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QoQ analysis,</w:t>
      </w:r>
      <w:r>
        <w:rPr>
          <w:rFonts w:ascii="Arial" w:cs="Arial" w:eastAsia="Arial" w:hAnsi="Arial"/>
          <w:sz w:val="17"/>
          <w:szCs w:val="17"/>
          <w:color w:val="auto"/>
        </w:rPr>
        <w:t xml:space="preserve"> the efficiency ratio improved due to a reduction in operating expenses through:</w:t>
      </w:r>
    </w:p>
    <w:p>
      <w:pPr>
        <w:spacing w:after="0" w:line="208" w:lineRule="exact"/>
        <w:rPr>
          <w:sz w:val="20"/>
          <w:szCs w:val="20"/>
          <w:color w:val="auto"/>
        </w:rPr>
      </w:pPr>
    </w:p>
    <w:p>
      <w:pPr>
        <w:ind w:left="900" w:hanging="597"/>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BCP Stand-alone </w:t>
      </w:r>
      <w:r>
        <w:rPr>
          <w:rFonts w:ascii="Arial" w:cs="Arial" w:eastAsia="Arial" w:hAnsi="Arial"/>
          <w:sz w:val="17"/>
          <w:szCs w:val="17"/>
          <w:color w:val="auto"/>
        </w:rPr>
        <w:t>and</w:t>
      </w:r>
      <w:r>
        <w:rPr>
          <w:rFonts w:ascii="Arial" w:cs="Arial" w:eastAsia="Arial" w:hAnsi="Arial"/>
          <w:sz w:val="17"/>
          <w:szCs w:val="17"/>
          <w:b w:val="1"/>
          <w:bCs w:val="1"/>
          <w:color w:val="auto"/>
        </w:rPr>
        <w:t xml:space="preserve"> Credicorp Capital</w:t>
      </w:r>
      <w:r>
        <w:rPr>
          <w:rFonts w:ascii="Arial" w:cs="Arial" w:eastAsia="Arial" w:hAnsi="Arial"/>
          <w:sz w:val="17"/>
          <w:szCs w:val="17"/>
          <w:color w:val="auto"/>
        </w:rPr>
        <w:t>, which was driven by an increase in net gains on derivatives and</w:t>
      </w:r>
    </w:p>
    <w:p>
      <w:pPr>
        <w:spacing w:after="0" w:line="207" w:lineRule="exact"/>
        <w:rPr>
          <w:rFonts w:ascii="Arial" w:cs="Arial" w:eastAsia="Arial" w:hAnsi="Arial"/>
          <w:sz w:val="17"/>
          <w:szCs w:val="17"/>
          <w:color w:val="auto"/>
        </w:rPr>
      </w:pPr>
    </w:p>
    <w:p>
      <w:pPr>
        <w:ind w:left="900" w:hanging="597"/>
        <w:spacing w:after="0" w:line="274"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evolution of net interest income at </w:t>
      </w:r>
      <w:r>
        <w:rPr>
          <w:rFonts w:ascii="Arial" w:cs="Arial" w:eastAsia="Arial" w:hAnsi="Arial"/>
          <w:sz w:val="17"/>
          <w:szCs w:val="17"/>
          <w:b w:val="1"/>
          <w:bCs w:val="1"/>
          <w:color w:val="auto"/>
        </w:rPr>
        <w:t>BCP Bolivia</w:t>
      </w:r>
      <w:r>
        <w:rPr>
          <w:rFonts w:ascii="Arial" w:cs="Arial" w:eastAsia="Arial" w:hAnsi="Arial"/>
          <w:sz w:val="17"/>
          <w:szCs w:val="17"/>
          <w:color w:val="auto"/>
        </w:rPr>
        <w:t>, given that in 4Q20, clients were reimbursed for interest on refinanced loans and impairment was recognized for reprogrammed loans.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Evolución AaA del ratio de eficiencia por subsidiaria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142240</wp:posOffset>
            </wp:positionV>
            <wp:extent cx="6021705" cy="21189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21705" cy="211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303"/>
        <w:spacing w:after="0" w:line="492" w:lineRule="auto"/>
        <w:tabs>
          <w:tab w:leader="none" w:pos="6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Others includes: Credicorp Capital, Prima AFP, BCP Bolivia, ASB, Grupo Crédito, among other subsidiaries and the eliminations for consolidation purposes. In the </w:t>
      </w:r>
      <w:r>
        <w:rPr>
          <w:rFonts w:ascii="Arial" w:cs="Arial" w:eastAsia="Arial" w:hAnsi="Arial"/>
          <w:sz w:val="17"/>
          <w:szCs w:val="17"/>
          <w:b w:val="1"/>
          <w:bCs w:val="1"/>
          <w:color w:val="auto"/>
        </w:rPr>
        <w:t>YoY analysis</w:t>
      </w:r>
      <w:r>
        <w:rPr>
          <w:rFonts w:ascii="Arial" w:cs="Arial" w:eastAsia="Arial" w:hAnsi="Arial"/>
          <w:sz w:val="17"/>
          <w:szCs w:val="17"/>
          <w:color w:val="auto"/>
        </w:rPr>
        <w:t>, the efficiency ratil deteriorated 60pbs, which was attributable to:</w:t>
      </w:r>
    </w:p>
    <w:p>
      <w:pPr>
        <w:spacing w:after="0" w:line="1" w:lineRule="exact"/>
        <w:rPr>
          <w:sz w:val="20"/>
          <w:szCs w:val="20"/>
          <w:color w:val="auto"/>
        </w:rPr>
      </w:pPr>
    </w:p>
    <w:p>
      <w:pPr>
        <w:ind w:left="900" w:hanging="597"/>
        <w:spacing w:after="0" w:line="274"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 decrease in net interest income at </w:t>
      </w:r>
      <w:r>
        <w:rPr>
          <w:rFonts w:ascii="Arial" w:cs="Arial" w:eastAsia="Arial" w:hAnsi="Arial"/>
          <w:sz w:val="17"/>
          <w:szCs w:val="17"/>
          <w:b w:val="1"/>
          <w:bCs w:val="1"/>
          <w:color w:val="auto"/>
        </w:rPr>
        <w:t>BCP Stand-alone and Mibanco,</w:t>
      </w:r>
      <w:r>
        <w:rPr>
          <w:rFonts w:ascii="Arial" w:cs="Arial" w:eastAsia="Arial" w:hAnsi="Arial"/>
          <w:sz w:val="17"/>
          <w:szCs w:val="17"/>
          <w:color w:val="auto"/>
        </w:rPr>
        <w:t xml:space="preserve"> which was attributable to the charges related to the liability management operation carried out at BCP Stand-alone and the significant weight of low-interest government loans at the portfolio level.</w:t>
      </w:r>
    </w:p>
    <w:p>
      <w:pPr>
        <w:spacing w:after="0" w:line="158" w:lineRule="exact"/>
        <w:rPr>
          <w:rFonts w:ascii="Arial" w:cs="Arial" w:eastAsia="Arial" w:hAnsi="Arial"/>
          <w:sz w:val="17"/>
          <w:szCs w:val="17"/>
          <w:color w:val="auto"/>
        </w:rPr>
      </w:pPr>
    </w:p>
    <w:p>
      <w:pPr>
        <w:ind w:left="900" w:hanging="597"/>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reduction of fee income at </w:t>
      </w:r>
      <w:r>
        <w:rPr>
          <w:rFonts w:ascii="Arial" w:cs="Arial" w:eastAsia="Arial" w:hAnsi="Arial"/>
          <w:sz w:val="17"/>
          <w:szCs w:val="17"/>
          <w:b w:val="1"/>
          <w:bCs w:val="1"/>
          <w:color w:val="auto"/>
        </w:rPr>
        <w:t>Prima AFP</w:t>
      </w:r>
      <w:r>
        <w:rPr>
          <w:rFonts w:ascii="Arial" w:cs="Arial" w:eastAsia="Arial" w:hAnsi="Arial"/>
          <w:sz w:val="17"/>
          <w:szCs w:val="17"/>
          <w:color w:val="auto"/>
        </w:rPr>
        <w:t xml:space="preserve"> due to a decrease in contributions and the fund withdrawals authorized by the government.</w:t>
      </w:r>
    </w:p>
    <w:p>
      <w:pPr>
        <w:spacing w:after="0" w:line="21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7453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7453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9. Regulatory Capital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9.1. Regulatory Capital - Credicorp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Total regulatory capital at Credicorp increased 6.6% QoQ and 10.8% YoY due to:</w:t>
      </w:r>
    </w:p>
    <w:p>
      <w:pPr>
        <w:spacing w:after="0" w:line="208" w:lineRule="exact"/>
        <w:rPr>
          <w:sz w:val="20"/>
          <w:szCs w:val="20"/>
          <w:color w:val="auto"/>
        </w:rPr>
      </w:pPr>
    </w:p>
    <w:p>
      <w:pPr>
        <w:jc w:val="both"/>
        <w:ind w:left="900" w:right="5840" w:hanging="597"/>
        <w:spacing w:after="0" w:line="28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increase in subordinated debt in FC after issuances in the month of July 2020 and March 2021 at BCP Stand-alone via a Liability Management strategy and to an issuance at Mibanco.</w:t>
      </w:r>
    </w:p>
    <w:p>
      <w:pPr>
        <w:spacing w:after="0" w:line="157" w:lineRule="exact"/>
        <w:rPr>
          <w:rFonts w:ascii="Arial" w:cs="Arial" w:eastAsia="Arial" w:hAnsi="Arial"/>
          <w:sz w:val="16"/>
          <w:szCs w:val="16"/>
          <w:color w:val="auto"/>
        </w:rPr>
      </w:pPr>
    </w:p>
    <w:p>
      <w:pPr>
        <w:jc w:val="both"/>
        <w:ind w:left="900" w:right="5860" w:hanging="597"/>
        <w:spacing w:after="0" w:line="254"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lesser extent, growth in facultative reserves due to the preventive measures to head-off potential problems in an uncertain context for economic growth in Peru (adverse sanitary, political and economic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-1028700</wp:posOffset>
            </wp:positionV>
            <wp:extent cx="2543175" cy="1567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43175" cy="156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terms of the Regulatory Capital Ratio, Credicorp maintained a comfortable level at the end of 1Q21 that represented 1.46 times the capital required by the regulator in Peru.</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9.2</w:t>
      </w:r>
      <w:r>
        <w:rPr>
          <w:rFonts w:ascii="Arial" w:cs="Arial" w:eastAsia="Arial" w:hAnsi="Arial"/>
          <w:sz w:val="17"/>
          <w:szCs w:val="17"/>
          <w:color w:val="auto"/>
        </w:rPr>
        <w:t>.</w:t>
      </w:r>
      <w:r>
        <w:rPr>
          <w:rFonts w:ascii="Arial" w:cs="Arial" w:eastAsia="Arial" w:hAnsi="Arial"/>
          <w:sz w:val="17"/>
          <w:szCs w:val="17"/>
          <w:b w:val="1"/>
          <w:bCs w:val="1"/>
          <w:color w:val="auto"/>
        </w:rPr>
        <w:t xml:space="preserve"> Regulatory Capital at BCP Individual – Peru GAAP</w:t>
      </w:r>
    </w:p>
    <w:p>
      <w:pPr>
        <w:spacing w:after="0" w:line="212" w:lineRule="exact"/>
        <w:rPr>
          <w:sz w:val="20"/>
          <w:szCs w:val="20"/>
          <w:color w:val="auto"/>
        </w:rPr>
      </w:pPr>
    </w:p>
    <w:p>
      <w:pPr>
        <w:jc w:val="both"/>
        <w:ind w:left="5840"/>
        <w:spacing w:after="0" w:line="266" w:lineRule="auto"/>
        <w:rPr>
          <w:sz w:val="20"/>
          <w:szCs w:val="20"/>
          <w:color w:val="auto"/>
        </w:rPr>
      </w:pPr>
      <w:r>
        <w:rPr>
          <w:rFonts w:ascii="Arial" w:cs="Arial" w:eastAsia="Arial" w:hAnsi="Arial"/>
          <w:sz w:val="16"/>
          <w:szCs w:val="16"/>
          <w:color w:val="auto"/>
        </w:rPr>
        <w:t>At the end of 1Q21, the Tier 1 ratio was situated at 10.59%. This result was driven by a +2.4% increase in Tier 1 capital, which was attributable to (i) capitalization of earnings from last year and (ii) facultative reserves. The BIS ratio was situated at 16.46%, which was attributable to a QoQ increase of +10.8% in regulatory capital. This was driven by (i) subordinated debt, which corresponds to the issuance of US$ 500 million under the Liability Management strategy in the month of March; and (ii) capitalization of earnings and reserves. These ratios were offset by total RWAS, which reflected growth of +0.6%. This expansion was primarily attributable to Credit RWAs, which were impacted by the exchange rate effect, and, although to a lesser extent, to growth in Operational RWAs.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-1416050</wp:posOffset>
            </wp:positionV>
            <wp:extent cx="3119120" cy="14554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19120" cy="14554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YoY evolution shows the same trend as that seen in the QoQ analysis, reflecting an increase in the Tier 1 Ratio and in BIS, for the same reasons as those outlined above.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Ratio Common Equity Tier 1 – BCP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142240</wp:posOffset>
            </wp:positionV>
            <wp:extent cx="6437630" cy="13277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37630" cy="132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Figures at Dec20, Mibanco, Goodwill and investments differ from previously reported, please consider the data presented on this report.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 Includes investments in BCP Bolivia and other subsidiaries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Finally, the Tier 1 Common Equity Ratio (CET 1), which is considered the most rigorous ratio with which to measure capitalization levels, recorded a decrease of -29bps QoQ, situating a 11.11% at the end of 1Q21. This result was attributable to a drop in Common Equity Tier 1 (-2.1% QoQ), which was driven by unrealized losses in a volatile local market and attenuated by a capital increase.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1" w:name="page52"/>
    <w:bookmarkEnd w:id="51"/>
    <w:p>
      <w:pPr>
        <w:spacing w:after="0" w:line="269" w:lineRule="auto"/>
        <w:rPr>
          <w:sz w:val="20"/>
          <w:szCs w:val="20"/>
          <w:color w:val="auto"/>
        </w:rPr>
      </w:pPr>
      <w:r>
        <w:rPr>
          <w:rFonts w:ascii="Arial" w:cs="Arial" w:eastAsia="Arial" w:hAnsi="Arial"/>
          <w:sz w:val="17"/>
          <w:szCs w:val="17"/>
          <w:color w:val="auto"/>
        </w:rPr>
        <w:t>In the YoY analysis, the CET1 ratio fell -78bps due to a -7.3% decrease in accumulated results given the postponement of dividend payments in March 20, to April due to the pandemic context.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9.3. Regulatory Capital Mibanco – Peru GAAP</w:t>
      </w:r>
    </w:p>
    <w:p>
      <w:pPr>
        <w:spacing w:after="0" w:line="208"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Solvency Ratio – Mibanco</w:t>
      </w:r>
    </w:p>
    <w:p>
      <w:pPr>
        <w:sectPr>
          <w:pgSz w:w="11900" w:h="16838" w:orient="portrait"/>
          <w:cols w:equalWidth="0" w:num="1">
            <w:col w:w="11240"/>
          </w:cols>
          <w:pgMar w:left="320" w:top="6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0" w:hanging="299"/>
        <w:spacing w:after="0"/>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Regulatory Tier 1 Capital / Total Risk-weighted assets.</w:t>
      </w:r>
    </w:p>
    <w:p>
      <w:pPr>
        <w:spacing w:after="0" w:line="18" w:lineRule="exact"/>
        <w:rPr>
          <w:rFonts w:ascii="Arial" w:cs="Arial" w:eastAsia="Arial" w:hAnsi="Arial"/>
          <w:sz w:val="17"/>
          <w:szCs w:val="17"/>
          <w:color w:val="auto"/>
        </w:rPr>
      </w:pPr>
    </w:p>
    <w:p>
      <w:pPr>
        <w:ind w:left="300" w:hanging="299"/>
        <w:spacing w:after="0" w:line="247" w:lineRule="auto"/>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Total Regulatory Capital / Total Risk-weighted assets (legal minimum = 10% since July 2011).</w:t>
      </w:r>
    </w:p>
    <w:p>
      <w:pPr>
        <w:ind w:left="300" w:right="380" w:hanging="299"/>
        <w:spacing w:after="0" w:line="254" w:lineRule="auto"/>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4Q20 CET1 differ from previously reported, please consider the data presented on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-2061210</wp:posOffset>
            </wp:positionV>
            <wp:extent cx="3750945" cy="12553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50945" cy="1255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At the end of 1T21, the Tier 1 and BIS ratios at Mibanco decreased QoQ by -319 bps and -199 bps to situate at levels of 14.48% and 17.83% respectively. This was attributable as the new capital injected last quarter was used to increase the allowance for loan losses. The BIS Ratio was partially attenuated following the issuance of a subordinated bond in March.</w:t>
      </w:r>
    </w:p>
    <w:p>
      <w:pPr>
        <w:spacing w:after="0" w:line="2028" w:lineRule="exact"/>
        <w:rPr>
          <w:sz w:val="20"/>
          <w:szCs w:val="20"/>
          <w:color w:val="auto"/>
        </w:rPr>
      </w:pPr>
    </w:p>
    <w:p>
      <w:pPr>
        <w:sectPr>
          <w:pgSz w:w="11900" w:h="16838" w:orient="portrait"/>
          <w:cols w:equalWidth="0" w:num="2">
            <w:col w:w="6500" w:space="480"/>
            <w:col w:w="4260"/>
          </w:cols>
          <w:pgMar w:left="320" w:top="656" w:right="339" w:bottom="1440" w:gutter="0" w:footer="0" w:header="0"/>
          <w:type w:val="continuous"/>
        </w:sectPr>
      </w:pP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YoY evolution shows an increase of 256 bps and 381 bps in the Tier 1 and BIS ratios respectively. This first increase was attributable to the positive evolution of Tier 1 (+17.5%), while the second was driven by growth in total regulatory capital (+23.0%). Both of the aforementioned were, in turn, fueled by earnings capitalizations in June 2020. In adittion RWAS fell -3.3% in a context of heightened risk in the Mibanco portfolio.</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Finally, the Tier 1 Common Equity Ratio (CET 1), which is considered the most rigorous ratio with which to measure capitalization levels, reported a contraction of -282 bps QoQ, situating at 14.88% in the 1Q21. This result was attributable to an -18.1% decrease in the CET1, which reflected a decrease in capital, as the new S/400 million capital increase of the last quarter was offset by the constitution of similar amount of additional voluntary provisions in local accounting directly offsetting shareholders equity. The aforementioned was partially attenuated by a -2.6% contraction in adjusted RWAs. These RWAs were generated by deferred assets (triggered by assets in excess of 10% of CET1). In the YoY analysis, the CET1 Ratio increased +160 bps due to a -7.2% contraction in RWAs, as explained in the QoQ analysis.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type w:val="continuous"/>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7805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7805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8"/>
        </w:trPr>
        <w:tc>
          <w:tcPr>
            <w:tcW w:w="6760" w:type="dxa"/>
            <w:vAlign w:val="bottom"/>
            <w:gridSpan w:val="2"/>
          </w:tcPr>
          <w:p>
            <w:pPr>
              <w:spacing w:after="0"/>
              <w:rPr>
                <w:sz w:val="20"/>
                <w:szCs w:val="20"/>
                <w:color w:val="auto"/>
              </w:rPr>
            </w:pPr>
            <w:r>
              <w:rPr>
                <w:rFonts w:ascii="Arial" w:cs="Arial" w:eastAsia="Arial" w:hAnsi="Arial"/>
                <w:sz w:val="17"/>
                <w:szCs w:val="17"/>
                <w:b w:val="1"/>
                <w:bCs w:val="1"/>
                <w:color w:val="auto"/>
              </w:rPr>
              <w:t>10. Distribution Model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03"/>
        </w:trPr>
        <w:tc>
          <w:tcPr>
            <w:tcW w:w="6760" w:type="dxa"/>
            <w:vAlign w:val="bottom"/>
            <w:gridSpan w:val="2"/>
          </w:tcPr>
          <w:p>
            <w:pPr>
              <w:spacing w:after="0"/>
              <w:rPr>
                <w:sz w:val="20"/>
                <w:szCs w:val="20"/>
                <w:color w:val="auto"/>
              </w:rPr>
            </w:pPr>
            <w:r>
              <w:rPr>
                <w:rFonts w:ascii="Arial" w:cs="Arial" w:eastAsia="Arial" w:hAnsi="Arial"/>
                <w:sz w:val="17"/>
                <w:szCs w:val="17"/>
                <w:b w:val="1"/>
                <w:bCs w:val="1"/>
                <w:color w:val="auto"/>
              </w:rPr>
              <w:t>10.1. Distribution model at BCP Stand-alone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57"/>
        </w:trPr>
        <w:tc>
          <w:tcPr>
            <w:tcW w:w="6760" w:type="dxa"/>
            <w:vAlign w:val="bottom"/>
            <w:gridSpan w:val="2"/>
          </w:tcPr>
          <w:p>
            <w:pPr>
              <w:spacing w:after="0"/>
              <w:rPr>
                <w:sz w:val="20"/>
                <w:szCs w:val="20"/>
                <w:color w:val="auto"/>
              </w:rPr>
            </w:pPr>
            <w:r>
              <w:rPr>
                <w:rFonts w:ascii="Arial" w:cs="Arial" w:eastAsia="Arial" w:hAnsi="Arial"/>
                <w:sz w:val="17"/>
                <w:szCs w:val="17"/>
                <w:b w:val="1"/>
                <w:bCs w:val="1"/>
                <w:color w:val="auto"/>
              </w:rPr>
              <w:t>10.1.1 Digital Clients in the Personal Banking</w:t>
            </w:r>
          </w:p>
        </w:tc>
        <w:tc>
          <w:tcPr>
            <w:tcW w:w="3460" w:type="dxa"/>
            <w:vAlign w:val="bottom"/>
            <w:gridSpan w:val="7"/>
          </w:tcPr>
          <w:p>
            <w:pPr>
              <w:ind w:left="220"/>
              <w:spacing w:after="0"/>
              <w:rPr>
                <w:sz w:val="20"/>
                <w:szCs w:val="20"/>
                <w:color w:val="auto"/>
              </w:rPr>
            </w:pPr>
            <w:r>
              <w:rPr>
                <w:rFonts w:ascii="Arial" w:cs="Arial" w:eastAsia="Arial" w:hAnsi="Arial"/>
                <w:sz w:val="17"/>
                <w:szCs w:val="17"/>
                <w:b w:val="1"/>
                <w:bCs w:val="1"/>
                <w:color w:val="auto"/>
                <w:w w:val="88"/>
              </w:rPr>
              <w:t xml:space="preserve">Composition of digital clients </w:t>
            </w:r>
            <w:r>
              <w:rPr>
                <w:rFonts w:ascii="Arial" w:cs="Arial" w:eastAsia="Arial" w:hAnsi="Arial"/>
                <w:sz w:val="27"/>
                <w:szCs w:val="27"/>
                <w:b w:val="1"/>
                <w:bCs w:val="1"/>
                <w:color w:val="auto"/>
                <w:w w:val="88"/>
                <w:vertAlign w:val="superscript"/>
              </w:rPr>
              <w:t>(1)</w:t>
            </w:r>
            <w:r>
              <w:rPr>
                <w:rFonts w:ascii="Arial" w:cs="Arial" w:eastAsia="Arial" w:hAnsi="Arial"/>
                <w:sz w:val="17"/>
                <w:szCs w:val="17"/>
                <w:b w:val="1"/>
                <w:bCs w:val="1"/>
                <w:color w:val="auto"/>
                <w:w w:val="88"/>
              </w:rPr>
              <w:t xml:space="preserve"> by segment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3"/>
        </w:trPr>
        <w:tc>
          <w:tcPr>
            <w:tcW w:w="6760" w:type="dxa"/>
            <w:vAlign w:val="bottom"/>
            <w:gridSpan w:val="2"/>
          </w:tcPr>
          <w:p>
            <w:pPr>
              <w:ind w:left="1700"/>
              <w:spacing w:after="0"/>
              <w:rPr>
                <w:sz w:val="20"/>
                <w:szCs w:val="20"/>
                <w:color w:val="auto"/>
              </w:rPr>
            </w:pPr>
            <w:r>
              <w:rPr>
                <w:rFonts w:ascii="Arial" w:cs="Arial" w:eastAsia="Arial" w:hAnsi="Arial"/>
                <w:sz w:val="17"/>
                <w:szCs w:val="17"/>
                <w:color w:val="auto"/>
              </w:rPr>
              <w:t xml:space="preserve">Evolution of digital clients </w:t>
            </w:r>
            <w:r>
              <w:rPr>
                <w:rFonts w:ascii="Arial" w:cs="Arial" w:eastAsia="Arial" w:hAnsi="Arial"/>
                <w:sz w:val="27"/>
                <w:szCs w:val="27"/>
                <w:color w:val="auto"/>
                <w:vertAlign w:val="superscript"/>
              </w:rPr>
              <w:t>(1)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0"/>
        </w:trPr>
        <w:tc>
          <w:tcPr>
            <w:tcW w:w="584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Group</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1Q20</w:t>
            </w: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4Q20</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1Q20</w:t>
            </w:r>
          </w:p>
        </w:tc>
        <w:tc>
          <w:tcPr>
            <w:tcW w:w="160" w:type="dxa"/>
            <w:vAlign w:val="bottom"/>
            <w:tcBorders>
              <w:bottom w:val="single" w:sz="8" w:color="CCEEFF"/>
            </w:tcBorders>
          </w:tcPr>
          <w:p>
            <w:pPr>
              <w:spacing w:after="0"/>
              <w:rPr>
                <w:sz w:val="24"/>
                <w:szCs w:val="24"/>
                <w:color w:val="auto"/>
              </w:rPr>
            </w:pPr>
          </w:p>
        </w:tc>
      </w:tr>
      <w:tr>
        <w:trPr>
          <w:trHeight w:val="194"/>
        </w:trPr>
        <w:tc>
          <w:tcPr>
            <w:tcW w:w="5840" w:type="dxa"/>
            <w:vAlign w:val="bottom"/>
          </w:tcPr>
          <w:p>
            <w:pPr>
              <w:spacing w:after="0"/>
              <w:rPr>
                <w:sz w:val="16"/>
                <w:szCs w:val="16"/>
                <w:color w:val="auto"/>
              </w:rPr>
            </w:pPr>
          </w:p>
        </w:tc>
        <w:tc>
          <w:tcPr>
            <w:tcW w:w="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Enalta</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81.73%</w:t>
            </w:r>
          </w:p>
        </w:tc>
        <w:tc>
          <w:tcPr>
            <w:tcW w:w="1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86.18%</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86.78%</w:t>
            </w:r>
          </w:p>
        </w:tc>
      </w:tr>
      <w:tr>
        <w:trPr>
          <w:trHeight w:val="202"/>
        </w:trPr>
        <w:tc>
          <w:tcPr>
            <w:tcW w:w="584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Affluent</w:t>
            </w:r>
          </w:p>
        </w:tc>
        <w:tc>
          <w:tcPr>
            <w:tcW w:w="1940" w:type="dxa"/>
            <w:vAlign w:val="bottom"/>
            <w:gridSpan w:val="4"/>
          </w:tcPr>
          <w:p>
            <w:pPr>
              <w:jc w:val="right"/>
              <w:ind w:right="60"/>
              <w:spacing w:after="0"/>
              <w:rPr>
                <w:sz w:val="20"/>
                <w:szCs w:val="20"/>
                <w:color w:val="auto"/>
              </w:rPr>
            </w:pPr>
            <w:r>
              <w:rPr>
                <w:rFonts w:ascii="Arial" w:cs="Arial" w:eastAsia="Arial" w:hAnsi="Arial"/>
                <w:sz w:val="17"/>
                <w:szCs w:val="17"/>
                <w:color w:val="auto"/>
              </w:rPr>
              <w:t>73.79%</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80.14%</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80.88%</w:t>
            </w:r>
          </w:p>
        </w:tc>
      </w:tr>
      <w:tr>
        <w:trPr>
          <w:trHeight w:val="202"/>
        </w:trPr>
        <w:tc>
          <w:tcPr>
            <w:tcW w:w="5840" w:type="dxa"/>
            <w:vAlign w:val="bottom"/>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Consumer</w:t>
            </w:r>
          </w:p>
        </w:tc>
        <w:tc>
          <w:tcPr>
            <w:tcW w:w="1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42.55%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53.62%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54.97%</w:t>
            </w:r>
          </w:p>
        </w:tc>
      </w:tr>
      <w:tr>
        <w:trPr>
          <w:trHeight w:val="214"/>
        </w:trPr>
        <w:tc>
          <w:tcPr>
            <w:tcW w:w="58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Total</w:t>
            </w:r>
          </w:p>
        </w:tc>
        <w:tc>
          <w:tcPr>
            <w:tcW w:w="1940" w:type="dxa"/>
            <w:vAlign w:val="bottom"/>
            <w:gridSpan w:val="4"/>
          </w:tcPr>
          <w:p>
            <w:pPr>
              <w:jc w:val="right"/>
              <w:ind w:right="60"/>
              <w:spacing w:after="0"/>
              <w:rPr>
                <w:sz w:val="20"/>
                <w:szCs w:val="20"/>
                <w:color w:val="auto"/>
              </w:rPr>
            </w:pPr>
            <w:r>
              <w:rPr>
                <w:rFonts w:ascii="Arial" w:cs="Arial" w:eastAsia="Arial" w:hAnsi="Arial"/>
                <w:sz w:val="17"/>
                <w:szCs w:val="17"/>
                <w:color w:val="auto"/>
              </w:rPr>
              <w:t>44.19%</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54.86%</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-662940</wp:posOffset>
            </wp:positionV>
            <wp:extent cx="2551430" cy="19030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5143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1"/>
        <w:spacing w:after="0" w:line="269" w:lineRule="auto"/>
        <w:tabs>
          <w:tab w:leader="none" w:pos="2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Digital clients: Clients in retail banking that conduct 50% of their monetary transactions through digital channels or which have purchased products online in the last 12 months</w:t>
      </w:r>
    </w:p>
    <w:p>
      <w:pPr>
        <w:spacing w:after="0" w:line="166" w:lineRule="exact"/>
        <w:rPr>
          <w:sz w:val="20"/>
          <w:szCs w:val="20"/>
          <w:color w:val="auto"/>
        </w:rPr>
      </w:pPr>
    </w:p>
    <w:p>
      <w:pPr>
        <w:ind w:left="220" w:hanging="219"/>
        <w:spacing w:after="0" w:line="269" w:lineRule="auto"/>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digitalization level of total clients continued to follow the upward trend seen in previous quarters. In 2Q21, digital clients totaled 56.14% of total clients in Individuals Banking at BCP Stand-alone.</w:t>
      </w:r>
    </w:p>
    <w:p>
      <w:pPr>
        <w:spacing w:after="0" w:line="166" w:lineRule="exact"/>
        <w:rPr>
          <w:rFonts w:ascii="Arial" w:cs="Arial" w:eastAsia="Arial" w:hAnsi="Arial"/>
          <w:sz w:val="17"/>
          <w:szCs w:val="17"/>
          <w:color w:val="auto"/>
        </w:rPr>
      </w:pPr>
    </w:p>
    <w:p>
      <w:pPr>
        <w:jc w:val="both"/>
        <w:ind w:left="220" w:hanging="219"/>
        <w:spacing w:after="0" w:line="258" w:lineRule="auto"/>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we conduct and analysis by segment, we see that the Enalta and Afluente segments are highly digitalized while the Consumer segment, which has the higher share of total clients in the Individuals Banking, is currently 54.97% digitalized. This segment governs the digitalization trend and during the quarantine in 2020, began to present more pronounced levels of digitalization.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10.1.2. Transactions by Channel</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Evolution of transactions by channel monthly average transactions cost per unit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132080</wp:posOffset>
            </wp:positionV>
            <wp:extent cx="2639060" cy="2383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3906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QoQ analysis</w:t>
      </w:r>
      <w:r>
        <w:rPr>
          <w:rFonts w:ascii="Arial" w:cs="Arial" w:eastAsia="Arial" w:hAnsi="Arial"/>
          <w:sz w:val="17"/>
          <w:szCs w:val="17"/>
          <w:color w:val="auto"/>
        </w:rPr>
        <w:t>, the monthly average of transactions fell -0.9% due to:</w:t>
      </w:r>
    </w:p>
    <w:p>
      <w:pPr>
        <w:spacing w:after="0" w:line="212" w:lineRule="exact"/>
        <w:rPr>
          <w:sz w:val="20"/>
          <w:szCs w:val="20"/>
          <w:color w:val="auto"/>
        </w:rPr>
      </w:pPr>
    </w:p>
    <w:p>
      <w:pPr>
        <w:ind w:left="600" w:hanging="297"/>
        <w:spacing w:after="0" w:line="269" w:lineRule="auto"/>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Primarily, seasonality in the last quarter of the year and the quarantine imposed in the month of February, which led transactions to fall across channels with the exception of Yape and Kiosks, which grew 14.6% and 1.2% respectively.</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4" w:name="page55"/>
    <w:bookmarkEnd w:id="54"/>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channels that absorbed the brunt of the impact with Mobile Banking and Internet Banking, which fell -3.6% and -11.6% respectively.</w:t>
      </w:r>
    </w:p>
    <w:p>
      <w:pPr>
        <w:spacing w:after="0" w:line="204"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 xml:space="preserve">Growth in the monthly average of transactions through </w:t>
      </w:r>
      <w:r>
        <w:rPr>
          <w:rFonts w:ascii="Arial" w:cs="Arial" w:eastAsia="Arial" w:hAnsi="Arial"/>
          <w:sz w:val="15"/>
          <w:szCs w:val="15"/>
          <w:b w:val="1"/>
          <w:bCs w:val="1"/>
          <w:color w:val="auto"/>
        </w:rPr>
        <w:t>Yape</w:t>
      </w:r>
      <w:r>
        <w:rPr>
          <w:rFonts w:ascii="Arial" w:cs="Arial" w:eastAsia="Arial" w:hAnsi="Arial"/>
          <w:sz w:val="15"/>
          <w:szCs w:val="15"/>
          <w:color w:val="auto"/>
        </w:rPr>
        <w:t xml:space="preserve"> was highly correlated with growth in total users, which hit 5.9 million in 1Q21, of which 1.7 million were new clients at BCP Stand-alone through the Yapecard. Growth in transactions pushed down Yape’s monthly average transactions cost per unit, which fell significantly.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YoY analysis</w:t>
      </w:r>
      <w:r>
        <w:rPr>
          <w:rFonts w:ascii="Arial" w:cs="Arial" w:eastAsia="Arial" w:hAnsi="Arial"/>
          <w:sz w:val="17"/>
          <w:szCs w:val="17"/>
          <w:color w:val="auto"/>
        </w:rPr>
        <w:t xml:space="preserve"> reveals an increase of +63.7% in the monthly average of transactions, which was generated by:</w:t>
      </w:r>
    </w:p>
    <w:p>
      <w:pPr>
        <w:spacing w:after="0" w:line="208" w:lineRule="exact"/>
        <w:rPr>
          <w:sz w:val="20"/>
          <w:szCs w:val="20"/>
          <w:color w:val="auto"/>
        </w:rPr>
      </w:pPr>
    </w:p>
    <w:p>
      <w:pPr>
        <w:ind w:left="600" w:hanging="297"/>
        <w:spacing w:after="0"/>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Dynamism in transactions through </w:t>
      </w:r>
      <w:r>
        <w:rPr>
          <w:rFonts w:ascii="Arial" w:cs="Arial" w:eastAsia="Arial" w:hAnsi="Arial"/>
          <w:sz w:val="17"/>
          <w:szCs w:val="17"/>
          <w:b w:val="1"/>
          <w:bCs w:val="1"/>
          <w:color w:val="auto"/>
        </w:rPr>
        <w:t>digital channels,</w:t>
      </w:r>
      <w:r>
        <w:rPr>
          <w:rFonts w:ascii="Arial" w:cs="Arial" w:eastAsia="Arial" w:hAnsi="Arial"/>
          <w:sz w:val="17"/>
          <w:szCs w:val="17"/>
          <w:color w:val="auto"/>
        </w:rPr>
        <w:t xml:space="preserve"> which registered a significant increase in the transactions volume of +95.4%.</w:t>
      </w:r>
    </w:p>
    <w:p>
      <w:pPr>
        <w:spacing w:after="0" w:line="207" w:lineRule="exact"/>
        <w:rPr>
          <w:rFonts w:ascii="Arial" w:cs="Arial" w:eastAsia="Arial" w:hAnsi="Arial"/>
          <w:sz w:val="17"/>
          <w:szCs w:val="17"/>
          <w:color w:val="auto"/>
        </w:rPr>
      </w:pPr>
    </w:p>
    <w:p>
      <w:pPr>
        <w:ind w:left="600" w:hanging="297"/>
        <w:spacing w:after="0" w:line="274"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most significant variation was seen in </w:t>
      </w:r>
      <w:r>
        <w:rPr>
          <w:rFonts w:ascii="Arial" w:cs="Arial" w:eastAsia="Arial" w:hAnsi="Arial"/>
          <w:sz w:val="17"/>
          <w:szCs w:val="17"/>
          <w:b w:val="1"/>
          <w:bCs w:val="1"/>
          <w:color w:val="auto"/>
        </w:rPr>
        <w:t>Yape and Mobile Banking,</w:t>
      </w:r>
      <w:r>
        <w:rPr>
          <w:rFonts w:ascii="Arial" w:cs="Arial" w:eastAsia="Arial" w:hAnsi="Arial"/>
          <w:sz w:val="17"/>
          <w:szCs w:val="17"/>
          <w:color w:val="auto"/>
        </w:rPr>
        <w:t xml:space="preserve"> which grew 607.9% and 63.5% respectively. This growth drove down the monthly average transactions cost per unit by -77.9% in the case of Yape while Mobile Banking’s growth remained flat.</w:t>
      </w:r>
    </w:p>
    <w:p>
      <w:pPr>
        <w:spacing w:after="0" w:line="1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It is important to note that in the last few quarters, clients have migrated to channels with lower transactional costs, favoring transactions through digital channels over those in traditional channels, such as tellers. As a result, the total transaction cost per unit has gone from 0.39 in 1Q20 to 0.22 in 1Q21.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60" w:type="dxa"/>
            <w:vAlign w:val="bottom"/>
          </w:tcPr>
          <w:p>
            <w:pPr>
              <w:spacing w:after="0"/>
              <w:rPr>
                <w:sz w:val="20"/>
                <w:szCs w:val="20"/>
                <w:color w:val="auto"/>
              </w:rPr>
            </w:pPr>
            <w:r>
              <w:rPr>
                <w:rFonts w:ascii="Arial" w:cs="Arial" w:eastAsia="Arial" w:hAnsi="Arial"/>
                <w:sz w:val="17"/>
                <w:szCs w:val="17"/>
                <w:b w:val="1"/>
                <w:bCs w:val="1"/>
                <w:color w:val="auto"/>
              </w:rPr>
              <w:t>10.1.3. Retail Banking Sales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260" w:type="dxa"/>
            <w:vAlign w:val="bottom"/>
          </w:tcPr>
          <w:p>
            <w:pPr>
              <w:spacing w:after="0"/>
              <w:rPr>
                <w:sz w:val="24"/>
                <w:szCs w:val="24"/>
                <w:color w:val="auto"/>
              </w:rPr>
            </w:pPr>
          </w:p>
        </w:tc>
        <w:tc>
          <w:tcPr>
            <w:tcW w:w="2400" w:type="dxa"/>
            <w:vAlign w:val="bottom"/>
            <w:tcBorders>
              <w:bottom w:val="single" w:sz="8" w:color="auto"/>
            </w:tcBorders>
            <w:gridSpan w:val="5"/>
          </w:tcPr>
          <w:p>
            <w:pPr>
              <w:ind w:left="780"/>
              <w:spacing w:after="0"/>
              <w:rPr>
                <w:sz w:val="20"/>
                <w:szCs w:val="20"/>
                <w:color w:val="auto"/>
              </w:rPr>
            </w:pPr>
            <w:r>
              <w:rPr>
                <w:rFonts w:ascii="Arial" w:cs="Arial" w:eastAsia="Arial" w:hAnsi="Arial"/>
                <w:sz w:val="17"/>
                <w:szCs w:val="17"/>
                <w:b w:val="1"/>
                <w:bCs w:val="1"/>
                <w:color w:val="auto"/>
                <w:w w:val="94"/>
              </w:rPr>
              <w:t>Unit sold per Quarter</w:t>
            </w: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Borders>
              <w:bottom w:val="single" w:sz="8" w:color="auto"/>
            </w:tcBorders>
            <w:gridSpan w:val="3"/>
          </w:tcPr>
          <w:p>
            <w:pPr>
              <w:ind w:left="640"/>
              <w:spacing w:after="0"/>
              <w:rPr>
                <w:sz w:val="20"/>
                <w:szCs w:val="20"/>
                <w:color w:val="auto"/>
              </w:rPr>
            </w:pPr>
            <w:r>
              <w:rPr>
                <w:rFonts w:ascii="Arial" w:cs="Arial" w:eastAsia="Arial" w:hAnsi="Arial"/>
                <w:sz w:val="17"/>
                <w:szCs w:val="17"/>
                <w:b w:val="1"/>
                <w:bCs w:val="1"/>
                <w:color w:val="auto"/>
                <w:w w:val="92"/>
              </w:rPr>
              <w:t>% Change</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2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1Q20</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4Q20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1Q21</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TaT</w:t>
            </w: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AaA</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Traditionals Sales</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1,196,073</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1,517,113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5"/>
              </w:rPr>
              <w:t>1,079,959</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-28.8%</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20"/>
                <w:szCs w:val="20"/>
                <w:color w:val="auto"/>
              </w:rPr>
            </w:pPr>
            <w:r>
              <w:rPr>
                <w:rFonts w:ascii="Arial" w:cs="Arial" w:eastAsia="Arial" w:hAnsi="Arial"/>
                <w:sz w:val="17"/>
                <w:szCs w:val="17"/>
                <w:color w:val="auto"/>
              </w:rPr>
              <w:t>Selfserved Sales</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469,300</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258,734</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265,067</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14"/>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Digital Sales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439,591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620,133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714,816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62.6%</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51" w:lineRule="exact"/>
              <w:rPr>
                <w:sz w:val="20"/>
                <w:szCs w:val="20"/>
                <w:color w:val="auto"/>
              </w:rPr>
            </w:pPr>
            <w:r>
              <w:rPr>
                <w:rFonts w:ascii="Arial" w:cs="Arial" w:eastAsia="Arial" w:hAnsi="Arial"/>
                <w:sz w:val="17"/>
                <w:szCs w:val="17"/>
                <w:b w:val="1"/>
                <w:bCs w:val="1"/>
                <w:color w:val="auto"/>
              </w:rPr>
              <w:t>Total Sales</w:t>
            </w:r>
            <w:r>
              <w:rPr>
                <w:rFonts w:ascii="Arial" w:cs="Arial" w:eastAsia="Arial" w:hAnsi="Arial"/>
                <w:sz w:val="27"/>
                <w:szCs w:val="27"/>
                <w:b w:val="1"/>
                <w:bCs w:val="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2,104,964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2,395,980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95"/>
              </w:rPr>
              <w:t>2,059,842</w:t>
            </w: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-14.0%</w:t>
            </w:r>
          </w:p>
        </w:tc>
        <w:tc>
          <w:tcPr>
            <w:tcW w:w="2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-2.1%</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1200" w:firstLine="1"/>
        <w:spacing w:after="0" w:line="494" w:lineRule="auto"/>
        <w:tabs>
          <w:tab w:leader="none" w:pos="238"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Includes advance on wages, personal loans, saving acount, time deposits, efectivo preferente, insurance, credit cards y SME working capital loans In the </w:t>
      </w:r>
      <w:r>
        <w:rPr>
          <w:rFonts w:ascii="Arial" w:cs="Arial" w:eastAsia="Arial" w:hAnsi="Arial"/>
          <w:sz w:val="17"/>
          <w:szCs w:val="17"/>
          <w:b w:val="1"/>
          <w:bCs w:val="1"/>
          <w:color w:val="auto"/>
        </w:rPr>
        <w:t>QoQ analysis,</w:t>
      </w:r>
      <w:r>
        <w:rPr>
          <w:rFonts w:ascii="Arial" w:cs="Arial" w:eastAsia="Arial" w:hAnsi="Arial"/>
          <w:sz w:val="17"/>
          <w:szCs w:val="17"/>
          <w:color w:val="auto"/>
        </w:rPr>
        <w:t xml:space="preserve"> Retail Banking sales fell -14.0%, which was attributable to:</w:t>
      </w:r>
    </w:p>
    <w:p>
      <w:pPr>
        <w:spacing w:after="0" w:line="1" w:lineRule="exact"/>
        <w:rPr>
          <w:sz w:val="20"/>
          <w:szCs w:val="20"/>
          <w:color w:val="auto"/>
        </w:rPr>
      </w:pPr>
    </w:p>
    <w:p>
      <w:pPr>
        <w:jc w:val="both"/>
        <w:ind w:left="600" w:hanging="297"/>
        <w:spacing w:after="0" w:line="258" w:lineRule="auto"/>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 drop of -28.8% in sales through traditional channels due to seasonality in 4Q20 and to the quarantine imposed in the month of February. The products that were most impacted by the drop in sales were </w:t>
      </w:r>
      <w:r>
        <w:rPr>
          <w:rFonts w:ascii="Arial" w:cs="Arial" w:eastAsia="Arial" w:hAnsi="Arial"/>
          <w:sz w:val="17"/>
          <w:szCs w:val="17"/>
          <w:b w:val="1"/>
          <w:bCs w:val="1"/>
          <w:color w:val="auto"/>
        </w:rPr>
        <w:t>Savings accounts</w:t>
      </w:r>
      <w:r>
        <w:rPr>
          <w:rFonts w:ascii="Arial" w:cs="Arial" w:eastAsia="Arial" w:hAnsi="Arial"/>
          <w:sz w:val="17"/>
          <w:szCs w:val="17"/>
          <w:color w:val="auto"/>
        </w:rPr>
        <w:t xml:space="preserve"> (-18.7), </w:t>
      </w:r>
      <w:r>
        <w:rPr>
          <w:rFonts w:ascii="Arial" w:cs="Arial" w:eastAsia="Arial" w:hAnsi="Arial"/>
          <w:sz w:val="17"/>
          <w:szCs w:val="17"/>
          <w:b w:val="1"/>
          <w:bCs w:val="1"/>
          <w:color w:val="auto"/>
        </w:rPr>
        <w:t>Consumer loans</w:t>
      </w:r>
      <w:r>
        <w:rPr>
          <w:rFonts w:ascii="Arial" w:cs="Arial" w:eastAsia="Arial" w:hAnsi="Arial"/>
          <w:sz w:val="17"/>
          <w:szCs w:val="17"/>
          <w:color w:val="auto"/>
        </w:rPr>
        <w:t xml:space="preserve"> (-13.6%), </w:t>
      </w:r>
      <w:r>
        <w:rPr>
          <w:rFonts w:ascii="Arial" w:cs="Arial" w:eastAsia="Arial" w:hAnsi="Arial"/>
          <w:sz w:val="17"/>
          <w:szCs w:val="17"/>
          <w:b w:val="1"/>
          <w:bCs w:val="1"/>
          <w:color w:val="auto"/>
        </w:rPr>
        <w:t>SME-Pyme loans</w:t>
      </w:r>
      <w:r>
        <w:rPr>
          <w:rFonts w:ascii="Arial" w:cs="Arial" w:eastAsia="Arial" w:hAnsi="Arial"/>
          <w:sz w:val="17"/>
          <w:szCs w:val="17"/>
          <w:color w:val="auto"/>
        </w:rPr>
        <w:t xml:space="preserve"> (-13.2%) and </w:t>
      </w:r>
      <w:r>
        <w:rPr>
          <w:rFonts w:ascii="Arial" w:cs="Arial" w:eastAsia="Arial" w:hAnsi="Arial"/>
          <w:sz w:val="17"/>
          <w:szCs w:val="17"/>
          <w:b w:val="1"/>
          <w:bCs w:val="1"/>
          <w:color w:val="auto"/>
        </w:rPr>
        <w:t>Working Capital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Loans </w:t>
      </w:r>
      <w:r>
        <w:rPr>
          <w:rFonts w:ascii="Arial" w:cs="Arial" w:eastAsia="Arial" w:hAnsi="Arial"/>
          <w:sz w:val="17"/>
          <w:szCs w:val="17"/>
          <w:color w:val="auto"/>
        </w:rPr>
        <w:t>(-12.8%).</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The decline was attenuated by growth in sales through digital and self-service channels, which grew +15.3% and 2.4% respectively. The uptick in digital sales was driven primarily by sales growth in </w:t>
      </w:r>
      <w:r>
        <w:rPr>
          <w:rFonts w:ascii="Arial" w:cs="Arial" w:eastAsia="Arial" w:hAnsi="Arial"/>
          <w:sz w:val="17"/>
          <w:szCs w:val="17"/>
          <w:b w:val="1"/>
          <w:bCs w:val="1"/>
          <w:color w:val="auto"/>
        </w:rPr>
        <w:t>Personal Loan</w:t>
      </w:r>
      <w:r>
        <w:rPr>
          <w:rFonts w:ascii="Arial" w:cs="Arial" w:eastAsia="Arial" w:hAnsi="Arial"/>
          <w:sz w:val="17"/>
          <w:szCs w:val="17"/>
          <w:color w:val="auto"/>
        </w:rPr>
        <w:t xml:space="preserve"> (+67.0%) and </w:t>
      </w:r>
      <w:r>
        <w:rPr>
          <w:rFonts w:ascii="Arial" w:cs="Arial" w:eastAsia="Arial" w:hAnsi="Arial"/>
          <w:sz w:val="17"/>
          <w:szCs w:val="17"/>
          <w:b w:val="1"/>
          <w:bCs w:val="1"/>
          <w:color w:val="auto"/>
        </w:rPr>
        <w:t>Savings Accounts</w:t>
      </w:r>
      <w:r>
        <w:rPr>
          <w:rFonts w:ascii="Arial" w:cs="Arial" w:eastAsia="Arial" w:hAnsi="Arial"/>
          <w:sz w:val="17"/>
          <w:szCs w:val="17"/>
          <w:color w:val="auto"/>
        </w:rPr>
        <w:t xml:space="preserve"> (8.3%) while the increase in self-service sales was attributable to growth in </w:t>
      </w:r>
      <w:r>
        <w:rPr>
          <w:rFonts w:ascii="Arial" w:cs="Arial" w:eastAsia="Arial" w:hAnsi="Arial"/>
          <w:sz w:val="17"/>
          <w:szCs w:val="17"/>
          <w:b w:val="1"/>
          <w:bCs w:val="1"/>
          <w:color w:val="auto"/>
        </w:rPr>
        <w:t xml:space="preserve">Savings Accounts </w:t>
      </w:r>
      <w:r>
        <w:rPr>
          <w:rFonts w:ascii="Arial" w:cs="Arial" w:eastAsia="Arial" w:hAnsi="Arial"/>
          <w:sz w:val="17"/>
          <w:szCs w:val="17"/>
          <w:color w:val="auto"/>
        </w:rPr>
        <w:t>(+1.9%) and</w:t>
      </w:r>
      <w:r>
        <w:rPr>
          <w:rFonts w:ascii="Arial" w:cs="Arial" w:eastAsia="Arial" w:hAnsi="Arial"/>
          <w:sz w:val="17"/>
          <w:szCs w:val="17"/>
          <w:b w:val="1"/>
          <w:bCs w:val="1"/>
          <w:color w:val="auto"/>
        </w:rPr>
        <w:t xml:space="preserve"> Advance on wages </w:t>
      </w:r>
      <w:r>
        <w:rPr>
          <w:rFonts w:ascii="Arial" w:cs="Arial" w:eastAsia="Arial" w:hAnsi="Arial"/>
          <w:sz w:val="17"/>
          <w:szCs w:val="17"/>
          <w:color w:val="auto"/>
        </w:rPr>
        <w:t>(+4.2%).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YoY analysis</w:t>
      </w:r>
      <w:r>
        <w:rPr>
          <w:rFonts w:ascii="Arial" w:cs="Arial" w:eastAsia="Arial" w:hAnsi="Arial"/>
          <w:sz w:val="17"/>
          <w:szCs w:val="17"/>
          <w:color w:val="auto"/>
        </w:rPr>
        <w:t>, sales fell -2.1%, which was attributable to:</w:t>
      </w:r>
    </w:p>
    <w:p>
      <w:pPr>
        <w:spacing w:after="0" w:line="212" w:lineRule="exact"/>
        <w:rPr>
          <w:sz w:val="20"/>
          <w:szCs w:val="20"/>
          <w:color w:val="auto"/>
        </w:rPr>
      </w:pPr>
    </w:p>
    <w:p>
      <w:pPr>
        <w:ind w:left="600" w:hanging="297"/>
        <w:spacing w:after="0" w:line="269" w:lineRule="auto"/>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 decrease in sales through traditional sales and self-service sales, which contracted -9.7% and – 43.5% respectively. The products that were most affected within traditional sales were </w:t>
      </w:r>
      <w:r>
        <w:rPr>
          <w:rFonts w:ascii="Arial" w:cs="Arial" w:eastAsia="Arial" w:hAnsi="Arial"/>
          <w:sz w:val="17"/>
          <w:szCs w:val="17"/>
          <w:b w:val="1"/>
          <w:bCs w:val="1"/>
          <w:color w:val="auto"/>
        </w:rPr>
        <w:t>SME-Pyme loans</w:t>
      </w:r>
      <w:r>
        <w:rPr>
          <w:rFonts w:ascii="Arial" w:cs="Arial" w:eastAsia="Arial" w:hAnsi="Arial"/>
          <w:sz w:val="17"/>
          <w:szCs w:val="17"/>
          <w:color w:val="auto"/>
        </w:rPr>
        <w:t xml:space="preserve"> (-17.0%) and </w:t>
      </w:r>
      <w:r>
        <w:rPr>
          <w:rFonts w:ascii="Arial" w:cs="Arial" w:eastAsia="Arial" w:hAnsi="Arial"/>
          <w:sz w:val="17"/>
          <w:szCs w:val="17"/>
          <w:b w:val="1"/>
          <w:bCs w:val="1"/>
          <w:color w:val="auto"/>
        </w:rPr>
        <w:t>Consumer</w:t>
      </w:r>
      <w:r>
        <w:rPr>
          <w:rFonts w:ascii="Arial" w:cs="Arial" w:eastAsia="Arial" w:hAnsi="Arial"/>
          <w:sz w:val="17"/>
          <w:szCs w:val="17"/>
          <w:color w:val="auto"/>
        </w:rPr>
        <w:t xml:space="preserve"> loans (-29.7%).</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decline was partially attenuated by growth of 62.6% in digital sales given that clients have migrated to digital channels to purchase products. The products that presented the most positive evolution were </w:t>
      </w:r>
      <w:r>
        <w:rPr>
          <w:rFonts w:ascii="Arial" w:cs="Arial" w:eastAsia="Arial" w:hAnsi="Arial"/>
          <w:sz w:val="17"/>
          <w:szCs w:val="17"/>
          <w:b w:val="1"/>
          <w:bCs w:val="1"/>
          <w:color w:val="auto"/>
        </w:rPr>
        <w:t>Savings Accounts</w:t>
      </w:r>
      <w:r>
        <w:rPr>
          <w:rFonts w:ascii="Arial" w:cs="Arial" w:eastAsia="Arial" w:hAnsi="Arial"/>
          <w:sz w:val="17"/>
          <w:szCs w:val="17"/>
          <w:color w:val="auto"/>
        </w:rPr>
        <w:t xml:space="preserve"> (+229.9%)</w:t>
      </w:r>
      <w:r>
        <w:rPr>
          <w:rFonts w:ascii="Arial" w:cs="Arial" w:eastAsia="Arial" w:hAnsi="Arial"/>
          <w:sz w:val="17"/>
          <w:szCs w:val="17"/>
          <w:b w:val="1"/>
          <w:bCs w:val="1"/>
          <w:color w:val="auto"/>
        </w:rPr>
        <w:t>, Insurance</w:t>
      </w:r>
      <w:r>
        <w:rPr>
          <w:rFonts w:ascii="Arial" w:cs="Arial" w:eastAsia="Arial" w:hAnsi="Arial"/>
          <w:sz w:val="17"/>
          <w:szCs w:val="17"/>
          <w:color w:val="auto"/>
        </w:rPr>
        <w:t xml:space="preserve"> (+266.2%) and </w:t>
      </w:r>
      <w:r>
        <w:rPr>
          <w:rFonts w:ascii="Arial" w:cs="Arial" w:eastAsia="Arial" w:hAnsi="Arial"/>
          <w:sz w:val="17"/>
          <w:szCs w:val="17"/>
          <w:b w:val="1"/>
          <w:bCs w:val="1"/>
          <w:color w:val="auto"/>
        </w:rPr>
        <w:t>Personal loans</w:t>
      </w:r>
      <w:r>
        <w:rPr>
          <w:rFonts w:ascii="Arial" w:cs="Arial" w:eastAsia="Arial" w:hAnsi="Arial"/>
          <w:sz w:val="17"/>
          <w:szCs w:val="17"/>
          <w:color w:val="auto"/>
        </w:rPr>
        <w:t xml:space="preserve"> (+30.8%).</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8"/>
        </w:trPr>
        <w:tc>
          <w:tcPr>
            <w:tcW w:w="3100" w:type="dxa"/>
            <w:vAlign w:val="bottom"/>
          </w:tcPr>
          <w:p>
            <w:pPr>
              <w:spacing w:after="0"/>
              <w:rPr>
                <w:sz w:val="20"/>
                <w:szCs w:val="20"/>
                <w:color w:val="auto"/>
              </w:rPr>
            </w:pPr>
            <w:r>
              <w:rPr>
                <w:rFonts w:ascii="Arial" w:cs="Arial" w:eastAsia="Arial" w:hAnsi="Arial"/>
                <w:sz w:val="17"/>
                <w:szCs w:val="17"/>
                <w:b w:val="1"/>
                <w:bCs w:val="1"/>
                <w:color w:val="auto"/>
              </w:rPr>
              <w:t>10.2. Points of Contact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3"/>
        </w:trPr>
        <w:tc>
          <w:tcPr>
            <w:tcW w:w="3100" w:type="dxa"/>
            <w:vAlign w:val="bottom"/>
          </w:tcPr>
          <w:p>
            <w:pPr>
              <w:spacing w:after="0"/>
              <w:rPr>
                <w:sz w:val="20"/>
                <w:szCs w:val="20"/>
                <w:color w:val="auto"/>
              </w:rPr>
            </w:pPr>
            <w:r>
              <w:rPr>
                <w:rFonts w:ascii="Arial" w:cs="Arial" w:eastAsia="Arial" w:hAnsi="Arial"/>
                <w:sz w:val="17"/>
                <w:szCs w:val="17"/>
                <w:b w:val="1"/>
                <w:bCs w:val="1"/>
                <w:color w:val="auto"/>
              </w:rPr>
              <w:t>10.2.1 Point of Contact BCP</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3"/>
        </w:trPr>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As of</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ind w:left="600"/>
              <w:spacing w:after="0"/>
              <w:rPr>
                <w:sz w:val="20"/>
                <w:szCs w:val="20"/>
                <w:color w:val="auto"/>
              </w:rPr>
            </w:pPr>
            <w:r>
              <w:rPr>
                <w:rFonts w:ascii="Arial" w:cs="Arial" w:eastAsia="Arial" w:hAnsi="Arial"/>
                <w:sz w:val="17"/>
                <w:szCs w:val="17"/>
                <w:b w:val="1"/>
                <w:bCs w:val="1"/>
                <w:color w:val="auto"/>
              </w:rPr>
              <w:t>change (units)</w:t>
            </w:r>
          </w:p>
        </w:tc>
      </w:tr>
      <w:tr>
        <w:trPr>
          <w:trHeight w:val="207"/>
        </w:trPr>
        <w:tc>
          <w:tcPr>
            <w:tcW w:w="3100" w:type="dxa"/>
            <w:vAlign w:val="bottom"/>
          </w:tcPr>
          <w:p>
            <w:pPr>
              <w:spacing w:after="0"/>
              <w:rPr>
                <w:sz w:val="17"/>
                <w:szCs w:val="17"/>
                <w:color w:val="auto"/>
              </w:rPr>
            </w:pPr>
          </w:p>
        </w:tc>
        <w:tc>
          <w:tcPr>
            <w:tcW w:w="1180" w:type="dxa"/>
            <w:vAlign w:val="bottom"/>
            <w:tcBorders>
              <w:top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rPr>
              <w:t>Mar 20</w:t>
            </w:r>
          </w:p>
        </w:tc>
        <w:tc>
          <w:tcPr>
            <w:tcW w:w="11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Dec 20</w:t>
            </w:r>
          </w:p>
        </w:tc>
        <w:tc>
          <w:tcPr>
            <w:tcW w:w="1000" w:type="dxa"/>
            <w:vAlign w:val="bottom"/>
            <w:tcBorders>
              <w:top w:val="single" w:sz="8" w:color="auto"/>
            </w:tcBorders>
          </w:tcPr>
          <w:p>
            <w:pPr>
              <w:ind w:left="240"/>
              <w:spacing w:after="0"/>
              <w:rPr>
                <w:sz w:val="20"/>
                <w:szCs w:val="20"/>
                <w:color w:val="auto"/>
              </w:rPr>
            </w:pPr>
            <w:r>
              <w:rPr>
                <w:rFonts w:ascii="Arial" w:cs="Arial" w:eastAsia="Arial" w:hAnsi="Arial"/>
                <w:sz w:val="17"/>
                <w:szCs w:val="17"/>
                <w:b w:val="1"/>
                <w:bCs w:val="1"/>
                <w:color w:val="auto"/>
              </w:rPr>
              <w:t>Mar 21</w:t>
            </w:r>
          </w:p>
        </w:tc>
        <w:tc>
          <w:tcPr>
            <w:tcW w:w="220" w:type="dxa"/>
            <w:vAlign w:val="bottom"/>
          </w:tcPr>
          <w:p>
            <w:pPr>
              <w:spacing w:after="0"/>
              <w:rPr>
                <w:sz w:val="17"/>
                <w:szCs w:val="17"/>
                <w:color w:val="auto"/>
              </w:rPr>
            </w:pPr>
          </w:p>
        </w:tc>
        <w:tc>
          <w:tcPr>
            <w:tcW w:w="1220" w:type="dxa"/>
            <w:vAlign w:val="bottom"/>
            <w:tcBorders>
              <w:top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QoQ</w:t>
            </w:r>
          </w:p>
        </w:tc>
        <w:tc>
          <w:tcPr>
            <w:tcW w:w="102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YoY</w:t>
            </w:r>
          </w:p>
        </w:tc>
        <w:tc>
          <w:tcPr>
            <w:tcW w:w="100" w:type="dxa"/>
            <w:vAlign w:val="bottom"/>
            <w:gridSpan w:val="2"/>
          </w:tcPr>
          <w:p>
            <w:pPr>
              <w:spacing w:after="0"/>
              <w:rPr>
                <w:sz w:val="17"/>
                <w:szCs w:val="17"/>
                <w:color w:val="auto"/>
              </w:rPr>
            </w:pPr>
          </w:p>
        </w:tc>
      </w:tr>
      <w:tr>
        <w:trPr>
          <w:trHeight w:val="194"/>
        </w:trPr>
        <w:tc>
          <w:tcPr>
            <w:tcW w:w="31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Branches</w:t>
            </w: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404</w:t>
            </w: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388</w:t>
            </w:r>
          </w:p>
        </w:tc>
        <w:tc>
          <w:tcPr>
            <w:tcW w:w="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388</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3100" w:type="dxa"/>
            <w:vAlign w:val="bottom"/>
          </w:tcPr>
          <w:p>
            <w:pPr>
              <w:spacing w:after="0"/>
              <w:rPr>
                <w:sz w:val="20"/>
                <w:szCs w:val="20"/>
                <w:color w:val="auto"/>
              </w:rPr>
            </w:pPr>
            <w:r>
              <w:rPr>
                <w:rFonts w:ascii="Arial" w:cs="Arial" w:eastAsia="Arial" w:hAnsi="Arial"/>
                <w:sz w:val="17"/>
                <w:szCs w:val="17"/>
                <w:color w:val="auto"/>
              </w:rPr>
              <w:t>ATMs</w:t>
            </w:r>
          </w:p>
        </w:tc>
        <w:tc>
          <w:tcPr>
            <w:tcW w:w="1000" w:type="dxa"/>
            <w:vAlign w:val="bottom"/>
          </w:tcPr>
          <w:p>
            <w:pPr>
              <w:jc w:val="right"/>
              <w:spacing w:after="0"/>
              <w:rPr>
                <w:sz w:val="20"/>
                <w:szCs w:val="20"/>
                <w:color w:val="auto"/>
              </w:rPr>
            </w:pPr>
            <w:r>
              <w:rPr>
                <w:rFonts w:ascii="Arial" w:cs="Arial" w:eastAsia="Arial" w:hAnsi="Arial"/>
                <w:sz w:val="17"/>
                <w:szCs w:val="17"/>
                <w:color w:val="auto"/>
              </w:rPr>
              <w:t>2,290</w:t>
            </w:r>
          </w:p>
        </w:tc>
        <w:tc>
          <w:tcPr>
            <w:tcW w:w="1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2,317</w:t>
            </w:r>
          </w:p>
        </w:tc>
        <w:tc>
          <w:tcPr>
            <w:tcW w:w="1220" w:type="dxa"/>
            <w:vAlign w:val="bottom"/>
            <w:gridSpan w:val="2"/>
          </w:tcPr>
          <w:p>
            <w:pPr>
              <w:ind w:left="640"/>
              <w:spacing w:after="0"/>
              <w:rPr>
                <w:sz w:val="20"/>
                <w:szCs w:val="20"/>
                <w:color w:val="auto"/>
              </w:rPr>
            </w:pPr>
            <w:r>
              <w:rPr>
                <w:rFonts w:ascii="Arial" w:cs="Arial" w:eastAsia="Arial" w:hAnsi="Arial"/>
                <w:sz w:val="17"/>
                <w:szCs w:val="17"/>
                <w:color w:val="auto"/>
              </w:rPr>
              <w:t>2,306</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-11</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7"/>
                <w:szCs w:val="17"/>
                <w:color w:val="auto"/>
              </w:rPr>
            </w:pPr>
          </w:p>
        </w:tc>
      </w:tr>
      <w:tr>
        <w:trPr>
          <w:trHeight w:val="214"/>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Agentes BCP</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7,003</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6,860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r>
      <w:tr>
        <w:trPr>
          <w:trHeight w:val="194"/>
        </w:trPr>
        <w:tc>
          <w:tcPr>
            <w:tcW w:w="3100" w:type="dxa"/>
            <w:vAlign w:val="bottom"/>
          </w:tcPr>
          <w:p>
            <w:pPr>
              <w:spacing w:after="0" w:line="194" w:lineRule="exact"/>
              <w:rPr>
                <w:sz w:val="20"/>
                <w:szCs w:val="20"/>
                <w:color w:val="auto"/>
              </w:rPr>
            </w:pPr>
            <w:r>
              <w:rPr>
                <w:rFonts w:ascii="Arial" w:cs="Arial" w:eastAsia="Arial" w:hAnsi="Arial"/>
                <w:sz w:val="17"/>
                <w:szCs w:val="17"/>
                <w:b w:val="1"/>
                <w:bCs w:val="1"/>
                <w:color w:val="auto"/>
              </w:rPr>
              <w:t>Total BCP’s Network</w:t>
            </w:r>
          </w:p>
        </w:tc>
        <w:tc>
          <w:tcPr>
            <w:tcW w:w="10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9,563</w:t>
            </w:r>
          </w:p>
        </w:tc>
        <w:tc>
          <w:tcPr>
            <w:tcW w:w="1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9,708</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ind w:left="640"/>
              <w:spacing w:after="0" w:line="194" w:lineRule="exact"/>
              <w:rPr>
                <w:sz w:val="20"/>
                <w:szCs w:val="20"/>
                <w:color w:val="auto"/>
              </w:rPr>
            </w:pPr>
            <w:r>
              <w:rPr>
                <w:rFonts w:ascii="Arial" w:cs="Arial" w:eastAsia="Arial" w:hAnsi="Arial"/>
                <w:sz w:val="17"/>
                <w:szCs w:val="17"/>
                <w:b w:val="1"/>
                <w:bCs w:val="1"/>
                <w:color w:val="auto"/>
                <w:w w:val="79"/>
              </w:rPr>
              <w:t>9,554</w:t>
            </w:r>
          </w:p>
        </w:tc>
        <w:tc>
          <w:tcPr>
            <w:tcW w:w="2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-154</w:t>
            </w:r>
          </w:p>
        </w:tc>
        <w:tc>
          <w:tcPr>
            <w:tcW w:w="2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BCP Stand-alone reduce its </w:t>
      </w:r>
      <w:r>
        <w:rPr>
          <w:rFonts w:ascii="Arial" w:cs="Arial" w:eastAsia="Arial" w:hAnsi="Arial"/>
          <w:sz w:val="17"/>
          <w:szCs w:val="17"/>
          <w:b w:val="1"/>
          <w:bCs w:val="1"/>
          <w:color w:val="auto"/>
        </w:rPr>
        <w:t>ATMs and Agentes BCP</w:t>
      </w:r>
      <w:r>
        <w:rPr>
          <w:rFonts w:ascii="Arial" w:cs="Arial" w:eastAsia="Arial" w:hAnsi="Arial"/>
          <w:sz w:val="17"/>
          <w:szCs w:val="17"/>
          <w:color w:val="auto"/>
        </w:rPr>
        <w:t xml:space="preserve"> fell by -11 units and 143 units QoQ respectively due to the migration of its clients to digital channels. </w:t>
      </w:r>
      <w:r>
        <w:rPr>
          <w:rFonts w:ascii="Arial" w:cs="Arial" w:eastAsia="Arial" w:hAnsi="Arial"/>
          <w:sz w:val="17"/>
          <w:szCs w:val="17"/>
          <w:b w:val="1"/>
          <w:bCs w:val="1"/>
          <w:color w:val="auto"/>
        </w:rPr>
        <w:t>Branches</w:t>
      </w:r>
      <w:r>
        <w:rPr>
          <w:rFonts w:ascii="Arial" w:cs="Arial" w:eastAsia="Arial" w:hAnsi="Arial"/>
          <w:sz w:val="17"/>
          <w:szCs w:val="17"/>
          <w:color w:val="auto"/>
        </w:rPr>
        <w:t xml:space="preserve"> also fell in this context, dropping -16 units with regard to 1Q20’s figure.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00" w:type="dxa"/>
            <w:vAlign w:val="bottom"/>
          </w:tcPr>
          <w:p>
            <w:pPr>
              <w:spacing w:after="0"/>
              <w:rPr>
                <w:sz w:val="20"/>
                <w:szCs w:val="20"/>
                <w:color w:val="auto"/>
              </w:rPr>
            </w:pPr>
            <w:r>
              <w:rPr>
                <w:rFonts w:ascii="Arial" w:cs="Arial" w:eastAsia="Arial" w:hAnsi="Arial"/>
                <w:sz w:val="17"/>
                <w:szCs w:val="17"/>
                <w:b w:val="1"/>
                <w:bCs w:val="1"/>
                <w:color w:val="auto"/>
              </w:rPr>
              <w:t>10.2.2 Points of contact BCP Bolivia</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3"/>
        </w:trPr>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As of</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ind w:left="600"/>
              <w:spacing w:after="0"/>
              <w:rPr>
                <w:sz w:val="20"/>
                <w:szCs w:val="20"/>
                <w:color w:val="auto"/>
              </w:rPr>
            </w:pPr>
            <w:r>
              <w:rPr>
                <w:rFonts w:ascii="Arial" w:cs="Arial" w:eastAsia="Arial" w:hAnsi="Arial"/>
                <w:sz w:val="17"/>
                <w:szCs w:val="17"/>
                <w:b w:val="1"/>
                <w:bCs w:val="1"/>
                <w:color w:val="auto"/>
              </w:rPr>
              <w:t>change (units)</w:t>
            </w:r>
          </w:p>
        </w:tc>
      </w:tr>
      <w:tr>
        <w:trPr>
          <w:trHeight w:val="207"/>
        </w:trPr>
        <w:tc>
          <w:tcPr>
            <w:tcW w:w="3100" w:type="dxa"/>
            <w:vAlign w:val="bottom"/>
          </w:tcPr>
          <w:p>
            <w:pPr>
              <w:spacing w:after="0"/>
              <w:rPr>
                <w:sz w:val="17"/>
                <w:szCs w:val="17"/>
                <w:color w:val="auto"/>
              </w:rPr>
            </w:pPr>
          </w:p>
        </w:tc>
        <w:tc>
          <w:tcPr>
            <w:tcW w:w="1180" w:type="dxa"/>
            <w:vAlign w:val="bottom"/>
            <w:tcBorders>
              <w:top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rPr>
              <w:t>Mar 20</w:t>
            </w:r>
          </w:p>
        </w:tc>
        <w:tc>
          <w:tcPr>
            <w:tcW w:w="11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Dec 20</w:t>
            </w:r>
          </w:p>
        </w:tc>
        <w:tc>
          <w:tcPr>
            <w:tcW w:w="100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Mar 21</w:t>
            </w:r>
          </w:p>
        </w:tc>
        <w:tc>
          <w:tcPr>
            <w:tcW w:w="220" w:type="dxa"/>
            <w:vAlign w:val="bottom"/>
          </w:tcPr>
          <w:p>
            <w:pPr>
              <w:spacing w:after="0"/>
              <w:rPr>
                <w:sz w:val="17"/>
                <w:szCs w:val="17"/>
                <w:color w:val="auto"/>
              </w:rPr>
            </w:pPr>
          </w:p>
        </w:tc>
        <w:tc>
          <w:tcPr>
            <w:tcW w:w="1220" w:type="dxa"/>
            <w:vAlign w:val="bottom"/>
            <w:tcBorders>
              <w:top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QoQ</w:t>
            </w:r>
          </w:p>
        </w:tc>
        <w:tc>
          <w:tcPr>
            <w:tcW w:w="102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YoY</w:t>
            </w:r>
          </w:p>
        </w:tc>
        <w:tc>
          <w:tcPr>
            <w:tcW w:w="100" w:type="dxa"/>
            <w:vAlign w:val="bottom"/>
            <w:gridSpan w:val="2"/>
          </w:tcPr>
          <w:p>
            <w:pPr>
              <w:spacing w:after="0"/>
              <w:rPr>
                <w:sz w:val="17"/>
                <w:szCs w:val="17"/>
                <w:color w:val="auto"/>
              </w:rPr>
            </w:pPr>
          </w:p>
        </w:tc>
      </w:tr>
      <w:tr>
        <w:trPr>
          <w:trHeight w:val="194"/>
        </w:trPr>
        <w:tc>
          <w:tcPr>
            <w:tcW w:w="31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Branches</w:t>
            </w: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54</w:t>
            </w: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54</w:t>
            </w:r>
          </w:p>
        </w:tc>
        <w:tc>
          <w:tcPr>
            <w:tcW w:w="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54</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3100" w:type="dxa"/>
            <w:vAlign w:val="bottom"/>
          </w:tcPr>
          <w:p>
            <w:pPr>
              <w:spacing w:after="0"/>
              <w:rPr>
                <w:sz w:val="20"/>
                <w:szCs w:val="20"/>
                <w:color w:val="auto"/>
              </w:rPr>
            </w:pPr>
            <w:r>
              <w:rPr>
                <w:rFonts w:ascii="Arial" w:cs="Arial" w:eastAsia="Arial" w:hAnsi="Arial"/>
                <w:sz w:val="17"/>
                <w:szCs w:val="17"/>
                <w:color w:val="auto"/>
              </w:rPr>
              <w:t>ATMs</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307</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310</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310</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r>
      <w:tr>
        <w:trPr>
          <w:trHeight w:val="214"/>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Agentes BCP Bolivia</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295</w:t>
            </w:r>
          </w:p>
        </w:tc>
        <w:tc>
          <w:tcPr>
            <w:tcW w:w="80" w:type="dxa"/>
            <w:vAlign w:val="bottom"/>
            <w:shd w:val="clear" w:color="auto" w:fill="CCEEFF"/>
          </w:tcPr>
          <w:p>
            <w:pPr>
              <w:spacing w:after="0"/>
              <w:rPr>
                <w:sz w:val="18"/>
                <w:szCs w:val="18"/>
                <w:color w:val="auto"/>
              </w:rPr>
            </w:pPr>
          </w:p>
        </w:tc>
      </w:tr>
      <w:tr>
        <w:trPr>
          <w:trHeight w:val="194"/>
        </w:trPr>
        <w:tc>
          <w:tcPr>
            <w:tcW w:w="3100" w:type="dxa"/>
            <w:vAlign w:val="bottom"/>
          </w:tcPr>
          <w:p>
            <w:pPr>
              <w:spacing w:after="0" w:line="194" w:lineRule="exact"/>
              <w:rPr>
                <w:sz w:val="20"/>
                <w:szCs w:val="20"/>
                <w:color w:val="auto"/>
              </w:rPr>
            </w:pPr>
            <w:r>
              <w:rPr>
                <w:rFonts w:ascii="Arial" w:cs="Arial" w:eastAsia="Arial" w:hAnsi="Arial"/>
                <w:sz w:val="17"/>
                <w:szCs w:val="17"/>
                <w:b w:val="1"/>
                <w:bCs w:val="1"/>
                <w:color w:val="auto"/>
              </w:rPr>
              <w:t>Total Bolivia’s Network</w:t>
            </w:r>
          </w:p>
        </w:tc>
        <w:tc>
          <w:tcPr>
            <w:tcW w:w="10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916</w:t>
            </w:r>
          </w:p>
        </w:tc>
        <w:tc>
          <w:tcPr>
            <w:tcW w:w="1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1,215</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1,214</w:t>
            </w:r>
          </w:p>
        </w:tc>
        <w:tc>
          <w:tcPr>
            <w:tcW w:w="2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w:t>
            </w:r>
          </w:p>
        </w:tc>
        <w:tc>
          <w:tcPr>
            <w:tcW w:w="2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298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BCP Bolivia, points of contact increased YoY (+298) due to growth in Agentes BCP (+295) and ATMs (+3), in line with the strategy to expand in cost-efficient channels.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00" w:type="dxa"/>
            <w:vAlign w:val="bottom"/>
          </w:tcPr>
          <w:p>
            <w:pPr>
              <w:spacing w:after="0"/>
              <w:rPr>
                <w:sz w:val="20"/>
                <w:szCs w:val="20"/>
                <w:color w:val="auto"/>
              </w:rPr>
            </w:pPr>
            <w:r>
              <w:rPr>
                <w:rFonts w:ascii="Arial" w:cs="Arial" w:eastAsia="Arial" w:hAnsi="Arial"/>
                <w:sz w:val="17"/>
                <w:szCs w:val="17"/>
                <w:b w:val="1"/>
                <w:bCs w:val="1"/>
                <w:color w:val="auto"/>
                <w:w w:val="90"/>
              </w:rPr>
              <w:t>10.2.1. Physical points of contact Mibanco</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As of</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ind w:left="600"/>
              <w:spacing w:after="0"/>
              <w:rPr>
                <w:sz w:val="20"/>
                <w:szCs w:val="20"/>
                <w:color w:val="auto"/>
              </w:rPr>
            </w:pPr>
            <w:r>
              <w:rPr>
                <w:rFonts w:ascii="Arial" w:cs="Arial" w:eastAsia="Arial" w:hAnsi="Arial"/>
                <w:sz w:val="17"/>
                <w:szCs w:val="17"/>
                <w:b w:val="1"/>
                <w:bCs w:val="1"/>
                <w:color w:val="auto"/>
              </w:rPr>
              <w:t>change (units)</w:t>
            </w:r>
          </w:p>
        </w:tc>
      </w:tr>
      <w:tr>
        <w:trPr>
          <w:trHeight w:val="207"/>
        </w:trPr>
        <w:tc>
          <w:tcPr>
            <w:tcW w:w="3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Mar 20</w:t>
            </w:r>
          </w:p>
        </w:tc>
        <w:tc>
          <w:tcPr>
            <w:tcW w:w="18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Dec 20</w:t>
            </w:r>
          </w:p>
        </w:tc>
        <w:tc>
          <w:tcPr>
            <w:tcW w:w="180" w:type="dxa"/>
            <w:vAlign w:val="bottom"/>
            <w:tcBorders>
              <w:top w:val="single" w:sz="8" w:color="auto"/>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7"/>
                <w:szCs w:val="17"/>
                <w:b w:val="1"/>
                <w:bCs w:val="1"/>
                <w:color w:val="auto"/>
              </w:rPr>
              <w:t>Mar 21</w:t>
            </w:r>
          </w:p>
        </w:tc>
        <w:tc>
          <w:tcPr>
            <w:tcW w:w="2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QoQ</w:t>
            </w:r>
          </w:p>
        </w:tc>
        <w:tc>
          <w:tcPr>
            <w:tcW w:w="20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YoY</w:t>
            </w:r>
          </w:p>
        </w:tc>
        <w:tc>
          <w:tcPr>
            <w:tcW w:w="100" w:type="dxa"/>
            <w:vAlign w:val="bottom"/>
            <w:tcBorders>
              <w:bottom w:val="single" w:sz="8" w:color="CCEEFF"/>
            </w:tcBorders>
          </w:tcPr>
          <w:p>
            <w:pPr>
              <w:spacing w:after="0"/>
              <w:rPr>
                <w:sz w:val="17"/>
                <w:szCs w:val="17"/>
                <w:color w:val="auto"/>
              </w:rPr>
            </w:pPr>
          </w:p>
        </w:tc>
      </w:tr>
      <w:tr>
        <w:trPr>
          <w:trHeight w:val="219"/>
        </w:trPr>
        <w:tc>
          <w:tcPr>
            <w:tcW w:w="3100" w:type="dxa"/>
            <w:vAlign w:val="bottom"/>
            <w:shd w:val="clear" w:color="auto" w:fill="CCEEFF"/>
          </w:tcPr>
          <w:p>
            <w:pPr>
              <w:spacing w:after="0" w:line="220" w:lineRule="exact"/>
              <w:rPr>
                <w:sz w:val="20"/>
                <w:szCs w:val="20"/>
                <w:color w:val="auto"/>
              </w:rPr>
            </w:pPr>
            <w:r>
              <w:rPr>
                <w:rFonts w:ascii="Arial" w:cs="Arial" w:eastAsia="Arial" w:hAnsi="Arial"/>
                <w:sz w:val="16"/>
                <w:szCs w:val="16"/>
                <w:b w:val="1"/>
                <w:bCs w:val="1"/>
                <w:color w:val="auto"/>
              </w:rPr>
              <w:t xml:space="preserve">Total Mibanco’s Network </w:t>
            </w:r>
            <w:r>
              <w:rPr>
                <w:rFonts w:ascii="Arial" w:cs="Arial" w:eastAsia="Arial" w:hAnsi="Arial"/>
                <w:sz w:val="25"/>
                <w:szCs w:val="25"/>
                <w:b w:val="1"/>
                <w:bCs w:val="1"/>
                <w:color w:val="auto"/>
                <w:vertAlign w:val="superscript"/>
              </w:rPr>
              <w:t>(1)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325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317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w:t>
            </w:r>
          </w:p>
        </w:tc>
      </w:tr>
    </w:tbl>
    <w:p>
      <w:pPr>
        <w:spacing w:after="0" w:line="189" w:lineRule="exact"/>
        <w:rPr>
          <w:sz w:val="20"/>
          <w:szCs w:val="20"/>
          <w:color w:val="auto"/>
        </w:rPr>
      </w:pPr>
    </w:p>
    <w:p>
      <w:pPr>
        <w:ind w:right="560" w:firstLine="1"/>
        <w:spacing w:after="0" w:line="269" w:lineRule="auto"/>
        <w:tabs>
          <w:tab w:leader="none" w:pos="238" w:val="left"/>
        </w:tabs>
        <w:numPr>
          <w:ilvl w:val="0"/>
          <w:numId w:val="60"/>
        </w:numPr>
        <w:rPr>
          <w:rFonts w:ascii="Arial" w:cs="Arial" w:eastAsia="Arial" w:hAnsi="Arial"/>
          <w:sz w:val="17"/>
          <w:szCs w:val="17"/>
          <w:color w:val="auto"/>
        </w:rPr>
      </w:pPr>
      <w:r>
        <w:rPr>
          <w:rFonts w:ascii="Arial" w:cs="Arial" w:eastAsia="Arial" w:hAnsi="Arial"/>
          <w:sz w:val="17"/>
          <w:szCs w:val="17"/>
          <w:color w:val="auto"/>
        </w:rPr>
        <w:t>Mibanco has no ATMs of Agentes given that it uses BCP’s network. The number of branches includes the Banco de la Nacion branches that can be used by Mibanco clients, which in Mar 20, Dec 20 and Mar 21 totaled 35, 34, and 34 respectively.</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Mibanco, branches registered a decrease of 6 units QoQ and 8 units YoY. This decline was attributable to social distancing measures and to client migration to other channels. It is important to note that Mibanco has an agreement with Banco de la Nacion to use the latter’s branches to reduce operating costs. At the end of 1Q21, these branches represented 11% (34 branches) of Mibanco’s total of 317 branches.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77495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7749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8"/>
        </w:trPr>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11. Economic Perspectives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11.1. Peru: Economic Forecasts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Peru</w:t>
            </w:r>
          </w:p>
        </w:tc>
        <w:tc>
          <w:tcPr>
            <w:tcW w:w="1100" w:type="dxa"/>
            <w:vAlign w:val="bottom"/>
          </w:tcPr>
          <w:p>
            <w:pPr>
              <w:jc w:val="right"/>
              <w:ind w:right="296"/>
              <w:spacing w:after="0"/>
              <w:rPr>
                <w:sz w:val="20"/>
                <w:szCs w:val="20"/>
                <w:color w:val="auto"/>
              </w:rPr>
            </w:pPr>
            <w:r>
              <w:rPr>
                <w:rFonts w:ascii="Arial" w:cs="Arial" w:eastAsia="Arial" w:hAnsi="Arial"/>
                <w:sz w:val="17"/>
                <w:szCs w:val="17"/>
                <w:b w:val="1"/>
                <w:bCs w:val="1"/>
                <w:color w:val="auto"/>
              </w:rPr>
              <w:t>2017</w:t>
            </w:r>
          </w:p>
        </w:tc>
        <w:tc>
          <w:tcPr>
            <w:tcW w:w="260" w:type="dxa"/>
            <w:vAlign w:val="bottom"/>
          </w:tcPr>
          <w:p>
            <w:pPr>
              <w:spacing w:after="0"/>
              <w:rPr>
                <w:sz w:val="24"/>
                <w:szCs w:val="24"/>
                <w:color w:val="auto"/>
              </w:rPr>
            </w:pPr>
          </w:p>
        </w:tc>
        <w:tc>
          <w:tcPr>
            <w:tcW w:w="1120" w:type="dxa"/>
            <w:vAlign w:val="bottom"/>
          </w:tcPr>
          <w:p>
            <w:pPr>
              <w:jc w:val="right"/>
              <w:ind w:right="316"/>
              <w:spacing w:after="0"/>
              <w:rPr>
                <w:sz w:val="20"/>
                <w:szCs w:val="20"/>
                <w:color w:val="auto"/>
              </w:rPr>
            </w:pPr>
            <w:r>
              <w:rPr>
                <w:rFonts w:ascii="Arial" w:cs="Arial" w:eastAsia="Arial" w:hAnsi="Arial"/>
                <w:sz w:val="17"/>
                <w:szCs w:val="17"/>
                <w:b w:val="1"/>
                <w:bCs w:val="1"/>
                <w:color w:val="auto"/>
              </w:rPr>
              <w:t>2018</w:t>
            </w:r>
          </w:p>
        </w:tc>
        <w:tc>
          <w:tcPr>
            <w:tcW w:w="240" w:type="dxa"/>
            <w:vAlign w:val="bottom"/>
          </w:tcPr>
          <w:p>
            <w:pPr>
              <w:spacing w:after="0"/>
              <w:rPr>
                <w:sz w:val="24"/>
                <w:szCs w:val="24"/>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24"/>
                <w:szCs w:val="24"/>
                <w:color w:val="auto"/>
              </w:rPr>
            </w:pPr>
          </w:p>
        </w:tc>
        <w:tc>
          <w:tcPr>
            <w:tcW w:w="1120" w:type="dxa"/>
            <w:vAlign w:val="bottom"/>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24"/>
                <w:szCs w:val="24"/>
                <w:color w:val="auto"/>
              </w:rPr>
            </w:pPr>
          </w:p>
        </w:tc>
        <w:tc>
          <w:tcPr>
            <w:tcW w:w="1120" w:type="dxa"/>
            <w:vAlign w:val="bottom"/>
          </w:tcPr>
          <w:p>
            <w:pPr>
              <w:jc w:val="right"/>
              <w:ind w:right="236"/>
              <w:spacing w:after="0"/>
              <w:rPr>
                <w:sz w:val="20"/>
                <w:szCs w:val="20"/>
                <w:color w:val="auto"/>
              </w:rPr>
            </w:pPr>
            <w:r>
              <w:rPr>
                <w:rFonts w:ascii="Arial" w:cs="Arial" w:eastAsia="Arial" w:hAnsi="Arial"/>
                <w:sz w:val="17"/>
                <w:szCs w:val="17"/>
                <w:b w:val="1"/>
                <w:bCs w:val="1"/>
                <w:color w:val="auto"/>
              </w:rPr>
              <w:t>2021</w:t>
            </w:r>
            <w:r>
              <w:rPr>
                <w:rFonts w:ascii="Arial" w:cs="Arial" w:eastAsia="Arial" w:hAnsi="Arial"/>
                <w:sz w:val="27"/>
                <w:szCs w:val="27"/>
                <w:b w:val="1"/>
                <w:bCs w:val="1"/>
                <w:color w:val="auto"/>
                <w:vertAlign w:val="superscript"/>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GDP (US$ Millions)</w:t>
            </w: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214,265</w:t>
            </w: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225,201</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230,846</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203,527</w:t>
            </w: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223,230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20"/>
                <w:szCs w:val="20"/>
                <w:color w:val="auto"/>
              </w:rPr>
            </w:pPr>
            <w:r>
              <w:rPr>
                <w:rFonts w:ascii="Arial" w:cs="Arial" w:eastAsia="Arial" w:hAnsi="Arial"/>
                <w:sz w:val="17"/>
                <w:szCs w:val="17"/>
                <w:color w:val="auto"/>
              </w:rPr>
              <w:t>Real GDP (% change)</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2.5</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4.0</w:t>
            </w:r>
          </w:p>
        </w:tc>
        <w:tc>
          <w:tcPr>
            <w:tcW w:w="1140" w:type="dxa"/>
            <w:vAlign w:val="bottom"/>
          </w:tcPr>
          <w:p>
            <w:pPr>
              <w:jc w:val="right"/>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-11.1</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GDP per capita (US$)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6,738</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6,994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7,103</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6,238</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6,768</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20"/>
                <w:szCs w:val="20"/>
                <w:color w:val="auto"/>
              </w:rPr>
            </w:pPr>
            <w:r>
              <w:rPr>
                <w:rFonts w:ascii="Arial" w:cs="Arial" w:eastAsia="Arial" w:hAnsi="Arial"/>
                <w:sz w:val="17"/>
                <w:szCs w:val="17"/>
                <w:color w:val="auto"/>
              </w:rPr>
              <w:t>Domestic demand (% change)</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1.5</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4.2</w:t>
            </w:r>
          </w:p>
        </w:tc>
        <w:tc>
          <w:tcPr>
            <w:tcW w:w="114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-9.8</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fixed investment (as % GDP)</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20.6</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18.8</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20"/>
                <w:szCs w:val="20"/>
                <w:color w:val="auto"/>
              </w:rPr>
            </w:pPr>
            <w:r>
              <w:rPr>
                <w:rFonts w:ascii="Arial" w:cs="Arial" w:eastAsia="Arial" w:hAnsi="Arial"/>
                <w:sz w:val="17"/>
                <w:szCs w:val="17"/>
                <w:color w:val="auto"/>
              </w:rPr>
              <w:t>Public Debt (as % GDP)</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24.9</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25.7</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26.8</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35.0</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52"/>
        </w:trPr>
        <w:tc>
          <w:tcPr>
            <w:tcW w:w="4500" w:type="dxa"/>
            <w:vAlign w:val="bottom"/>
            <w:gridSpan w:val="2"/>
            <w:shd w:val="clear" w:color="auto" w:fill="CCEEFF"/>
          </w:tcPr>
          <w:p>
            <w:pPr>
              <w:spacing w:after="0" w:line="251" w:lineRule="exact"/>
              <w:rPr>
                <w:sz w:val="20"/>
                <w:szCs w:val="20"/>
                <w:color w:val="auto"/>
              </w:rPr>
            </w:pPr>
            <w:r>
              <w:rPr>
                <w:rFonts w:ascii="Arial" w:cs="Arial" w:eastAsia="Arial" w:hAnsi="Arial"/>
                <w:sz w:val="17"/>
                <w:szCs w:val="17"/>
                <w:color w:val="auto"/>
              </w:rPr>
              <w:t xml:space="preserve">System loan growth (% change) </w:t>
            </w:r>
            <w:r>
              <w:rPr>
                <w:rFonts w:ascii="Arial" w:cs="Arial" w:eastAsia="Arial" w:hAnsi="Arial"/>
                <w:sz w:val="27"/>
                <w:szCs w:val="27"/>
                <w:color w:val="auto"/>
                <w:vertAlign w:val="superscript"/>
              </w:rPr>
              <w:t>(1)</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line="251" w:lineRule="exact"/>
              <w:rPr>
                <w:sz w:val="20"/>
                <w:szCs w:val="20"/>
                <w:color w:val="auto"/>
              </w:rPr>
            </w:pPr>
            <w:r>
              <w:rPr>
                <w:rFonts w:ascii="Arial" w:cs="Arial" w:eastAsia="Arial" w:hAnsi="Arial"/>
                <w:sz w:val="17"/>
                <w:szCs w:val="17"/>
                <w:color w:val="auto"/>
              </w:rPr>
              <w:t xml:space="preserve">Inflation </w:t>
            </w:r>
            <w:r>
              <w:rPr>
                <w:rFonts w:ascii="Arial" w:cs="Arial" w:eastAsia="Arial" w:hAnsi="Arial"/>
                <w:sz w:val="27"/>
                <w:szCs w:val="27"/>
                <w:color w:val="auto"/>
                <w:vertAlign w:val="superscript"/>
              </w:rPr>
              <w:t>(2)</w:t>
            </w: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500" w:type="dxa"/>
            <w:vAlign w:val="bottom"/>
            <w:gridSpan w:val="2"/>
            <w:vMerge w:val="continue"/>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1.4</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2.2</w:t>
            </w:r>
          </w:p>
        </w:tc>
        <w:tc>
          <w:tcPr>
            <w:tcW w:w="114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2.0</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4"/>
        </w:trPr>
        <w:tc>
          <w:tcPr>
            <w:tcW w:w="450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Reference Rate</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3.25</w:t>
            </w: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2.75</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2.25</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0.25</w:t>
            </w: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0.25</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Exchange rate, end of period</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3.24</w:t>
            </w:r>
          </w:p>
        </w:tc>
        <w:tc>
          <w:tcPr>
            <w:tcW w:w="2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3.37</w:t>
            </w:r>
          </w:p>
        </w:tc>
        <w:tc>
          <w:tcPr>
            <w:tcW w:w="2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3.31</w:t>
            </w:r>
          </w:p>
        </w:tc>
        <w:tc>
          <w:tcPr>
            <w:tcW w:w="24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3.62</w:t>
            </w:r>
          </w:p>
        </w:tc>
        <w:tc>
          <w:tcPr>
            <w:tcW w:w="26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3.45 - 3.50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Exchange rate, (% change)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94"/>
        </w:trPr>
        <w:tc>
          <w:tcPr>
            <w:tcW w:w="4500" w:type="dxa"/>
            <w:vAlign w:val="bottom"/>
            <w:tcBorders>
              <w:bottom w:val="single" w:sz="8" w:color="CCEEFF"/>
            </w:tcBorders>
            <w:gridSpan w:val="2"/>
          </w:tcPr>
          <w:p>
            <w:pPr>
              <w:spacing w:after="0" w:line="194" w:lineRule="exact"/>
              <w:rPr>
                <w:sz w:val="20"/>
                <w:szCs w:val="20"/>
                <w:color w:val="auto"/>
              </w:rPr>
            </w:pPr>
            <w:r>
              <w:rPr>
                <w:rFonts w:ascii="Arial" w:cs="Arial" w:eastAsia="Arial" w:hAnsi="Arial"/>
                <w:sz w:val="17"/>
                <w:szCs w:val="17"/>
                <w:color w:val="auto"/>
              </w:rPr>
              <w:t>Fiscal balance (% GDP)</w:t>
            </w: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-3.1</w:t>
            </w:r>
          </w:p>
        </w:tc>
        <w:tc>
          <w:tcPr>
            <w:tcW w:w="26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w:t>
            </w:r>
          </w:p>
        </w:tc>
        <w:tc>
          <w:tcPr>
            <w:tcW w:w="2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w:t>
            </w:r>
          </w:p>
        </w:tc>
        <w:tc>
          <w:tcPr>
            <w:tcW w:w="2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-8.9</w:t>
            </w:r>
          </w:p>
        </w:tc>
        <w:tc>
          <w:tcPr>
            <w:tcW w:w="26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-5.5</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Trade balance (US$ Millions)</w:t>
            </w:r>
          </w:p>
        </w:tc>
        <w:tc>
          <w:tcPr>
            <w:tcW w:w="1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6,700</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7,197</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6,614</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7,750</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12,500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20"/>
                <w:szCs w:val="20"/>
                <w:color w:val="auto"/>
              </w:rPr>
            </w:pPr>
            <w:r>
              <w:rPr>
                <w:rFonts w:ascii="Arial" w:cs="Arial" w:eastAsia="Arial" w:hAnsi="Arial"/>
                <w:sz w:val="17"/>
                <w:szCs w:val="17"/>
                <w:color w:val="auto"/>
              </w:rPr>
              <w:t>(As % GDP)</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3.1%</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3.8%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Exports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45,422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49,066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47,688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42,413</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53,000</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20"/>
                <w:szCs w:val="20"/>
                <w:color w:val="auto"/>
              </w:rPr>
            </w:pPr>
            <w:r>
              <w:rPr>
                <w:rFonts w:ascii="Arial" w:cs="Arial" w:eastAsia="Arial" w:hAnsi="Arial"/>
                <w:sz w:val="17"/>
                <w:szCs w:val="17"/>
                <w:color w:val="auto"/>
              </w:rPr>
              <w:t>Imports</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38,722</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41,870</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41,074</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34,663</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40,500</w:t>
            </w: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account balance (As % GDP)</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20"/>
                <w:szCs w:val="20"/>
                <w:color w:val="auto"/>
              </w:rPr>
            </w:pPr>
            <w:r>
              <w:rPr>
                <w:rFonts w:ascii="Arial" w:cs="Arial" w:eastAsia="Arial" w:hAnsi="Arial"/>
                <w:sz w:val="17"/>
                <w:szCs w:val="17"/>
                <w:color w:val="auto"/>
              </w:rPr>
              <w:t>Net international reserves (US$ Millions)</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63,621</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60,121</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68,316</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74,707</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74,500</w:t>
            </w: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 % GDP)</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14"/>
        </w:trPr>
        <w:tc>
          <w:tcPr>
            <w:tcW w:w="4500" w:type="dxa"/>
            <w:vAlign w:val="bottom"/>
            <w:gridSpan w:val="2"/>
          </w:tcPr>
          <w:p>
            <w:pPr>
              <w:spacing w:after="0"/>
              <w:rPr>
                <w:sz w:val="20"/>
                <w:szCs w:val="20"/>
                <w:color w:val="auto"/>
              </w:rPr>
            </w:pPr>
            <w:r>
              <w:rPr>
                <w:rFonts w:ascii="Arial" w:cs="Arial" w:eastAsia="Arial" w:hAnsi="Arial"/>
                <w:sz w:val="17"/>
                <w:szCs w:val="17"/>
                <w:color w:val="auto"/>
              </w:rPr>
              <w:t>(As months of imports)</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20</w:t>
            </w:r>
          </w:p>
        </w:tc>
        <w:tc>
          <w:tcPr>
            <w:tcW w:w="1120" w:type="dxa"/>
            <w:vAlign w:val="bottom"/>
          </w:tcPr>
          <w:p>
            <w:pPr>
              <w:jc w:val="right"/>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26</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Sources: INEI, BCRP y SBS.</w:t>
      </w:r>
    </w:p>
    <w:p>
      <w:pPr>
        <w:spacing w:after="0" w:line="18" w:lineRule="exact"/>
        <w:rPr>
          <w:sz w:val="20"/>
          <w:szCs w:val="20"/>
          <w:color w:val="auto"/>
        </w:rPr>
      </w:pPr>
    </w:p>
    <w:p>
      <w:pPr>
        <w:ind w:left="240" w:hanging="239"/>
        <w:spacing w:after="0"/>
        <w:tabs>
          <w:tab w:leader="none" w:pos="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Financial System, Current Exchange Rate</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Inflation target: 1% - 3%</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Estimates by BCP Economic Research as of April 2021.</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10.2. Main Economic Variables</w:t>
      </w:r>
    </w:p>
    <w:p>
      <w:pPr>
        <w:spacing w:after="0" w:line="208"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Gross Domestic Product</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(Annual Variations, %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132080</wp:posOffset>
            </wp:positionV>
            <wp:extent cx="3119120" cy="141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9120" cy="1415415"/>
                    </a:xfrm>
                    <a:prstGeom prst="rect">
                      <a:avLst/>
                    </a:prstGeom>
                    <a:noFill/>
                  </pic:spPr>
                </pic:pic>
              </a:graphicData>
            </a:graphic>
          </wp:anchor>
        </w:drawing>
      </w:r>
    </w:p>
    <w:p>
      <w:pPr>
        <w:spacing w:after="0" w:line="377" w:lineRule="exact"/>
        <w:rPr>
          <w:sz w:val="20"/>
          <w:szCs w:val="20"/>
          <w:color w:val="auto"/>
        </w:rPr>
      </w:pPr>
    </w:p>
    <w:p>
      <w:pPr>
        <w:ind w:left="6460" w:hanging="299"/>
        <w:spacing w:after="0" w:line="269" w:lineRule="auto"/>
        <w:tabs>
          <w:tab w:leader="none" w:pos="6440" w:val="left"/>
        </w:tabs>
        <w:rPr>
          <w:sz w:val="20"/>
          <w:szCs w:val="20"/>
          <w:color w:val="auto"/>
        </w:rPr>
      </w:pPr>
      <w:r>
        <w:rPr>
          <w:rFonts w:ascii="Arial" w:cs="Arial" w:eastAsia="Arial" w:hAnsi="Arial"/>
          <w:sz w:val="17"/>
          <w:szCs w:val="17"/>
          <w:color w:val="auto"/>
        </w:rPr>
        <w:t>•</w:t>
        <w:tab/>
        <w:t>Despite a focalized lockdown, GDP registered a notable recovery during the first quarter of 2021.</w:t>
      </w:r>
    </w:p>
    <w:p>
      <w:pPr>
        <w:spacing w:after="0" w:line="166" w:lineRule="exact"/>
        <w:rPr>
          <w:sz w:val="20"/>
          <w:szCs w:val="20"/>
          <w:color w:val="auto"/>
        </w:rPr>
      </w:pPr>
    </w:p>
    <w:p>
      <w:pPr>
        <w:ind w:left="6460" w:right="20" w:hanging="299"/>
        <w:spacing w:after="0" w:line="301" w:lineRule="auto"/>
        <w:tabs>
          <w:tab w:leader="none" w:pos="6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After contracting 4.2% YoY in February, for March our estimates suggest that economic activity will rebound close to 20% YoY</w:t>
      </w:r>
    </w:p>
    <w:p>
      <w:pPr>
        <w:spacing w:after="0" w:line="143" w:lineRule="exact"/>
        <w:rPr>
          <w:sz w:val="20"/>
          <w:szCs w:val="20"/>
          <w:color w:val="auto"/>
        </w:rPr>
      </w:pPr>
    </w:p>
    <w:p>
      <w:pPr>
        <w:ind w:left="6160"/>
        <w:spacing w:after="0"/>
        <w:tabs>
          <w:tab w:leader="none" w:pos="6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In March, electricity demand increased 15.5% YoY (61-months peak)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Source: INEI</w:t>
      </w:r>
    </w:p>
    <w:p>
      <w:pPr>
        <w:spacing w:after="0" w:line="233" w:lineRule="exact"/>
        <w:rPr>
          <w:sz w:val="20"/>
          <w:szCs w:val="20"/>
          <w:color w:val="auto"/>
        </w:rPr>
      </w:pPr>
    </w:p>
    <w:p>
      <w:pPr>
        <w:ind w:left="600" w:hanging="297"/>
        <w:spacing w:after="0"/>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Strong rebounds were observed in the following indicators when compared to February:</w:t>
      </w:r>
    </w:p>
    <w:p>
      <w:pPr>
        <w:spacing w:after="0" w:line="207" w:lineRule="exact"/>
        <w:rPr>
          <w:rFonts w:ascii="Arial" w:cs="Arial" w:eastAsia="Arial" w:hAnsi="Arial"/>
          <w:sz w:val="17"/>
          <w:szCs w:val="17"/>
          <w:color w:val="auto"/>
        </w:rPr>
      </w:pPr>
    </w:p>
    <w:p>
      <w:pPr>
        <w:ind w:left="1080" w:hanging="298"/>
        <w:spacing w:after="0"/>
        <w:tabs>
          <w:tab w:leader="none" w:pos="10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Public investment of the general government, +122% YoY vs February +11%.</w:t>
      </w:r>
    </w:p>
    <w:p>
      <w:pPr>
        <w:spacing w:after="0" w:line="18" w:lineRule="exact"/>
        <w:rPr>
          <w:rFonts w:ascii="Arial" w:cs="Arial" w:eastAsia="Arial" w:hAnsi="Arial"/>
          <w:sz w:val="17"/>
          <w:szCs w:val="17"/>
          <w:color w:val="auto"/>
        </w:rPr>
      </w:pPr>
    </w:p>
    <w:p>
      <w:pPr>
        <w:ind w:left="1080" w:hanging="298"/>
        <w:spacing w:after="0"/>
        <w:tabs>
          <w:tab w:leader="none" w:pos="10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Domestic VAT revenues, +33% YoY vs February +6%.</w:t>
      </w:r>
    </w:p>
    <w:p>
      <w:pPr>
        <w:spacing w:after="0" w:line="6" w:lineRule="exact"/>
        <w:rPr>
          <w:rFonts w:ascii="Arial" w:cs="Arial" w:eastAsia="Arial" w:hAnsi="Arial"/>
          <w:sz w:val="17"/>
          <w:szCs w:val="17"/>
          <w:color w:val="auto"/>
        </w:rPr>
      </w:pPr>
    </w:p>
    <w:p>
      <w:pPr>
        <w:ind w:left="1080" w:hanging="298"/>
        <w:spacing w:after="0"/>
        <w:tabs>
          <w:tab w:leader="none" w:pos="10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Domestic cement consumption, +145% YoY vs February +15%</w:t>
      </w:r>
    </w:p>
    <w:p>
      <w:pPr>
        <w:spacing w:after="0" w:line="195" w:lineRule="exact"/>
        <w:rPr>
          <w:rFonts w:ascii="Arial" w:cs="Arial" w:eastAsia="Arial" w:hAnsi="Arial"/>
          <w:sz w:val="17"/>
          <w:szCs w:val="17"/>
          <w:color w:val="auto"/>
        </w:rPr>
      </w:pPr>
    </w:p>
    <w:p>
      <w:pPr>
        <w:ind w:left="600" w:hanging="297"/>
        <w:spacing w:after="0"/>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GDP expanded close to 4% YoY in 1Q21, the first positive print in 5 quarters.</w:t>
      </w:r>
    </w:p>
    <w:p>
      <w:pPr>
        <w:spacing w:after="0" w:line="207"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2Q21, a noteworthy rebound of annual growth rates is expected due to an extremely low base-effect (GDP contracted 30% YoY in 2Q20 amid the nationwide lockdown of last year).</w:t>
      </w:r>
    </w:p>
    <w:p>
      <w:pPr>
        <w:spacing w:after="0" w:line="16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8" w:name="page59"/>
    <w:bookmarkEnd w:id="58"/>
    <w:p>
      <w:pPr>
        <w:jc w:val="center"/>
        <w:ind w:left="580"/>
        <w:spacing w:after="0"/>
        <w:rPr>
          <w:sz w:val="20"/>
          <w:szCs w:val="20"/>
          <w:color w:val="auto"/>
        </w:rPr>
      </w:pPr>
      <w:r>
        <w:rPr>
          <w:rFonts w:ascii="Arial" w:cs="Arial" w:eastAsia="Arial" w:hAnsi="Arial"/>
          <w:sz w:val="17"/>
          <w:szCs w:val="17"/>
          <w:b w:val="1"/>
          <w:bCs w:val="1"/>
          <w:color w:val="auto"/>
        </w:rPr>
        <w:t>Inflation and Monetary Policy Rate (%)</w:t>
      </w:r>
    </w:p>
    <w:p>
      <w:pPr>
        <w:spacing w:after="0" w:line="212" w:lineRule="exact"/>
        <w:rPr>
          <w:sz w:val="20"/>
          <w:szCs w:val="20"/>
          <w:color w:val="auto"/>
        </w:rPr>
      </w:pPr>
    </w:p>
    <w:p>
      <w:pPr>
        <w:jc w:val="both"/>
        <w:ind w:left="6280" w:right="20" w:hanging="299"/>
        <w:spacing w:after="0" w:line="308" w:lineRule="auto"/>
        <w:tabs>
          <w:tab w:leader="none" w:pos="62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headline inflation rate closed at 2.6% YoY for the first quarter of 2021(4Q20: 2.0%). This represented the highest level in 22 months but was nonetheless within the Central Bank’s target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-413385</wp:posOffset>
            </wp:positionV>
            <wp:extent cx="3119120" cy="13512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19120" cy="1351280"/>
                    </a:xfrm>
                    <a:prstGeom prst="rect">
                      <a:avLst/>
                    </a:prstGeom>
                    <a:noFill/>
                  </pic:spPr>
                </pic:pic>
              </a:graphicData>
            </a:graphic>
          </wp:anchor>
        </w:drawing>
      </w:r>
    </w:p>
    <w:p>
      <w:pPr>
        <w:spacing w:after="0" w:line="122" w:lineRule="exact"/>
        <w:rPr>
          <w:sz w:val="20"/>
          <w:szCs w:val="20"/>
          <w:color w:val="auto"/>
        </w:rPr>
      </w:pPr>
    </w:p>
    <w:p>
      <w:pPr>
        <w:jc w:val="both"/>
        <w:ind w:left="6280" w:right="20" w:hanging="299"/>
        <w:spacing w:after="0" w:line="269" w:lineRule="auto"/>
        <w:tabs>
          <w:tab w:leader="none" w:pos="6260" w:val="left"/>
        </w:tabs>
        <w:rPr>
          <w:sz w:val="20"/>
          <w:szCs w:val="20"/>
          <w:color w:val="auto"/>
        </w:rPr>
      </w:pPr>
      <w:r>
        <w:rPr>
          <w:rFonts w:ascii="Arial" w:cs="Arial" w:eastAsia="Arial" w:hAnsi="Arial"/>
          <w:sz w:val="17"/>
          <w:szCs w:val="17"/>
          <w:color w:val="auto"/>
        </w:rPr>
        <w:t>•</w:t>
        <w:tab/>
        <w:t>Core inflation (excluding food and energy) situated at 1.8% YoY, registering 13 consecutive months below 2%.</w:t>
      </w:r>
    </w:p>
    <w:p>
      <w:pPr>
        <w:spacing w:after="0" w:line="166" w:lineRule="exact"/>
        <w:rPr>
          <w:sz w:val="20"/>
          <w:szCs w:val="20"/>
          <w:color w:val="auto"/>
        </w:rPr>
      </w:pPr>
    </w:p>
    <w:p>
      <w:pPr>
        <w:ind w:left="5980"/>
        <w:spacing w:after="0"/>
        <w:tabs>
          <w:tab w:leader="none" w:pos="6260" w:val="left"/>
        </w:tabs>
        <w:rPr>
          <w:sz w:val="20"/>
          <w:szCs w:val="20"/>
          <w:color w:val="auto"/>
        </w:rPr>
      </w:pPr>
      <w:r>
        <w:rPr>
          <w:rFonts w:ascii="Arial" w:cs="Arial" w:eastAsia="Arial" w:hAnsi="Arial"/>
          <w:sz w:val="17"/>
          <w:szCs w:val="17"/>
          <w:color w:val="auto"/>
        </w:rPr>
        <w:t>•</w:t>
        <w:tab/>
        <w:t>The reference rate has remained at 0.25% since April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Fuente: INEI, BCRP</w:t>
      </w:r>
    </w:p>
    <w:p>
      <w:pPr>
        <w:spacing w:after="0" w:line="233" w:lineRule="exact"/>
        <w:rPr>
          <w:sz w:val="20"/>
          <w:szCs w:val="20"/>
          <w:color w:val="auto"/>
        </w:rPr>
      </w:pPr>
    </w:p>
    <w:p>
      <w:pPr>
        <w:jc w:val="both"/>
        <w:ind w:left="420" w:hanging="297"/>
        <w:spacing w:after="0" w:line="258" w:lineRule="auto"/>
        <w:tabs>
          <w:tab w:leader="none" w:pos="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the last monetary policy meeting of April 2021, the Central Bank stressed that “the Board considers it appropriate to maintain a strong monetary stimulus for a prolonged period or for as long as the negative effects on inflation and its determinants persist. The Central Bank remains vigilant to increase monetary stimulus through several mechanisms”.</w:t>
      </w:r>
    </w:p>
    <w:p>
      <w:pPr>
        <w:spacing w:after="0" w:line="175" w:lineRule="exact"/>
        <w:rPr>
          <w:rFonts w:ascii="Arial" w:cs="Arial" w:eastAsia="Arial" w:hAnsi="Arial"/>
          <w:sz w:val="17"/>
          <w:szCs w:val="17"/>
          <w:color w:val="auto"/>
        </w:rPr>
      </w:pPr>
    </w:p>
    <w:p>
      <w:pPr>
        <w:ind w:left="420" w:hanging="297"/>
        <w:spacing w:after="0" w:line="269" w:lineRule="auto"/>
        <w:tabs>
          <w:tab w:leader="none" w:pos="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Regarding Reactiva Perú, as of the end of the first quarter of 2021, repo operations with state guarantee that have been liquidated stood at PEN 49.9 billion (2020: PEN 50.7 billion).</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Fiscal Result and Current Account Balance</w:t>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 of GDP, Quarter)</w:t>
      </w:r>
    </w:p>
    <w:p>
      <w:pPr>
        <w:spacing w:after="0" w:line="195" w:lineRule="exact"/>
        <w:rPr>
          <w:sz w:val="20"/>
          <w:szCs w:val="20"/>
          <w:color w:val="auto"/>
        </w:rPr>
      </w:pPr>
    </w:p>
    <w:p>
      <w:pPr>
        <w:ind w:left="5980"/>
        <w:spacing w:after="0"/>
        <w:tabs>
          <w:tab w:leader="none" w:pos="6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fiscal deficit represented 8.7% of GDP in 1Q21 (2020: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3119120" cy="17272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19120" cy="1727200"/>
                    </a:xfrm>
                    <a:prstGeom prst="rect">
                      <a:avLst/>
                    </a:prstGeom>
                    <a:noFill/>
                  </pic:spPr>
                </pic:pic>
              </a:graphicData>
            </a:graphic>
          </wp:anchor>
        </w:drawing>
      </w:r>
    </w:p>
    <w:p>
      <w:pPr>
        <w:spacing w:after="0" w:line="199" w:lineRule="exact"/>
        <w:rPr>
          <w:sz w:val="20"/>
          <w:szCs w:val="20"/>
          <w:color w:val="auto"/>
        </w:rPr>
      </w:pPr>
    </w:p>
    <w:p>
      <w:pPr>
        <w:ind w:left="5980"/>
        <w:spacing w:after="0"/>
        <w:tabs>
          <w:tab w:leader="none" w:pos="6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In the first quarter of 2021, fiscal revenues grew 13% YoY (4Q20:</w:t>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-3%) due to a:</w:t>
      </w:r>
    </w:p>
    <w:p>
      <w:pPr>
        <w:spacing w:after="0" w:line="195" w:lineRule="exact"/>
        <w:rPr>
          <w:sz w:val="20"/>
          <w:szCs w:val="20"/>
          <w:color w:val="auto"/>
        </w:rPr>
      </w:pPr>
    </w:p>
    <w:p>
      <w:pPr>
        <w:ind w:left="6580"/>
        <w:spacing w:after="0"/>
        <w:tabs>
          <w:tab w:leader="none" w:pos="6860" w:val="left"/>
        </w:tabs>
        <w:rPr>
          <w:sz w:val="20"/>
          <w:szCs w:val="20"/>
          <w:color w:val="auto"/>
        </w:rPr>
      </w:pPr>
      <w:r>
        <w:rPr>
          <w:rFonts w:ascii="Arial" w:cs="Arial" w:eastAsia="Arial" w:hAnsi="Arial"/>
          <w:sz w:val="17"/>
          <w:szCs w:val="17"/>
          <w:color w:val="auto"/>
        </w:rPr>
        <w:t>a.</w:t>
        <w:tab/>
        <w:t>Higher VAT revenues (+17% YoY).</w:t>
      </w:r>
    </w:p>
    <w:p>
      <w:pPr>
        <w:spacing w:after="0" w:line="18" w:lineRule="exact"/>
        <w:rPr>
          <w:sz w:val="20"/>
          <w:szCs w:val="20"/>
          <w:color w:val="auto"/>
        </w:rPr>
      </w:pPr>
    </w:p>
    <w:p>
      <w:pPr>
        <w:ind w:left="6580"/>
        <w:spacing w:after="0"/>
        <w:tabs>
          <w:tab w:leader="none" w:pos="6860" w:val="left"/>
        </w:tabs>
        <w:rPr>
          <w:sz w:val="20"/>
          <w:szCs w:val="20"/>
          <w:color w:val="auto"/>
        </w:rPr>
      </w:pPr>
      <w:r>
        <w:rPr>
          <w:rFonts w:ascii="Arial" w:cs="Arial" w:eastAsia="Arial" w:hAnsi="Arial"/>
          <w:sz w:val="17"/>
          <w:szCs w:val="17"/>
          <w:color w:val="auto"/>
        </w:rPr>
        <w:t>b.</w:t>
        <w:tab/>
        <w:t>An increase in Income Tax revenues (+19% YoY.</w:t>
      </w:r>
    </w:p>
    <w:p>
      <w:pPr>
        <w:spacing w:after="0" w:line="195" w:lineRule="exact"/>
        <w:rPr>
          <w:sz w:val="20"/>
          <w:szCs w:val="20"/>
          <w:color w:val="auto"/>
        </w:rPr>
      </w:pPr>
    </w:p>
    <w:p>
      <w:pPr>
        <w:ind w:left="6280" w:right="20" w:hanging="299"/>
        <w:spacing w:after="0" w:line="269" w:lineRule="auto"/>
        <w:tabs>
          <w:tab w:leader="none" w:pos="6260" w:val="left"/>
        </w:tabs>
        <w:rPr>
          <w:sz w:val="20"/>
          <w:szCs w:val="20"/>
          <w:color w:val="auto"/>
        </w:rPr>
      </w:pPr>
      <w:r>
        <w:rPr>
          <w:rFonts w:ascii="Arial" w:cs="Arial" w:eastAsia="Arial" w:hAnsi="Arial"/>
          <w:sz w:val="17"/>
          <w:szCs w:val="17"/>
          <w:color w:val="auto"/>
        </w:rPr>
        <w:t>•</w:t>
        <w:tab/>
        <w:t>In the first quarter of 2021, non-financial government spending increased 22% YoY.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*BCP estimates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Source: Central Bank</w:t>
      </w:r>
    </w:p>
    <w:p>
      <w:pPr>
        <w:spacing w:after="0" w:line="200" w:lineRule="exact"/>
        <w:rPr>
          <w:sz w:val="20"/>
          <w:szCs w:val="20"/>
          <w:color w:val="auto"/>
        </w:rPr>
      </w:pPr>
    </w:p>
    <w:p>
      <w:pPr>
        <w:spacing w:after="0" w:line="222" w:lineRule="exact"/>
        <w:rPr>
          <w:sz w:val="20"/>
          <w:szCs w:val="20"/>
          <w:color w:val="auto"/>
        </w:rPr>
      </w:pPr>
    </w:p>
    <w:p>
      <w:pPr>
        <w:ind w:left="420" w:hanging="297"/>
        <w:spacing w:after="0"/>
        <w:tabs>
          <w:tab w:leader="none" w:pos="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Current spending rose 16% YoY through an increase in transfers (+29%) and in spending on goods and services (+22%),</w:t>
      </w:r>
    </w:p>
    <w:p>
      <w:pPr>
        <w:spacing w:after="0" w:line="207" w:lineRule="exact"/>
        <w:rPr>
          <w:rFonts w:ascii="Arial" w:cs="Arial" w:eastAsia="Arial" w:hAnsi="Arial"/>
          <w:sz w:val="17"/>
          <w:szCs w:val="17"/>
          <w:color w:val="auto"/>
        </w:rPr>
      </w:pPr>
    </w:p>
    <w:p>
      <w:pPr>
        <w:ind w:left="420" w:hanging="297"/>
        <w:spacing w:after="0"/>
        <w:tabs>
          <w:tab w:leader="none" w:pos="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Public investment of the general government advanced 43% YoY</w:t>
      </w:r>
    </w:p>
    <w:p>
      <w:pPr>
        <w:spacing w:after="0" w:line="207" w:lineRule="exact"/>
        <w:rPr>
          <w:rFonts w:ascii="Arial" w:cs="Arial" w:eastAsia="Arial" w:hAnsi="Arial"/>
          <w:sz w:val="17"/>
          <w:szCs w:val="17"/>
          <w:color w:val="auto"/>
        </w:rPr>
      </w:pPr>
    </w:p>
    <w:p>
      <w:pPr>
        <w:ind w:left="420" w:hanging="297"/>
        <w:spacing w:after="0"/>
        <w:tabs>
          <w:tab w:leader="none" w:pos="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the first week of March 2021, Peru issued bonds for USD 4 billion in three tranches:</w:t>
      </w:r>
    </w:p>
    <w:p>
      <w:pPr>
        <w:spacing w:after="0" w:line="207" w:lineRule="exact"/>
        <w:rPr>
          <w:rFonts w:ascii="Arial" w:cs="Arial" w:eastAsia="Arial" w:hAnsi="Arial"/>
          <w:sz w:val="17"/>
          <w:szCs w:val="17"/>
          <w:color w:val="auto"/>
        </w:rPr>
      </w:pPr>
    </w:p>
    <w:p>
      <w:pPr>
        <w:ind w:left="1020" w:hanging="292"/>
        <w:spacing w:after="0"/>
        <w:tabs>
          <w:tab w:leader="none" w:pos="10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$1,750 million, tapping into Global bond 2032 with a coupon rate of 2.78%</w:t>
      </w:r>
    </w:p>
    <w:p>
      <w:pPr>
        <w:spacing w:after="0" w:line="18" w:lineRule="exact"/>
        <w:rPr>
          <w:rFonts w:ascii="Arial" w:cs="Arial" w:eastAsia="Arial" w:hAnsi="Arial"/>
          <w:sz w:val="17"/>
          <w:szCs w:val="17"/>
          <w:color w:val="auto"/>
        </w:rPr>
      </w:pPr>
    </w:p>
    <w:p>
      <w:pPr>
        <w:ind w:left="1020" w:hanging="292"/>
        <w:spacing w:after="0"/>
        <w:tabs>
          <w:tab w:leader="none" w:pos="10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$1,250 million million with a 20-year tenor and a coupon rate 3.30%</w:t>
      </w:r>
    </w:p>
    <w:p>
      <w:pPr>
        <w:spacing w:after="0" w:line="6" w:lineRule="exact"/>
        <w:rPr>
          <w:rFonts w:ascii="Arial" w:cs="Arial" w:eastAsia="Arial" w:hAnsi="Arial"/>
          <w:sz w:val="17"/>
          <w:szCs w:val="17"/>
          <w:color w:val="auto"/>
        </w:rPr>
      </w:pPr>
    </w:p>
    <w:p>
      <w:pPr>
        <w:ind w:left="1020" w:hanging="292"/>
        <w:spacing w:after="0"/>
        <w:tabs>
          <w:tab w:leader="none" w:pos="10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S1,000 million million with a 30-year tenor and a coupon rate 3.55%</w:t>
      </w:r>
    </w:p>
    <w:p>
      <w:pPr>
        <w:spacing w:after="0" w:line="195" w:lineRule="exact"/>
        <w:rPr>
          <w:rFonts w:ascii="Arial" w:cs="Arial" w:eastAsia="Arial" w:hAnsi="Arial"/>
          <w:sz w:val="17"/>
          <w:szCs w:val="17"/>
          <w:color w:val="auto"/>
        </w:rPr>
      </w:pPr>
    </w:p>
    <w:p>
      <w:pPr>
        <w:ind w:left="420" w:hanging="297"/>
        <w:spacing w:after="0"/>
        <w:tabs>
          <w:tab w:leader="none" w:pos="4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Peru also issued another bond for EUR 825 million with a 12-year tenor and a coupon rate of 1.25%. Total demand for this issuance exceeded US$ 10 billion.</w:t>
      </w:r>
    </w:p>
    <w:p>
      <w:pPr>
        <w:spacing w:after="0" w:line="230" w:lineRule="exact"/>
        <w:rPr>
          <w:rFonts w:ascii="Arial" w:cs="Arial" w:eastAsia="Arial" w:hAnsi="Arial"/>
          <w:sz w:val="15"/>
          <w:szCs w:val="15"/>
          <w:color w:val="auto"/>
        </w:rPr>
      </w:pPr>
    </w:p>
    <w:p>
      <w:pPr>
        <w:ind w:left="420" w:hanging="297"/>
        <w:spacing w:after="0"/>
        <w:tabs>
          <w:tab w:leader="none" w:pos="4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January-February 2021, the trade balance posted a surplus of US$ 1,927 million, 120% above the figure recorded for the same period last year.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11430</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60"/>
          </w:cols>
          <w:pgMar w:left="500" w:top="652" w:right="339" w:bottom="1440" w:gutter="0" w:footer="0" w:header="0"/>
        </w:sectPr>
      </w:pPr>
    </w:p>
    <w:bookmarkStart w:id="59" w:name="page60"/>
    <w:bookmarkEnd w:id="59"/>
    <w:p>
      <w:pPr>
        <w:jc w:val="center"/>
        <w:ind w:right="180"/>
        <w:spacing w:after="0"/>
        <w:rPr>
          <w:sz w:val="20"/>
          <w:szCs w:val="20"/>
          <w:color w:val="auto"/>
        </w:rPr>
      </w:pPr>
      <w:r>
        <w:rPr>
          <w:rFonts w:ascii="Arial" w:cs="Arial" w:eastAsia="Arial" w:hAnsi="Arial"/>
          <w:sz w:val="17"/>
          <w:szCs w:val="17"/>
          <w:b w:val="1"/>
          <w:bCs w:val="1"/>
          <w:color w:val="auto"/>
        </w:rPr>
        <w:t>Exchange rate</w:t>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(S/ por US$)</w:t>
      </w:r>
    </w:p>
    <w:p>
      <w:pPr>
        <w:spacing w:after="0" w:line="195" w:lineRule="exact"/>
        <w:rPr>
          <w:sz w:val="20"/>
          <w:szCs w:val="20"/>
          <w:color w:val="auto"/>
        </w:rPr>
      </w:pPr>
    </w:p>
    <w:p>
      <w:pPr>
        <w:jc w:val="both"/>
        <w:ind w:left="6280" w:hanging="299"/>
        <w:spacing w:after="0" w:line="301" w:lineRule="auto"/>
        <w:tabs>
          <w:tab w:leader="none" w:pos="6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exchange rate closed 1Q21 at USDPEN 3.757. Consequently, the Peruvian Sol depreciated 3.8% compared 2020’s closing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-284480</wp:posOffset>
            </wp:positionV>
            <wp:extent cx="3119120" cy="1815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19120" cy="1815465"/>
                    </a:xfrm>
                    <a:prstGeom prst="rect">
                      <a:avLst/>
                    </a:prstGeom>
                    <a:noFill/>
                  </pic:spPr>
                </pic:pic>
              </a:graphicData>
            </a:graphic>
          </wp:anchor>
        </w:drawing>
      </w:r>
    </w:p>
    <w:p>
      <w:pPr>
        <w:spacing w:after="0" w:line="123" w:lineRule="exact"/>
        <w:rPr>
          <w:sz w:val="20"/>
          <w:szCs w:val="20"/>
          <w:color w:val="auto"/>
        </w:rPr>
      </w:pPr>
    </w:p>
    <w:p>
      <w:pPr>
        <w:jc w:val="both"/>
        <w:ind w:left="6280" w:hanging="299"/>
        <w:spacing w:after="0" w:line="301" w:lineRule="auto"/>
        <w:tabs>
          <w:tab w:leader="none" w:pos="6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In 1Q21, the exchange rate reached a historical peak of USDPEN 3.77 in a context of high political uncertainty on the local scene.</w:t>
      </w:r>
    </w:p>
    <w:p>
      <w:pPr>
        <w:spacing w:after="0" w:line="143" w:lineRule="exact"/>
        <w:rPr>
          <w:sz w:val="20"/>
          <w:szCs w:val="20"/>
          <w:color w:val="auto"/>
        </w:rPr>
      </w:pPr>
    </w:p>
    <w:p>
      <w:pPr>
        <w:jc w:val="both"/>
        <w:ind w:left="6280" w:hanging="299"/>
        <w:spacing w:after="0" w:line="258" w:lineRule="auto"/>
        <w:tabs>
          <w:tab w:leader="none" w:pos="6260" w:val="left"/>
        </w:tabs>
        <w:rPr>
          <w:sz w:val="20"/>
          <w:szCs w:val="20"/>
          <w:color w:val="auto"/>
        </w:rPr>
      </w:pPr>
      <w:r>
        <w:rPr>
          <w:rFonts w:ascii="Arial" w:cs="Arial" w:eastAsia="Arial" w:hAnsi="Arial"/>
          <w:sz w:val="17"/>
          <w:szCs w:val="17"/>
          <w:color w:val="auto"/>
        </w:rPr>
        <w:t>•</w:t>
        <w:tab/>
        <w:t>In the first quarter of 2021, the Central Bank made sales in the spot FX market for US$ 2,396 million (in March alone it sold US$ 1,147 million).</w:t>
      </w:r>
    </w:p>
    <w:p>
      <w:pPr>
        <w:spacing w:after="0" w:line="176" w:lineRule="exact"/>
        <w:rPr>
          <w:sz w:val="20"/>
          <w:szCs w:val="20"/>
          <w:color w:val="auto"/>
        </w:rPr>
      </w:pPr>
    </w:p>
    <w:p>
      <w:pPr>
        <w:jc w:val="both"/>
        <w:ind w:left="6280" w:hanging="299"/>
        <w:spacing w:after="0" w:line="299" w:lineRule="auto"/>
        <w:tabs>
          <w:tab w:leader="none" w:pos="62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BCRP used cross-currency swaps (sales) and BCRP readjustable deposit certificates to mitigate PEN depreciation. Outstanding cross-currency swaps stood at PEN 28,618 million (an almost 5-year peak), which represented an increase of PEN 20,483 million since end-2020.</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Source: SBS</w:t>
      </w:r>
    </w:p>
    <w:p>
      <w:pPr>
        <w:spacing w:after="0" w:line="233" w:lineRule="exact"/>
        <w:rPr>
          <w:sz w:val="20"/>
          <w:szCs w:val="20"/>
          <w:color w:val="auto"/>
        </w:rPr>
      </w:pPr>
    </w:p>
    <w:p>
      <w:pPr>
        <w:ind w:left="420" w:right="5860" w:hanging="297"/>
        <w:spacing w:after="0" w:line="269" w:lineRule="auto"/>
        <w:tabs>
          <w:tab w:leader="none" w:pos="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Net International Reserves closed 1Q21 at US$ 79.9 billion compared to US$ 74.7 billion at the end of 2020.</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11430</wp:posOffset>
            </wp:positionV>
            <wp:extent cx="7141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60"/>
          </w:cols>
          <w:pgMar w:left="500" w:top="652"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i w:val="1"/>
          <w:iCs w:val="1"/>
          <w:color w:val="auto"/>
        </w:rPr>
        <w:t>Safe Harbor for Forward-Looking Statements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76" w:lineRule="exact"/>
        <w:rPr>
          <w:sz w:val="20"/>
          <w:szCs w:val="20"/>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Economic conditions in Peru;</w:t>
      </w:r>
    </w:p>
    <w:p>
      <w:pPr>
        <w:spacing w:after="0" w:line="18"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occurrence of natural disasters or political or social instability in Peru;</w:t>
      </w:r>
    </w:p>
    <w:p>
      <w:pPr>
        <w:spacing w:after="0" w:line="6" w:lineRule="exact"/>
        <w:rPr>
          <w:rFonts w:ascii="Arial" w:cs="Arial" w:eastAsia="Arial" w:hAnsi="Arial"/>
          <w:sz w:val="17"/>
          <w:szCs w:val="17"/>
          <w:color w:val="auto"/>
        </w:rPr>
      </w:pPr>
    </w:p>
    <w:p>
      <w:pPr>
        <w:ind w:left="600" w:hanging="297"/>
        <w:spacing w:after="0" w:line="247" w:lineRule="auto"/>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adequacy of the dividends that our subsidiaries are able to pay to us, which may affect our ability to pay dividends to shareholders and corporate expenses;</w:t>
      </w: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Performance of, and volatility in, financial markets, including Latin-American and other markets;</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frequency, severity and types of insured loss events;</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Fluctuations in interest rate levels;</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Foreign currency exchange rates, including the Sol/US Dollar exchange rate;</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Deterioration in the quality of our loan portfolio;</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Increasing levels of competition in Peru and other markets in which we operate;</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Developments and changes in laws and regulations affecting the financial sector and adoption of new international guidelines;</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Changes in the policies of central banks and/or foreign governments;</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Effectiveness of our risk management policies and of our operational and security systems;</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Losses associated with counterparty exposures;</w:t>
      </w:r>
    </w:p>
    <w:p>
      <w:pPr>
        <w:spacing w:after="0" w:line="6" w:lineRule="exact"/>
        <w:rPr>
          <w:rFonts w:ascii="Arial" w:cs="Arial" w:eastAsia="Arial" w:hAnsi="Arial"/>
          <w:sz w:val="17"/>
          <w:szCs w:val="17"/>
          <w:color w:val="auto"/>
        </w:rPr>
      </w:pPr>
    </w:p>
    <w:p>
      <w:pPr>
        <w:ind w:left="600" w:hanging="297"/>
        <w:spacing w:after="0" w:line="247" w:lineRule="auto"/>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scope of the coronavirus (“COVID-19”) outbreak, actions taken to contain the COVID-19 and related economic effects from such actions and our ability to maintain adequate staffing; and</w:t>
      </w:r>
    </w:p>
    <w:p>
      <w:pPr>
        <w:ind w:left="600" w:hanging="297"/>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Changes in Bermuda laws and regulations applicable to so-called non-resident entities.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See “Item 3. Key Information—3.D Risk Factors” and “Item 5. Operating and Financial Review and Prospects” in our most recent Annual Report on Form 20-F filed with the U.S. Securities and Exchange Commission for additional information and other such factors.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18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81013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210" cy="8101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12.1. Credicorp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CREDICORP LTD. AND SUBSIDIARIES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S/ thousands, IFRS)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7"/>
                <w:szCs w:val="17"/>
                <w:b w:val="1"/>
                <w:bCs w:val="1"/>
                <w:color w:val="auto"/>
              </w:rPr>
              <w:t>As of</w:t>
            </w:r>
          </w:p>
        </w:tc>
        <w:tc>
          <w:tcPr>
            <w:tcW w:w="1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7"/>
                <w:szCs w:val="17"/>
                <w:b w:val="1"/>
                <w:bCs w:val="1"/>
                <w:color w:val="auto"/>
              </w:rPr>
              <w:t>% change</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406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Mar 2020</w:t>
            </w:r>
          </w:p>
        </w:tc>
        <w:tc>
          <w:tcPr>
            <w:tcW w:w="14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Dec 2020</w:t>
            </w:r>
          </w:p>
        </w:tc>
        <w:tc>
          <w:tcPr>
            <w:tcW w:w="1220" w:type="dxa"/>
            <w:vAlign w:val="bottom"/>
          </w:tcPr>
          <w:p>
            <w:pPr>
              <w:ind w:left="280"/>
              <w:spacing w:after="0"/>
              <w:rPr>
                <w:sz w:val="20"/>
                <w:szCs w:val="20"/>
                <w:color w:val="auto"/>
              </w:rPr>
            </w:pPr>
            <w:r>
              <w:rPr>
                <w:rFonts w:ascii="Arial" w:cs="Arial" w:eastAsia="Arial" w:hAnsi="Arial"/>
                <w:sz w:val="17"/>
                <w:szCs w:val="17"/>
                <w:b w:val="1"/>
                <w:bCs w:val="1"/>
                <w:color w:val="auto"/>
              </w:rPr>
              <w:t>Mar 2021</w:t>
            </w:r>
          </w:p>
        </w:tc>
        <w:tc>
          <w:tcPr>
            <w:tcW w:w="220" w:type="dxa"/>
            <w:vAlign w:val="bottom"/>
          </w:tcPr>
          <w:p>
            <w:pPr>
              <w:spacing w:after="0"/>
              <w:rPr>
                <w:sz w:val="16"/>
                <w:szCs w:val="16"/>
                <w:color w:val="auto"/>
              </w:rPr>
            </w:pPr>
          </w:p>
        </w:tc>
        <w:tc>
          <w:tcPr>
            <w:tcW w:w="1820" w:type="dxa"/>
            <w:vAlign w:val="bottom"/>
            <w:gridSpan w:val="3"/>
          </w:tcPr>
          <w:p>
            <w:pPr>
              <w:ind w:left="420"/>
              <w:spacing w:after="0"/>
              <w:rPr>
                <w:sz w:val="20"/>
                <w:szCs w:val="20"/>
                <w:color w:val="auto"/>
              </w:rPr>
            </w:pPr>
            <w:r>
              <w:rPr>
                <w:rFonts w:ascii="Arial" w:cs="Arial" w:eastAsia="Arial" w:hAnsi="Arial"/>
                <w:sz w:val="17"/>
                <w:szCs w:val="17"/>
                <w:b w:val="1"/>
                <w:bCs w:val="1"/>
                <w:color w:val="auto"/>
              </w:rPr>
              <w:t>QoQ</w:t>
            </w:r>
          </w:p>
        </w:tc>
        <w:tc>
          <w:tcPr>
            <w:tcW w:w="900" w:type="dxa"/>
            <w:vAlign w:val="bottom"/>
          </w:tcPr>
          <w:p>
            <w:pPr>
              <w:ind w:left="120"/>
              <w:spacing w:after="0"/>
              <w:rPr>
                <w:sz w:val="20"/>
                <w:szCs w:val="20"/>
                <w:color w:val="auto"/>
              </w:rPr>
            </w:pPr>
            <w:r>
              <w:rPr>
                <w:rFonts w:ascii="Arial" w:cs="Arial" w:eastAsia="Arial" w:hAnsi="Arial"/>
                <w:sz w:val="17"/>
                <w:szCs w:val="17"/>
                <w:b w:val="1"/>
                <w:bCs w:val="1"/>
                <w:color w:val="auto"/>
              </w:rPr>
              <w:t>YoY</w:t>
            </w:r>
          </w:p>
        </w:tc>
        <w:tc>
          <w:tcPr>
            <w:tcW w:w="160" w:type="dxa"/>
            <w:vAlign w:val="bottom"/>
          </w:tcPr>
          <w:p>
            <w:pPr>
              <w:spacing w:after="0"/>
              <w:rPr>
                <w:sz w:val="16"/>
                <w:szCs w:val="16"/>
                <w:color w:val="auto"/>
              </w:rPr>
            </w:pPr>
          </w:p>
        </w:tc>
      </w:tr>
      <w:tr>
        <w:trPr>
          <w:trHeight w:val="194"/>
        </w:trPr>
        <w:tc>
          <w:tcPr>
            <w:tcW w:w="4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9"/>
        </w:trPr>
        <w:tc>
          <w:tcPr>
            <w:tcW w:w="4060" w:type="dxa"/>
            <w:vAlign w:val="bottom"/>
          </w:tcPr>
          <w:p>
            <w:pPr>
              <w:spacing w:after="0" w:line="239" w:lineRule="exact"/>
              <w:rPr>
                <w:sz w:val="20"/>
                <w:szCs w:val="20"/>
                <w:color w:val="auto"/>
              </w:rPr>
            </w:pPr>
            <w:r>
              <w:rPr>
                <w:rFonts w:ascii="Arial" w:cs="Arial" w:eastAsia="Arial" w:hAnsi="Arial"/>
                <w:sz w:val="17"/>
                <w:szCs w:val="17"/>
                <w:b w:val="1"/>
                <w:bCs w:val="1"/>
                <w:color w:val="auto"/>
              </w:rPr>
              <w:t xml:space="preserve">Cash and due from banks </w:t>
            </w:r>
            <w:r>
              <w:rPr>
                <w:rFonts w:ascii="Arial" w:cs="Arial" w:eastAsia="Arial" w:hAnsi="Arial"/>
                <w:sz w:val="27"/>
                <w:szCs w:val="27"/>
                <w:b w:val="1"/>
                <w:bCs w:val="1"/>
                <w:color w:val="auto"/>
                <w:vertAlign w:val="superscript"/>
              </w:rPr>
              <w:t>(1)</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Non-interest bearing</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6,787,357</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8,176,612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7,281,695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Interest bearing</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19,538,429</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28,576,382</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31,982,816</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11.9%</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63.7%</w:t>
            </w:r>
          </w:p>
        </w:tc>
      </w:tr>
      <w:tr>
        <w:trPr>
          <w:trHeight w:val="202"/>
        </w:trPr>
        <w:tc>
          <w:tcPr>
            <w:tcW w:w="4060" w:type="dxa"/>
            <w:vAlign w:val="bottom"/>
            <w:shd w:val="clear" w:color="auto" w:fill="CCEEFF"/>
          </w:tcPr>
          <w:p>
            <w:pPr>
              <w:ind w:left="1520"/>
              <w:spacing w:after="0"/>
              <w:rPr>
                <w:sz w:val="20"/>
                <w:szCs w:val="20"/>
                <w:color w:val="auto"/>
              </w:rPr>
            </w:pPr>
            <w:r>
              <w:rPr>
                <w:rFonts w:ascii="Arial" w:cs="Arial" w:eastAsia="Arial" w:hAnsi="Arial"/>
                <w:sz w:val="17"/>
                <w:szCs w:val="17"/>
                <w:b w:val="1"/>
                <w:bCs w:val="1"/>
                <w:color w:val="auto"/>
              </w:rPr>
              <w:t>Total cash and due from banks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26,325,786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36,752,994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39,264,511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49.1%</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collateral, reverse repurchase agreements and</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securities borrowing</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4,424,345</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2,394,302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1,769,690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-60.0%</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9"/>
        </w:trPr>
        <w:tc>
          <w:tcPr>
            <w:tcW w:w="406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Fair value through profit or loss investments </w:t>
            </w:r>
            <w:r>
              <w:rPr>
                <w:rFonts w:ascii="Arial" w:cs="Arial" w:eastAsia="Arial" w:hAnsi="Arial"/>
                <w:sz w:val="27"/>
                <w:szCs w:val="27"/>
                <w:color w:val="auto"/>
                <w:vertAlign w:val="superscript"/>
              </w:rPr>
              <w:t>(1)(2)</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4,185,638</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6,467,471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8,083,128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25.0%</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93.1%</w:t>
            </w:r>
          </w:p>
        </w:tc>
      </w:tr>
      <w:tr>
        <w:trPr>
          <w:trHeight w:val="191"/>
        </w:trPr>
        <w:tc>
          <w:tcPr>
            <w:tcW w:w="4060" w:type="dxa"/>
            <w:vAlign w:val="bottom"/>
          </w:tcPr>
          <w:p>
            <w:pPr>
              <w:spacing w:after="0" w:line="191" w:lineRule="exact"/>
              <w:rPr>
                <w:sz w:val="20"/>
                <w:szCs w:val="20"/>
                <w:color w:val="auto"/>
              </w:rPr>
            </w:pPr>
            <w:r>
              <w:rPr>
                <w:rFonts w:ascii="Arial" w:cs="Arial" w:eastAsia="Arial" w:hAnsi="Arial"/>
                <w:sz w:val="17"/>
                <w:szCs w:val="17"/>
                <w:color w:val="auto"/>
              </w:rPr>
              <w:t>Fair value through other comprehensive income</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0"/>
        </w:trPr>
        <w:tc>
          <w:tcPr>
            <w:tcW w:w="4060" w:type="dxa"/>
            <w:vAlign w:val="bottom"/>
          </w:tcPr>
          <w:p>
            <w:pPr>
              <w:spacing w:after="0" w:line="250" w:lineRule="exact"/>
              <w:rPr>
                <w:sz w:val="20"/>
                <w:szCs w:val="20"/>
                <w:color w:val="auto"/>
              </w:rPr>
            </w:pPr>
            <w:r>
              <w:rPr>
                <w:rFonts w:ascii="Arial" w:cs="Arial" w:eastAsia="Arial" w:hAnsi="Arial"/>
                <w:sz w:val="17"/>
                <w:szCs w:val="17"/>
                <w:color w:val="auto"/>
              </w:rPr>
              <w:t xml:space="preserve">investments </w:t>
            </w:r>
            <w:r>
              <w:rPr>
                <w:rFonts w:ascii="Arial" w:cs="Arial" w:eastAsia="Arial" w:hAnsi="Arial"/>
                <w:sz w:val="27"/>
                <w:szCs w:val="27"/>
                <w:color w:val="auto"/>
                <w:vertAlign w:val="superscript"/>
              </w:rPr>
              <w:t>(1)</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28,388,372</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43,743,889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45,681,969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4.4%</w:t>
            </w:r>
          </w:p>
        </w:tc>
        <w:tc>
          <w:tcPr>
            <w:tcW w:w="3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60.9%</w:t>
            </w:r>
          </w:p>
        </w:tc>
      </w:tr>
      <w:tr>
        <w:trPr>
          <w:trHeight w:val="239"/>
        </w:trPr>
        <w:tc>
          <w:tcPr>
            <w:tcW w:w="406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Amortized cost investments </w:t>
            </w:r>
            <w:r>
              <w:rPr>
                <w:rFonts w:ascii="Arial" w:cs="Arial" w:eastAsia="Arial" w:hAnsi="Arial"/>
                <w:sz w:val="27"/>
                <w:szCs w:val="27"/>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4,242,643</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4,962,382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5,647,635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13.8%</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33.1%</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Loans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120,708,515</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137,659,885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137,031,239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117,129,011</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132,984,154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132,162,756</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12.8%</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Internal overdue loans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3,579,504</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4,675,731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4,868,483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36.0%</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Less - allowance for loan losses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(5,931,772)</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(9,898,760)</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(9,744,298)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64.3%</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Loans, net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114,776,743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127,761,125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127,286,941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Financial assets designated at fair value through profit or</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loss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559,321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823,270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888,420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58.8%</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Accounts receivable from reinsurers and coinsurers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787,672</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919,419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981,379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24.6%</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Premiums and other policyholder receivables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822,669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937,223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827,807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0.6%</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40" w:type="dxa"/>
            <w:vAlign w:val="bottom"/>
          </w:tcPr>
          <w:p>
            <w:pPr>
              <w:jc w:val="right"/>
              <w:spacing w:after="0"/>
              <w:rPr>
                <w:sz w:val="20"/>
                <w:szCs w:val="20"/>
                <w:color w:val="auto"/>
              </w:rPr>
            </w:pPr>
            <w:r>
              <w:rPr>
                <w:rFonts w:ascii="Arial" w:cs="Arial" w:eastAsia="Arial" w:hAnsi="Arial"/>
                <w:sz w:val="17"/>
                <w:szCs w:val="17"/>
                <w:color w:val="auto"/>
              </w:rPr>
              <w:t>2,203,086</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2,077,803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1,996,860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-9.4%</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Due from customers on acceptances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555,598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455,343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532,584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17.0%</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Investments in associates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618,310</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645,886</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620,603</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0.4%</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and goodwill, net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2,424,404</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2,639,297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2,599,291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w:t>
            </w:r>
          </w:p>
        </w:tc>
      </w:tr>
      <w:tr>
        <w:trPr>
          <w:trHeight w:val="239"/>
        </w:trPr>
        <w:tc>
          <w:tcPr>
            <w:tcW w:w="4060" w:type="dxa"/>
            <w:vAlign w:val="bottom"/>
          </w:tcPr>
          <w:p>
            <w:pPr>
              <w:spacing w:after="0" w:line="239"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7"/>
                <w:szCs w:val="27"/>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7"/>
                <w:szCs w:val="17"/>
                <w:color w:val="auto"/>
              </w:rPr>
              <w:t>7,507,302</w:t>
            </w:r>
          </w:p>
        </w:tc>
        <w:tc>
          <w:tcPr>
            <w:tcW w:w="2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6,825,759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8,109,764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18.8%</w:t>
            </w:r>
          </w:p>
        </w:tc>
        <w:tc>
          <w:tcPr>
            <w:tcW w:w="3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8.0%</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ind w:left="1520"/>
              <w:spacing w:after="0"/>
              <w:rPr>
                <w:sz w:val="20"/>
                <w:szCs w:val="20"/>
                <w:color w:val="auto"/>
              </w:rPr>
            </w:pPr>
            <w:r>
              <w:rPr>
                <w:rFonts w:ascii="Arial" w:cs="Arial" w:eastAsia="Arial" w:hAnsi="Arial"/>
                <w:sz w:val="17"/>
                <w:szCs w:val="17"/>
                <w:b w:val="1"/>
                <w:bCs w:val="1"/>
                <w:color w:val="auto"/>
              </w:rPr>
              <w:t>Total Assets</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197,821,889</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237,406,163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244,290,582</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2.9%</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23.5%</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Deposits and obligations</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Non-interest bearing</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32,231,854</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47,623,119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48,469,215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50.4%</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bearing</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87,331,691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94,742,383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100,157,124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14.7%</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Total deposits and obligations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119,563,545</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142,365,502</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148,626,339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4.4%</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24.3%</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7"/>
                <w:szCs w:val="17"/>
                <w:color w:val="auto"/>
              </w:rPr>
              <w:t>Payables from repurchase agreements and securities</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7"/>
                <w:szCs w:val="17"/>
                <w:color w:val="auto"/>
              </w:rPr>
              <w:t>lending</w:t>
            </w:r>
          </w:p>
        </w:tc>
        <w:tc>
          <w:tcPr>
            <w:tcW w:w="1240" w:type="dxa"/>
            <w:vAlign w:val="bottom"/>
          </w:tcPr>
          <w:p>
            <w:pPr>
              <w:jc w:val="right"/>
              <w:spacing w:after="0"/>
              <w:rPr>
                <w:sz w:val="20"/>
                <w:szCs w:val="20"/>
                <w:color w:val="auto"/>
              </w:rPr>
            </w:pPr>
            <w:r>
              <w:rPr>
                <w:rFonts w:ascii="Arial" w:cs="Arial" w:eastAsia="Arial" w:hAnsi="Arial"/>
                <w:sz w:val="17"/>
                <w:szCs w:val="17"/>
                <w:color w:val="auto"/>
              </w:rPr>
              <w:t>8,254,726</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27,923,617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26,657,010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222.9%</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BCRP instruments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5,346,373</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25,734,963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24,303,193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354.6%</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Repurchase agreements with third parties</w:t>
            </w:r>
          </w:p>
        </w:tc>
        <w:tc>
          <w:tcPr>
            <w:tcW w:w="1240" w:type="dxa"/>
            <w:vAlign w:val="bottom"/>
          </w:tcPr>
          <w:p>
            <w:pPr>
              <w:jc w:val="right"/>
              <w:spacing w:after="0"/>
              <w:rPr>
                <w:sz w:val="20"/>
                <w:szCs w:val="20"/>
                <w:color w:val="auto"/>
              </w:rPr>
            </w:pPr>
            <w:r>
              <w:rPr>
                <w:rFonts w:ascii="Arial" w:cs="Arial" w:eastAsia="Arial" w:hAnsi="Arial"/>
                <w:sz w:val="17"/>
                <w:szCs w:val="17"/>
                <w:color w:val="auto"/>
              </w:rPr>
              <w:t>1,935,879</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1,072,920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1,159,587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8.1%</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-40.1%</w:t>
            </w:r>
          </w:p>
        </w:tc>
      </w:tr>
      <w:tr>
        <w:trPr>
          <w:trHeight w:val="239"/>
        </w:trPr>
        <w:tc>
          <w:tcPr>
            <w:tcW w:w="4060" w:type="dxa"/>
            <w:vAlign w:val="bottom"/>
            <w:shd w:val="clear" w:color="auto" w:fill="CCEEFF"/>
          </w:tcPr>
          <w:p>
            <w:pPr>
              <w:ind w:left="160"/>
              <w:spacing w:after="0" w:line="239" w:lineRule="exact"/>
              <w:rPr>
                <w:sz w:val="20"/>
                <w:szCs w:val="20"/>
                <w:color w:val="auto"/>
              </w:rPr>
            </w:pPr>
            <w:r>
              <w:rPr>
                <w:rFonts w:ascii="Arial" w:cs="Arial" w:eastAsia="Arial" w:hAnsi="Arial"/>
                <w:sz w:val="17"/>
                <w:szCs w:val="17"/>
                <w:color w:val="auto"/>
              </w:rPr>
              <w:t xml:space="preserve">Repurchase agreements with customers </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972,474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1,115,734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1,194,230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22.8%</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Due to banks and correspondents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9,854,630</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5,978,257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5,393,500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-45.3%</w:t>
            </w:r>
          </w:p>
        </w:tc>
      </w:tr>
      <w:tr>
        <w:trPr>
          <w:trHeight w:val="239"/>
        </w:trPr>
        <w:tc>
          <w:tcPr>
            <w:tcW w:w="4060" w:type="dxa"/>
            <w:vAlign w:val="bottom"/>
          </w:tcPr>
          <w:p>
            <w:pPr>
              <w:spacing w:after="0" w:line="239" w:lineRule="exact"/>
              <w:rPr>
                <w:sz w:val="20"/>
                <w:szCs w:val="20"/>
                <w:color w:val="auto"/>
              </w:rPr>
            </w:pPr>
            <w:r>
              <w:rPr>
                <w:rFonts w:ascii="Arial" w:cs="Arial" w:eastAsia="Arial" w:hAnsi="Arial"/>
                <w:sz w:val="17"/>
                <w:szCs w:val="17"/>
                <w:color w:val="auto"/>
              </w:rPr>
              <w:t xml:space="preserve">Bonds and notes issued </w:t>
            </w:r>
            <w:r>
              <w:rPr>
                <w:rFonts w:ascii="Arial" w:cs="Arial" w:eastAsia="Arial" w:hAnsi="Arial"/>
                <w:sz w:val="27"/>
                <w:szCs w:val="27"/>
                <w:color w:val="auto"/>
                <w:vertAlign w:val="superscript"/>
              </w:rPr>
              <w:t>(1)</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15,178,148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16,319,407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17,863,198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3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17.7%</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Banker’s acceptances outstanding</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555,598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455,343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532,584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17.0%</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Reserves for property and casualty claims</w:t>
            </w:r>
          </w:p>
        </w:tc>
        <w:tc>
          <w:tcPr>
            <w:tcW w:w="1240" w:type="dxa"/>
            <w:vAlign w:val="bottom"/>
          </w:tcPr>
          <w:p>
            <w:pPr>
              <w:jc w:val="right"/>
              <w:spacing w:after="0"/>
              <w:rPr>
                <w:sz w:val="20"/>
                <w:szCs w:val="20"/>
                <w:color w:val="auto"/>
              </w:rPr>
            </w:pPr>
            <w:r>
              <w:rPr>
                <w:rFonts w:ascii="Arial" w:cs="Arial" w:eastAsia="Arial" w:hAnsi="Arial"/>
                <w:sz w:val="17"/>
                <w:szCs w:val="17"/>
                <w:color w:val="auto"/>
              </w:rPr>
              <w:t>1,637,791</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2,050,474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2,248,082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9.6%</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37.3%</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Reserve for unearned premiums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8,338,154</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9,624,602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9,561,612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14.7%</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Accounts payable to reinsurers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198,473</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338,446</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290,866</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-14.1%</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46.6%</w:t>
            </w:r>
          </w:p>
        </w:tc>
      </w:tr>
      <w:tr>
        <w:trPr>
          <w:trHeight w:val="239"/>
        </w:trPr>
        <w:tc>
          <w:tcPr>
            <w:tcW w:w="406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w w:val="97"/>
              </w:rPr>
              <w:t xml:space="preserve">Financial liabilities at fair value through profit or loss </w:t>
            </w:r>
            <w:r>
              <w:rPr>
                <w:rFonts w:ascii="Arial" w:cs="Arial" w:eastAsia="Arial" w:hAnsi="Arial"/>
                <w:sz w:val="27"/>
                <w:szCs w:val="27"/>
                <w:color w:val="auto"/>
                <w:w w:val="97"/>
                <w:vertAlign w:val="superscript"/>
              </w:rPr>
              <w:t>(1)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533,146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561,602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772,385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37.5%</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44.9%</w:t>
            </w:r>
          </w:p>
        </w:tc>
      </w:tr>
      <w:tr>
        <w:trPr>
          <w:trHeight w:val="239"/>
        </w:trPr>
        <w:tc>
          <w:tcPr>
            <w:tcW w:w="4060" w:type="dxa"/>
            <w:vAlign w:val="bottom"/>
          </w:tcPr>
          <w:p>
            <w:pPr>
              <w:spacing w:after="0" w:line="239" w:lineRule="exact"/>
              <w:rPr>
                <w:sz w:val="20"/>
                <w:szCs w:val="20"/>
                <w:color w:val="auto"/>
              </w:rPr>
            </w:pPr>
            <w:r>
              <w:rPr>
                <w:rFonts w:ascii="Arial" w:cs="Arial" w:eastAsia="Arial" w:hAnsi="Arial"/>
                <w:sz w:val="17"/>
                <w:szCs w:val="17"/>
                <w:color w:val="auto"/>
              </w:rPr>
              <w:t xml:space="preserve">Other liabilities </w:t>
            </w:r>
            <w:r>
              <w:rPr>
                <w:rFonts w:ascii="Arial" w:cs="Arial" w:eastAsia="Arial" w:hAnsi="Arial"/>
                <w:sz w:val="27"/>
                <w:szCs w:val="27"/>
                <w:color w:val="auto"/>
                <w:vertAlign w:val="superscript"/>
              </w:rPr>
              <w:t>(1)(2)</w:t>
            </w:r>
          </w:p>
        </w:tc>
        <w:tc>
          <w:tcPr>
            <w:tcW w:w="1240" w:type="dxa"/>
            <w:vAlign w:val="bottom"/>
          </w:tcPr>
          <w:p>
            <w:pPr>
              <w:jc w:val="right"/>
              <w:spacing w:after="0"/>
              <w:rPr>
                <w:sz w:val="20"/>
                <w:szCs w:val="20"/>
                <w:color w:val="auto"/>
              </w:rPr>
            </w:pPr>
            <w:r>
              <w:rPr>
                <w:rFonts w:ascii="Arial" w:cs="Arial" w:eastAsia="Arial" w:hAnsi="Arial"/>
                <w:sz w:val="17"/>
                <w:szCs w:val="17"/>
                <w:color w:val="auto"/>
              </w:rPr>
              <w:t>9,984,867</w:t>
            </w:r>
          </w:p>
        </w:tc>
        <w:tc>
          <w:tcPr>
            <w:tcW w:w="2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6,343,266</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7,326,432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15.5%</w:t>
            </w:r>
          </w:p>
        </w:tc>
        <w:tc>
          <w:tcPr>
            <w:tcW w:w="3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-26.6%</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ind w:left="1520"/>
              <w:spacing w:after="0"/>
              <w:rPr>
                <w:sz w:val="20"/>
                <w:szCs w:val="20"/>
                <w:color w:val="auto"/>
              </w:rPr>
            </w:pPr>
            <w:r>
              <w:rPr>
                <w:rFonts w:ascii="Arial" w:cs="Arial" w:eastAsia="Arial" w:hAnsi="Arial"/>
                <w:sz w:val="17"/>
                <w:szCs w:val="17"/>
                <w:b w:val="1"/>
                <w:bCs w:val="1"/>
                <w:color w:val="auto"/>
              </w:rPr>
              <w:t>Total Liabilities</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174,099,078</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211,960,516</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219,272,008</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3.4%</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25.9%</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Net equity</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23,205,639</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24,945,870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24,529,958</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5.7%</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Capital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1,318,993</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1,318,993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1,318,993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Treasury stock</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(209,309)</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(208,433)</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(207,840)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-0.3%</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-0.7%</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Capital surplus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165,188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192,625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224,591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36.0%</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Reserves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21,360,272</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21,429,635</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21,707,166</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and losses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359,565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1,865,898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840,581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-55.0%</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133.8%</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Retained earnings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210,930</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347,152</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646,467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86.2%</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206.5%</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517,172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499,777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488,616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ind w:left="1520"/>
              <w:spacing w:after="0"/>
              <w:rPr>
                <w:sz w:val="20"/>
                <w:szCs w:val="20"/>
                <w:color w:val="auto"/>
              </w:rPr>
            </w:pPr>
            <w:r>
              <w:rPr>
                <w:rFonts w:ascii="Arial" w:cs="Arial" w:eastAsia="Arial" w:hAnsi="Arial"/>
                <w:sz w:val="17"/>
                <w:szCs w:val="17"/>
                <w:b w:val="1"/>
                <w:bCs w:val="1"/>
                <w:color w:val="auto"/>
              </w:rPr>
              <w:t>Total Net Equity</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23,722,811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25,445,647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25,018,574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5.5%</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197,821,889</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237,406,163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244,290,582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2.9%</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23.5%</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Off-balance sheet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131,725,399</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133,568,004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150,250,539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12.5%</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14.1%</w:t>
            </w:r>
          </w:p>
        </w:tc>
      </w:tr>
      <w:tr>
        <w:trPr>
          <w:trHeight w:val="231"/>
        </w:trPr>
        <w:tc>
          <w:tcPr>
            <w:tcW w:w="4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performance bonds, stand-by and L/Cs.</w:t>
            </w:r>
          </w:p>
        </w:tc>
        <w:tc>
          <w:tcPr>
            <w:tcW w:w="14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7"/>
                <w:szCs w:val="17"/>
                <w:color w:val="auto"/>
              </w:rPr>
              <w:t>20,426,402</w:t>
            </w:r>
          </w:p>
        </w:tc>
        <w:tc>
          <w:tcPr>
            <w:tcW w:w="14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7"/>
                <w:szCs w:val="17"/>
                <w:color w:val="auto"/>
              </w:rPr>
              <w:t>20,973,810</w:t>
            </w:r>
          </w:p>
        </w:tc>
        <w:tc>
          <w:tcPr>
            <w:tcW w:w="14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21,761,484</w:t>
            </w:r>
          </w:p>
        </w:tc>
        <w:tc>
          <w:tcPr>
            <w:tcW w:w="14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3.8%</w:t>
            </w: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6.5%</w:t>
            </w:r>
          </w:p>
        </w:tc>
      </w:tr>
    </w:tbl>
    <w:p>
      <w:pPr>
        <w:sectPr>
          <w:pgSz w:w="11900" w:h="16900" w:orient="portrait"/>
          <w:cols w:equalWidth="0" w:num="1">
            <w:col w:w="11240"/>
          </w:cols>
          <w:pgMar w:left="320" w:top="551" w:right="3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Undrawn credit lines, advised but not committed</w:t>
            </w:r>
          </w:p>
        </w:tc>
        <w:tc>
          <w:tcPr>
            <w:tcW w:w="17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79,703,253</w:t>
            </w:r>
          </w:p>
        </w:tc>
        <w:tc>
          <w:tcPr>
            <w:tcW w:w="14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86,074,859</w:t>
            </w:r>
          </w:p>
        </w:tc>
        <w:tc>
          <w:tcPr>
            <w:tcW w:w="1660" w:type="dxa"/>
            <w:vAlign w:val="bottom"/>
            <w:shd w:val="clear" w:color="auto" w:fill="CCEEFF"/>
          </w:tcPr>
          <w:p>
            <w:pPr>
              <w:jc w:val="right"/>
              <w:ind w:right="496"/>
              <w:spacing w:after="0"/>
              <w:rPr>
                <w:sz w:val="20"/>
                <w:szCs w:val="20"/>
                <w:color w:val="auto"/>
              </w:rPr>
            </w:pPr>
            <w:r>
              <w:rPr>
                <w:rFonts w:ascii="Arial" w:cs="Arial" w:eastAsia="Arial" w:hAnsi="Arial"/>
                <w:sz w:val="17"/>
                <w:szCs w:val="17"/>
                <w:color w:val="auto"/>
              </w:rPr>
              <w:t>90,946,335</w:t>
            </w:r>
          </w:p>
        </w:tc>
        <w:tc>
          <w:tcPr>
            <w:tcW w:w="152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5.7%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4"/>
        </w:trPr>
        <w:tc>
          <w:tcPr>
            <w:tcW w:w="3920" w:type="dxa"/>
            <w:vAlign w:val="bottom"/>
          </w:tcPr>
          <w:p>
            <w:pPr>
              <w:spacing w:after="0"/>
              <w:rPr>
                <w:sz w:val="20"/>
                <w:szCs w:val="20"/>
                <w:color w:val="auto"/>
              </w:rPr>
            </w:pPr>
            <w:r>
              <w:rPr>
                <w:rFonts w:ascii="Arial" w:cs="Arial" w:eastAsia="Arial" w:hAnsi="Arial"/>
                <w:sz w:val="17"/>
                <w:szCs w:val="17"/>
                <w:color w:val="auto"/>
              </w:rPr>
              <w:t>Total derivatives (notional) and others</w:t>
            </w:r>
          </w:p>
        </w:tc>
        <w:tc>
          <w:tcPr>
            <w:tcW w:w="1720" w:type="dxa"/>
            <w:vAlign w:val="bottom"/>
          </w:tcPr>
          <w:p>
            <w:pPr>
              <w:jc w:val="right"/>
              <w:ind w:right="256"/>
              <w:spacing w:after="0"/>
              <w:rPr>
                <w:sz w:val="20"/>
                <w:szCs w:val="20"/>
                <w:color w:val="auto"/>
              </w:rPr>
            </w:pPr>
            <w:r>
              <w:rPr>
                <w:rFonts w:ascii="Arial" w:cs="Arial" w:eastAsia="Arial" w:hAnsi="Arial"/>
                <w:sz w:val="17"/>
                <w:szCs w:val="17"/>
                <w:color w:val="auto"/>
              </w:rPr>
              <w:t>31,595,744</w:t>
            </w:r>
          </w:p>
        </w:tc>
        <w:tc>
          <w:tcPr>
            <w:tcW w:w="1420" w:type="dxa"/>
            <w:vAlign w:val="bottom"/>
          </w:tcPr>
          <w:p>
            <w:pPr>
              <w:jc w:val="right"/>
              <w:ind w:right="256"/>
              <w:spacing w:after="0"/>
              <w:rPr>
                <w:sz w:val="20"/>
                <w:szCs w:val="20"/>
                <w:color w:val="auto"/>
              </w:rPr>
            </w:pPr>
            <w:r>
              <w:rPr>
                <w:rFonts w:ascii="Arial" w:cs="Arial" w:eastAsia="Arial" w:hAnsi="Arial"/>
                <w:sz w:val="17"/>
                <w:szCs w:val="17"/>
                <w:color w:val="auto"/>
              </w:rPr>
              <w:t>26,519,335</w:t>
            </w:r>
          </w:p>
        </w:tc>
        <w:tc>
          <w:tcPr>
            <w:tcW w:w="1660" w:type="dxa"/>
            <w:vAlign w:val="bottom"/>
          </w:tcPr>
          <w:p>
            <w:pPr>
              <w:jc w:val="right"/>
              <w:ind w:right="496"/>
              <w:spacing w:after="0"/>
              <w:rPr>
                <w:sz w:val="20"/>
                <w:szCs w:val="20"/>
                <w:color w:val="auto"/>
              </w:rPr>
            </w:pPr>
            <w:r>
              <w:rPr>
                <w:rFonts w:ascii="Arial" w:cs="Arial" w:eastAsia="Arial" w:hAnsi="Arial"/>
                <w:sz w:val="17"/>
                <w:szCs w:val="17"/>
                <w:color w:val="auto"/>
              </w:rPr>
              <w:t>37,542,720</w:t>
            </w:r>
          </w:p>
        </w:tc>
        <w:tc>
          <w:tcPr>
            <w:tcW w:w="1520" w:type="dxa"/>
            <w:vAlign w:val="bottom"/>
          </w:tcPr>
          <w:p>
            <w:pPr>
              <w:jc w:val="right"/>
              <w:ind w:right="436"/>
              <w:spacing w:after="0"/>
              <w:rPr>
                <w:sz w:val="20"/>
                <w:szCs w:val="20"/>
                <w:color w:val="auto"/>
              </w:rPr>
            </w:pPr>
            <w:r>
              <w:rPr>
                <w:rFonts w:ascii="Arial" w:cs="Arial" w:eastAsia="Arial" w:hAnsi="Arial"/>
                <w:sz w:val="17"/>
                <w:szCs w:val="17"/>
                <w:color w:val="auto"/>
              </w:rPr>
              <w:t>41.6%</w:t>
            </w:r>
          </w:p>
        </w:tc>
        <w:tc>
          <w:tcPr>
            <w:tcW w:w="1000" w:type="dxa"/>
            <w:vAlign w:val="bottom"/>
          </w:tcPr>
          <w:p>
            <w:pPr>
              <w:jc w:val="right"/>
              <w:spacing w:after="0"/>
              <w:rPr>
                <w:sz w:val="20"/>
                <w:szCs w:val="20"/>
                <w:color w:val="auto"/>
              </w:rPr>
            </w:pPr>
            <w:r>
              <w:rPr>
                <w:rFonts w:ascii="Arial" w:cs="Arial" w:eastAsia="Arial" w:hAnsi="Arial"/>
                <w:sz w:val="17"/>
                <w:szCs w:val="17"/>
                <w:color w:val="auto"/>
              </w:rPr>
              <w:t>18.8%</w:t>
            </w:r>
          </w:p>
        </w:tc>
      </w:tr>
    </w:tbl>
    <w:p>
      <w:pPr>
        <w:spacing w:after="0" w:line="177" w:lineRule="exact"/>
        <w:rPr>
          <w:sz w:val="20"/>
          <w:szCs w:val="20"/>
          <w:color w:val="auto"/>
        </w:rPr>
      </w:pPr>
    </w:p>
    <w:p>
      <w:pPr>
        <w:ind w:left="300" w:hanging="299"/>
        <w:spacing w:after="0"/>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amounts differ from those previously reported in 2020 period, due to the reclassifications.</w:t>
      </w:r>
    </w:p>
    <w:p>
      <w:pPr>
        <w:spacing w:after="0" w:line="18" w:lineRule="exact"/>
        <w:rPr>
          <w:rFonts w:ascii="Arial" w:cs="Arial" w:eastAsia="Arial" w:hAnsi="Arial"/>
          <w:sz w:val="17"/>
          <w:szCs w:val="17"/>
          <w:color w:val="auto"/>
        </w:rPr>
      </w:pPr>
    </w:p>
    <w:p>
      <w:pPr>
        <w:ind w:left="300" w:hanging="299"/>
        <w:spacing w:after="0"/>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Includes mainly accounts receivables from brokerage and others.</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7"/>
          <w:szCs w:val="17"/>
          <w:b w:val="1"/>
          <w:bCs w:val="1"/>
          <w:color w:val="auto"/>
        </w:rPr>
        <w:t>CREDICORP LTD.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S/ thousands, IFRS)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b w:val="1"/>
                <w:bCs w:val="1"/>
                <w:color w:val="auto"/>
              </w:rPr>
              <w:t>Quarter</w:t>
            </w:r>
          </w:p>
        </w:tc>
        <w:tc>
          <w:tcPr>
            <w:tcW w:w="11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Borders>
              <w:bottom w:val="single" w:sz="8" w:color="auto"/>
            </w:tcBorders>
            <w:gridSpan w:val="3"/>
          </w:tcPr>
          <w:p>
            <w:pPr>
              <w:ind w:left="940"/>
              <w:spacing w:after="0"/>
              <w:rPr>
                <w:sz w:val="20"/>
                <w:szCs w:val="20"/>
                <w:color w:val="auto"/>
              </w:rPr>
            </w:pPr>
            <w:r>
              <w:rPr>
                <w:rFonts w:ascii="Arial" w:cs="Arial" w:eastAsia="Arial" w:hAnsi="Arial"/>
                <w:sz w:val="17"/>
                <w:szCs w:val="17"/>
                <w:b w:val="1"/>
                <w:bCs w:val="1"/>
                <w:color w:val="auto"/>
              </w:rPr>
              <w:t>% change</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4160" w:type="dxa"/>
            <w:vAlign w:val="bottom"/>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1Q20</w:t>
            </w:r>
          </w:p>
        </w:tc>
        <w:tc>
          <w:tcPr>
            <w:tcW w:w="14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4Q20</w:t>
            </w:r>
          </w:p>
        </w:tc>
        <w:tc>
          <w:tcPr>
            <w:tcW w:w="1120" w:type="dxa"/>
            <w:vAlign w:val="bottom"/>
          </w:tcPr>
          <w:p>
            <w:pPr>
              <w:ind w:left="380"/>
              <w:spacing w:after="0"/>
              <w:rPr>
                <w:sz w:val="20"/>
                <w:szCs w:val="20"/>
                <w:color w:val="auto"/>
              </w:rPr>
            </w:pPr>
            <w:r>
              <w:rPr>
                <w:rFonts w:ascii="Arial" w:cs="Arial" w:eastAsia="Arial" w:hAnsi="Arial"/>
                <w:sz w:val="17"/>
                <w:szCs w:val="17"/>
                <w:b w:val="1"/>
                <w:bCs w:val="1"/>
                <w:color w:val="auto"/>
              </w:rPr>
              <w:t>1Q21</w:t>
            </w:r>
          </w:p>
        </w:tc>
        <w:tc>
          <w:tcPr>
            <w:tcW w:w="320" w:type="dxa"/>
            <w:vAlign w:val="bottom"/>
          </w:tcPr>
          <w:p>
            <w:pPr>
              <w:spacing w:after="0"/>
              <w:rPr>
                <w:sz w:val="16"/>
                <w:szCs w:val="16"/>
                <w:color w:val="auto"/>
              </w:rPr>
            </w:pPr>
          </w:p>
        </w:tc>
        <w:tc>
          <w:tcPr>
            <w:tcW w:w="1760" w:type="dxa"/>
            <w:vAlign w:val="bottom"/>
            <w:gridSpan w:val="3"/>
          </w:tcPr>
          <w:p>
            <w:pPr>
              <w:ind w:left="380"/>
              <w:spacing w:after="0"/>
              <w:rPr>
                <w:sz w:val="20"/>
                <w:szCs w:val="20"/>
                <w:color w:val="auto"/>
              </w:rPr>
            </w:pPr>
            <w:r>
              <w:rPr>
                <w:rFonts w:ascii="Arial" w:cs="Arial" w:eastAsia="Arial" w:hAnsi="Arial"/>
                <w:sz w:val="17"/>
                <w:szCs w:val="17"/>
                <w:b w:val="1"/>
                <w:bCs w:val="1"/>
                <w:color w:val="auto"/>
              </w:rPr>
              <w:t>QoQ</w:t>
            </w:r>
          </w:p>
        </w:tc>
        <w:tc>
          <w:tcPr>
            <w:tcW w:w="860" w:type="dxa"/>
            <w:vAlign w:val="bottom"/>
          </w:tcPr>
          <w:p>
            <w:pPr>
              <w:jc w:val="right"/>
              <w:ind w:right="356"/>
              <w:spacing w:after="0"/>
              <w:rPr>
                <w:sz w:val="20"/>
                <w:szCs w:val="20"/>
                <w:color w:val="auto"/>
              </w:rPr>
            </w:pPr>
            <w:r>
              <w:rPr>
                <w:rFonts w:ascii="Arial" w:cs="Arial" w:eastAsia="Arial" w:hAnsi="Arial"/>
                <w:sz w:val="17"/>
                <w:szCs w:val="17"/>
                <w:b w:val="1"/>
                <w:bCs w:val="1"/>
                <w:color w:val="auto"/>
              </w:rPr>
              <w:t>YoY</w:t>
            </w:r>
          </w:p>
        </w:tc>
        <w:tc>
          <w:tcPr>
            <w:tcW w:w="160" w:type="dxa"/>
            <w:vAlign w:val="bottom"/>
          </w:tcPr>
          <w:p>
            <w:pPr>
              <w:spacing w:after="0"/>
              <w:rPr>
                <w:sz w:val="16"/>
                <w:szCs w:val="16"/>
                <w:color w:val="auto"/>
              </w:rPr>
            </w:pPr>
          </w:p>
        </w:tc>
      </w:tr>
      <w:tr>
        <w:trPr>
          <w:trHeight w:val="194"/>
        </w:trPr>
        <w:tc>
          <w:tcPr>
            <w:tcW w:w="4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Interest income and expense</w:t>
            </w:r>
          </w:p>
        </w:tc>
        <w:tc>
          <w:tcPr>
            <w:tcW w:w="1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4160" w:type="dxa"/>
            <w:vAlign w:val="bottom"/>
          </w:tcPr>
          <w:p>
            <w:pPr>
              <w:ind w:left="160"/>
              <w:spacing w:after="0"/>
              <w:rPr>
                <w:sz w:val="20"/>
                <w:szCs w:val="20"/>
                <w:color w:val="auto"/>
              </w:rPr>
            </w:pPr>
            <w:r>
              <w:rPr>
                <w:rFonts w:ascii="Arial" w:cs="Arial" w:eastAsia="Arial" w:hAnsi="Arial"/>
                <w:sz w:val="17"/>
                <w:szCs w:val="17"/>
                <w:color w:val="auto"/>
              </w:rPr>
              <w:t>Interest and dividend income</w:t>
            </w:r>
          </w:p>
        </w:tc>
        <w:tc>
          <w:tcPr>
            <w:tcW w:w="1140" w:type="dxa"/>
            <w:vAlign w:val="bottom"/>
          </w:tcPr>
          <w:p>
            <w:pPr>
              <w:jc w:val="right"/>
              <w:spacing w:after="0"/>
              <w:rPr>
                <w:sz w:val="20"/>
                <w:szCs w:val="20"/>
                <w:color w:val="auto"/>
              </w:rPr>
            </w:pPr>
            <w:r>
              <w:rPr>
                <w:rFonts w:ascii="Arial" w:cs="Arial" w:eastAsia="Arial" w:hAnsi="Arial"/>
                <w:sz w:val="17"/>
                <w:szCs w:val="17"/>
                <w:color w:val="auto"/>
              </w:rPr>
              <w:t>3,163,609</w:t>
            </w:r>
          </w:p>
        </w:tc>
        <w:tc>
          <w:tcPr>
            <w:tcW w:w="3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2,703,100</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2,816,073</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4.2%</w:t>
            </w: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-11.0%</w:t>
            </w:r>
          </w:p>
        </w:tc>
      </w:tr>
      <w:tr>
        <w:trPr>
          <w:trHeight w:val="239"/>
        </w:trPr>
        <w:tc>
          <w:tcPr>
            <w:tcW w:w="4160" w:type="dxa"/>
            <w:vAlign w:val="bottom"/>
            <w:shd w:val="clear" w:color="auto" w:fill="CCEEFF"/>
          </w:tcPr>
          <w:p>
            <w:pPr>
              <w:ind w:left="160"/>
              <w:spacing w:after="0" w:line="239"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(784,082)</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(633,880)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(692,690)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9.3%</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w:t>
            </w:r>
          </w:p>
        </w:tc>
      </w:tr>
      <w:tr>
        <w:trPr>
          <w:trHeight w:val="202"/>
        </w:trPr>
        <w:tc>
          <w:tcPr>
            <w:tcW w:w="4160" w:type="dxa"/>
            <w:vAlign w:val="bottom"/>
          </w:tcPr>
          <w:p>
            <w:pPr>
              <w:ind w:left="160"/>
              <w:spacing w:after="0"/>
              <w:rPr>
                <w:sz w:val="20"/>
                <w:szCs w:val="20"/>
                <w:color w:val="auto"/>
              </w:rPr>
            </w:pPr>
            <w:r>
              <w:rPr>
                <w:rFonts w:ascii="Arial" w:cs="Arial" w:eastAsia="Arial" w:hAnsi="Arial"/>
                <w:sz w:val="17"/>
                <w:szCs w:val="17"/>
                <w:b w:val="1"/>
                <w:bCs w:val="1"/>
                <w:color w:val="auto"/>
              </w:rPr>
              <w:t>Net interest income</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2,379,527</w:t>
            </w:r>
          </w:p>
        </w:tc>
        <w:tc>
          <w:tcPr>
            <w:tcW w:w="3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2,069,220</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2,123,383</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2.6%</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-10.8%</w:t>
            </w:r>
          </w:p>
        </w:tc>
      </w:tr>
      <w:tr>
        <w:trPr>
          <w:trHeight w:val="202"/>
        </w:trPr>
        <w:tc>
          <w:tcPr>
            <w:tcW w:w="4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160" w:type="dxa"/>
            <w:vAlign w:val="bottom"/>
          </w:tcPr>
          <w:p>
            <w:pPr>
              <w:spacing w:after="0"/>
              <w:rPr>
                <w:sz w:val="20"/>
                <w:szCs w:val="20"/>
                <w:color w:val="auto"/>
              </w:rPr>
            </w:pPr>
            <w:r>
              <w:rPr>
                <w:rFonts w:ascii="Arial" w:cs="Arial" w:eastAsia="Arial" w:hAnsi="Arial"/>
                <w:sz w:val="17"/>
                <w:szCs w:val="17"/>
                <w:color w:val="auto"/>
              </w:rPr>
              <w:t>Gross provision for credit losses on loan portfolio</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(1,388,711)</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(785,194)</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(622,982)</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-20.7%</w:t>
            </w: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-55.1%</w:t>
            </w:r>
          </w:p>
        </w:tc>
      </w:tr>
      <w:tr>
        <w:trPr>
          <w:trHeight w:val="202"/>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Recoveries of written-off loans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47,230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52,529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65,335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24.4%</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38.3%</w:t>
            </w:r>
          </w:p>
        </w:tc>
      </w:tr>
      <w:tr>
        <w:trPr>
          <w:trHeight w:val="185"/>
        </w:trPr>
        <w:tc>
          <w:tcPr>
            <w:tcW w:w="4160" w:type="dxa"/>
            <w:vAlign w:val="bottom"/>
          </w:tcPr>
          <w:p>
            <w:pPr>
              <w:spacing w:after="0" w:line="185" w:lineRule="exact"/>
              <w:rPr>
                <w:sz w:val="20"/>
                <w:szCs w:val="20"/>
                <w:color w:val="auto"/>
              </w:rPr>
            </w:pPr>
            <w:r>
              <w:rPr>
                <w:rFonts w:ascii="Arial" w:cs="Arial" w:eastAsia="Arial" w:hAnsi="Arial"/>
                <w:sz w:val="17"/>
                <w:szCs w:val="17"/>
                <w:b w:val="1"/>
                <w:bCs w:val="1"/>
                <w:color w:val="auto"/>
              </w:rPr>
              <w:t>Provision for credit losses on loan portfolio, net of</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8"/>
        </w:trPr>
        <w:tc>
          <w:tcPr>
            <w:tcW w:w="4160" w:type="dxa"/>
            <w:vAlign w:val="bottom"/>
          </w:tcPr>
          <w:p>
            <w:pPr>
              <w:spacing w:after="0"/>
              <w:rPr>
                <w:sz w:val="20"/>
                <w:szCs w:val="20"/>
                <w:color w:val="auto"/>
              </w:rPr>
            </w:pPr>
            <w:r>
              <w:rPr>
                <w:rFonts w:ascii="Arial" w:cs="Arial" w:eastAsia="Arial" w:hAnsi="Arial"/>
                <w:sz w:val="17"/>
                <w:szCs w:val="17"/>
                <w:b w:val="1"/>
                <w:bCs w:val="1"/>
                <w:color w:val="auto"/>
              </w:rPr>
              <w:t>recoveries</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(1,341,481)</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(732,665)</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(557,647)</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-23.9%</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-58.4%</w:t>
            </w:r>
          </w:p>
        </w:tc>
      </w:tr>
      <w:tr>
        <w:trPr>
          <w:trHeight w:val="202"/>
        </w:trPr>
        <w:tc>
          <w:tcPr>
            <w:tcW w:w="4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160" w:type="dxa"/>
            <w:vAlign w:val="bottom"/>
          </w:tcPr>
          <w:p>
            <w:pPr>
              <w:spacing w:after="0"/>
              <w:rPr>
                <w:sz w:val="20"/>
                <w:szCs w:val="20"/>
                <w:color w:val="auto"/>
              </w:rPr>
            </w:pPr>
            <w:r>
              <w:rPr>
                <w:rFonts w:ascii="Arial" w:cs="Arial" w:eastAsia="Arial" w:hAnsi="Arial"/>
                <w:sz w:val="17"/>
                <w:szCs w:val="17"/>
                <w:b w:val="1"/>
                <w:bCs w:val="1"/>
                <w:color w:val="auto"/>
              </w:rPr>
              <w:t>Risk-adjusted net interest income</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1,038,046</w:t>
            </w:r>
          </w:p>
        </w:tc>
        <w:tc>
          <w:tcPr>
            <w:tcW w:w="3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1,336,555</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1,565,736</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17.1%</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50.8%</w:t>
            </w:r>
          </w:p>
        </w:tc>
      </w:tr>
      <w:tr>
        <w:trPr>
          <w:trHeight w:val="202"/>
        </w:trPr>
        <w:tc>
          <w:tcPr>
            <w:tcW w:w="4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160" w:type="dxa"/>
            <w:vAlign w:val="bottom"/>
          </w:tcPr>
          <w:p>
            <w:pPr>
              <w:spacing w:after="0"/>
              <w:rPr>
                <w:sz w:val="20"/>
                <w:szCs w:val="20"/>
                <w:color w:val="auto"/>
              </w:rPr>
            </w:pPr>
            <w:r>
              <w:rPr>
                <w:rFonts w:ascii="Arial" w:cs="Arial" w:eastAsia="Arial" w:hAnsi="Arial"/>
                <w:sz w:val="17"/>
                <w:szCs w:val="17"/>
                <w:b w:val="1"/>
                <w:bCs w:val="1"/>
                <w:color w:val="auto"/>
              </w:rPr>
              <w:t>Non-financial income</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Fee income</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760,329</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873,155</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830,771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w:t>
            </w:r>
          </w:p>
        </w:tc>
      </w:tr>
      <w:tr>
        <w:trPr>
          <w:trHeight w:val="202"/>
        </w:trPr>
        <w:tc>
          <w:tcPr>
            <w:tcW w:w="4160" w:type="dxa"/>
            <w:vAlign w:val="bottom"/>
          </w:tcPr>
          <w:p>
            <w:pPr>
              <w:ind w:left="160"/>
              <w:spacing w:after="0"/>
              <w:rPr>
                <w:sz w:val="20"/>
                <w:szCs w:val="20"/>
                <w:color w:val="auto"/>
              </w:rPr>
            </w:pPr>
            <w:r>
              <w:rPr>
                <w:rFonts w:ascii="Arial" w:cs="Arial" w:eastAsia="Arial" w:hAnsi="Arial"/>
                <w:sz w:val="17"/>
                <w:szCs w:val="17"/>
                <w:color w:val="auto"/>
              </w:rPr>
              <w:t>Net gain on foreign exchange transactions</w:t>
            </w: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166,983</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151,464</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179,889</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18.8%</w:t>
            </w: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7.7%</w:t>
            </w:r>
          </w:p>
        </w:tc>
      </w:tr>
      <w:tr>
        <w:trPr>
          <w:trHeight w:val="202"/>
        </w:trPr>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gain on sales of securities</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(120,633)</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162,523</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16,287</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90.0%</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202"/>
        </w:trPr>
        <w:tc>
          <w:tcPr>
            <w:tcW w:w="4160" w:type="dxa"/>
            <w:vAlign w:val="bottom"/>
          </w:tcPr>
          <w:p>
            <w:pPr>
              <w:ind w:left="160"/>
              <w:spacing w:after="0"/>
              <w:rPr>
                <w:sz w:val="20"/>
                <w:szCs w:val="20"/>
                <w:color w:val="auto"/>
              </w:rPr>
            </w:pPr>
            <w:r>
              <w:rPr>
                <w:rFonts w:ascii="Arial" w:cs="Arial" w:eastAsia="Arial" w:hAnsi="Arial"/>
                <w:sz w:val="17"/>
                <w:szCs w:val="17"/>
                <w:color w:val="auto"/>
              </w:rPr>
              <w:t>Net gain from associates</w:t>
            </w: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19,225</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19,297</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29,405</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52.4%</w:t>
            </w: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53.0%</w:t>
            </w:r>
          </w:p>
        </w:tc>
      </w:tr>
      <w:tr>
        <w:trPr>
          <w:trHeight w:val="202"/>
        </w:trPr>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gain on derivatives held for trading</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35,430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18,298</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69,723</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281.0%</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96.8%</w:t>
            </w:r>
          </w:p>
        </w:tc>
      </w:tr>
      <w:tr>
        <w:trPr>
          <w:trHeight w:val="239"/>
        </w:trPr>
        <w:tc>
          <w:tcPr>
            <w:tcW w:w="4160" w:type="dxa"/>
            <w:vAlign w:val="bottom"/>
          </w:tcPr>
          <w:p>
            <w:pPr>
              <w:ind w:left="160"/>
              <w:spacing w:after="0" w:line="239" w:lineRule="exact"/>
              <w:rPr>
                <w:sz w:val="20"/>
                <w:szCs w:val="20"/>
                <w:color w:val="auto"/>
              </w:rPr>
            </w:pPr>
            <w:r>
              <w:rPr>
                <w:rFonts w:ascii="Arial" w:cs="Arial" w:eastAsia="Arial" w:hAnsi="Arial"/>
                <w:sz w:val="17"/>
                <w:szCs w:val="17"/>
                <w:color w:val="auto"/>
              </w:rPr>
              <w:t xml:space="preserve">Net gain from exchange differences </w:t>
            </w:r>
            <w:r>
              <w:rPr>
                <w:rFonts w:ascii="Arial" w:cs="Arial" w:eastAsia="Arial" w:hAnsi="Arial"/>
                <w:sz w:val="27"/>
                <w:szCs w:val="27"/>
                <w:color w:val="auto"/>
                <w:vertAlign w:val="superscript"/>
              </w:rPr>
              <w:t>(1)</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(20,849)</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11,152</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(5,536)</w:t>
            </w:r>
          </w:p>
        </w:tc>
        <w:tc>
          <w:tcPr>
            <w:tcW w:w="1760" w:type="dxa"/>
            <w:vAlign w:val="bottom"/>
            <w:gridSpan w:val="3"/>
          </w:tcPr>
          <w:p>
            <w:pPr>
              <w:jc w:val="right"/>
              <w:ind w:right="640"/>
              <w:spacing w:after="0"/>
              <w:rPr>
                <w:sz w:val="20"/>
                <w:szCs w:val="20"/>
                <w:color w:val="auto"/>
              </w:rPr>
            </w:pPr>
            <w:r>
              <w:rPr>
                <w:rFonts w:ascii="Arial" w:cs="Arial" w:eastAsia="Arial" w:hAnsi="Arial"/>
                <w:sz w:val="17"/>
                <w:szCs w:val="17"/>
                <w:color w:val="auto"/>
              </w:rPr>
              <w:t>n.a.</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-73.4%</w:t>
            </w:r>
          </w:p>
        </w:tc>
      </w:tr>
      <w:tr>
        <w:trPr>
          <w:trHeight w:val="239"/>
        </w:trPr>
        <w:tc>
          <w:tcPr>
            <w:tcW w:w="4160" w:type="dxa"/>
            <w:vAlign w:val="bottom"/>
            <w:shd w:val="clear" w:color="auto" w:fill="CCEEFF"/>
          </w:tcPr>
          <w:p>
            <w:pPr>
              <w:ind w:left="160"/>
              <w:spacing w:after="0" w:line="239" w:lineRule="exact"/>
              <w:rPr>
                <w:sz w:val="20"/>
                <w:szCs w:val="20"/>
                <w:color w:val="auto"/>
              </w:rPr>
            </w:pPr>
            <w:r>
              <w:rPr>
                <w:rFonts w:ascii="Arial" w:cs="Arial" w:eastAsia="Arial" w:hAnsi="Arial"/>
                <w:sz w:val="17"/>
                <w:szCs w:val="17"/>
                <w:color w:val="auto"/>
              </w:rPr>
              <w:t xml:space="preserve">Other non-financial income </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117,770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94,517</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73,991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-21.7%</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-37.2%</w:t>
            </w:r>
          </w:p>
        </w:tc>
      </w:tr>
      <w:tr>
        <w:trPr>
          <w:trHeight w:val="202"/>
        </w:trPr>
        <w:tc>
          <w:tcPr>
            <w:tcW w:w="4160" w:type="dxa"/>
            <w:vAlign w:val="bottom"/>
          </w:tcPr>
          <w:p>
            <w:pPr>
              <w:ind w:left="160"/>
              <w:spacing w:after="0"/>
              <w:rPr>
                <w:sz w:val="20"/>
                <w:szCs w:val="20"/>
                <w:color w:val="auto"/>
              </w:rPr>
            </w:pPr>
            <w:r>
              <w:rPr>
                <w:rFonts w:ascii="Arial" w:cs="Arial" w:eastAsia="Arial" w:hAnsi="Arial"/>
                <w:sz w:val="17"/>
                <w:szCs w:val="17"/>
                <w:b w:val="1"/>
                <w:bCs w:val="1"/>
                <w:color w:val="auto"/>
              </w:rPr>
              <w:t>Total non-financial income</w:t>
            </w:r>
          </w:p>
        </w:tc>
        <w:tc>
          <w:tcPr>
            <w:tcW w:w="14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958,255</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1,330,406</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1,194,530</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-10.2%</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24.7%</w:t>
            </w:r>
          </w:p>
        </w:tc>
      </w:tr>
      <w:tr>
        <w:trPr>
          <w:trHeight w:val="202"/>
        </w:trPr>
        <w:tc>
          <w:tcPr>
            <w:tcW w:w="4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160" w:type="dxa"/>
            <w:vAlign w:val="bottom"/>
          </w:tcPr>
          <w:p>
            <w:pPr>
              <w:spacing w:after="0"/>
              <w:rPr>
                <w:sz w:val="20"/>
                <w:szCs w:val="20"/>
                <w:color w:val="auto"/>
              </w:rPr>
            </w:pPr>
            <w:r>
              <w:rPr>
                <w:rFonts w:ascii="Arial" w:cs="Arial" w:eastAsia="Arial" w:hAnsi="Arial"/>
                <w:sz w:val="17"/>
                <w:szCs w:val="17"/>
                <w:b w:val="1"/>
                <w:bCs w:val="1"/>
                <w:color w:val="auto"/>
              </w:rPr>
              <w:t>Insurance underwriting result</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9"/>
        </w:trPr>
        <w:tc>
          <w:tcPr>
            <w:tcW w:w="4160" w:type="dxa"/>
            <w:vAlign w:val="bottom"/>
            <w:shd w:val="clear" w:color="auto" w:fill="CCEEFF"/>
          </w:tcPr>
          <w:p>
            <w:pPr>
              <w:ind w:left="160"/>
              <w:spacing w:after="0" w:line="239" w:lineRule="exact"/>
              <w:rPr>
                <w:sz w:val="20"/>
                <w:szCs w:val="20"/>
                <w:color w:val="auto"/>
              </w:rPr>
            </w:pPr>
            <w:r>
              <w:rPr>
                <w:rFonts w:ascii="Arial" w:cs="Arial" w:eastAsia="Arial" w:hAnsi="Arial"/>
                <w:sz w:val="17"/>
                <w:szCs w:val="17"/>
                <w:color w:val="auto"/>
              </w:rPr>
              <w:t xml:space="preserve">Net earned premiums </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627,935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652,669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643,928</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r>
      <w:tr>
        <w:trPr>
          <w:trHeight w:val="239"/>
        </w:trPr>
        <w:tc>
          <w:tcPr>
            <w:tcW w:w="4160" w:type="dxa"/>
            <w:vAlign w:val="bottom"/>
          </w:tcPr>
          <w:p>
            <w:pPr>
              <w:ind w:left="160"/>
              <w:spacing w:after="0" w:line="239" w:lineRule="exact"/>
              <w:rPr>
                <w:sz w:val="20"/>
                <w:szCs w:val="20"/>
                <w:color w:val="auto"/>
              </w:rPr>
            </w:pPr>
            <w:r>
              <w:rPr>
                <w:rFonts w:ascii="Arial" w:cs="Arial" w:eastAsia="Arial" w:hAnsi="Arial"/>
                <w:sz w:val="17"/>
                <w:szCs w:val="17"/>
                <w:color w:val="auto"/>
              </w:rPr>
              <w:t xml:space="preserve">Net claims </w:t>
            </w:r>
            <w:r>
              <w:rPr>
                <w:rFonts w:ascii="Arial" w:cs="Arial" w:eastAsia="Arial" w:hAnsi="Arial"/>
                <w:sz w:val="27"/>
                <w:szCs w:val="27"/>
                <w:color w:val="auto"/>
                <w:vertAlign w:val="superscript"/>
              </w:rPr>
              <w:t>(1)</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(373,502)</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(492,738)</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(623,353)</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26.5%</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66.9%</w:t>
            </w:r>
          </w:p>
        </w:tc>
      </w:tr>
      <w:tr>
        <w:trPr>
          <w:trHeight w:val="239"/>
        </w:trPr>
        <w:tc>
          <w:tcPr>
            <w:tcW w:w="4160" w:type="dxa"/>
            <w:vAlign w:val="bottom"/>
            <w:shd w:val="clear" w:color="auto" w:fill="CCEEFF"/>
          </w:tcPr>
          <w:p>
            <w:pPr>
              <w:ind w:left="160"/>
              <w:spacing w:after="0" w:line="239" w:lineRule="exact"/>
              <w:rPr>
                <w:sz w:val="20"/>
                <w:szCs w:val="20"/>
                <w:color w:val="auto"/>
              </w:rPr>
            </w:pPr>
            <w:r>
              <w:rPr>
                <w:rFonts w:ascii="Arial" w:cs="Arial" w:eastAsia="Arial" w:hAnsi="Arial"/>
                <w:sz w:val="17"/>
                <w:szCs w:val="17"/>
                <w:color w:val="auto"/>
              </w:rPr>
              <w:t xml:space="preserve">Acquisition cost </w:t>
            </w:r>
            <w:r>
              <w:rPr>
                <w:rFonts w:ascii="Arial" w:cs="Arial" w:eastAsia="Arial" w:hAnsi="Arial"/>
                <w:sz w:val="27"/>
                <w:szCs w:val="27"/>
                <w:color w:val="auto"/>
                <w:vertAlign w:val="superscript"/>
              </w:rPr>
              <w:t>(2)</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(112,507)</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(75,065)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(85,822)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14.3%</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-23.7%</w:t>
            </w:r>
          </w:p>
        </w:tc>
      </w:tr>
      <w:tr>
        <w:trPr>
          <w:trHeight w:val="202"/>
        </w:trPr>
        <w:tc>
          <w:tcPr>
            <w:tcW w:w="4160" w:type="dxa"/>
            <w:vAlign w:val="bottom"/>
          </w:tcPr>
          <w:p>
            <w:pPr>
              <w:ind w:left="160"/>
              <w:spacing w:after="0"/>
              <w:rPr>
                <w:sz w:val="20"/>
                <w:szCs w:val="20"/>
                <w:color w:val="auto"/>
              </w:rPr>
            </w:pPr>
            <w:r>
              <w:rPr>
                <w:rFonts w:ascii="Arial" w:cs="Arial" w:eastAsia="Arial" w:hAnsi="Arial"/>
                <w:sz w:val="17"/>
                <w:szCs w:val="17"/>
                <w:b w:val="1"/>
                <w:bCs w:val="1"/>
                <w:color w:val="auto"/>
              </w:rPr>
              <w:t>Total insurance underwriting result</w:t>
            </w:r>
          </w:p>
        </w:tc>
        <w:tc>
          <w:tcPr>
            <w:tcW w:w="14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141,926</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84,866</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(65,247)</w:t>
            </w:r>
          </w:p>
        </w:tc>
        <w:tc>
          <w:tcPr>
            <w:tcW w:w="1760" w:type="dxa"/>
            <w:vAlign w:val="bottom"/>
            <w:gridSpan w:val="3"/>
          </w:tcPr>
          <w:p>
            <w:pPr>
              <w:jc w:val="right"/>
              <w:ind w:right="640"/>
              <w:spacing w:after="0"/>
              <w:rPr>
                <w:sz w:val="20"/>
                <w:szCs w:val="20"/>
                <w:color w:val="auto"/>
              </w:rPr>
            </w:pPr>
            <w:r>
              <w:rPr>
                <w:rFonts w:ascii="Arial" w:cs="Arial" w:eastAsia="Arial" w:hAnsi="Arial"/>
                <w:sz w:val="17"/>
                <w:szCs w:val="17"/>
                <w:b w:val="1"/>
                <w:bCs w:val="1"/>
                <w:color w:val="auto"/>
              </w:rPr>
              <w:t>n.a.</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n.a.</w:t>
            </w:r>
          </w:p>
        </w:tc>
      </w:tr>
      <w:tr>
        <w:trPr>
          <w:trHeight w:val="202"/>
        </w:trPr>
        <w:tc>
          <w:tcPr>
            <w:tcW w:w="4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160" w:type="dxa"/>
            <w:vAlign w:val="bottom"/>
          </w:tcPr>
          <w:p>
            <w:pPr>
              <w:spacing w:after="0"/>
              <w:rPr>
                <w:sz w:val="20"/>
                <w:szCs w:val="20"/>
                <w:color w:val="auto"/>
              </w:rPr>
            </w:pPr>
            <w:r>
              <w:rPr>
                <w:rFonts w:ascii="Arial" w:cs="Arial" w:eastAsia="Arial" w:hAnsi="Arial"/>
                <w:sz w:val="17"/>
                <w:szCs w:val="17"/>
                <w:b w:val="1"/>
                <w:bCs w:val="1"/>
                <w:color w:val="auto"/>
              </w:rPr>
              <w:t>Total expenses</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Salaries and employee benefits</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(891,183)</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(792,335)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(857,559)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8.2%</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w:t>
            </w:r>
          </w:p>
        </w:tc>
      </w:tr>
      <w:tr>
        <w:trPr>
          <w:trHeight w:val="239"/>
        </w:trPr>
        <w:tc>
          <w:tcPr>
            <w:tcW w:w="4160" w:type="dxa"/>
            <w:vAlign w:val="bottom"/>
          </w:tcPr>
          <w:p>
            <w:pPr>
              <w:ind w:left="160"/>
              <w:spacing w:after="0" w:line="239" w:lineRule="exact"/>
              <w:rPr>
                <w:sz w:val="20"/>
                <w:szCs w:val="20"/>
                <w:color w:val="auto"/>
              </w:rPr>
            </w:pPr>
            <w:r>
              <w:rPr>
                <w:rFonts w:ascii="Arial" w:cs="Arial" w:eastAsia="Arial" w:hAnsi="Arial"/>
                <w:sz w:val="17"/>
                <w:szCs w:val="17"/>
                <w:color w:val="auto"/>
              </w:rPr>
              <w:t xml:space="preserve">Administrative, general and tax expenses </w:t>
            </w:r>
            <w:r>
              <w:rPr>
                <w:rFonts w:ascii="Arial" w:cs="Arial" w:eastAsia="Arial" w:hAnsi="Arial"/>
                <w:sz w:val="27"/>
                <w:szCs w:val="27"/>
                <w:color w:val="auto"/>
                <w:vertAlign w:val="superscript"/>
              </w:rPr>
              <w:t>(1)</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(542,104)</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(749,393)</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(580,842)</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-22.5%</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7.1%</w:t>
            </w:r>
          </w:p>
        </w:tc>
      </w:tr>
      <w:tr>
        <w:trPr>
          <w:trHeight w:val="239"/>
        </w:trPr>
        <w:tc>
          <w:tcPr>
            <w:tcW w:w="4160" w:type="dxa"/>
            <w:vAlign w:val="bottom"/>
            <w:shd w:val="clear" w:color="auto" w:fill="CCEEFF"/>
          </w:tcPr>
          <w:p>
            <w:pPr>
              <w:ind w:left="160"/>
              <w:spacing w:after="0" w:line="239"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(169,959)</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(158,494)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(166,765)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w:t>
            </w:r>
          </w:p>
        </w:tc>
      </w:tr>
      <w:tr>
        <w:trPr>
          <w:trHeight w:val="202"/>
        </w:trPr>
        <w:tc>
          <w:tcPr>
            <w:tcW w:w="4160" w:type="dxa"/>
            <w:vAlign w:val="bottom"/>
          </w:tcPr>
          <w:p>
            <w:pPr>
              <w:ind w:left="160"/>
              <w:spacing w:after="0"/>
              <w:rPr>
                <w:sz w:val="20"/>
                <w:szCs w:val="20"/>
                <w:color w:val="auto"/>
              </w:rPr>
            </w:pPr>
            <w:r>
              <w:rPr>
                <w:rFonts w:ascii="Arial" w:cs="Arial" w:eastAsia="Arial" w:hAnsi="Arial"/>
                <w:sz w:val="17"/>
                <w:szCs w:val="17"/>
                <w:color w:val="auto"/>
              </w:rPr>
              <w:t>Impairment loss on goodwill</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760" w:type="dxa"/>
            <w:vAlign w:val="bottom"/>
            <w:gridSpan w:val="3"/>
          </w:tcPr>
          <w:p>
            <w:pPr>
              <w:jc w:val="right"/>
              <w:ind w:right="640"/>
              <w:spacing w:after="0"/>
              <w:rPr>
                <w:sz w:val="20"/>
                <w:szCs w:val="20"/>
                <w:color w:val="auto"/>
              </w:rPr>
            </w:pPr>
            <w:r>
              <w:rPr>
                <w:rFonts w:ascii="Arial" w:cs="Arial" w:eastAsia="Arial" w:hAnsi="Arial"/>
                <w:sz w:val="17"/>
                <w:szCs w:val="17"/>
                <w:color w:val="auto"/>
              </w:rPr>
              <w:t>n.a.</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r>
      <w:tr>
        <w:trPr>
          <w:trHeight w:val="202"/>
        </w:trPr>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Association in participation</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(6,430)</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(17,079)</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(13,906)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-18.6%</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116.3%</w:t>
            </w:r>
          </w:p>
        </w:tc>
      </w:tr>
      <w:tr>
        <w:trPr>
          <w:trHeight w:val="239"/>
        </w:trPr>
        <w:tc>
          <w:tcPr>
            <w:tcW w:w="4160" w:type="dxa"/>
            <w:vAlign w:val="bottom"/>
          </w:tcPr>
          <w:p>
            <w:pPr>
              <w:ind w:left="160"/>
              <w:spacing w:after="0" w:line="239" w:lineRule="exact"/>
              <w:rPr>
                <w:sz w:val="20"/>
                <w:szCs w:val="20"/>
                <w:color w:val="auto"/>
              </w:rPr>
            </w:pPr>
            <w:r>
              <w:rPr>
                <w:rFonts w:ascii="Arial" w:cs="Arial" w:eastAsia="Arial" w:hAnsi="Arial"/>
                <w:sz w:val="17"/>
                <w:szCs w:val="17"/>
                <w:color w:val="auto"/>
              </w:rPr>
              <w:t xml:space="preserve">Other expenses </w:t>
            </w:r>
            <w:r>
              <w:rPr>
                <w:rFonts w:ascii="Arial" w:cs="Arial" w:eastAsia="Arial" w:hAnsi="Arial"/>
                <w:sz w:val="27"/>
                <w:szCs w:val="27"/>
                <w:color w:val="auto"/>
                <w:vertAlign w:val="superscript"/>
              </w:rPr>
              <w:t>(1)</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(169,630)</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(265,255)</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(61,199)</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-76.9%</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-63.9%</w:t>
            </w:r>
          </w:p>
        </w:tc>
      </w:tr>
      <w:tr>
        <w:trPr>
          <w:trHeight w:val="202"/>
        </w:trPr>
        <w:tc>
          <w:tcPr>
            <w:tcW w:w="41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expenses</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(1,779,306)</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(1,982,556)</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(1,680,271)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-15.2%</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r>
      <w:tr>
        <w:trPr>
          <w:trHeight w:val="202"/>
        </w:trPr>
        <w:tc>
          <w:tcPr>
            <w:tcW w:w="4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Profit before income tax</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358,921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769,271</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1,014,748</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31.9%</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182.7%</w:t>
            </w:r>
          </w:p>
        </w:tc>
      </w:tr>
      <w:tr>
        <w:trPr>
          <w:trHeight w:val="202"/>
        </w:trPr>
        <w:tc>
          <w:tcPr>
            <w:tcW w:w="4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(145,746)</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(103,460)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(337,599)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226.3%</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131.6%</w:t>
            </w:r>
          </w:p>
        </w:tc>
      </w:tr>
      <w:tr>
        <w:trPr>
          <w:trHeight w:val="202"/>
        </w:trPr>
        <w:tc>
          <w:tcPr>
            <w:tcW w:w="4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profit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213,175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665,811</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677,149</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1.7%</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217.6%</w:t>
            </w:r>
          </w:p>
        </w:tc>
      </w:tr>
      <w:tr>
        <w:trPr>
          <w:trHeight w:val="202"/>
        </w:trPr>
        <w:tc>
          <w:tcPr>
            <w:tcW w:w="416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3,901</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12,407</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16,351</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31.8%</w:t>
            </w: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319.1%</w:t>
            </w:r>
          </w:p>
        </w:tc>
      </w:tr>
      <w:tr>
        <w:trPr>
          <w:trHeight w:val="202"/>
        </w:trPr>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profit attributable to Credicorp</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209,274</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653,404</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660,798</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1.1%</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215.8%</w:t>
            </w:r>
          </w:p>
        </w:tc>
      </w:tr>
    </w:tbl>
    <w:p>
      <w:pPr>
        <w:spacing w:after="0" w:line="214" w:lineRule="exact"/>
        <w:rPr>
          <w:sz w:val="20"/>
          <w:szCs w:val="20"/>
          <w:color w:val="auto"/>
        </w:rPr>
      </w:pPr>
    </w:p>
    <w:p>
      <w:pPr>
        <w:ind w:left="300" w:hanging="299"/>
        <w:spacing w:after="0"/>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differ from those previously reported in 2020 period due to reclassifications.</w:t>
      </w:r>
    </w:p>
    <w:p>
      <w:pPr>
        <w:spacing w:after="0" w:line="18" w:lineRule="exact"/>
        <w:rPr>
          <w:rFonts w:ascii="Arial" w:cs="Arial" w:eastAsia="Arial" w:hAnsi="Arial"/>
          <w:sz w:val="17"/>
          <w:szCs w:val="17"/>
          <w:color w:val="auto"/>
        </w:rPr>
      </w:pPr>
    </w:p>
    <w:p>
      <w:pPr>
        <w:ind w:left="300" w:hanging="299"/>
        <w:spacing w:after="0"/>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acquisition cost of Pacífico includes net fees and underwriting expenses.</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8"/>
        </w:trPr>
        <w:tc>
          <w:tcPr>
            <w:tcW w:w="8440" w:type="dxa"/>
            <w:vAlign w:val="bottom"/>
            <w:gridSpan w:val="2"/>
          </w:tcPr>
          <w:p>
            <w:pPr>
              <w:spacing w:after="0"/>
              <w:rPr>
                <w:sz w:val="20"/>
                <w:szCs w:val="20"/>
                <w:color w:val="auto"/>
              </w:rPr>
            </w:pPr>
            <w:r>
              <w:rPr>
                <w:rFonts w:ascii="Arial" w:cs="Arial" w:eastAsia="Arial" w:hAnsi="Arial"/>
                <w:sz w:val="17"/>
                <w:szCs w:val="17"/>
                <w:b w:val="1"/>
                <w:bCs w:val="1"/>
                <w:color w:val="auto"/>
              </w:rPr>
              <w:t>12.2. Credicorp Stand-alone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7"/>
        </w:trPr>
        <w:tc>
          <w:tcPr>
            <w:tcW w:w="8440" w:type="dxa"/>
            <w:vAlign w:val="bottom"/>
            <w:gridSpan w:val="2"/>
          </w:tcPr>
          <w:p>
            <w:pPr>
              <w:jc w:val="center"/>
              <w:ind w:left="2716"/>
              <w:spacing w:after="0"/>
              <w:rPr>
                <w:sz w:val="20"/>
                <w:szCs w:val="20"/>
                <w:color w:val="auto"/>
              </w:rPr>
            </w:pPr>
            <w:r>
              <w:rPr>
                <w:rFonts w:ascii="Arial" w:cs="Arial" w:eastAsia="Arial" w:hAnsi="Arial"/>
                <w:sz w:val="17"/>
                <w:szCs w:val="17"/>
                <w:b w:val="1"/>
                <w:bCs w:val="1"/>
                <w:color w:val="auto"/>
                <w:w w:val="92"/>
              </w:rPr>
              <w:t>Credicorp Ltd.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8440" w:type="dxa"/>
            <w:vAlign w:val="bottom"/>
            <w:gridSpan w:val="2"/>
          </w:tcPr>
          <w:p>
            <w:pPr>
              <w:jc w:val="center"/>
              <w:ind w:left="2676"/>
              <w:spacing w:after="0"/>
              <w:rPr>
                <w:sz w:val="20"/>
                <w:szCs w:val="20"/>
                <w:color w:val="auto"/>
              </w:rPr>
            </w:pPr>
            <w:r>
              <w:rPr>
                <w:rFonts w:ascii="Arial" w:cs="Arial" w:eastAsia="Arial" w:hAnsi="Arial"/>
                <w:sz w:val="17"/>
                <w:szCs w:val="17"/>
                <w:b w:val="1"/>
                <w:bCs w:val="1"/>
                <w:color w:val="auto"/>
                <w:w w:val="88"/>
              </w:rPr>
              <w:t>Separate Statement of Financal Position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8440" w:type="dxa"/>
            <w:vAlign w:val="bottom"/>
            <w:gridSpan w:val="2"/>
          </w:tcPr>
          <w:p>
            <w:pPr>
              <w:jc w:val="center"/>
              <w:ind w:left="2716"/>
              <w:spacing w:after="0"/>
              <w:rPr>
                <w:sz w:val="20"/>
                <w:szCs w:val="20"/>
                <w:color w:val="auto"/>
              </w:rPr>
            </w:pPr>
            <w:r>
              <w:rPr>
                <w:rFonts w:ascii="Arial" w:cs="Arial" w:eastAsia="Arial" w:hAnsi="Arial"/>
                <w:sz w:val="17"/>
                <w:szCs w:val="17"/>
                <w:b w:val="1"/>
                <w:bCs w:val="1"/>
                <w:color w:val="auto"/>
                <w:w w:val="90"/>
              </w:rPr>
              <w:t>(In S/ thousands, IFRS)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As of</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ind w:left="380"/>
              <w:spacing w:after="0"/>
              <w:rPr>
                <w:sz w:val="20"/>
                <w:szCs w:val="20"/>
                <w:color w:val="auto"/>
              </w:rPr>
            </w:pPr>
            <w:r>
              <w:rPr>
                <w:rFonts w:ascii="Arial" w:cs="Arial" w:eastAsia="Arial" w:hAnsi="Arial"/>
                <w:sz w:val="17"/>
                <w:szCs w:val="17"/>
                <w:b w:val="1"/>
                <w:bCs w:val="1"/>
                <w:color w:val="auto"/>
              </w:rPr>
              <w:t>Dec 20</w:t>
            </w:r>
          </w:p>
        </w:tc>
        <w:tc>
          <w:tcPr>
            <w:tcW w:w="1000" w:type="dxa"/>
            <w:vAlign w:val="bottom"/>
            <w:gridSpan w:val="3"/>
          </w:tcPr>
          <w:p>
            <w:pPr>
              <w:ind w:left="120"/>
              <w:spacing w:after="0"/>
              <w:rPr>
                <w:sz w:val="20"/>
                <w:szCs w:val="20"/>
                <w:color w:val="auto"/>
              </w:rPr>
            </w:pPr>
            <w:r>
              <w:rPr>
                <w:rFonts w:ascii="Arial" w:cs="Arial" w:eastAsia="Arial" w:hAnsi="Arial"/>
                <w:sz w:val="17"/>
                <w:szCs w:val="17"/>
                <w:b w:val="1"/>
                <w:bCs w:val="1"/>
                <w:color w:val="auto"/>
              </w:rPr>
              <w:t>Mar 21</w:t>
            </w:r>
          </w:p>
        </w:tc>
        <w:tc>
          <w:tcPr>
            <w:tcW w:w="100" w:type="dxa"/>
            <w:vAlign w:val="bottom"/>
          </w:tcPr>
          <w:p>
            <w:pPr>
              <w:spacing w:after="0"/>
              <w:rPr>
                <w:sz w:val="16"/>
                <w:szCs w:val="16"/>
                <w:color w:val="auto"/>
              </w:rPr>
            </w:pPr>
          </w:p>
        </w:tc>
      </w:tr>
      <w:tr>
        <w:trPr>
          <w:trHeight w:val="194"/>
        </w:trPr>
        <w:tc>
          <w:tcPr>
            <w:tcW w:w="844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1,114,167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7"/>
                <w:szCs w:val="17"/>
                <w:color w:val="auto"/>
              </w:rPr>
              <w:t>800,622</w:t>
            </w: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 fair value through profit or loss</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234,825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583,176</w:t>
            </w:r>
          </w:p>
        </w:tc>
      </w:tr>
      <w:tr>
        <w:trPr>
          <w:trHeight w:val="239"/>
        </w:trPr>
        <w:tc>
          <w:tcPr>
            <w:tcW w:w="844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Fair value through other comprehensive income investments </w:t>
            </w:r>
            <w:r>
              <w:rPr>
                <w:rFonts w:ascii="Arial" w:cs="Arial" w:eastAsia="Arial" w:hAnsi="Arial"/>
                <w:sz w:val="27"/>
                <w:szCs w:val="27"/>
                <w:color w:val="auto"/>
                <w:vertAlign w:val="superscript"/>
              </w:rPr>
              <w:t>(1)</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463,421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7"/>
                <w:szCs w:val="17"/>
                <w:color w:val="auto"/>
              </w:rPr>
              <w:t>490,778</w:t>
            </w:r>
          </w:p>
        </w:tc>
      </w:tr>
      <w:tr>
        <w:trPr>
          <w:trHeight w:val="239"/>
        </w:trPr>
        <w:tc>
          <w:tcPr>
            <w:tcW w:w="844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In subsidiaries and associates investments </w:t>
            </w:r>
            <w:r>
              <w:rPr>
                <w:rFonts w:ascii="Arial" w:cs="Arial" w:eastAsia="Arial" w:hAnsi="Arial"/>
                <w:sz w:val="27"/>
                <w:szCs w:val="27"/>
                <w:color w:val="auto"/>
                <w:vertAlign w:val="superscript"/>
              </w:rPr>
              <w:t>(1)</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29,118,425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28,688,953</w:t>
            </w: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Loans</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137,049</w:t>
            </w:r>
          </w:p>
        </w:tc>
      </w:tr>
      <w:tr>
        <w:trPr>
          <w:trHeight w:val="202"/>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ind w:left="3780"/>
              <w:spacing w:after="0"/>
              <w:rPr>
                <w:sz w:val="20"/>
                <w:szCs w:val="20"/>
                <w:color w:val="auto"/>
              </w:rPr>
            </w:pPr>
            <w:r>
              <w:rPr>
                <w:rFonts w:ascii="Arial" w:cs="Arial" w:eastAsia="Arial" w:hAnsi="Arial"/>
                <w:sz w:val="17"/>
                <w:szCs w:val="17"/>
                <w:b w:val="1"/>
                <w:bCs w:val="1"/>
                <w:color w:val="auto"/>
              </w:rPr>
              <w:t>Total Assets</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30,931,029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30,700,578</w:t>
            </w:r>
          </w:p>
        </w:tc>
      </w:tr>
      <w:tr>
        <w:trPr>
          <w:trHeight w:val="202"/>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NET SHAREHOLDERS’ EQUITY</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Bonds and notes issued</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1,794,879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1,875,925</w:t>
            </w: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110,827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7"/>
                <w:szCs w:val="17"/>
                <w:color w:val="auto"/>
              </w:rPr>
              <w:t>133,300</w:t>
            </w:r>
          </w:p>
        </w:tc>
      </w:tr>
      <w:tr>
        <w:trPr>
          <w:trHeight w:val="202"/>
        </w:trPr>
        <w:tc>
          <w:tcPr>
            <w:tcW w:w="8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440" w:type="dxa"/>
            <w:vAlign w:val="bottom"/>
            <w:gridSpan w:val="2"/>
          </w:tcPr>
          <w:p>
            <w:pPr>
              <w:ind w:left="3640"/>
              <w:spacing w:after="0"/>
              <w:rPr>
                <w:sz w:val="20"/>
                <w:szCs w:val="20"/>
                <w:color w:val="auto"/>
              </w:rPr>
            </w:pPr>
            <w:r>
              <w:rPr>
                <w:rFonts w:ascii="Arial" w:cs="Arial" w:eastAsia="Arial" w:hAnsi="Arial"/>
                <w:sz w:val="17"/>
                <w:szCs w:val="17"/>
                <w:b w:val="1"/>
                <w:bCs w:val="1"/>
                <w:color w:val="auto"/>
              </w:rPr>
              <w:t>Total Liabilities</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1,905,706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2,009,225</w:t>
            </w:r>
          </w:p>
        </w:tc>
      </w:tr>
      <w:tr>
        <w:trPr>
          <w:trHeight w:val="202"/>
        </w:trPr>
        <w:tc>
          <w:tcPr>
            <w:tcW w:w="8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b w:val="1"/>
                <w:bCs w:val="1"/>
                <w:color w:val="auto"/>
              </w:rPr>
              <w:t>NET EQUITY</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stock</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1,318,993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1,318,993</w:t>
            </w: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Capital Surplus</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384,542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7"/>
                <w:szCs w:val="17"/>
                <w:color w:val="auto"/>
              </w:rPr>
              <w:t>384,542</w:t>
            </w: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Reserve</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21,070,409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21,417,403</w:t>
            </w: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Unrealized results</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1,666,481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7"/>
                <w:szCs w:val="17"/>
                <w:color w:val="auto"/>
              </w:rPr>
              <w:t>652,340</w:t>
            </w: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4,584,898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4,918,075</w:t>
            </w:r>
          </w:p>
        </w:tc>
      </w:tr>
      <w:tr>
        <w:trPr>
          <w:trHeight w:val="202"/>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ind w:left="3660"/>
              <w:spacing w:after="0"/>
              <w:rPr>
                <w:sz w:val="20"/>
                <w:szCs w:val="20"/>
                <w:color w:val="auto"/>
              </w:rPr>
            </w:pPr>
            <w:r>
              <w:rPr>
                <w:rFonts w:ascii="Arial" w:cs="Arial" w:eastAsia="Arial" w:hAnsi="Arial"/>
                <w:sz w:val="17"/>
                <w:szCs w:val="17"/>
                <w:b w:val="1"/>
                <w:bCs w:val="1"/>
                <w:color w:val="auto"/>
              </w:rPr>
              <w:t>Total net equity</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29,025,323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28,691,353</w:t>
            </w:r>
          </w:p>
        </w:tc>
      </w:tr>
      <w:tr>
        <w:trPr>
          <w:trHeight w:val="202"/>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30,931,029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30,700,578</w:t>
            </w:r>
          </w:p>
        </w:tc>
      </w:tr>
      <w:tr>
        <w:trPr>
          <w:trHeight w:val="428"/>
        </w:trPr>
        <w:tc>
          <w:tcPr>
            <w:tcW w:w="8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980"/>
              <w:spacing w:after="0"/>
              <w:rPr>
                <w:sz w:val="20"/>
                <w:szCs w:val="20"/>
                <w:color w:val="auto"/>
              </w:rPr>
            </w:pPr>
            <w:r>
              <w:rPr>
                <w:rFonts w:ascii="Arial" w:cs="Arial" w:eastAsia="Arial" w:hAnsi="Arial"/>
                <w:sz w:val="17"/>
                <w:szCs w:val="17"/>
                <w:b w:val="1"/>
                <w:bCs w:val="1"/>
                <w:color w:val="auto"/>
              </w:rPr>
              <w:t>Quarter</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ind w:left="340"/>
              <w:spacing w:after="0"/>
              <w:rPr>
                <w:sz w:val="20"/>
                <w:szCs w:val="20"/>
                <w:color w:val="auto"/>
              </w:rPr>
            </w:pPr>
            <w:r>
              <w:rPr>
                <w:rFonts w:ascii="Arial" w:cs="Arial" w:eastAsia="Arial" w:hAnsi="Arial"/>
                <w:sz w:val="17"/>
                <w:szCs w:val="17"/>
                <w:b w:val="1"/>
                <w:bCs w:val="1"/>
                <w:color w:val="auto"/>
              </w:rPr>
              <w:t>4Q20</w:t>
            </w:r>
          </w:p>
        </w:tc>
        <w:tc>
          <w:tcPr>
            <w:tcW w:w="940" w:type="dxa"/>
            <w:vAlign w:val="bottom"/>
          </w:tcPr>
          <w:p>
            <w:pPr>
              <w:ind w:left="120"/>
              <w:spacing w:after="0"/>
              <w:rPr>
                <w:sz w:val="20"/>
                <w:szCs w:val="20"/>
                <w:color w:val="auto"/>
              </w:rPr>
            </w:pPr>
            <w:r>
              <w:rPr>
                <w:rFonts w:ascii="Arial" w:cs="Arial" w:eastAsia="Arial" w:hAnsi="Arial"/>
                <w:sz w:val="17"/>
                <w:szCs w:val="17"/>
                <w:b w:val="1"/>
                <w:bCs w:val="1"/>
                <w:color w:val="auto"/>
              </w:rPr>
              <w:t>1Q21</w:t>
            </w:r>
          </w:p>
        </w:tc>
        <w:tc>
          <w:tcPr>
            <w:tcW w:w="160" w:type="dxa"/>
            <w:vAlign w:val="bottom"/>
            <w:gridSpan w:val="3"/>
          </w:tcPr>
          <w:p>
            <w:pPr>
              <w:spacing w:after="0"/>
              <w:rPr>
                <w:sz w:val="16"/>
                <w:szCs w:val="16"/>
                <w:color w:val="auto"/>
              </w:rPr>
            </w:pPr>
          </w:p>
        </w:tc>
      </w:tr>
      <w:tr>
        <w:trPr>
          <w:trHeight w:val="194"/>
        </w:trPr>
        <w:tc>
          <w:tcPr>
            <w:tcW w:w="83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Interest income</w:t>
            </w: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Net share of the income from investments in subsidiaries and associates</w:t>
            </w:r>
          </w:p>
        </w:tc>
        <w:tc>
          <w:tcPr>
            <w:tcW w:w="1140" w:type="dxa"/>
            <w:vAlign w:val="bottom"/>
          </w:tcPr>
          <w:p>
            <w:pPr>
              <w:jc w:val="right"/>
              <w:spacing w:after="0"/>
              <w:rPr>
                <w:sz w:val="20"/>
                <w:szCs w:val="20"/>
                <w:color w:val="auto"/>
              </w:rPr>
            </w:pPr>
            <w:r>
              <w:rPr>
                <w:rFonts w:ascii="Arial" w:cs="Arial" w:eastAsia="Arial" w:hAnsi="Arial"/>
                <w:sz w:val="17"/>
                <w:szCs w:val="17"/>
                <w:color w:val="auto"/>
              </w:rPr>
              <w:t>865,516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676,484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and similar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Net gain on financial assets at fair value through profit or loss</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(4,494)</w:t>
            </w: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876,775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675,028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and similar expense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(28,424)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(13,363)</w:t>
            </w:r>
          </w:p>
        </w:tc>
        <w:tc>
          <w:tcPr>
            <w:tcW w:w="100" w:type="dxa"/>
            <w:vAlign w:val="bottom"/>
            <w:shd w:val="clear" w:color="auto" w:fill="CCEEFF"/>
          </w:tcPr>
          <w:p>
            <w:pPr>
              <w:spacing w:after="0"/>
              <w:rPr>
                <w:sz w:val="17"/>
                <w:szCs w:val="17"/>
                <w:color w:val="auto"/>
              </w:rPr>
            </w:pP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Administrative and general expenses</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(19,140)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(4,761)</w:t>
            </w: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(47,564)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(18,124)</w:t>
            </w:r>
          </w:p>
        </w:tc>
        <w:tc>
          <w:tcPr>
            <w:tcW w:w="100" w:type="dxa"/>
            <w:vAlign w:val="bottom"/>
            <w:shd w:val="clear" w:color="auto" w:fill="CCEEFF"/>
          </w:tcPr>
          <w:p>
            <w:pPr>
              <w:spacing w:after="0"/>
              <w:rPr>
                <w:sz w:val="17"/>
                <w:szCs w:val="17"/>
                <w:color w:val="auto"/>
              </w:rPr>
            </w:pPr>
          </w:p>
        </w:tc>
      </w:tr>
      <w:tr>
        <w:trPr>
          <w:trHeight w:val="202"/>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829,211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656,904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Exchange differences, net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(4,660)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(1,268)</w:t>
            </w: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net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r>
      <w:tr>
        <w:trPr>
          <w:trHeight w:val="202"/>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Profit before income tax</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825,622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655,631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440" w:type="dxa"/>
            <w:vAlign w:val="bottom"/>
            <w:gridSpan w:val="2"/>
          </w:tcPr>
          <w:p>
            <w:pPr>
              <w:spacing w:after="0"/>
              <w:rPr>
                <w:sz w:val="20"/>
                <w:szCs w:val="20"/>
                <w:color w:val="auto"/>
              </w:rPr>
            </w:pPr>
            <w:r>
              <w:rPr>
                <w:rFonts w:ascii="Arial" w:cs="Arial" w:eastAsia="Arial" w:hAnsi="Arial"/>
                <w:sz w:val="17"/>
                <w:szCs w:val="17"/>
                <w:color w:val="auto"/>
              </w:rPr>
              <w:t>Income tax</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(33,224)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(19,229)</w:t>
            </w:r>
          </w:p>
        </w:tc>
        <w:tc>
          <w:tcPr>
            <w:tcW w:w="100" w:type="dxa"/>
            <w:vAlign w:val="bottom"/>
          </w:tcPr>
          <w:p>
            <w:pPr>
              <w:spacing w:after="0"/>
              <w:rPr>
                <w:sz w:val="17"/>
                <w:szCs w:val="17"/>
                <w:color w:val="auto"/>
              </w:rPr>
            </w:pPr>
          </w:p>
        </w:tc>
      </w:tr>
      <w:tr>
        <w:trPr>
          <w:trHeight w:val="214"/>
        </w:trPr>
        <w:tc>
          <w:tcPr>
            <w:tcW w:w="8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792,398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636,402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360" w:type="dxa"/>
            <w:vAlign w:val="bottom"/>
          </w:tcPr>
          <w:p>
            <w:pPr>
              <w:spacing w:after="0"/>
              <w:rPr>
                <w:sz w:val="20"/>
                <w:szCs w:val="20"/>
                <w:color w:val="auto"/>
              </w:rPr>
            </w:pPr>
            <w:r>
              <w:rPr>
                <w:rFonts w:ascii="Arial" w:cs="Arial" w:eastAsia="Arial" w:hAnsi="Arial"/>
                <w:sz w:val="17"/>
                <w:szCs w:val="17"/>
                <w:b w:val="1"/>
                <w:bCs w:val="1"/>
                <w:color w:val="auto"/>
              </w:rPr>
              <w:t>Double Leverage Ratio</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100.32</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2"/>
              </w:rPr>
              <w:t>%</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99.99</w:t>
            </w:r>
          </w:p>
        </w:tc>
        <w:tc>
          <w:tcPr>
            <w:tcW w:w="160" w:type="dxa"/>
            <w:vAlign w:val="bottom"/>
            <w:gridSpan w:val="3"/>
          </w:tcPr>
          <w:p>
            <w:pPr>
              <w:jc w:val="right"/>
              <w:spacing w:after="0"/>
              <w:rPr>
                <w:sz w:val="20"/>
                <w:szCs w:val="20"/>
                <w:color w:val="auto"/>
              </w:rPr>
            </w:pPr>
            <w:r>
              <w:rPr>
                <w:rFonts w:ascii="Arial" w:cs="Arial" w:eastAsia="Arial" w:hAnsi="Arial"/>
                <w:sz w:val="17"/>
                <w:szCs w:val="17"/>
                <w:b w:val="1"/>
                <w:bCs w:val="1"/>
                <w:color w:val="auto"/>
                <w:w w:val="92"/>
              </w:rPr>
              <w:t>%</w:t>
            </w:r>
          </w:p>
        </w:tc>
      </w:tr>
      <w:tr>
        <w:trPr>
          <w:trHeight w:val="20"/>
        </w:trPr>
        <w:tc>
          <w:tcPr>
            <w:tcW w:w="8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(1)  Figures differ from those presented in fiscal year 2020.</w:t>
      </w:r>
    </w:p>
    <w:p>
      <w:pPr>
        <w:spacing w:after="0" w:line="10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12.3. BCP Consolidated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BANCO DE CREDITO DEL PERU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S/ thousands, IFRS)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7"/>
                <w:szCs w:val="17"/>
                <w:b w:val="1"/>
                <w:bCs w:val="1"/>
                <w:color w:val="auto"/>
              </w:rPr>
              <w:t>As of</w:t>
            </w:r>
          </w:p>
        </w:tc>
        <w:tc>
          <w:tcPr>
            <w:tcW w:w="1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7"/>
                <w:szCs w:val="17"/>
                <w:b w:val="1"/>
                <w:bCs w:val="1"/>
                <w:color w:val="auto"/>
              </w:rPr>
              <w:t>% change</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4060" w:type="dxa"/>
            <w:vAlign w:val="bottom"/>
          </w:tcPr>
          <w:p>
            <w:pPr>
              <w:spacing w:after="0"/>
              <w:rPr>
                <w:sz w:val="16"/>
                <w:szCs w:val="16"/>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Mar 20</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Dec 20</w:t>
            </w:r>
          </w:p>
        </w:tc>
        <w:tc>
          <w:tcPr>
            <w:tcW w:w="1220" w:type="dxa"/>
            <w:vAlign w:val="bottom"/>
          </w:tcPr>
          <w:p>
            <w:pPr>
              <w:ind w:left="360"/>
              <w:spacing w:after="0"/>
              <w:rPr>
                <w:sz w:val="20"/>
                <w:szCs w:val="20"/>
                <w:color w:val="auto"/>
              </w:rPr>
            </w:pPr>
            <w:r>
              <w:rPr>
                <w:rFonts w:ascii="Arial" w:cs="Arial" w:eastAsia="Arial" w:hAnsi="Arial"/>
                <w:sz w:val="17"/>
                <w:szCs w:val="17"/>
                <w:b w:val="1"/>
                <w:bCs w:val="1"/>
                <w:color w:val="auto"/>
              </w:rPr>
              <w:t>Mar 21</w:t>
            </w:r>
          </w:p>
        </w:tc>
        <w:tc>
          <w:tcPr>
            <w:tcW w:w="220" w:type="dxa"/>
            <w:vAlign w:val="bottom"/>
          </w:tcPr>
          <w:p>
            <w:pPr>
              <w:spacing w:after="0"/>
              <w:rPr>
                <w:sz w:val="16"/>
                <w:szCs w:val="16"/>
                <w:color w:val="auto"/>
              </w:rPr>
            </w:pPr>
          </w:p>
        </w:tc>
        <w:tc>
          <w:tcPr>
            <w:tcW w:w="1820" w:type="dxa"/>
            <w:vAlign w:val="bottom"/>
            <w:gridSpan w:val="3"/>
          </w:tcPr>
          <w:p>
            <w:pPr>
              <w:ind w:left="420"/>
              <w:spacing w:after="0"/>
              <w:rPr>
                <w:sz w:val="20"/>
                <w:szCs w:val="20"/>
                <w:color w:val="auto"/>
              </w:rPr>
            </w:pPr>
            <w:r>
              <w:rPr>
                <w:rFonts w:ascii="Arial" w:cs="Arial" w:eastAsia="Arial" w:hAnsi="Arial"/>
                <w:sz w:val="17"/>
                <w:szCs w:val="17"/>
                <w:b w:val="1"/>
                <w:bCs w:val="1"/>
                <w:color w:val="auto"/>
              </w:rPr>
              <w:t>QoQ</w:t>
            </w:r>
          </w:p>
        </w:tc>
        <w:tc>
          <w:tcPr>
            <w:tcW w:w="900" w:type="dxa"/>
            <w:vAlign w:val="bottom"/>
          </w:tcPr>
          <w:p>
            <w:pPr>
              <w:ind w:left="120"/>
              <w:spacing w:after="0"/>
              <w:rPr>
                <w:sz w:val="20"/>
                <w:szCs w:val="20"/>
                <w:color w:val="auto"/>
              </w:rPr>
            </w:pPr>
            <w:r>
              <w:rPr>
                <w:rFonts w:ascii="Arial" w:cs="Arial" w:eastAsia="Arial" w:hAnsi="Arial"/>
                <w:sz w:val="17"/>
                <w:szCs w:val="17"/>
                <w:b w:val="1"/>
                <w:bCs w:val="1"/>
                <w:color w:val="auto"/>
              </w:rPr>
              <w:t>YoY</w:t>
            </w:r>
          </w:p>
        </w:tc>
        <w:tc>
          <w:tcPr>
            <w:tcW w:w="160" w:type="dxa"/>
            <w:vAlign w:val="bottom"/>
          </w:tcPr>
          <w:p>
            <w:pPr>
              <w:spacing w:after="0"/>
              <w:rPr>
                <w:sz w:val="16"/>
                <w:szCs w:val="16"/>
                <w:color w:val="auto"/>
              </w:rPr>
            </w:pPr>
          </w:p>
        </w:tc>
      </w:tr>
      <w:tr>
        <w:trPr>
          <w:trHeight w:val="194"/>
        </w:trPr>
        <w:tc>
          <w:tcPr>
            <w:tcW w:w="4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Cash and due from banks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Non-interest bearing</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4,957,324</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5,814,295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5,227,840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-10.1%</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Interest bearing</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18,437,537</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27,257,699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30,566,460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12.1%</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65.8%</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cash and due from banks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23,394,861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33,071,994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35,794,300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8.2%</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53.0%</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5"/>
        </w:trPr>
        <w:tc>
          <w:tcPr>
            <w:tcW w:w="40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w w:val="95"/>
              </w:rPr>
              <w:t>Cash collateral, reverse repurchase agreements and</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securities borrowing</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3,324,737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1,345,981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772,790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-42.6%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-76.8%</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Fair value through profit or loss investments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883,548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2,168,500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3,549,042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63.7%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301.7%</w:t>
            </w:r>
          </w:p>
        </w:tc>
      </w:tr>
      <w:tr>
        <w:trPr>
          <w:trHeight w:val="185"/>
        </w:trPr>
        <w:tc>
          <w:tcPr>
            <w:tcW w:w="4060" w:type="dxa"/>
            <w:vAlign w:val="bottom"/>
          </w:tcPr>
          <w:p>
            <w:pPr>
              <w:spacing w:after="0" w:line="185" w:lineRule="exact"/>
              <w:rPr>
                <w:sz w:val="20"/>
                <w:szCs w:val="20"/>
                <w:color w:val="auto"/>
              </w:rPr>
            </w:pPr>
            <w:r>
              <w:rPr>
                <w:rFonts w:ascii="Arial" w:cs="Arial" w:eastAsia="Arial" w:hAnsi="Arial"/>
                <w:sz w:val="17"/>
                <w:szCs w:val="17"/>
                <w:b w:val="1"/>
                <w:bCs w:val="1"/>
                <w:color w:val="auto"/>
              </w:rPr>
              <w:t>Fair value through other comprehensive income</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8"/>
        </w:trPr>
        <w:tc>
          <w:tcPr>
            <w:tcW w:w="4060" w:type="dxa"/>
            <w:vAlign w:val="bottom"/>
          </w:tcPr>
          <w:p>
            <w:pPr>
              <w:spacing w:after="0"/>
              <w:rPr>
                <w:sz w:val="20"/>
                <w:szCs w:val="20"/>
                <w:color w:val="auto"/>
              </w:rPr>
            </w:pPr>
            <w:r>
              <w:rPr>
                <w:rFonts w:ascii="Arial" w:cs="Arial" w:eastAsia="Arial" w:hAnsi="Arial"/>
                <w:sz w:val="17"/>
                <w:szCs w:val="17"/>
                <w:b w:val="1"/>
                <w:bCs w:val="1"/>
                <w:color w:val="auto"/>
              </w:rPr>
              <w:t>investments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16,062,998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29,604,474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31,578,498</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6.7%</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96.6%</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Amortized cost investments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4,223,311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4,933,333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5,466,463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29.4%</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Loans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110,087,710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125,716,877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124,970,804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13.5%</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Current</w:t>
            </w:r>
          </w:p>
        </w:tc>
        <w:tc>
          <w:tcPr>
            <w:tcW w:w="1240" w:type="dxa"/>
            <w:vAlign w:val="bottom"/>
          </w:tcPr>
          <w:p>
            <w:pPr>
              <w:jc w:val="right"/>
              <w:spacing w:after="0"/>
              <w:rPr>
                <w:sz w:val="20"/>
                <w:szCs w:val="20"/>
                <w:color w:val="auto"/>
              </w:rPr>
            </w:pPr>
            <w:r>
              <w:rPr>
                <w:rFonts w:ascii="Arial" w:cs="Arial" w:eastAsia="Arial" w:hAnsi="Arial"/>
                <w:sz w:val="17"/>
                <w:szCs w:val="17"/>
                <w:color w:val="auto"/>
              </w:rPr>
              <w:t>106,693,682</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121,179,978</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120,335,694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-0.7%</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12.8%</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Internal overdue loans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3,394,028</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4,536,899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4,635,110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36.6%</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Less - allowance for loan losses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(5,571,581)</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(9,266,046)</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(9,090,737)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-1.9%</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63.2%</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Loans, net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104,516,129</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116,450,831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115,880,067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-0.5%</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10.9%</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9"/>
        </w:trPr>
        <w:tc>
          <w:tcPr>
            <w:tcW w:w="4060" w:type="dxa"/>
            <w:vAlign w:val="bottom"/>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Property, furniture and equipment, net </w:t>
            </w:r>
            <w:r>
              <w:rPr>
                <w:rFonts w:ascii="Arial" w:cs="Arial" w:eastAsia="Arial" w:hAnsi="Arial"/>
                <w:sz w:val="27"/>
                <w:szCs w:val="27"/>
                <w:b w:val="1"/>
                <w:b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1,926,344</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1,789,869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1,729,286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-10.2%</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Due from customers on acceptances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555,598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455,343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532,584</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17.0%</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-4.1%</w:t>
            </w:r>
          </w:p>
        </w:tc>
      </w:tr>
      <w:tr>
        <w:trPr>
          <w:trHeight w:val="239"/>
        </w:trPr>
        <w:tc>
          <w:tcPr>
            <w:tcW w:w="4060" w:type="dxa"/>
            <w:vAlign w:val="bottom"/>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Other assets </w:t>
            </w:r>
            <w:r>
              <w:rPr>
                <w:rFonts w:ascii="Arial" w:cs="Arial" w:eastAsia="Arial" w:hAnsi="Arial"/>
                <w:sz w:val="27"/>
                <w:szCs w:val="27"/>
                <w:b w:val="1"/>
                <w:bCs w:val="1"/>
                <w:color w:val="auto"/>
                <w:vertAlign w:val="superscript"/>
              </w:rPr>
              <w:t>(2)</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5,937,221</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5,882,200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6,480,856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10.2%</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9.2%</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jc w:val="center"/>
              <w:ind w:right="36"/>
              <w:spacing w:after="0"/>
              <w:rPr>
                <w:sz w:val="20"/>
                <w:szCs w:val="20"/>
                <w:color w:val="auto"/>
              </w:rPr>
            </w:pPr>
            <w:r>
              <w:rPr>
                <w:rFonts w:ascii="Arial" w:cs="Arial" w:eastAsia="Arial" w:hAnsi="Arial"/>
                <w:sz w:val="17"/>
                <w:szCs w:val="17"/>
                <w:b w:val="1"/>
                <w:bCs w:val="1"/>
                <w:color w:val="auto"/>
                <w:w w:val="85"/>
              </w:rPr>
              <w:t>Total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160,824,747</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195,702,525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201,783,886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3.1%</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25.5%</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Deposits and obligations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Non-interest bearing (1)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29,496,275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43,740,097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44,470,186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50.8%</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Interest bearing (1)</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76,834,615</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83,231,861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88,611,086</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6.5%</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15.3%</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deposits and obligations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106,330,890</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126,971,958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133,081,272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25.2%</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5"/>
        </w:trPr>
        <w:tc>
          <w:tcPr>
            <w:tcW w:w="40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w w:val="93"/>
              </w:rPr>
              <w:t>Payables from repurchase agreements and securities</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lending</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6,781,667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26,267,587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24,839,353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266.3%</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BCRP instruments</w:t>
            </w:r>
          </w:p>
        </w:tc>
        <w:tc>
          <w:tcPr>
            <w:tcW w:w="1240" w:type="dxa"/>
            <w:vAlign w:val="bottom"/>
          </w:tcPr>
          <w:p>
            <w:pPr>
              <w:jc w:val="right"/>
              <w:spacing w:after="0"/>
              <w:rPr>
                <w:sz w:val="20"/>
                <w:szCs w:val="20"/>
                <w:color w:val="auto"/>
              </w:rPr>
            </w:pPr>
            <w:r>
              <w:rPr>
                <w:rFonts w:ascii="Arial" w:cs="Arial" w:eastAsia="Arial" w:hAnsi="Arial"/>
                <w:sz w:val="17"/>
                <w:szCs w:val="17"/>
                <w:color w:val="auto"/>
              </w:rPr>
              <w:t>5,346,373</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25,734,963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24,303,193</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-5.6%</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354.6%</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Repurchase agreements with third parties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1,435,294</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532,624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536,160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-62.6%</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Due to banks and correspondents</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9,035,804</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5,843,676</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5,040,881</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-13.7%</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-44.2%</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Bonds and notes issued</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14,570,806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13,811,673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15,301,214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Banker’s acceptances outstanding</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555,598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455,343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532,584</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17.0%</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-4.1%</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4"/>
              </w:rPr>
              <w:t>Financial liabilities at fair value through profit or loss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9,131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205,898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461,069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123.9%</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4949.5%</w:t>
            </w:r>
          </w:p>
        </w:tc>
      </w:tr>
      <w:tr>
        <w:trPr>
          <w:trHeight w:val="239"/>
        </w:trPr>
        <w:tc>
          <w:tcPr>
            <w:tcW w:w="4060" w:type="dxa"/>
            <w:vAlign w:val="bottom"/>
          </w:tcPr>
          <w:p>
            <w:pPr>
              <w:spacing w:after="0" w:line="239" w:lineRule="exact"/>
              <w:rPr>
                <w:sz w:val="20"/>
                <w:szCs w:val="20"/>
                <w:color w:val="auto"/>
              </w:rPr>
            </w:pPr>
            <w:r>
              <w:rPr>
                <w:rFonts w:ascii="Arial" w:cs="Arial" w:eastAsia="Arial" w:hAnsi="Arial"/>
                <w:sz w:val="17"/>
                <w:szCs w:val="17"/>
                <w:b w:val="1"/>
                <w:bCs w:val="1"/>
                <w:color w:val="auto"/>
              </w:rPr>
              <w:t xml:space="preserve">Other liabilities </w:t>
            </w:r>
            <w:r>
              <w:rPr>
                <w:rFonts w:ascii="Arial" w:cs="Arial" w:eastAsia="Arial" w:hAnsi="Arial"/>
                <w:sz w:val="27"/>
                <w:szCs w:val="27"/>
                <w:b w:val="1"/>
                <w:bCs w:val="1"/>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4,708,160</w:t>
            </w:r>
          </w:p>
        </w:tc>
        <w:tc>
          <w:tcPr>
            <w:tcW w:w="2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3,811,752</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4,197,747</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10.1%</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-10.8%</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jc w:val="center"/>
              <w:ind w:right="36"/>
              <w:spacing w:after="0"/>
              <w:rPr>
                <w:sz w:val="20"/>
                <w:szCs w:val="20"/>
                <w:color w:val="auto"/>
              </w:rPr>
            </w:pPr>
            <w:r>
              <w:rPr>
                <w:rFonts w:ascii="Arial" w:cs="Arial" w:eastAsia="Arial" w:hAnsi="Arial"/>
                <w:sz w:val="17"/>
                <w:szCs w:val="17"/>
                <w:b w:val="1"/>
                <w:bCs w:val="1"/>
                <w:color w:val="auto"/>
                <w:w w:val="92"/>
              </w:rPr>
              <w:t>Total Liabilities</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141,992,056</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177,367,887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183,454,120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3.4%</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29.2%</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Net equity</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18,714,668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18,217,739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18,165,016</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-0.3%</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-2.9%</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Capital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9,924,006</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10,774,006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11,024,006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11.1%</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Reserves</w:t>
            </w:r>
          </w:p>
        </w:tc>
        <w:tc>
          <w:tcPr>
            <w:tcW w:w="1240" w:type="dxa"/>
            <w:vAlign w:val="bottom"/>
          </w:tcPr>
          <w:p>
            <w:pPr>
              <w:jc w:val="right"/>
              <w:spacing w:after="0"/>
              <w:rPr>
                <w:sz w:val="20"/>
                <w:szCs w:val="20"/>
                <w:color w:val="auto"/>
              </w:rPr>
            </w:pPr>
            <w:r>
              <w:rPr>
                <w:rFonts w:ascii="Arial" w:cs="Arial" w:eastAsia="Arial" w:hAnsi="Arial"/>
                <w:sz w:val="17"/>
                <w:szCs w:val="17"/>
                <w:color w:val="auto"/>
              </w:rPr>
              <w:t>4,476,256</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5,947,808</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6,488,641</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9.1%</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45.0%</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Unrealized gains and losses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(22,277)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697,475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(68,242)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206.3%</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Retained earnings</w:t>
            </w:r>
          </w:p>
        </w:tc>
        <w:tc>
          <w:tcPr>
            <w:tcW w:w="1240" w:type="dxa"/>
            <w:vAlign w:val="bottom"/>
          </w:tcPr>
          <w:p>
            <w:pPr>
              <w:jc w:val="right"/>
              <w:spacing w:after="0"/>
              <w:rPr>
                <w:sz w:val="20"/>
                <w:szCs w:val="20"/>
                <w:color w:val="auto"/>
              </w:rPr>
            </w:pPr>
            <w:r>
              <w:rPr>
                <w:rFonts w:ascii="Arial" w:cs="Arial" w:eastAsia="Arial" w:hAnsi="Arial"/>
                <w:sz w:val="17"/>
                <w:szCs w:val="17"/>
                <w:color w:val="auto"/>
              </w:rPr>
              <w:t>4,336,683</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798,450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720,611</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-9.7%</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-83.4%</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118,023</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116,899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117,240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0.3%</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-0.7%</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jc w:val="center"/>
              <w:ind w:right="36"/>
              <w:spacing w:after="0"/>
              <w:rPr>
                <w:sz w:val="20"/>
                <w:szCs w:val="20"/>
                <w:color w:val="auto"/>
              </w:rPr>
            </w:pPr>
            <w:r>
              <w:rPr>
                <w:rFonts w:ascii="Arial" w:cs="Arial" w:eastAsia="Arial" w:hAnsi="Arial"/>
                <w:sz w:val="17"/>
                <w:szCs w:val="17"/>
                <w:b w:val="1"/>
                <w:bCs w:val="1"/>
                <w:color w:val="auto"/>
                <w:w w:val="91"/>
              </w:rPr>
              <w:t>Total Net Equity</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18,832,691</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18,334,638</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18,282,256</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-0.3%</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-2.9%</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Total liabilities and equity</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160,824,747</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195,702,525</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201,736,376</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3.1%</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25.4%</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Off-balance sheet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119,606,613</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114,520,519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130,403,638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13.9%</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9.0%</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Total performance bonds, stand-by and L/Cs.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18,238,079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19,477,129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20,320,600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11.4%</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Undrawn credit lines, advised but not committed</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71,174,841</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70,391,997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73,973,965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Total derivatives (notional) and others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30,193,693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24,651,393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36,109,073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46.5%</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19.6%</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(1)  Right of use asset of lease contracts is included by application of IFRS 16.</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(2)  Mainly includes intangible assets, other receivable accounts and tax credit.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(3)  Mainly includes other payable accounts.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(4)  Figures differ from those presented in fiscal year 2020.</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608" w:gutter="0" w:footer="0" w:header="0"/>
        </w:sectPr>
      </w:pPr>
    </w:p>
    <w:bookmarkStart w:id="67" w:name="page68"/>
    <w:bookmarkEnd w:id="67"/>
    <w:p>
      <w:pPr>
        <w:jc w:val="center"/>
        <w:ind w:right="40"/>
        <w:spacing w:after="0"/>
        <w:rPr>
          <w:sz w:val="20"/>
          <w:szCs w:val="20"/>
          <w:color w:val="auto"/>
        </w:rPr>
      </w:pPr>
      <w:r>
        <w:rPr>
          <w:rFonts w:ascii="Arial" w:cs="Arial" w:eastAsia="Arial" w:hAnsi="Arial"/>
          <w:sz w:val="17"/>
          <w:szCs w:val="17"/>
          <w:b w:val="1"/>
          <w:bCs w:val="1"/>
          <w:color w:val="auto"/>
        </w:rPr>
        <w:t>BANCO DE CREDITO DEL PERU AND SUBSIDIARIES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S/ thousands, IFRS)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Borders>
              <w:bottom w:val="single" w:sz="8" w:color="auto"/>
            </w:tcBorders>
            <w:gridSpan w:val="3"/>
          </w:tcPr>
          <w:p>
            <w:pPr>
              <w:ind w:left="1000"/>
              <w:spacing w:after="0"/>
              <w:rPr>
                <w:sz w:val="20"/>
                <w:szCs w:val="20"/>
                <w:color w:val="auto"/>
              </w:rPr>
            </w:pPr>
            <w:r>
              <w:rPr>
                <w:rFonts w:ascii="Arial" w:cs="Arial" w:eastAsia="Arial" w:hAnsi="Arial"/>
                <w:sz w:val="17"/>
                <w:szCs w:val="17"/>
                <w:b w:val="1"/>
                <w:bCs w:val="1"/>
                <w:color w:val="auto"/>
              </w:rPr>
              <w:t>% change</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060" w:type="dxa"/>
            <w:vAlign w:val="bottom"/>
          </w:tcPr>
          <w:p>
            <w:pPr>
              <w:spacing w:after="0"/>
              <w:rPr>
                <w:sz w:val="17"/>
                <w:szCs w:val="17"/>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1Q20</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4Q20</w:t>
            </w:r>
          </w:p>
        </w:tc>
        <w:tc>
          <w:tcPr>
            <w:tcW w:w="1220" w:type="dxa"/>
            <w:vAlign w:val="bottom"/>
          </w:tcPr>
          <w:p>
            <w:pPr>
              <w:ind w:left="480"/>
              <w:spacing w:after="0"/>
              <w:rPr>
                <w:sz w:val="20"/>
                <w:szCs w:val="20"/>
                <w:color w:val="auto"/>
              </w:rPr>
            </w:pPr>
            <w:r>
              <w:rPr>
                <w:rFonts w:ascii="Arial" w:cs="Arial" w:eastAsia="Arial" w:hAnsi="Arial"/>
                <w:sz w:val="17"/>
                <w:szCs w:val="17"/>
                <w:b w:val="1"/>
                <w:bCs w:val="1"/>
                <w:color w:val="auto"/>
              </w:rPr>
              <w:t>1Q21</w:t>
            </w:r>
          </w:p>
        </w:tc>
        <w:tc>
          <w:tcPr>
            <w:tcW w:w="220" w:type="dxa"/>
            <w:vAlign w:val="bottom"/>
          </w:tcPr>
          <w:p>
            <w:pPr>
              <w:spacing w:after="0"/>
              <w:rPr>
                <w:sz w:val="17"/>
                <w:szCs w:val="17"/>
                <w:color w:val="auto"/>
              </w:rPr>
            </w:pPr>
          </w:p>
        </w:tc>
        <w:tc>
          <w:tcPr>
            <w:tcW w:w="1840" w:type="dxa"/>
            <w:vAlign w:val="bottom"/>
            <w:gridSpan w:val="3"/>
          </w:tcPr>
          <w:p>
            <w:pPr>
              <w:ind w:left="480"/>
              <w:spacing w:after="0"/>
              <w:rPr>
                <w:sz w:val="20"/>
                <w:szCs w:val="20"/>
                <w:color w:val="auto"/>
              </w:rPr>
            </w:pPr>
            <w:r>
              <w:rPr>
                <w:rFonts w:ascii="Arial" w:cs="Arial" w:eastAsia="Arial" w:hAnsi="Arial"/>
                <w:sz w:val="17"/>
                <w:szCs w:val="17"/>
                <w:b w:val="1"/>
                <w:bCs w:val="1"/>
                <w:color w:val="auto"/>
              </w:rPr>
              <w:t>QoQ</w:t>
            </w:r>
          </w:p>
        </w:tc>
        <w:tc>
          <w:tcPr>
            <w:tcW w:w="880" w:type="dxa"/>
            <w:vAlign w:val="bottom"/>
          </w:tcPr>
          <w:p>
            <w:pPr>
              <w:jc w:val="right"/>
              <w:ind w:right="356"/>
              <w:spacing w:after="0"/>
              <w:rPr>
                <w:sz w:val="20"/>
                <w:szCs w:val="20"/>
                <w:color w:val="auto"/>
              </w:rPr>
            </w:pPr>
            <w:r>
              <w:rPr>
                <w:rFonts w:ascii="Arial" w:cs="Arial" w:eastAsia="Arial" w:hAnsi="Arial"/>
                <w:sz w:val="17"/>
                <w:szCs w:val="17"/>
                <w:b w:val="1"/>
                <w:bCs w:val="1"/>
                <w:color w:val="auto"/>
              </w:rPr>
              <w:t>YoY</w:t>
            </w:r>
          </w:p>
        </w:tc>
        <w:tc>
          <w:tcPr>
            <w:tcW w:w="160" w:type="dxa"/>
            <w:vAlign w:val="bottom"/>
          </w:tcPr>
          <w:p>
            <w:pPr>
              <w:spacing w:after="0"/>
              <w:rPr>
                <w:sz w:val="17"/>
                <w:szCs w:val="17"/>
                <w:color w:val="auto"/>
              </w:rPr>
            </w:pPr>
          </w:p>
        </w:tc>
      </w:tr>
      <w:tr>
        <w:trPr>
          <w:trHeight w:val="194"/>
        </w:trPr>
        <w:tc>
          <w:tcPr>
            <w:tcW w:w="4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Interest income and expense</w:t>
            </w: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Interest and dividend income</w:t>
            </w:r>
          </w:p>
        </w:tc>
        <w:tc>
          <w:tcPr>
            <w:tcW w:w="1240" w:type="dxa"/>
            <w:vAlign w:val="bottom"/>
          </w:tcPr>
          <w:p>
            <w:pPr>
              <w:jc w:val="right"/>
              <w:spacing w:after="0"/>
              <w:rPr>
                <w:sz w:val="20"/>
                <w:szCs w:val="20"/>
                <w:color w:val="auto"/>
              </w:rPr>
            </w:pPr>
            <w:r>
              <w:rPr>
                <w:rFonts w:ascii="Arial" w:cs="Arial" w:eastAsia="Arial" w:hAnsi="Arial"/>
                <w:sz w:val="17"/>
                <w:szCs w:val="17"/>
                <w:color w:val="auto"/>
              </w:rPr>
              <w:t>2,763,923</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2,456,757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2,407,997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-2.0%</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-12.9%</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expense</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(660,748)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(497,594)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(555,008)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-16.0%</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b w:val="1"/>
                <w:bCs w:val="1"/>
                <w:color w:val="auto"/>
              </w:rPr>
              <w:t>Net interest income</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2,103,175</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1,959,163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1,852,989</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-5.4%</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-11.9%</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Provision for credit losses on loan portfolio</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(1,340,975)</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(735,523)</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(585,257)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-20.4%</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-56.4%</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Recoveries of written-off loans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43,954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47,591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61,096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28.4%</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39.0%</w:t>
            </w:r>
          </w:p>
        </w:tc>
      </w:tr>
      <w:tr>
        <w:trPr>
          <w:trHeight w:val="185"/>
        </w:trPr>
        <w:tc>
          <w:tcPr>
            <w:tcW w:w="4060" w:type="dxa"/>
            <w:vAlign w:val="bottom"/>
          </w:tcPr>
          <w:p>
            <w:pPr>
              <w:spacing w:after="0" w:line="185" w:lineRule="exact"/>
              <w:rPr>
                <w:sz w:val="20"/>
                <w:szCs w:val="20"/>
                <w:color w:val="auto"/>
              </w:rPr>
            </w:pPr>
            <w:r>
              <w:rPr>
                <w:rFonts w:ascii="Arial" w:cs="Arial" w:eastAsia="Arial" w:hAnsi="Arial"/>
                <w:sz w:val="17"/>
                <w:szCs w:val="17"/>
                <w:b w:val="1"/>
                <w:bCs w:val="1"/>
                <w:color w:val="auto"/>
                <w:w w:val="98"/>
              </w:rPr>
              <w:t>Provision for credit losses on loan portfolio, net of</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8"/>
        </w:trPr>
        <w:tc>
          <w:tcPr>
            <w:tcW w:w="4060" w:type="dxa"/>
            <w:vAlign w:val="bottom"/>
          </w:tcPr>
          <w:p>
            <w:pPr>
              <w:spacing w:after="0"/>
              <w:rPr>
                <w:sz w:val="20"/>
                <w:szCs w:val="20"/>
                <w:color w:val="auto"/>
              </w:rPr>
            </w:pPr>
            <w:r>
              <w:rPr>
                <w:rFonts w:ascii="Arial" w:cs="Arial" w:eastAsia="Arial" w:hAnsi="Arial"/>
                <w:sz w:val="17"/>
                <w:szCs w:val="17"/>
                <w:b w:val="1"/>
                <w:bCs w:val="1"/>
                <w:color w:val="auto"/>
              </w:rPr>
              <w:t>recoveries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(1,297,021)</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(687,932)</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(524,161)</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-23.8%</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-59.6%</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Risk-adjusted net interest income</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806,154</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1,271,231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1,328,828</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4.5%</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64.8%</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Non-financial income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Fee income</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602,585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694,348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631,778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Net gain on foreign exchange transactions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177,407</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180,363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173,465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-3.8%</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-2.2%</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gain on securities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(31,791)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11,194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42,112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276.2%</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Net gain on derivatives held for trading</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(568)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5,538</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12,320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122.5%</w:t>
            </w:r>
          </w:p>
        </w:tc>
        <w:tc>
          <w:tcPr>
            <w:tcW w:w="3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gain from exchange differences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(19,157)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4,870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(2,821)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-157.9%</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Others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92,808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29,187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58,392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100.1%</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-37.1%</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other income</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821,284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925,500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915,246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-1.1%</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11.4%</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Salaries and employee benefits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(657,774)</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(534,217)</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(603,175)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12.9%</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-8.3%</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Administrative expenses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(407,377)</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(585,547)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(433,717)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-25.9%</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(132,139)</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(120,927)</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(127,578)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5.5%</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-3.5%</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expenses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(151,363)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(135,309)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(49,176)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-63.7%</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-67.5%</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b w:val="1"/>
                <w:bCs w:val="1"/>
                <w:color w:val="auto"/>
              </w:rPr>
              <w:t>Total expenses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(1,348,653)</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(1,376,000)</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(1,213,646)</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-11.8%</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-10.0%</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Profit before income tax</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278,785</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820,731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1,030,428</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25.6%</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269.6%</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(97,529)</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(209,498)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(274,798)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31.2%</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181.8%</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Net profit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181,256</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611,233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755,630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23.6%</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316.9%</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-40.7%</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-62.2%</w:t>
            </w:r>
          </w:p>
        </w:tc>
      </w:tr>
      <w:tr>
        <w:trPr>
          <w:trHeight w:val="218"/>
        </w:trPr>
        <w:tc>
          <w:tcPr>
            <w:tcW w:w="4060" w:type="dxa"/>
            <w:vAlign w:val="bottom"/>
          </w:tcPr>
          <w:p>
            <w:pPr>
              <w:spacing w:after="0"/>
              <w:rPr>
                <w:sz w:val="20"/>
                <w:szCs w:val="20"/>
                <w:color w:val="auto"/>
              </w:rPr>
            </w:pPr>
            <w:r>
              <w:rPr>
                <w:rFonts w:ascii="Arial" w:cs="Arial" w:eastAsia="Arial" w:hAnsi="Arial"/>
                <w:sz w:val="17"/>
                <w:szCs w:val="17"/>
                <w:b w:val="1"/>
                <w:bCs w:val="1"/>
                <w:color w:val="auto"/>
              </w:rPr>
              <w:t>Net profit attributable to BCP Consolidated</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179,722</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610,255</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755,050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23.7%</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320.1%</w:t>
            </w:r>
          </w:p>
        </w:tc>
      </w:tr>
      <w:tr>
        <w:trPr>
          <w:trHeight w:val="286"/>
        </w:trPr>
        <w:tc>
          <w:tcPr>
            <w:tcW w:w="4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w:t>
            </w:r>
          </w:p>
        </w:tc>
      </w:tr>
    </w:tbl>
    <w:p>
      <w:pPr>
        <w:sectPr>
          <w:pgSz w:w="11900" w:h="16838" w:orient="portrait"/>
          <w:cols w:equalWidth="0" w:num="1">
            <w:col w:w="11240"/>
          </w:cols>
          <w:pgMar w:left="320" w:top="55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BANCO DE CREDITO DEL PERU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FINANCIAL INDICATORS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7"/>
                <w:szCs w:val="17"/>
                <w:b w:val="1"/>
                <w:bCs w:val="1"/>
                <w:color w:val="auto"/>
              </w:rPr>
              <w:t>Quarter</w:t>
            </w:r>
          </w:p>
        </w:tc>
        <w:tc>
          <w:tcPr>
            <w:tcW w:w="1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6920" w:type="dxa"/>
            <w:vAlign w:val="bottom"/>
          </w:tcPr>
          <w:p>
            <w:pPr>
              <w:spacing w:after="0"/>
              <w:rPr>
                <w:sz w:val="17"/>
                <w:szCs w:val="17"/>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1Q20</w:t>
            </w:r>
          </w:p>
        </w:tc>
        <w:tc>
          <w:tcPr>
            <w:tcW w:w="148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4Q20</w:t>
            </w:r>
          </w:p>
        </w:tc>
        <w:tc>
          <w:tcPr>
            <w:tcW w:w="1220" w:type="dxa"/>
            <w:vAlign w:val="bottom"/>
          </w:tcPr>
          <w:p>
            <w:pPr>
              <w:jc w:val="right"/>
              <w:ind w:right="296"/>
              <w:spacing w:after="0"/>
              <w:rPr>
                <w:sz w:val="20"/>
                <w:szCs w:val="20"/>
                <w:color w:val="auto"/>
              </w:rPr>
            </w:pPr>
            <w:r>
              <w:rPr>
                <w:rFonts w:ascii="Arial" w:cs="Arial" w:eastAsia="Arial" w:hAnsi="Arial"/>
                <w:sz w:val="17"/>
                <w:szCs w:val="17"/>
                <w:b w:val="1"/>
                <w:bCs w:val="1"/>
                <w:color w:val="auto"/>
              </w:rPr>
              <w:t>1Q20</w:t>
            </w:r>
          </w:p>
        </w:tc>
        <w:tc>
          <w:tcPr>
            <w:tcW w:w="140" w:type="dxa"/>
            <w:vAlign w:val="bottom"/>
          </w:tcPr>
          <w:p>
            <w:pPr>
              <w:spacing w:after="0"/>
              <w:rPr>
                <w:sz w:val="17"/>
                <w:szCs w:val="17"/>
                <w:color w:val="auto"/>
              </w:rPr>
            </w:pPr>
          </w:p>
        </w:tc>
      </w:tr>
      <w:tr>
        <w:trPr>
          <w:trHeight w:val="194"/>
        </w:trPr>
        <w:tc>
          <w:tcPr>
            <w:tcW w:w="69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Profitability</w:t>
            </w: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39"/>
        </w:trPr>
        <w:tc>
          <w:tcPr>
            <w:tcW w:w="6920" w:type="dxa"/>
            <w:vAlign w:val="bottom"/>
          </w:tcPr>
          <w:p>
            <w:pPr>
              <w:spacing w:after="0" w:line="239" w:lineRule="exact"/>
              <w:rPr>
                <w:sz w:val="20"/>
                <w:szCs w:val="20"/>
                <w:color w:val="auto"/>
              </w:rPr>
            </w:pPr>
            <w:r>
              <w:rPr>
                <w:rFonts w:ascii="Arial" w:cs="Arial" w:eastAsia="Arial" w:hAnsi="Arial"/>
                <w:sz w:val="17"/>
                <w:szCs w:val="17"/>
                <w:color w:val="auto"/>
              </w:rPr>
              <w:t xml:space="preserve">Earnings per share </w:t>
            </w:r>
            <w:r>
              <w:rPr>
                <w:rFonts w:ascii="Arial" w:cs="Arial" w:eastAsia="Arial" w:hAnsi="Arial"/>
                <w:sz w:val="27"/>
                <w:szCs w:val="27"/>
                <w:color w:val="auto"/>
                <w:vertAlign w:val="superscript"/>
              </w:rPr>
              <w:t>(1)</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0.016</w:t>
            </w:r>
          </w:p>
        </w:tc>
        <w:tc>
          <w:tcPr>
            <w:tcW w:w="1220" w:type="dxa"/>
            <w:vAlign w:val="bottom"/>
          </w:tcPr>
          <w:p>
            <w:pPr>
              <w:jc w:val="right"/>
              <w:spacing w:after="0"/>
              <w:rPr>
                <w:sz w:val="20"/>
                <w:szCs w:val="20"/>
                <w:color w:val="auto"/>
              </w:rPr>
            </w:pPr>
            <w:r>
              <w:rPr>
                <w:rFonts w:ascii="Arial" w:cs="Arial" w:eastAsia="Arial" w:hAnsi="Arial"/>
                <w:sz w:val="17"/>
                <w:szCs w:val="17"/>
                <w:color w:val="auto"/>
              </w:rPr>
              <w:t>0.054</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0.067</w:t>
            </w: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ROAA (2)(3)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ROAE (2)(3)</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13.8%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16.6%</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Net interest margin </w:t>
            </w:r>
            <w:r>
              <w:rPr>
                <w:rFonts w:ascii="Arial" w:cs="Arial" w:eastAsia="Arial" w:hAnsi="Arial"/>
                <w:sz w:val="27"/>
                <w:szCs w:val="27"/>
                <w:color w:val="auto"/>
                <w:vertAlign w:val="superscript"/>
              </w:rPr>
              <w:t>(2)(3)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239"/>
        </w:trPr>
        <w:tc>
          <w:tcPr>
            <w:tcW w:w="6920" w:type="dxa"/>
            <w:vAlign w:val="bottom"/>
          </w:tcPr>
          <w:p>
            <w:pPr>
              <w:spacing w:after="0" w:line="239" w:lineRule="exact"/>
              <w:rPr>
                <w:sz w:val="20"/>
                <w:szCs w:val="20"/>
                <w:color w:val="auto"/>
              </w:rPr>
            </w:pPr>
            <w:r>
              <w:rPr>
                <w:rFonts w:ascii="Arial" w:cs="Arial" w:eastAsia="Arial" w:hAnsi="Arial"/>
                <w:sz w:val="17"/>
                <w:szCs w:val="17"/>
                <w:color w:val="auto"/>
              </w:rPr>
              <w:t xml:space="preserve">Risk adjusted NIM </w:t>
            </w:r>
            <w:r>
              <w:rPr>
                <w:rFonts w:ascii="Arial" w:cs="Arial" w:eastAsia="Arial" w:hAnsi="Arial"/>
                <w:sz w:val="27"/>
                <w:szCs w:val="27"/>
                <w:color w:val="auto"/>
                <w:vertAlign w:val="superscript"/>
              </w:rPr>
              <w:t>(2)(3)</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2.17%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2.69%</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2.74%</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Funding Cost </w:t>
            </w:r>
            <w:r>
              <w:rPr>
                <w:rFonts w:ascii="Arial" w:cs="Arial" w:eastAsia="Arial" w:hAnsi="Arial"/>
                <w:sz w:val="27"/>
                <w:szCs w:val="27"/>
                <w:color w:val="auto"/>
                <w:vertAlign w:val="superscript"/>
              </w:rPr>
              <w:t>(2)(3)(4)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02"/>
        </w:trPr>
        <w:tc>
          <w:tcPr>
            <w:tcW w:w="6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Quality of loan portfolio</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IOL ratio</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3.08%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3.61%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3.71%</w:t>
            </w: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NPL ratio</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5.11%</w:t>
            </w: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Coverage of IOLs</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164.2%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204.2%</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196.1%</w:t>
            </w: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Coverage of NPLs</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123.9%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142.3%</w:t>
            </w:r>
          </w:p>
        </w:tc>
      </w:tr>
      <w:tr>
        <w:trPr>
          <w:trHeight w:val="239"/>
        </w:trPr>
        <w:tc>
          <w:tcPr>
            <w:tcW w:w="6920" w:type="dxa"/>
            <w:vAlign w:val="bottom"/>
          </w:tcPr>
          <w:p>
            <w:pPr>
              <w:spacing w:after="0" w:line="239" w:lineRule="exact"/>
              <w:rPr>
                <w:sz w:val="20"/>
                <w:szCs w:val="20"/>
                <w:color w:val="auto"/>
              </w:rPr>
            </w:pPr>
            <w:r>
              <w:rPr>
                <w:rFonts w:ascii="Arial" w:cs="Arial" w:eastAsia="Arial" w:hAnsi="Arial"/>
                <w:sz w:val="17"/>
                <w:szCs w:val="17"/>
                <w:color w:val="auto"/>
              </w:rPr>
              <w:t xml:space="preserve">Cost of risk </w:t>
            </w:r>
            <w:r>
              <w:rPr>
                <w:rFonts w:ascii="Arial" w:cs="Arial" w:eastAsia="Arial" w:hAnsi="Arial"/>
                <w:sz w:val="27"/>
                <w:szCs w:val="27"/>
                <w:color w:val="auto"/>
                <w:vertAlign w:val="superscript"/>
              </w:rPr>
              <w:t>(5)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4.71%</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2.19%</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1.68%</w:t>
            </w:r>
          </w:p>
        </w:tc>
      </w:tr>
      <w:tr>
        <w:trPr>
          <w:trHeight w:val="202"/>
        </w:trPr>
        <w:tc>
          <w:tcPr>
            <w:tcW w:w="6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7"/>
                <w:szCs w:val="17"/>
                <w:b w:val="1"/>
                <w:bCs w:val="1"/>
                <w:color w:val="auto"/>
              </w:rPr>
              <w:t>Operating efficiency</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Oper. expenses as a percent. of total income - reported </w:t>
            </w:r>
            <w:r>
              <w:rPr>
                <w:rFonts w:ascii="Arial" w:cs="Arial" w:eastAsia="Arial" w:hAnsi="Arial"/>
                <w:sz w:val="27"/>
                <w:szCs w:val="27"/>
                <w:color w:val="auto"/>
                <w:vertAlign w:val="superscript"/>
              </w:rPr>
              <w:t>(6)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43.7%</w:t>
            </w: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Oper. expenses as a percent. of total income - including all other items</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46.1%</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47.7%</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43.8%</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Oper. expenses as a percent. of av. tot. assets </w:t>
            </w:r>
            <w:r>
              <w:rPr>
                <w:rFonts w:ascii="Arial" w:cs="Arial" w:eastAsia="Arial" w:hAnsi="Arial"/>
                <w:sz w:val="27"/>
                <w:szCs w:val="27"/>
                <w:color w:val="auto"/>
                <w:vertAlign w:val="superscript"/>
              </w:rPr>
              <w:t>(2)(3)(6)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02"/>
        </w:trPr>
        <w:tc>
          <w:tcPr>
            <w:tcW w:w="6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Capital adequacy </w:t>
            </w:r>
            <w:r>
              <w:rPr>
                <w:rFonts w:ascii="Arial" w:cs="Arial" w:eastAsia="Arial" w:hAnsi="Arial"/>
                <w:sz w:val="27"/>
                <w:szCs w:val="27"/>
                <w:b w:val="1"/>
                <w:bCs w:val="1"/>
                <w:color w:val="auto"/>
                <w:vertAlign w:val="superscript"/>
              </w:rPr>
              <w:t>(7)</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Total regulatory capital (S/ Million)</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19,215</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21,210</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23,508</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Tier 1 capital (S/ Million) </w:t>
            </w:r>
            <w:r>
              <w:rPr>
                <w:rFonts w:ascii="Arial" w:cs="Arial" w:eastAsia="Arial" w:hAnsi="Arial"/>
                <w:sz w:val="27"/>
                <w:szCs w:val="27"/>
                <w:color w:val="auto"/>
                <w:vertAlign w:val="superscript"/>
              </w:rPr>
              <w:t>(8)</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14,672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14,784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15,134</w:t>
            </w:r>
          </w:p>
        </w:tc>
      </w:tr>
      <w:tr>
        <w:trPr>
          <w:trHeight w:val="239"/>
        </w:trPr>
        <w:tc>
          <w:tcPr>
            <w:tcW w:w="6920" w:type="dxa"/>
            <w:vAlign w:val="bottom"/>
          </w:tcPr>
          <w:p>
            <w:pPr>
              <w:spacing w:after="0" w:line="239" w:lineRule="exact"/>
              <w:rPr>
                <w:sz w:val="20"/>
                <w:szCs w:val="20"/>
                <w:color w:val="auto"/>
              </w:rPr>
            </w:pPr>
            <w:r>
              <w:rPr>
                <w:rFonts w:ascii="Arial" w:cs="Arial" w:eastAsia="Arial" w:hAnsi="Arial"/>
                <w:sz w:val="17"/>
                <w:szCs w:val="17"/>
                <w:color w:val="auto"/>
              </w:rPr>
              <w:t xml:space="preserve">Common equity tier 1 ratio </w:t>
            </w:r>
            <w:r>
              <w:rPr>
                <w:rFonts w:ascii="Arial" w:cs="Arial" w:eastAsia="Arial" w:hAnsi="Arial"/>
                <w:sz w:val="27"/>
                <w:szCs w:val="27"/>
                <w:color w:val="auto"/>
                <w:vertAlign w:val="superscript"/>
              </w:rPr>
              <w:t>(9)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11.89%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11.40%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11.11%</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BIS ratio </w:t>
            </w:r>
            <w:r>
              <w:rPr>
                <w:rFonts w:ascii="Arial" w:cs="Arial" w:eastAsia="Arial" w:hAnsi="Arial"/>
                <w:sz w:val="27"/>
                <w:szCs w:val="27"/>
                <w:color w:val="auto"/>
                <w:vertAlign w:val="superscript"/>
              </w:rPr>
              <w:t>(10)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16.46%</w:t>
            </w:r>
          </w:p>
        </w:tc>
      </w:tr>
      <w:tr>
        <w:trPr>
          <w:trHeight w:val="202"/>
        </w:trPr>
        <w:tc>
          <w:tcPr>
            <w:tcW w:w="6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 Information</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7"/>
                <w:szCs w:val="17"/>
                <w:color w:val="auto"/>
              </w:rPr>
              <w:t>N° of outstanding shares (Million)</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11,317</w:t>
            </w:r>
          </w:p>
        </w:tc>
        <w:tc>
          <w:tcPr>
            <w:tcW w:w="1220" w:type="dxa"/>
            <w:vAlign w:val="bottom"/>
          </w:tcPr>
          <w:p>
            <w:pPr>
              <w:jc w:val="right"/>
              <w:spacing w:after="0"/>
              <w:rPr>
                <w:sz w:val="20"/>
                <w:szCs w:val="20"/>
                <w:color w:val="auto"/>
              </w:rPr>
            </w:pPr>
            <w:r>
              <w:rPr>
                <w:rFonts w:ascii="Arial" w:cs="Arial" w:eastAsia="Arial" w:hAnsi="Arial"/>
                <w:sz w:val="17"/>
                <w:szCs w:val="17"/>
                <w:color w:val="auto"/>
              </w:rPr>
              <w:t>11,317</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11,317</w:t>
            </w:r>
          </w:p>
        </w:tc>
      </w:tr>
    </w:tbl>
    <w:p>
      <w:pPr>
        <w:spacing w:after="0" w:line="177" w:lineRule="exact"/>
        <w:rPr>
          <w:sz w:val="20"/>
          <w:szCs w:val="20"/>
          <w:color w:val="auto"/>
        </w:rPr>
      </w:pPr>
    </w:p>
    <w:p>
      <w:pPr>
        <w:ind w:left="240" w:hanging="239"/>
        <w:spacing w:after="0"/>
        <w:tabs>
          <w:tab w:leader="none" w:pos="2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Shares outstanding of 10,217 million is used for all periods since shares have been issued only for capitalization of profits.</w:t>
      </w:r>
    </w:p>
    <w:p>
      <w:pPr>
        <w:spacing w:after="0" w:line="18" w:lineRule="exact"/>
        <w:rPr>
          <w:rFonts w:ascii="Arial" w:cs="Arial" w:eastAsia="Arial" w:hAnsi="Arial"/>
          <w:sz w:val="17"/>
          <w:szCs w:val="17"/>
          <w:color w:val="auto"/>
        </w:rPr>
      </w:pPr>
    </w:p>
    <w:p>
      <w:pPr>
        <w:ind w:left="240" w:hanging="239"/>
        <w:spacing w:after="0"/>
        <w:tabs>
          <w:tab w:leader="none" w:pos="2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Ratios are annualized.</w:t>
      </w:r>
    </w:p>
    <w:p>
      <w:pPr>
        <w:spacing w:after="0" w:line="6" w:lineRule="exact"/>
        <w:rPr>
          <w:rFonts w:ascii="Arial" w:cs="Arial" w:eastAsia="Arial" w:hAnsi="Arial"/>
          <w:sz w:val="17"/>
          <w:szCs w:val="17"/>
          <w:color w:val="auto"/>
        </w:rPr>
      </w:pPr>
    </w:p>
    <w:p>
      <w:pPr>
        <w:ind w:left="220" w:hanging="219"/>
        <w:spacing w:after="0"/>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Averages are determined as the average of period-beginning and period-ending balances.</w:t>
      </w:r>
    </w:p>
    <w:p>
      <w:pPr>
        <w:spacing w:after="0" w:line="6" w:lineRule="exact"/>
        <w:rPr>
          <w:rFonts w:ascii="Arial" w:cs="Arial" w:eastAsia="Arial" w:hAnsi="Arial"/>
          <w:sz w:val="17"/>
          <w:szCs w:val="17"/>
          <w:color w:val="auto"/>
        </w:rPr>
      </w:pPr>
    </w:p>
    <w:p>
      <w:pPr>
        <w:ind w:firstLine="1"/>
        <w:spacing w:after="0" w:line="262" w:lineRule="auto"/>
        <w:tabs>
          <w:tab w:leader="none" w:pos="2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6"/>
          <w:szCs w:val="16"/>
          <w:color w:val="auto"/>
        </w:rPr>
      </w:pPr>
    </w:p>
    <w:p>
      <w:pPr>
        <w:ind w:left="240" w:hanging="239"/>
        <w:spacing w:after="0"/>
        <w:tabs>
          <w:tab w:leader="none" w:pos="2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Cost of risk: Annualized provision for loan losses / Total loans.</w:t>
      </w:r>
    </w:p>
    <w:p>
      <w:pPr>
        <w:spacing w:after="0" w:line="6" w:lineRule="exact"/>
        <w:rPr>
          <w:rFonts w:ascii="Arial" w:cs="Arial" w:eastAsia="Arial" w:hAnsi="Arial"/>
          <w:sz w:val="17"/>
          <w:szCs w:val="17"/>
          <w:color w:val="auto"/>
        </w:rPr>
      </w:pPr>
    </w:p>
    <w:p>
      <w:pPr>
        <w:ind w:firstLine="1"/>
        <w:spacing w:after="0" w:line="247" w:lineRule="auto"/>
        <w:tabs>
          <w:tab w:leader="none" w:pos="25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20" w:hanging="219"/>
        <w:spacing w:after="0"/>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capital ratios are for BCP Stand-alone and based on Peru GAAP</w:t>
      </w:r>
    </w:p>
    <w:p>
      <w:pPr>
        <w:spacing w:after="0" w:line="6" w:lineRule="exact"/>
        <w:rPr>
          <w:rFonts w:ascii="Arial" w:cs="Arial" w:eastAsia="Arial" w:hAnsi="Arial"/>
          <w:sz w:val="17"/>
          <w:szCs w:val="17"/>
          <w:color w:val="auto"/>
        </w:rPr>
      </w:pPr>
    </w:p>
    <w:p>
      <w:pPr>
        <w:jc w:val="both"/>
        <w:ind w:firstLine="1"/>
        <w:spacing w:after="0" w:line="247" w:lineRule="auto"/>
        <w:tabs>
          <w:tab w:leader="none" w:pos="25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1"/>
        <w:spacing w:after="0" w:line="247" w:lineRule="auto"/>
        <w:tabs>
          <w:tab w:leader="none" w:pos="242"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Common Equity Tier I = Capital + Reserves – 100% of applicable deductions (investment in subsidiaries, goodwill, intangibles and net deferred taxes that rely on future profitability) + retained earnings + unrealized gains.</w:t>
      </w:r>
    </w:p>
    <w:p>
      <w:pPr>
        <w:ind w:left="320" w:hanging="319"/>
        <w:spacing w:after="0"/>
        <w:tabs>
          <w:tab w:leader="none" w:pos="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Regulatory capital/ risk-weighted assets. Risk weighted assets include market risk and operational risk.</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12.4. BCP Stand-alone</w:t>
      </w:r>
    </w:p>
    <w:p>
      <w:pPr>
        <w:spacing w:after="0" w:line="22"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BANCO DE CREDITO DEL PERU</w:t>
      </w:r>
    </w:p>
    <w:p>
      <w:pPr>
        <w:spacing w:after="0" w:line="6"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STATEMENT OF FINANCIAL POSITION</w:t>
      </w:r>
    </w:p>
    <w:p>
      <w:pPr>
        <w:spacing w:after="0" w:line="6"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(In S/ thousands, IFRS)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7"/>
                <w:szCs w:val="17"/>
                <w:b w:val="1"/>
                <w:bCs w:val="1"/>
                <w:color w:val="auto"/>
              </w:rPr>
              <w:t>As of</w:t>
            </w:r>
          </w:p>
        </w:tc>
        <w:tc>
          <w:tcPr>
            <w:tcW w:w="1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7"/>
                <w:szCs w:val="17"/>
                <w:b w:val="1"/>
                <w:bCs w:val="1"/>
                <w:color w:val="auto"/>
              </w:rPr>
              <w:t>% change</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4060" w:type="dxa"/>
            <w:vAlign w:val="bottom"/>
          </w:tcPr>
          <w:p>
            <w:pPr>
              <w:spacing w:after="0"/>
              <w:rPr>
                <w:sz w:val="16"/>
                <w:szCs w:val="16"/>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Mar 20</w:t>
            </w:r>
          </w:p>
        </w:tc>
        <w:tc>
          <w:tcPr>
            <w:tcW w:w="14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Dec 20</w:t>
            </w:r>
          </w:p>
        </w:tc>
        <w:tc>
          <w:tcPr>
            <w:tcW w:w="1220" w:type="dxa"/>
            <w:vAlign w:val="bottom"/>
          </w:tcPr>
          <w:p>
            <w:pPr>
              <w:ind w:left="360"/>
              <w:spacing w:after="0"/>
              <w:rPr>
                <w:sz w:val="20"/>
                <w:szCs w:val="20"/>
                <w:color w:val="auto"/>
              </w:rPr>
            </w:pPr>
            <w:r>
              <w:rPr>
                <w:rFonts w:ascii="Arial" w:cs="Arial" w:eastAsia="Arial" w:hAnsi="Arial"/>
                <w:sz w:val="17"/>
                <w:szCs w:val="17"/>
                <w:b w:val="1"/>
                <w:bCs w:val="1"/>
                <w:color w:val="auto"/>
              </w:rPr>
              <w:t>Mar 21</w:t>
            </w:r>
          </w:p>
        </w:tc>
        <w:tc>
          <w:tcPr>
            <w:tcW w:w="220" w:type="dxa"/>
            <w:vAlign w:val="bottom"/>
          </w:tcPr>
          <w:p>
            <w:pPr>
              <w:spacing w:after="0"/>
              <w:rPr>
                <w:sz w:val="16"/>
                <w:szCs w:val="16"/>
                <w:color w:val="auto"/>
              </w:rPr>
            </w:pPr>
          </w:p>
        </w:tc>
        <w:tc>
          <w:tcPr>
            <w:tcW w:w="1820" w:type="dxa"/>
            <w:vAlign w:val="bottom"/>
            <w:gridSpan w:val="3"/>
          </w:tcPr>
          <w:p>
            <w:pPr>
              <w:ind w:left="420"/>
              <w:spacing w:after="0"/>
              <w:rPr>
                <w:sz w:val="20"/>
                <w:szCs w:val="20"/>
                <w:color w:val="auto"/>
              </w:rPr>
            </w:pPr>
            <w:r>
              <w:rPr>
                <w:rFonts w:ascii="Arial" w:cs="Arial" w:eastAsia="Arial" w:hAnsi="Arial"/>
                <w:sz w:val="17"/>
                <w:szCs w:val="17"/>
                <w:b w:val="1"/>
                <w:bCs w:val="1"/>
                <w:color w:val="auto"/>
              </w:rPr>
              <w:t>QoQ</w:t>
            </w:r>
          </w:p>
        </w:tc>
        <w:tc>
          <w:tcPr>
            <w:tcW w:w="900" w:type="dxa"/>
            <w:vAlign w:val="bottom"/>
          </w:tcPr>
          <w:p>
            <w:pPr>
              <w:ind w:left="120"/>
              <w:spacing w:after="0"/>
              <w:rPr>
                <w:sz w:val="20"/>
                <w:szCs w:val="20"/>
                <w:color w:val="auto"/>
              </w:rPr>
            </w:pPr>
            <w:r>
              <w:rPr>
                <w:rFonts w:ascii="Arial" w:cs="Arial" w:eastAsia="Arial" w:hAnsi="Arial"/>
                <w:sz w:val="17"/>
                <w:szCs w:val="17"/>
                <w:b w:val="1"/>
                <w:bCs w:val="1"/>
                <w:color w:val="auto"/>
              </w:rPr>
              <w:t>YoY</w:t>
            </w:r>
          </w:p>
        </w:tc>
        <w:tc>
          <w:tcPr>
            <w:tcW w:w="160" w:type="dxa"/>
            <w:vAlign w:val="bottom"/>
          </w:tcPr>
          <w:p>
            <w:pPr>
              <w:spacing w:after="0"/>
              <w:rPr>
                <w:sz w:val="16"/>
                <w:szCs w:val="16"/>
                <w:color w:val="auto"/>
              </w:rPr>
            </w:pPr>
          </w:p>
        </w:tc>
      </w:tr>
      <w:tr>
        <w:trPr>
          <w:trHeight w:val="194"/>
        </w:trPr>
        <w:tc>
          <w:tcPr>
            <w:tcW w:w="4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Cash and due from banks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Non-interest bearing</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4,320,100</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5,322,420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4,774,267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w:t>
            </w:r>
          </w:p>
        </w:tc>
      </w:tr>
      <w:tr>
        <w:trPr>
          <w:trHeight w:val="202"/>
        </w:trPr>
        <w:tc>
          <w:tcPr>
            <w:tcW w:w="4060" w:type="dxa"/>
            <w:vAlign w:val="bottom"/>
          </w:tcPr>
          <w:p>
            <w:pPr>
              <w:ind w:left="140"/>
              <w:spacing w:after="0"/>
              <w:rPr>
                <w:sz w:val="20"/>
                <w:szCs w:val="20"/>
                <w:color w:val="auto"/>
              </w:rPr>
            </w:pPr>
            <w:r>
              <w:rPr>
                <w:rFonts w:ascii="Arial" w:cs="Arial" w:eastAsia="Arial" w:hAnsi="Arial"/>
                <w:sz w:val="17"/>
                <w:szCs w:val="17"/>
                <w:color w:val="auto"/>
              </w:rPr>
              <w:t>Interest bearing</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18,202,901</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25,948,221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29,710,731</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14.5%</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63.2%</w:t>
            </w:r>
          </w:p>
        </w:tc>
      </w:tr>
      <w:tr>
        <w:trPr>
          <w:trHeight w:val="202"/>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Total cash and due from banks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22,523,001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31,270,641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34,484,998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10.3%</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53.1%</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5"/>
        </w:trPr>
        <w:tc>
          <w:tcPr>
            <w:tcW w:w="40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w w:val="95"/>
              </w:rPr>
              <w:t>Cash collateral, reverse repurchase agreements and</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securities borrowing</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3,324,737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1,345,981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772,790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-42.6%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-76.8%</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Fair value through profit or loss investments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883,548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2,168,500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3,549,042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63.7%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301.7%</w:t>
            </w:r>
          </w:p>
        </w:tc>
      </w:tr>
      <w:tr>
        <w:trPr>
          <w:trHeight w:val="185"/>
        </w:trPr>
        <w:tc>
          <w:tcPr>
            <w:tcW w:w="4060" w:type="dxa"/>
            <w:vAlign w:val="bottom"/>
          </w:tcPr>
          <w:p>
            <w:pPr>
              <w:spacing w:after="0" w:line="185" w:lineRule="exact"/>
              <w:rPr>
                <w:sz w:val="20"/>
                <w:szCs w:val="20"/>
                <w:color w:val="auto"/>
              </w:rPr>
            </w:pPr>
            <w:r>
              <w:rPr>
                <w:rFonts w:ascii="Arial" w:cs="Arial" w:eastAsia="Arial" w:hAnsi="Arial"/>
                <w:sz w:val="17"/>
                <w:szCs w:val="17"/>
                <w:b w:val="1"/>
                <w:bCs w:val="1"/>
                <w:color w:val="auto"/>
              </w:rPr>
              <w:t>Fair value through other comprehensive income</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8"/>
        </w:trPr>
        <w:tc>
          <w:tcPr>
            <w:tcW w:w="4060" w:type="dxa"/>
            <w:vAlign w:val="bottom"/>
          </w:tcPr>
          <w:p>
            <w:pPr>
              <w:spacing w:after="0"/>
              <w:rPr>
                <w:sz w:val="20"/>
                <w:szCs w:val="20"/>
                <w:color w:val="auto"/>
              </w:rPr>
            </w:pPr>
            <w:r>
              <w:rPr>
                <w:rFonts w:ascii="Arial" w:cs="Arial" w:eastAsia="Arial" w:hAnsi="Arial"/>
                <w:sz w:val="17"/>
                <w:szCs w:val="17"/>
                <w:b w:val="1"/>
                <w:bCs w:val="1"/>
                <w:color w:val="auto"/>
              </w:rPr>
              <w:t>investments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14,565,157</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28,452,224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30,302,999</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6.5%</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108.1%</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Amortized cost investments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3,942,806</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4,636,804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5,174,978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11.6%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31.3%</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Loans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100,730,089</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113,464,992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112,597,400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11.8%</w:t>
            </w:r>
          </w:p>
        </w:tc>
      </w:tr>
      <w:tr>
        <w:trPr>
          <w:trHeight w:val="202"/>
        </w:trPr>
        <w:tc>
          <w:tcPr>
            <w:tcW w:w="4060" w:type="dxa"/>
            <w:vAlign w:val="bottom"/>
          </w:tcPr>
          <w:p>
            <w:pPr>
              <w:ind w:left="140"/>
              <w:spacing w:after="0"/>
              <w:rPr>
                <w:sz w:val="20"/>
                <w:szCs w:val="20"/>
                <w:color w:val="auto"/>
              </w:rPr>
            </w:pPr>
            <w:r>
              <w:rPr>
                <w:rFonts w:ascii="Arial" w:cs="Arial" w:eastAsia="Arial" w:hAnsi="Arial"/>
                <w:sz w:val="17"/>
                <w:szCs w:val="17"/>
                <w:color w:val="auto"/>
              </w:rPr>
              <w:t>Current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97,920,461</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109,850,172</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109,158,605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11.5%</w:t>
            </w:r>
          </w:p>
        </w:tc>
      </w:tr>
      <w:tr>
        <w:trPr>
          <w:trHeight w:val="202"/>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Internal overdue loans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2,809,628</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3,614,820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3,438,795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22.4%</w:t>
            </w:r>
          </w:p>
        </w:tc>
      </w:tr>
      <w:tr>
        <w:trPr>
          <w:trHeight w:val="202"/>
        </w:trPr>
        <w:tc>
          <w:tcPr>
            <w:tcW w:w="4060" w:type="dxa"/>
            <w:vAlign w:val="bottom"/>
          </w:tcPr>
          <w:p>
            <w:pPr>
              <w:ind w:left="140"/>
              <w:spacing w:after="0"/>
              <w:rPr>
                <w:sz w:val="20"/>
                <w:szCs w:val="20"/>
                <w:color w:val="auto"/>
              </w:rPr>
            </w:pPr>
            <w:r>
              <w:rPr>
                <w:rFonts w:ascii="Arial" w:cs="Arial" w:eastAsia="Arial" w:hAnsi="Arial"/>
                <w:sz w:val="17"/>
                <w:szCs w:val="17"/>
                <w:color w:val="auto"/>
              </w:rPr>
              <w:t>Less - allowance for loan losses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(4,507,844)</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(7,434,988)</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(7,218,294)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-2.9%</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60.1%</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Loans, net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96,222,245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106,030,004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105,379,106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9.5%</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Property, furniture and equipment, net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1,523,405</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1,429,864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1,386,433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-3.0%</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-9.0%</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Due from customers on acceptances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555,598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455,343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532,584</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17.0%</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-4.1%</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Investments in associates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2,127,154</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2,098,825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2,106,918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0.4%</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r>
      <w:tr>
        <w:trPr>
          <w:trHeight w:val="239"/>
        </w:trPr>
        <w:tc>
          <w:tcPr>
            <w:tcW w:w="4060" w:type="dxa"/>
            <w:vAlign w:val="bottom"/>
          </w:tcPr>
          <w:p>
            <w:pPr>
              <w:spacing w:after="0" w:line="239" w:lineRule="exact"/>
              <w:rPr>
                <w:sz w:val="20"/>
                <w:szCs w:val="20"/>
                <w:color w:val="auto"/>
              </w:rPr>
            </w:pPr>
            <w:r>
              <w:rPr>
                <w:rFonts w:ascii="Arial" w:cs="Arial" w:eastAsia="Arial" w:hAnsi="Arial"/>
                <w:sz w:val="17"/>
                <w:szCs w:val="17"/>
                <w:b w:val="1"/>
                <w:bCs w:val="1"/>
                <w:color w:val="auto"/>
              </w:rPr>
              <w:t xml:space="preserve">Other assets </w:t>
            </w:r>
            <w:r>
              <w:rPr>
                <w:rFonts w:ascii="Arial" w:cs="Arial" w:eastAsia="Arial" w:hAnsi="Arial"/>
                <w:sz w:val="27"/>
                <w:szCs w:val="27"/>
                <w:b w:val="1"/>
                <w:bCs w:val="1"/>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5,123,191</w:t>
            </w:r>
          </w:p>
        </w:tc>
        <w:tc>
          <w:tcPr>
            <w:tcW w:w="2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4,964,018</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5,485,436</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10.5%</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7.1%</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jc w:val="center"/>
              <w:spacing w:after="0"/>
              <w:rPr>
                <w:sz w:val="20"/>
                <w:szCs w:val="20"/>
                <w:color w:val="auto"/>
              </w:rPr>
            </w:pPr>
            <w:r>
              <w:rPr>
                <w:rFonts w:ascii="Arial" w:cs="Arial" w:eastAsia="Arial" w:hAnsi="Arial"/>
                <w:sz w:val="17"/>
                <w:szCs w:val="17"/>
                <w:b w:val="1"/>
                <w:bCs w:val="1"/>
                <w:color w:val="auto"/>
                <w:w w:val="85"/>
              </w:rPr>
              <w:t>Total Assets</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150,790,842</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182,852,204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189,175,284</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25.5%</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Deposits and obligations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Non-interest bearing</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35,761,340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43,733,838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44,464,518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24.3%</w:t>
            </w:r>
          </w:p>
        </w:tc>
      </w:tr>
      <w:tr>
        <w:trPr>
          <w:trHeight w:val="202"/>
        </w:trPr>
        <w:tc>
          <w:tcPr>
            <w:tcW w:w="4060" w:type="dxa"/>
            <w:vAlign w:val="bottom"/>
          </w:tcPr>
          <w:p>
            <w:pPr>
              <w:ind w:left="140"/>
              <w:spacing w:after="0"/>
              <w:rPr>
                <w:sz w:val="20"/>
                <w:szCs w:val="20"/>
                <w:color w:val="auto"/>
              </w:rPr>
            </w:pPr>
            <w:r>
              <w:rPr>
                <w:rFonts w:ascii="Arial" w:cs="Arial" w:eastAsia="Arial" w:hAnsi="Arial"/>
                <w:sz w:val="17"/>
                <w:szCs w:val="17"/>
                <w:color w:val="auto"/>
              </w:rPr>
              <w:t>Interest bearing</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62,258,736</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74,612,197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80,288,334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7.6%</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29.0%</w:t>
            </w:r>
          </w:p>
        </w:tc>
      </w:tr>
      <w:tr>
        <w:trPr>
          <w:trHeight w:val="202"/>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Total deposits and obligations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98,020,076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118,346,035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124,752,852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5.4%</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27.3%</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5"/>
        </w:trPr>
        <w:tc>
          <w:tcPr>
            <w:tcW w:w="40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w w:val="93"/>
              </w:rPr>
              <w:t>Payables from repurchase agreements and securities</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lending</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6,722,157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23,736,011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22,313,686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231.9%</w:t>
            </w:r>
          </w:p>
        </w:tc>
      </w:tr>
      <w:tr>
        <w:trPr>
          <w:trHeight w:val="202"/>
        </w:trPr>
        <w:tc>
          <w:tcPr>
            <w:tcW w:w="4060" w:type="dxa"/>
            <w:vAlign w:val="bottom"/>
          </w:tcPr>
          <w:p>
            <w:pPr>
              <w:ind w:left="140"/>
              <w:spacing w:after="0"/>
              <w:rPr>
                <w:sz w:val="20"/>
                <w:szCs w:val="20"/>
                <w:color w:val="auto"/>
              </w:rPr>
            </w:pPr>
            <w:r>
              <w:rPr>
                <w:rFonts w:ascii="Arial" w:cs="Arial" w:eastAsia="Arial" w:hAnsi="Arial"/>
                <w:sz w:val="17"/>
                <w:szCs w:val="17"/>
                <w:color w:val="auto"/>
              </w:rPr>
              <w:t>BCRP instruments</w:t>
            </w:r>
          </w:p>
        </w:tc>
        <w:tc>
          <w:tcPr>
            <w:tcW w:w="1240" w:type="dxa"/>
            <w:vAlign w:val="bottom"/>
          </w:tcPr>
          <w:p>
            <w:pPr>
              <w:jc w:val="right"/>
              <w:spacing w:after="0"/>
              <w:rPr>
                <w:sz w:val="20"/>
                <w:szCs w:val="20"/>
                <w:color w:val="auto"/>
              </w:rPr>
            </w:pPr>
            <w:r>
              <w:rPr>
                <w:rFonts w:ascii="Arial" w:cs="Arial" w:eastAsia="Arial" w:hAnsi="Arial"/>
                <w:sz w:val="17"/>
                <w:szCs w:val="17"/>
                <w:color w:val="auto"/>
              </w:rPr>
              <w:t>5,286,863</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23,203,388</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21,777,527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-6.1%</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311.9%</w:t>
            </w:r>
          </w:p>
        </w:tc>
      </w:tr>
      <w:tr>
        <w:trPr>
          <w:trHeight w:val="202"/>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Repurchase agreements with third parties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1,435,294</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532,623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536,159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-62.6%</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Due to banks and correspondents</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8,229,065</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4,910,261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4,288,270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-12.7%</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-47.9%</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Bonds and notes issued</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14,435,544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13,678,986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15,010,690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4.0%</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Banker’s acceptances outstanding</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555,598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455,343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532,584</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17.0%</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-4.1%</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4"/>
              </w:rPr>
              <w:t>Financial liabilities at fair value through profit or loss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9,131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205,898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461,069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123.9%</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4949.5%</w:t>
            </w:r>
          </w:p>
        </w:tc>
      </w:tr>
      <w:tr>
        <w:trPr>
          <w:trHeight w:val="239"/>
        </w:trPr>
        <w:tc>
          <w:tcPr>
            <w:tcW w:w="4060" w:type="dxa"/>
            <w:vAlign w:val="bottom"/>
          </w:tcPr>
          <w:p>
            <w:pPr>
              <w:spacing w:after="0" w:line="239" w:lineRule="exact"/>
              <w:rPr>
                <w:sz w:val="20"/>
                <w:szCs w:val="20"/>
                <w:color w:val="auto"/>
              </w:rPr>
            </w:pPr>
            <w:r>
              <w:rPr>
                <w:rFonts w:ascii="Arial" w:cs="Arial" w:eastAsia="Arial" w:hAnsi="Arial"/>
                <w:sz w:val="17"/>
                <w:szCs w:val="17"/>
                <w:b w:val="1"/>
                <w:bCs w:val="1"/>
                <w:color w:val="auto"/>
              </w:rPr>
              <w:t xml:space="preserve">Other liabilities </w:t>
            </w:r>
            <w:r>
              <w:rPr>
                <w:rFonts w:ascii="Arial" w:cs="Arial" w:eastAsia="Arial" w:hAnsi="Arial"/>
                <w:sz w:val="27"/>
                <w:szCs w:val="27"/>
                <w:b w:val="1"/>
                <w:bCs w:val="1"/>
                <w:color w:val="auto"/>
                <w:vertAlign w:val="superscript"/>
              </w:rPr>
              <w:t>(2)</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4,103,298</w:t>
            </w:r>
          </w:p>
        </w:tc>
        <w:tc>
          <w:tcPr>
            <w:tcW w:w="2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3,299,330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3,648,048</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10.6%</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-11.1%</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jc w:val="center"/>
              <w:spacing w:after="0"/>
              <w:rPr>
                <w:sz w:val="20"/>
                <w:szCs w:val="20"/>
                <w:color w:val="auto"/>
              </w:rPr>
            </w:pPr>
            <w:r>
              <w:rPr>
                <w:rFonts w:ascii="Arial" w:cs="Arial" w:eastAsia="Arial" w:hAnsi="Arial"/>
                <w:sz w:val="17"/>
                <w:szCs w:val="17"/>
                <w:b w:val="1"/>
                <w:bCs w:val="1"/>
                <w:color w:val="auto"/>
                <w:w w:val="90"/>
              </w:rPr>
              <w:t>Total Liabilities</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132,074,869</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164,631,864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171,007,199</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3.9%</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29.5%</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Net equity</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18,715,973</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18,220,340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18,168,085</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-0.3%</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-2.9%</w:t>
            </w:r>
          </w:p>
        </w:tc>
      </w:tr>
      <w:tr>
        <w:trPr>
          <w:trHeight w:val="202"/>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9,924,006</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10,774,006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11,024,006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11.1%</w:t>
            </w:r>
          </w:p>
        </w:tc>
      </w:tr>
      <w:tr>
        <w:trPr>
          <w:trHeight w:val="202"/>
        </w:trPr>
        <w:tc>
          <w:tcPr>
            <w:tcW w:w="4060" w:type="dxa"/>
            <w:vAlign w:val="bottom"/>
          </w:tcPr>
          <w:p>
            <w:pPr>
              <w:ind w:left="140"/>
              <w:spacing w:after="0"/>
              <w:rPr>
                <w:sz w:val="20"/>
                <w:szCs w:val="20"/>
                <w:color w:val="auto"/>
              </w:rPr>
            </w:pPr>
            <w:r>
              <w:rPr>
                <w:rFonts w:ascii="Arial" w:cs="Arial" w:eastAsia="Arial" w:hAnsi="Arial"/>
                <w:sz w:val="17"/>
                <w:szCs w:val="17"/>
                <w:color w:val="auto"/>
              </w:rPr>
              <w:t>Reserves</w:t>
            </w:r>
          </w:p>
        </w:tc>
        <w:tc>
          <w:tcPr>
            <w:tcW w:w="1240" w:type="dxa"/>
            <w:vAlign w:val="bottom"/>
          </w:tcPr>
          <w:p>
            <w:pPr>
              <w:jc w:val="right"/>
              <w:spacing w:after="0"/>
              <w:rPr>
                <w:sz w:val="20"/>
                <w:szCs w:val="20"/>
                <w:color w:val="auto"/>
              </w:rPr>
            </w:pPr>
            <w:r>
              <w:rPr>
                <w:rFonts w:ascii="Arial" w:cs="Arial" w:eastAsia="Arial" w:hAnsi="Arial"/>
                <w:sz w:val="17"/>
                <w:szCs w:val="17"/>
                <w:color w:val="auto"/>
              </w:rPr>
              <w:t>4,476,256</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5,947,808</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6,488,641</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9.1%</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45.0%</w:t>
            </w:r>
          </w:p>
        </w:tc>
      </w:tr>
      <w:tr>
        <w:trPr>
          <w:trHeight w:val="202"/>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gains and losses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(22,277)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697,475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(68,242)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206.3%</w:t>
            </w:r>
          </w:p>
        </w:tc>
      </w:tr>
      <w:tr>
        <w:trPr>
          <w:trHeight w:val="202"/>
        </w:trPr>
        <w:tc>
          <w:tcPr>
            <w:tcW w:w="406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1240" w:type="dxa"/>
            <w:vAlign w:val="bottom"/>
          </w:tcPr>
          <w:p>
            <w:pPr>
              <w:jc w:val="right"/>
              <w:spacing w:after="0"/>
              <w:rPr>
                <w:sz w:val="20"/>
                <w:szCs w:val="20"/>
                <w:color w:val="auto"/>
              </w:rPr>
            </w:pPr>
            <w:r>
              <w:rPr>
                <w:rFonts w:ascii="Arial" w:cs="Arial" w:eastAsia="Arial" w:hAnsi="Arial"/>
                <w:sz w:val="17"/>
                <w:szCs w:val="17"/>
                <w:color w:val="auto"/>
              </w:rPr>
              <w:t>4,337,988</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801,051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723,680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-9.7%</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-83.3%</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jc w:val="center"/>
              <w:spacing w:after="0"/>
              <w:rPr>
                <w:sz w:val="20"/>
                <w:szCs w:val="20"/>
                <w:color w:val="auto"/>
              </w:rPr>
            </w:pPr>
            <w:r>
              <w:rPr>
                <w:rFonts w:ascii="Arial" w:cs="Arial" w:eastAsia="Arial" w:hAnsi="Arial"/>
                <w:sz w:val="17"/>
                <w:szCs w:val="17"/>
                <w:b w:val="1"/>
                <w:bCs w:val="1"/>
                <w:color w:val="auto"/>
                <w:w w:val="91"/>
              </w:rPr>
              <w:t>Total Net Equity</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18,715,973</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18,220,340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18,168,085</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-0.3%</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-2.9%</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Total liabilities and equity</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150,790,842</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182,852,204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189,175,284</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25.5%</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Off-balance sheet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116,914,484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112,868,480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117,468,548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0.5%</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Total performance bonds, stand-by and L/Cs.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18,238,441</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19,477,403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20,320,875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4.3%</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11.4%</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Undrawn credit lines, advised but not committed</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69,951,222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70,775,980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74,532,576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w:t>
            </w:r>
          </w:p>
        </w:tc>
      </w:tr>
      <w:tr>
        <w:trPr>
          <w:trHeight w:val="214"/>
        </w:trPr>
        <w:tc>
          <w:tcPr>
            <w:tcW w:w="4060" w:type="dxa"/>
            <w:vAlign w:val="bottom"/>
          </w:tcPr>
          <w:p>
            <w:pPr>
              <w:spacing w:after="0"/>
              <w:rPr>
                <w:sz w:val="20"/>
                <w:szCs w:val="20"/>
                <w:color w:val="auto"/>
              </w:rPr>
            </w:pPr>
            <w:r>
              <w:rPr>
                <w:rFonts w:ascii="Arial" w:cs="Arial" w:eastAsia="Arial" w:hAnsi="Arial"/>
                <w:sz w:val="17"/>
                <w:szCs w:val="17"/>
                <w:color w:val="auto"/>
              </w:rPr>
              <w:t>Total derivatives (notional) and others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28,724,821</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22,615,097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22,615,097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Mainly includes intangible assets, other receivable accounts and tax credit.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(2)  Mainly includes other payable accounts.</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0" w:name="page71"/>
    <w:bookmarkEnd w:id="70"/>
    <w:p>
      <w:pPr>
        <w:ind w:left="4300"/>
        <w:spacing w:after="0"/>
        <w:rPr>
          <w:sz w:val="20"/>
          <w:szCs w:val="20"/>
          <w:color w:val="auto"/>
        </w:rPr>
      </w:pPr>
      <w:r>
        <w:rPr>
          <w:rFonts w:ascii="Arial" w:cs="Arial" w:eastAsia="Arial" w:hAnsi="Arial"/>
          <w:sz w:val="17"/>
          <w:szCs w:val="17"/>
          <w:b w:val="1"/>
          <w:bCs w:val="1"/>
          <w:color w:val="auto"/>
        </w:rPr>
        <w:t>BANCO DE CREDITO DEL PERU</w:t>
      </w:r>
    </w:p>
    <w:p>
      <w:pPr>
        <w:spacing w:after="0" w:line="22"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S/ thousands, IFRS)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7"/>
                <w:szCs w:val="17"/>
                <w:b w:val="1"/>
                <w:bCs w:val="1"/>
                <w:color w:val="auto"/>
              </w:rPr>
              <w:t>Quarter</w:t>
            </w:r>
          </w:p>
        </w:tc>
        <w:tc>
          <w:tcPr>
            <w:tcW w:w="1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Borders>
              <w:bottom w:val="single" w:sz="8" w:color="auto"/>
            </w:tcBorders>
            <w:gridSpan w:val="3"/>
          </w:tcPr>
          <w:p>
            <w:pPr>
              <w:ind w:left="1000"/>
              <w:spacing w:after="0"/>
              <w:rPr>
                <w:sz w:val="20"/>
                <w:szCs w:val="20"/>
                <w:color w:val="auto"/>
              </w:rPr>
            </w:pPr>
            <w:r>
              <w:rPr>
                <w:rFonts w:ascii="Arial" w:cs="Arial" w:eastAsia="Arial" w:hAnsi="Arial"/>
                <w:sz w:val="17"/>
                <w:szCs w:val="17"/>
                <w:b w:val="1"/>
                <w:bCs w:val="1"/>
                <w:color w:val="auto"/>
              </w:rPr>
              <w:t>% change</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060" w:type="dxa"/>
            <w:vAlign w:val="bottom"/>
          </w:tcPr>
          <w:p>
            <w:pPr>
              <w:spacing w:after="0"/>
              <w:rPr>
                <w:sz w:val="17"/>
                <w:szCs w:val="17"/>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1Q20</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4Q20</w:t>
            </w:r>
          </w:p>
        </w:tc>
        <w:tc>
          <w:tcPr>
            <w:tcW w:w="1220" w:type="dxa"/>
            <w:vAlign w:val="bottom"/>
          </w:tcPr>
          <w:p>
            <w:pPr>
              <w:ind w:left="480"/>
              <w:spacing w:after="0"/>
              <w:rPr>
                <w:sz w:val="20"/>
                <w:szCs w:val="20"/>
                <w:color w:val="auto"/>
              </w:rPr>
            </w:pPr>
            <w:r>
              <w:rPr>
                <w:rFonts w:ascii="Arial" w:cs="Arial" w:eastAsia="Arial" w:hAnsi="Arial"/>
                <w:sz w:val="17"/>
                <w:szCs w:val="17"/>
                <w:b w:val="1"/>
                <w:bCs w:val="1"/>
                <w:color w:val="auto"/>
              </w:rPr>
              <w:t>1Q21</w:t>
            </w:r>
          </w:p>
        </w:tc>
        <w:tc>
          <w:tcPr>
            <w:tcW w:w="220" w:type="dxa"/>
            <w:vAlign w:val="bottom"/>
          </w:tcPr>
          <w:p>
            <w:pPr>
              <w:spacing w:after="0"/>
              <w:rPr>
                <w:sz w:val="17"/>
                <w:szCs w:val="17"/>
                <w:color w:val="auto"/>
              </w:rPr>
            </w:pPr>
          </w:p>
        </w:tc>
        <w:tc>
          <w:tcPr>
            <w:tcW w:w="1840" w:type="dxa"/>
            <w:vAlign w:val="bottom"/>
            <w:gridSpan w:val="3"/>
          </w:tcPr>
          <w:p>
            <w:pPr>
              <w:ind w:left="480"/>
              <w:spacing w:after="0"/>
              <w:rPr>
                <w:sz w:val="20"/>
                <w:szCs w:val="20"/>
                <w:color w:val="auto"/>
              </w:rPr>
            </w:pPr>
            <w:r>
              <w:rPr>
                <w:rFonts w:ascii="Arial" w:cs="Arial" w:eastAsia="Arial" w:hAnsi="Arial"/>
                <w:sz w:val="17"/>
                <w:szCs w:val="17"/>
                <w:b w:val="1"/>
                <w:bCs w:val="1"/>
                <w:color w:val="auto"/>
              </w:rPr>
              <w:t>QoQ</w:t>
            </w:r>
          </w:p>
        </w:tc>
        <w:tc>
          <w:tcPr>
            <w:tcW w:w="880" w:type="dxa"/>
            <w:vAlign w:val="bottom"/>
          </w:tcPr>
          <w:p>
            <w:pPr>
              <w:jc w:val="right"/>
              <w:ind w:right="356"/>
              <w:spacing w:after="0"/>
              <w:rPr>
                <w:sz w:val="20"/>
                <w:szCs w:val="20"/>
                <w:color w:val="auto"/>
              </w:rPr>
            </w:pPr>
            <w:r>
              <w:rPr>
                <w:rFonts w:ascii="Arial" w:cs="Arial" w:eastAsia="Arial" w:hAnsi="Arial"/>
                <w:sz w:val="17"/>
                <w:szCs w:val="17"/>
                <w:b w:val="1"/>
                <w:bCs w:val="1"/>
                <w:color w:val="auto"/>
              </w:rPr>
              <w:t>YoY</w:t>
            </w:r>
          </w:p>
        </w:tc>
        <w:tc>
          <w:tcPr>
            <w:tcW w:w="160" w:type="dxa"/>
            <w:vAlign w:val="bottom"/>
          </w:tcPr>
          <w:p>
            <w:pPr>
              <w:spacing w:after="0"/>
              <w:rPr>
                <w:sz w:val="17"/>
                <w:szCs w:val="17"/>
                <w:color w:val="auto"/>
              </w:rPr>
            </w:pPr>
          </w:p>
        </w:tc>
      </w:tr>
      <w:tr>
        <w:trPr>
          <w:trHeight w:val="194"/>
        </w:trPr>
        <w:tc>
          <w:tcPr>
            <w:tcW w:w="4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Interest income and expense</w:t>
            </w: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Interest and dividend income</w:t>
            </w:r>
          </w:p>
        </w:tc>
        <w:tc>
          <w:tcPr>
            <w:tcW w:w="1240" w:type="dxa"/>
            <w:vAlign w:val="bottom"/>
          </w:tcPr>
          <w:p>
            <w:pPr>
              <w:jc w:val="right"/>
              <w:spacing w:after="0"/>
              <w:rPr>
                <w:sz w:val="20"/>
                <w:szCs w:val="20"/>
                <w:color w:val="auto"/>
              </w:rPr>
            </w:pPr>
            <w:r>
              <w:rPr>
                <w:rFonts w:ascii="Arial" w:cs="Arial" w:eastAsia="Arial" w:hAnsi="Arial"/>
                <w:sz w:val="17"/>
                <w:szCs w:val="17"/>
                <w:color w:val="auto"/>
              </w:rPr>
              <w:t>2,179,313</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1,994,352</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1,939,749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-11.0%</w:t>
            </w:r>
          </w:p>
        </w:tc>
      </w:tr>
      <w:tr>
        <w:trPr>
          <w:trHeight w:val="239"/>
        </w:trPr>
        <w:tc>
          <w:tcPr>
            <w:tcW w:w="4060" w:type="dxa"/>
            <w:vAlign w:val="bottom"/>
            <w:shd w:val="clear" w:color="auto" w:fill="CCEEFF"/>
          </w:tcPr>
          <w:p>
            <w:pPr>
              <w:ind w:left="160"/>
              <w:spacing w:after="0" w:line="239"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(563,162)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(423,518)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(492,099)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16.2%</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-12.6%</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b w:val="1"/>
                <w:bCs w:val="1"/>
                <w:color w:val="auto"/>
              </w:rPr>
              <w:t>Net interest income</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1,616,151</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1,570,834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1,447,650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-7.8%</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-10.4%</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Provision for credit losses on loan portfolio</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(1,151,580)</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(614,866)</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(435,378)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-29.2%</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-62.2%</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Recoveries of written-off loans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34,422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38,392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50,025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30.3%</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45.3%</w:t>
            </w:r>
          </w:p>
        </w:tc>
      </w:tr>
      <w:tr>
        <w:trPr>
          <w:trHeight w:val="185"/>
        </w:trPr>
        <w:tc>
          <w:tcPr>
            <w:tcW w:w="4060" w:type="dxa"/>
            <w:vAlign w:val="bottom"/>
          </w:tcPr>
          <w:p>
            <w:pPr>
              <w:spacing w:after="0" w:line="185" w:lineRule="exact"/>
              <w:rPr>
                <w:sz w:val="20"/>
                <w:szCs w:val="20"/>
                <w:color w:val="auto"/>
              </w:rPr>
            </w:pPr>
            <w:r>
              <w:rPr>
                <w:rFonts w:ascii="Arial" w:cs="Arial" w:eastAsia="Arial" w:hAnsi="Arial"/>
                <w:sz w:val="17"/>
                <w:szCs w:val="17"/>
                <w:b w:val="1"/>
                <w:bCs w:val="1"/>
                <w:color w:val="auto"/>
                <w:w w:val="98"/>
              </w:rPr>
              <w:t>Provision for credit losses on loan portfolio, net of</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8"/>
        </w:trPr>
        <w:tc>
          <w:tcPr>
            <w:tcW w:w="4060" w:type="dxa"/>
            <w:vAlign w:val="bottom"/>
          </w:tcPr>
          <w:p>
            <w:pPr>
              <w:spacing w:after="0"/>
              <w:rPr>
                <w:sz w:val="20"/>
                <w:szCs w:val="20"/>
                <w:color w:val="auto"/>
              </w:rPr>
            </w:pPr>
            <w:r>
              <w:rPr>
                <w:rFonts w:ascii="Arial" w:cs="Arial" w:eastAsia="Arial" w:hAnsi="Arial"/>
                <w:sz w:val="17"/>
                <w:szCs w:val="17"/>
                <w:b w:val="1"/>
                <w:bCs w:val="1"/>
                <w:color w:val="auto"/>
              </w:rPr>
              <w:t>recoveries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(1,117,158)</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(576,474)</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(385,353)</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-33.2%</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-65.5%</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Risk-adjusted net interest income</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498,993</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994,360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1,062,297</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6.8%</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112.9%</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Non-financial income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Fee income</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578,583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636,331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614,423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Net gain on foreign exchange transactions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174,787</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179,165</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172,489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gain on securities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(31,644)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11,196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41,963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274.8%</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-232.6%</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Net gain from associates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34,901</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27,656</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14,110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-49.0%</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-59.6%</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gain on derivatives held for trading</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4,410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11,828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168.2%</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-1003.6%</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Net gain from exchange differences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(12,665)</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5,840</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(3,052)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-152.3%</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-75.9%</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72,084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31,447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49,931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58.8%</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-30.7%</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b w:val="1"/>
                <w:bCs w:val="1"/>
                <w:color w:val="auto"/>
              </w:rPr>
              <w:t>Total other income</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814,737</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896,045</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901,692</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0.6%</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rPr>
              <w:t>10.7%</w:t>
            </w:r>
          </w:p>
        </w:tc>
      </w:tr>
      <w:tr>
        <w:trPr>
          <w:trHeight w:val="202"/>
        </w:trPr>
        <w:tc>
          <w:tcPr>
            <w:tcW w:w="4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Total expenses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Salaries and employee benefits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(447,977)</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(366,503)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(418,397)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14.2%</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Administrative expenses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(359,641)</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(527,586)</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(379,632)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-28.0%</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5.6%</w:t>
            </w:r>
          </w:p>
        </w:tc>
      </w:tr>
      <w:tr>
        <w:trPr>
          <w:trHeight w:val="239"/>
        </w:trPr>
        <w:tc>
          <w:tcPr>
            <w:tcW w:w="4060" w:type="dxa"/>
            <w:vAlign w:val="bottom"/>
            <w:shd w:val="clear" w:color="auto" w:fill="CCEEFF"/>
          </w:tcPr>
          <w:p>
            <w:pPr>
              <w:ind w:left="160"/>
              <w:spacing w:after="0" w:line="239"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7"/>
                <w:szCs w:val="27"/>
                <w:color w:val="auto"/>
                <w:vertAlign w:val="superscript"/>
              </w:rPr>
              <w:t>(2)</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(107,545)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(99,495)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(103,864)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Other expenses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(137,515)</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(105,980)</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(42,193)</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-60.2%</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-69.3%</w:t>
            </w:r>
          </w:p>
        </w:tc>
      </w:tr>
      <w:tr>
        <w:trPr>
          <w:trHeight w:val="202"/>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expenses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(1,052,678)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(1,099,564)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(944,086)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-14.1%</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-10.3%</w:t>
            </w:r>
          </w:p>
        </w:tc>
      </w:tr>
      <w:tr>
        <w:trPr>
          <w:trHeight w:val="202"/>
        </w:trPr>
        <w:tc>
          <w:tcPr>
            <w:tcW w:w="4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Profit before income tax</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261,052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790,841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1,019,903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29.0%</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290.7%</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Income tax</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(80,487)</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(180,154)</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(264,385)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46.8%</w:t>
            </w:r>
          </w:p>
        </w:tc>
        <w:tc>
          <w:tcPr>
            <w:tcW w:w="3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228.5%</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profit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180,565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610,687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755,518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23.7%</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318.4%</w:t>
            </w:r>
          </w:p>
        </w:tc>
      </w:tr>
      <w:tr>
        <w:trPr>
          <w:trHeight w:val="202"/>
        </w:trPr>
        <w:tc>
          <w:tcPr>
            <w:tcW w:w="4060" w:type="dxa"/>
            <w:vAlign w:val="bottom"/>
          </w:tcPr>
          <w:p>
            <w:pPr>
              <w:ind w:left="160"/>
              <w:spacing w:after="0"/>
              <w:rPr>
                <w:sz w:val="20"/>
                <w:szCs w:val="20"/>
                <w:color w:val="auto"/>
              </w:rPr>
            </w:pPr>
            <w:r>
              <w:rPr>
                <w:rFonts w:ascii="Arial" w:cs="Arial" w:eastAsia="Arial" w:hAnsi="Arial"/>
                <w:sz w:val="17"/>
                <w:szCs w:val="17"/>
                <w:color w:val="auto"/>
              </w:rPr>
              <w:t>Non-controlling interest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profit attributable to BCP Stand-alone</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180,565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610,687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755,518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23.7%</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318.4%</w:t>
            </w:r>
          </w:p>
        </w:tc>
      </w:tr>
    </w:tbl>
    <w:p>
      <w:pPr>
        <w:spacing w:after="0" w:line="189" w:lineRule="exact"/>
        <w:rPr>
          <w:sz w:val="20"/>
          <w:szCs w:val="20"/>
          <w:color w:val="auto"/>
        </w:rPr>
      </w:pPr>
    </w:p>
    <w:p>
      <w:pPr>
        <w:ind w:left="220" w:hanging="219"/>
        <w:spacing w:after="0"/>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As of 2019, financing expenses related to lease agreements is included according to the application of IFRS 16.</w:t>
      </w:r>
    </w:p>
    <w:p>
      <w:pPr>
        <w:spacing w:after="0" w:line="18" w:lineRule="exact"/>
        <w:rPr>
          <w:rFonts w:ascii="Arial" w:cs="Arial" w:eastAsia="Arial" w:hAnsi="Arial"/>
          <w:sz w:val="17"/>
          <w:szCs w:val="17"/>
          <w:color w:val="auto"/>
        </w:rPr>
      </w:pPr>
    </w:p>
    <w:p>
      <w:pPr>
        <w:ind w:firstLine="1"/>
        <w:spacing w:after="0" w:line="285" w:lineRule="auto"/>
        <w:tabs>
          <w:tab w:leader="none" w:pos="261" w:val="left"/>
        </w:tabs>
        <w:numPr>
          <w:ilvl w:val="0"/>
          <w:numId w:val="70"/>
        </w:numPr>
        <w:rPr>
          <w:rFonts w:ascii="Arial" w:cs="Arial" w:eastAsia="Arial" w:hAnsi="Arial"/>
          <w:sz w:val="16"/>
          <w:szCs w:val="16"/>
          <w:color w:val="auto"/>
        </w:rPr>
      </w:pPr>
      <w:r>
        <w:rPr>
          <w:rFonts w:ascii="Arial" w:cs="Arial" w:eastAsia="Arial" w:hAnsi="Arial"/>
          <w:sz w:val="16"/>
          <w:szCs w:val="16"/>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5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1" w:name="page72"/>
    <w:bookmarkEnd w:id="71"/>
    <w:p>
      <w:pPr>
        <w:ind w:left="4300"/>
        <w:spacing w:after="0"/>
        <w:rPr>
          <w:sz w:val="20"/>
          <w:szCs w:val="20"/>
          <w:color w:val="auto"/>
        </w:rPr>
      </w:pPr>
      <w:r>
        <w:rPr>
          <w:rFonts w:ascii="Arial" w:cs="Arial" w:eastAsia="Arial" w:hAnsi="Arial"/>
          <w:sz w:val="17"/>
          <w:szCs w:val="17"/>
          <w:b w:val="1"/>
          <w:bCs w:val="1"/>
          <w:color w:val="auto"/>
        </w:rPr>
        <w:t>BANCO DE CREDITO DEL PERU</w:t>
      </w:r>
    </w:p>
    <w:p>
      <w:pPr>
        <w:spacing w:after="0" w:line="22"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SELECTED FINANCIAL INDICATORS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7"/>
                <w:szCs w:val="17"/>
                <w:b w:val="1"/>
                <w:bCs w:val="1"/>
                <w:color w:val="auto"/>
              </w:rPr>
              <w:t>Quarter</w:t>
            </w:r>
          </w:p>
        </w:tc>
        <w:tc>
          <w:tcPr>
            <w:tcW w:w="1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6920" w:type="dxa"/>
            <w:vAlign w:val="bottom"/>
          </w:tcPr>
          <w:p>
            <w:pPr>
              <w:spacing w:after="0"/>
              <w:rPr>
                <w:sz w:val="16"/>
                <w:szCs w:val="16"/>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1Q20</w:t>
            </w:r>
          </w:p>
        </w:tc>
        <w:tc>
          <w:tcPr>
            <w:tcW w:w="148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4Q20</w:t>
            </w:r>
          </w:p>
        </w:tc>
        <w:tc>
          <w:tcPr>
            <w:tcW w:w="1220" w:type="dxa"/>
            <w:vAlign w:val="bottom"/>
          </w:tcPr>
          <w:p>
            <w:pPr>
              <w:jc w:val="right"/>
              <w:ind w:right="296"/>
              <w:spacing w:after="0"/>
              <w:rPr>
                <w:sz w:val="20"/>
                <w:szCs w:val="20"/>
                <w:color w:val="auto"/>
              </w:rPr>
            </w:pPr>
            <w:r>
              <w:rPr>
                <w:rFonts w:ascii="Arial" w:cs="Arial" w:eastAsia="Arial" w:hAnsi="Arial"/>
                <w:sz w:val="17"/>
                <w:szCs w:val="17"/>
                <w:b w:val="1"/>
                <w:bCs w:val="1"/>
                <w:color w:val="auto"/>
              </w:rPr>
              <w:t>1Q21</w:t>
            </w:r>
          </w:p>
        </w:tc>
        <w:tc>
          <w:tcPr>
            <w:tcW w:w="140" w:type="dxa"/>
            <w:vAlign w:val="bottom"/>
          </w:tcPr>
          <w:p>
            <w:pPr>
              <w:spacing w:after="0"/>
              <w:rPr>
                <w:sz w:val="16"/>
                <w:szCs w:val="16"/>
                <w:color w:val="auto"/>
              </w:rPr>
            </w:pPr>
          </w:p>
        </w:tc>
      </w:tr>
      <w:tr>
        <w:trPr>
          <w:trHeight w:val="194"/>
        </w:trPr>
        <w:tc>
          <w:tcPr>
            <w:tcW w:w="69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Profitability</w:t>
            </w: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ROAA (2)(3)</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0.5%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ROAE (2)(3)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39"/>
        </w:trPr>
        <w:tc>
          <w:tcPr>
            <w:tcW w:w="6920" w:type="dxa"/>
            <w:vAlign w:val="bottom"/>
          </w:tcPr>
          <w:p>
            <w:pPr>
              <w:spacing w:after="0" w:line="239" w:lineRule="exact"/>
              <w:rPr>
                <w:sz w:val="20"/>
                <w:szCs w:val="20"/>
                <w:color w:val="auto"/>
              </w:rPr>
            </w:pPr>
            <w:r>
              <w:rPr>
                <w:rFonts w:ascii="Arial" w:cs="Arial" w:eastAsia="Arial" w:hAnsi="Arial"/>
                <w:sz w:val="17"/>
                <w:szCs w:val="17"/>
                <w:color w:val="auto"/>
              </w:rPr>
              <w:t xml:space="preserve">Net interest margin </w:t>
            </w:r>
            <w:r>
              <w:rPr>
                <w:rFonts w:ascii="Arial" w:cs="Arial" w:eastAsia="Arial" w:hAnsi="Arial"/>
                <w:sz w:val="27"/>
                <w:szCs w:val="27"/>
                <w:color w:val="auto"/>
                <w:vertAlign w:val="superscript"/>
              </w:rPr>
              <w:t>(1)(2)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4.12%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3.60%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3.23%</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Risk adjusted NIM </w:t>
            </w:r>
            <w:r>
              <w:rPr>
                <w:rFonts w:ascii="Arial" w:cs="Arial" w:eastAsia="Arial" w:hAnsi="Arial"/>
                <w:sz w:val="27"/>
                <w:szCs w:val="27"/>
                <w:color w:val="auto"/>
                <w:vertAlign w:val="superscript"/>
              </w:rPr>
              <w:t>(1)(2)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39"/>
        </w:trPr>
        <w:tc>
          <w:tcPr>
            <w:tcW w:w="6920" w:type="dxa"/>
            <w:vAlign w:val="bottom"/>
          </w:tcPr>
          <w:p>
            <w:pPr>
              <w:spacing w:after="0" w:line="239" w:lineRule="exact"/>
              <w:rPr>
                <w:sz w:val="20"/>
                <w:szCs w:val="20"/>
                <w:color w:val="auto"/>
              </w:rPr>
            </w:pPr>
            <w:r>
              <w:rPr>
                <w:rFonts w:ascii="Arial" w:cs="Arial" w:eastAsia="Arial" w:hAnsi="Arial"/>
                <w:sz w:val="17"/>
                <w:szCs w:val="17"/>
                <w:color w:val="auto"/>
              </w:rPr>
              <w:t xml:space="preserve">Funding Cost </w:t>
            </w:r>
            <w:r>
              <w:rPr>
                <w:rFonts w:ascii="Arial" w:cs="Arial" w:eastAsia="Arial" w:hAnsi="Arial"/>
                <w:sz w:val="27"/>
                <w:szCs w:val="27"/>
                <w:color w:val="auto"/>
                <w:vertAlign w:val="superscript"/>
              </w:rPr>
              <w:t>(1)(2)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1.83%</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1.06%</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1.20%</w:t>
            </w:r>
          </w:p>
        </w:tc>
      </w:tr>
      <w:tr>
        <w:trPr>
          <w:trHeight w:val="202"/>
        </w:trPr>
        <w:tc>
          <w:tcPr>
            <w:tcW w:w="6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7"/>
                <w:szCs w:val="17"/>
                <w:b w:val="1"/>
                <w:bCs w:val="1"/>
                <w:color w:val="auto"/>
              </w:rPr>
              <w:t>Quality of loan portfolio</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IOL ratio</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3.05%</w:t>
            </w: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NPL ratio</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3.79%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4.51%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4.54%</w:t>
            </w: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Coverage of IOLs</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205.7%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209.9%</w:t>
            </w: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Coverage of NPLs</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118.1%</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145.1%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141.2%</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Cost of risk </w:t>
            </w:r>
            <w:r>
              <w:rPr>
                <w:rFonts w:ascii="Arial" w:cs="Arial" w:eastAsia="Arial" w:hAnsi="Arial"/>
                <w:sz w:val="27"/>
                <w:szCs w:val="27"/>
                <w:color w:val="auto"/>
                <w:vertAlign w:val="superscript"/>
              </w:rPr>
              <w:t>(3)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02"/>
        </w:trPr>
        <w:tc>
          <w:tcPr>
            <w:tcW w:w="6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efficiency</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9"/>
        </w:trPr>
        <w:tc>
          <w:tcPr>
            <w:tcW w:w="6920" w:type="dxa"/>
            <w:vAlign w:val="bottom"/>
          </w:tcPr>
          <w:p>
            <w:pPr>
              <w:spacing w:after="0" w:line="239" w:lineRule="exact"/>
              <w:rPr>
                <w:sz w:val="20"/>
                <w:szCs w:val="20"/>
                <w:color w:val="auto"/>
              </w:rPr>
            </w:pPr>
            <w:r>
              <w:rPr>
                <w:rFonts w:ascii="Arial" w:cs="Arial" w:eastAsia="Arial" w:hAnsi="Arial"/>
                <w:sz w:val="17"/>
                <w:szCs w:val="17"/>
                <w:color w:val="auto"/>
              </w:rPr>
              <w:t xml:space="preserve">Oper. expenses as a percent. of total income - reported </w:t>
            </w:r>
            <w:r>
              <w:rPr>
                <w:rFonts w:ascii="Arial" w:cs="Arial" w:eastAsia="Arial" w:hAnsi="Arial"/>
                <w:sz w:val="27"/>
                <w:szCs w:val="27"/>
                <w:color w:val="auto"/>
                <w:vertAlign w:val="superscript"/>
              </w:rPr>
              <w:t>(4)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38.9%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41.5%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40.2%</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Oper. expenses as a percent. of av. tot. assets </w:t>
            </w:r>
            <w:r>
              <w:rPr>
                <w:rFonts w:ascii="Arial" w:cs="Arial" w:eastAsia="Arial" w:hAnsi="Arial"/>
                <w:sz w:val="27"/>
                <w:szCs w:val="27"/>
                <w:color w:val="auto"/>
                <w:vertAlign w:val="superscript"/>
              </w:rPr>
              <w:t>(1)(2)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02"/>
        </w:trPr>
        <w:tc>
          <w:tcPr>
            <w:tcW w:w="6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Capital adequacy</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Total regulatory capital (S/ Million)</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19,215</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21,210</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23,508</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Tier 1 capital (S/ Million) </w:t>
            </w:r>
            <w:r>
              <w:rPr>
                <w:rFonts w:ascii="Arial" w:cs="Arial" w:eastAsia="Arial" w:hAnsi="Arial"/>
                <w:sz w:val="27"/>
                <w:szCs w:val="27"/>
                <w:color w:val="auto"/>
                <w:vertAlign w:val="superscript"/>
              </w:rPr>
              <w:t>(5)</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14,672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14,784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15,134</w:t>
            </w:r>
          </w:p>
        </w:tc>
      </w:tr>
      <w:tr>
        <w:trPr>
          <w:trHeight w:val="239"/>
        </w:trPr>
        <w:tc>
          <w:tcPr>
            <w:tcW w:w="6920" w:type="dxa"/>
            <w:vAlign w:val="bottom"/>
          </w:tcPr>
          <w:p>
            <w:pPr>
              <w:spacing w:after="0" w:line="239" w:lineRule="exact"/>
              <w:rPr>
                <w:sz w:val="20"/>
                <w:szCs w:val="20"/>
                <w:color w:val="auto"/>
              </w:rPr>
            </w:pPr>
            <w:r>
              <w:rPr>
                <w:rFonts w:ascii="Arial" w:cs="Arial" w:eastAsia="Arial" w:hAnsi="Arial"/>
                <w:sz w:val="17"/>
                <w:szCs w:val="17"/>
                <w:color w:val="auto"/>
              </w:rPr>
              <w:t xml:space="preserve">Common equity tier 1 ratio </w:t>
            </w:r>
            <w:r>
              <w:rPr>
                <w:rFonts w:ascii="Arial" w:cs="Arial" w:eastAsia="Arial" w:hAnsi="Arial"/>
                <w:sz w:val="27"/>
                <w:szCs w:val="27"/>
                <w:color w:val="auto"/>
                <w:vertAlign w:val="superscript"/>
              </w:rPr>
              <w:t>(6)</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11.89%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11.40%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11.11%</w:t>
            </w:r>
          </w:p>
        </w:tc>
      </w:tr>
      <w:tr>
        <w:trPr>
          <w:trHeight w:val="239"/>
        </w:trPr>
        <w:tc>
          <w:tcPr>
            <w:tcW w:w="69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 xml:space="preserve">BIS ratio </w:t>
            </w:r>
            <w:r>
              <w:rPr>
                <w:rFonts w:ascii="Arial" w:cs="Arial" w:eastAsia="Arial" w:hAnsi="Arial"/>
                <w:sz w:val="27"/>
                <w:szCs w:val="27"/>
                <w:color w:val="auto"/>
                <w:vertAlign w:val="superscript"/>
              </w:rPr>
              <w:t>(7)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16.46%</w:t>
            </w:r>
          </w:p>
        </w:tc>
      </w:tr>
    </w:tbl>
    <w:p>
      <w:pPr>
        <w:spacing w:after="0" w:line="189" w:lineRule="exact"/>
        <w:rPr>
          <w:sz w:val="20"/>
          <w:szCs w:val="20"/>
          <w:color w:val="auto"/>
        </w:rPr>
      </w:pPr>
    </w:p>
    <w:p>
      <w:pPr>
        <w:ind w:left="240" w:hanging="239"/>
        <w:spacing w:after="0"/>
        <w:tabs>
          <w:tab w:leader="none" w:pos="2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Ratios are annualized.</w:t>
      </w:r>
    </w:p>
    <w:p>
      <w:pPr>
        <w:spacing w:after="0" w:line="18" w:lineRule="exact"/>
        <w:rPr>
          <w:rFonts w:ascii="Arial" w:cs="Arial" w:eastAsia="Arial" w:hAnsi="Arial"/>
          <w:sz w:val="17"/>
          <w:szCs w:val="17"/>
          <w:color w:val="auto"/>
        </w:rPr>
      </w:pPr>
    </w:p>
    <w:p>
      <w:pPr>
        <w:ind w:left="220" w:hanging="219"/>
        <w:spacing w:after="0"/>
        <w:tabs>
          <w:tab w:leader="none" w:pos="2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Averages are determined as the average of period-beginning and period-ending balances.</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Cost of risk: Annualized provision for loan losses / Total loans.</w:t>
      </w:r>
    </w:p>
    <w:p>
      <w:pPr>
        <w:spacing w:after="0" w:line="6" w:lineRule="exact"/>
        <w:rPr>
          <w:rFonts w:ascii="Arial" w:cs="Arial" w:eastAsia="Arial" w:hAnsi="Arial"/>
          <w:sz w:val="17"/>
          <w:szCs w:val="17"/>
          <w:color w:val="auto"/>
        </w:rPr>
      </w:pPr>
    </w:p>
    <w:p>
      <w:pPr>
        <w:ind w:firstLine="1"/>
        <w:spacing w:after="0" w:line="247" w:lineRule="auto"/>
        <w:tabs>
          <w:tab w:leader="none" w:pos="259"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jc w:val="both"/>
        <w:ind w:firstLine="1"/>
        <w:spacing w:after="0" w:line="247" w:lineRule="auto"/>
        <w:tabs>
          <w:tab w:leader="none" w:pos="25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1"/>
        <w:spacing w:after="0" w:line="247" w:lineRule="auto"/>
        <w:tabs>
          <w:tab w:leader="none" w:pos="242"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Common Equity Tier I = Capital + Reserves – 100% of applicable deductions (investment in subsidiaries, goodwill, intangibles and net deferred taxes that rely on future profitability) + retained earnings + unrealized gains.</w:t>
      </w:r>
    </w:p>
    <w:p>
      <w:pPr>
        <w:ind w:left="240" w:hanging="239"/>
        <w:spacing w:after="0"/>
        <w:tabs>
          <w:tab w:leader="none" w:pos="2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Regulatory capital/ risk-weighted assets. Risk weighted assets include market risk and operational risk.</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8"/>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12.5. Regulatory Capital</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03"/>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Regulatory Capital – BAP</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6"/>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Regulatory Capital and Capital Adequacy Ratios</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7"/>
                <w:szCs w:val="17"/>
                <w:b w:val="1"/>
                <w:bCs w:val="1"/>
                <w:color w:val="auto"/>
              </w:rPr>
              <w:t>As of</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Borders>
              <w:bottom w:val="single" w:sz="8" w:color="auto"/>
            </w:tcBorders>
            <w:gridSpan w:val="3"/>
          </w:tcPr>
          <w:p>
            <w:pPr>
              <w:ind w:left="980"/>
              <w:spacing w:after="0"/>
              <w:rPr>
                <w:sz w:val="20"/>
                <w:szCs w:val="20"/>
                <w:color w:val="auto"/>
              </w:rPr>
            </w:pPr>
            <w:r>
              <w:rPr>
                <w:rFonts w:ascii="Arial" w:cs="Arial" w:eastAsia="Arial" w:hAnsi="Arial"/>
                <w:sz w:val="17"/>
                <w:szCs w:val="17"/>
                <w:b w:val="1"/>
                <w:bCs w:val="1"/>
                <w:color w:val="auto"/>
              </w:rPr>
              <w:t>% Change</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Mar 20</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Dec 20</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Mar 21</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QoQ</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YoY</w:t>
            </w:r>
          </w:p>
        </w:tc>
        <w:tc>
          <w:tcPr>
            <w:tcW w:w="160" w:type="dxa"/>
            <w:vAlign w:val="bottom"/>
            <w:tcBorders>
              <w:bottom w:val="single" w:sz="8" w:color="CCEEFF"/>
            </w:tcBorders>
          </w:tcPr>
          <w:p>
            <w:pPr>
              <w:spacing w:after="0"/>
              <w:rPr>
                <w:sz w:val="16"/>
                <w:szCs w:val="16"/>
                <w:color w:val="auto"/>
              </w:rPr>
            </w:pPr>
          </w:p>
        </w:tc>
      </w:tr>
      <w:tr>
        <w:trPr>
          <w:trHeight w:val="194"/>
        </w:trPr>
        <w:tc>
          <w:tcPr>
            <w:tcW w:w="3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Capital Stock</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1,318,993</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1,318,993</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1,318,993</w:t>
            </w:r>
          </w:p>
        </w:tc>
        <w:tc>
          <w:tcPr>
            <w:tcW w:w="2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0.0%</w:t>
            </w:r>
          </w:p>
        </w:tc>
        <w:tc>
          <w:tcPr>
            <w:tcW w:w="3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0.0%</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Treasury Stocks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(209,309)</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(208,433)</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(207,840)</w:t>
            </w:r>
          </w:p>
        </w:tc>
        <w:tc>
          <w:tcPr>
            <w:tcW w:w="1480" w:type="dxa"/>
            <w:vAlign w:val="bottom"/>
            <w:gridSpan w:val="2"/>
          </w:tcPr>
          <w:p>
            <w:pPr>
              <w:jc w:val="right"/>
              <w:ind w:right="36"/>
              <w:spacing w:after="0"/>
              <w:rPr>
                <w:sz w:val="20"/>
                <w:szCs w:val="20"/>
                <w:color w:val="auto"/>
              </w:rPr>
            </w:pPr>
            <w:r>
              <w:rPr>
                <w:rFonts w:ascii="Arial" w:cs="Arial" w:eastAsia="Arial" w:hAnsi="Arial"/>
                <w:sz w:val="17"/>
                <w:szCs w:val="17"/>
                <w:color w:val="auto"/>
              </w:rPr>
              <w:t>-0.3%</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-0.7%</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Surplus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165,188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192,625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224,591</w:t>
            </w:r>
          </w:p>
        </w:tc>
        <w:tc>
          <w:tcPr>
            <w:tcW w:w="14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16.6%</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w:t>
            </w:r>
          </w:p>
        </w:tc>
      </w:tr>
      <w:tr>
        <w:trPr>
          <w:trHeight w:val="239"/>
        </w:trPr>
        <w:tc>
          <w:tcPr>
            <w:tcW w:w="406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Legal and Other capital reserves </w:t>
            </w:r>
            <w:r>
              <w:rPr>
                <w:rFonts w:ascii="Arial" w:cs="Arial" w:eastAsia="Arial" w:hAnsi="Arial"/>
                <w:sz w:val="27"/>
                <w:szCs w:val="27"/>
                <w:color w:val="auto"/>
                <w:vertAlign w:val="superscript"/>
              </w:rPr>
              <w:t>(1)</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21,360,272</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21,429,635</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21,707,166</w:t>
            </w:r>
          </w:p>
        </w:tc>
        <w:tc>
          <w:tcPr>
            <w:tcW w:w="1480" w:type="dxa"/>
            <w:vAlign w:val="bottom"/>
            <w:gridSpan w:val="2"/>
          </w:tcPr>
          <w:p>
            <w:pPr>
              <w:jc w:val="right"/>
              <w:ind w:right="36"/>
              <w:spacing w:after="0"/>
              <w:rPr>
                <w:sz w:val="20"/>
                <w:szCs w:val="20"/>
                <w:color w:val="auto"/>
              </w:rPr>
            </w:pPr>
            <w:r>
              <w:rPr>
                <w:rFonts w:ascii="Arial" w:cs="Arial" w:eastAsia="Arial" w:hAnsi="Arial"/>
                <w:sz w:val="17"/>
                <w:szCs w:val="17"/>
                <w:color w:val="auto"/>
              </w:rPr>
              <w:t>1.3%</w:t>
            </w: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1.6%</w:t>
            </w:r>
          </w:p>
        </w:tc>
      </w:tr>
      <w:tr>
        <w:trPr>
          <w:trHeight w:val="239"/>
        </w:trPr>
        <w:tc>
          <w:tcPr>
            <w:tcW w:w="406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Minority interest </w:t>
            </w:r>
            <w:r>
              <w:rPr>
                <w:rFonts w:ascii="Arial" w:cs="Arial" w:eastAsia="Arial" w:hAnsi="Arial"/>
                <w:sz w:val="27"/>
                <w:szCs w:val="27"/>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386,326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443,402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456,849</w:t>
            </w:r>
          </w:p>
        </w:tc>
        <w:tc>
          <w:tcPr>
            <w:tcW w:w="14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3.0%</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39"/>
        </w:trPr>
        <w:tc>
          <w:tcPr>
            <w:tcW w:w="406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Loan loss reserves </w:t>
            </w:r>
            <w:r>
              <w:rPr>
                <w:rFonts w:ascii="Arial" w:cs="Arial" w:eastAsia="Arial" w:hAnsi="Arial"/>
                <w:sz w:val="27"/>
                <w:szCs w:val="27"/>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7"/>
                <w:szCs w:val="17"/>
                <w:color w:val="auto"/>
              </w:rPr>
              <w:t>1,728,836</w:t>
            </w:r>
          </w:p>
        </w:tc>
        <w:tc>
          <w:tcPr>
            <w:tcW w:w="2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1,838,145</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1,809,048</w:t>
            </w:r>
          </w:p>
        </w:tc>
        <w:tc>
          <w:tcPr>
            <w:tcW w:w="1480" w:type="dxa"/>
            <w:vAlign w:val="bottom"/>
            <w:gridSpan w:val="2"/>
          </w:tcPr>
          <w:p>
            <w:pPr>
              <w:jc w:val="right"/>
              <w:ind w:right="36"/>
              <w:spacing w:after="0"/>
              <w:rPr>
                <w:sz w:val="20"/>
                <w:szCs w:val="20"/>
                <w:color w:val="auto"/>
              </w:rPr>
            </w:pPr>
            <w:r>
              <w:rPr>
                <w:rFonts w:ascii="Arial" w:cs="Arial" w:eastAsia="Arial" w:hAnsi="Arial"/>
                <w:sz w:val="17"/>
                <w:szCs w:val="17"/>
                <w:color w:val="auto"/>
              </w:rPr>
              <w:t>-1.6%</w:t>
            </w: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4.6%</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Perpetual subordinated debt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Subordinated Debt</w:t>
            </w:r>
          </w:p>
        </w:tc>
        <w:tc>
          <w:tcPr>
            <w:tcW w:w="1240" w:type="dxa"/>
            <w:vAlign w:val="bottom"/>
          </w:tcPr>
          <w:p>
            <w:pPr>
              <w:jc w:val="right"/>
              <w:spacing w:after="0"/>
              <w:rPr>
                <w:sz w:val="20"/>
                <w:szCs w:val="20"/>
                <w:color w:val="auto"/>
              </w:rPr>
            </w:pPr>
            <w:r>
              <w:rPr>
                <w:rFonts w:ascii="Arial" w:cs="Arial" w:eastAsia="Arial" w:hAnsi="Arial"/>
                <w:sz w:val="17"/>
                <w:szCs w:val="17"/>
                <w:color w:val="auto"/>
              </w:rPr>
              <w:t>4,568,131</w:t>
            </w: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5,491,480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7,118,128</w:t>
            </w:r>
          </w:p>
        </w:tc>
        <w:tc>
          <w:tcPr>
            <w:tcW w:w="1480" w:type="dxa"/>
            <w:vAlign w:val="bottom"/>
            <w:gridSpan w:val="2"/>
          </w:tcPr>
          <w:p>
            <w:pPr>
              <w:jc w:val="right"/>
              <w:ind w:right="36"/>
              <w:spacing w:after="0"/>
              <w:rPr>
                <w:sz w:val="20"/>
                <w:szCs w:val="20"/>
                <w:color w:val="auto"/>
              </w:rPr>
            </w:pPr>
            <w:r>
              <w:rPr>
                <w:rFonts w:ascii="Arial" w:cs="Arial" w:eastAsia="Arial" w:hAnsi="Arial"/>
                <w:sz w:val="17"/>
                <w:szCs w:val="17"/>
                <w:color w:val="auto"/>
              </w:rPr>
              <w:t>29.6%</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55.8%</w:t>
            </w:r>
          </w:p>
        </w:tc>
      </w:tr>
      <w:tr>
        <w:trPr>
          <w:trHeight w:val="189"/>
        </w:trPr>
        <w:tc>
          <w:tcPr>
            <w:tcW w:w="4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w w:val="96"/>
              </w:rPr>
              <w:t>Investments in equity and subordinated debt of financial</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 insurance companies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(630,805)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(715,614)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(735,021)</w:t>
            </w:r>
          </w:p>
        </w:tc>
        <w:tc>
          <w:tcPr>
            <w:tcW w:w="14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2.7%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(819,338)</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(820,899)</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(812,242)</w:t>
            </w:r>
          </w:p>
        </w:tc>
        <w:tc>
          <w:tcPr>
            <w:tcW w:w="1480" w:type="dxa"/>
            <w:vAlign w:val="bottom"/>
            <w:gridSpan w:val="2"/>
          </w:tcPr>
          <w:p>
            <w:pPr>
              <w:jc w:val="right"/>
              <w:ind w:right="36"/>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-0.9%</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year Net Loss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r>
      <w:tr>
        <w:trPr>
          <w:trHeight w:val="191"/>
        </w:trPr>
        <w:tc>
          <w:tcPr>
            <w:tcW w:w="4060" w:type="dxa"/>
            <w:vAlign w:val="bottom"/>
            <w:gridSpan w:val="2"/>
          </w:tcPr>
          <w:p>
            <w:pPr>
              <w:spacing w:after="0" w:line="191" w:lineRule="exact"/>
              <w:rPr>
                <w:sz w:val="20"/>
                <w:szCs w:val="20"/>
                <w:color w:val="auto"/>
              </w:rPr>
            </w:pPr>
            <w:r>
              <w:rPr>
                <w:rFonts w:ascii="Arial" w:cs="Arial" w:eastAsia="Arial" w:hAnsi="Arial"/>
                <w:sz w:val="17"/>
                <w:szCs w:val="17"/>
                <w:color w:val="auto"/>
              </w:rPr>
              <w:t>Deduction for subordinated debt limit (50% of Tier I</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0"/>
        </w:trPr>
        <w:tc>
          <w:tcPr>
            <w:tcW w:w="4060" w:type="dxa"/>
            <w:vAlign w:val="bottom"/>
            <w:gridSpan w:val="2"/>
          </w:tcPr>
          <w:p>
            <w:pPr>
              <w:spacing w:after="0" w:line="250" w:lineRule="exact"/>
              <w:rPr>
                <w:sz w:val="20"/>
                <w:szCs w:val="20"/>
                <w:color w:val="auto"/>
              </w:rPr>
            </w:pPr>
            <w:r>
              <w:rPr>
                <w:rFonts w:ascii="Arial" w:cs="Arial" w:eastAsia="Arial" w:hAnsi="Arial"/>
                <w:sz w:val="17"/>
                <w:szCs w:val="17"/>
                <w:color w:val="auto"/>
              </w:rPr>
              <w:t xml:space="preserve">excluding deductions) </w:t>
            </w:r>
            <w:r>
              <w:rPr>
                <w:rFonts w:ascii="Arial" w:cs="Arial" w:eastAsia="Arial" w:hAnsi="Arial"/>
                <w:sz w:val="27"/>
                <w:szCs w:val="27"/>
                <w:color w:val="auto"/>
                <w:vertAlign w:val="superscript"/>
              </w:rPr>
              <w:t>(4)</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76"/>
              <w:spacing w:after="0"/>
              <w:rPr>
                <w:sz w:val="20"/>
                <w:szCs w:val="20"/>
                <w:color w:val="auto"/>
              </w:rPr>
            </w:pPr>
            <w:r>
              <w:rPr>
                <w:rFonts w:ascii="Arial" w:cs="Arial" w:eastAsia="Arial" w:hAnsi="Arial"/>
                <w:sz w:val="17"/>
                <w:szCs w:val="17"/>
                <w:color w:val="auto"/>
              </w:rPr>
              <w:t>-</w:t>
            </w:r>
          </w:p>
        </w:tc>
      </w:tr>
      <w:tr>
        <w:trPr>
          <w:trHeight w:val="252"/>
        </w:trPr>
        <w:tc>
          <w:tcPr>
            <w:tcW w:w="4060" w:type="dxa"/>
            <w:vAlign w:val="bottom"/>
            <w:gridSpan w:val="2"/>
            <w:shd w:val="clear" w:color="auto" w:fill="CCEEFF"/>
          </w:tcPr>
          <w:p>
            <w:pPr>
              <w:spacing w:after="0" w:line="251" w:lineRule="exact"/>
              <w:rPr>
                <w:sz w:val="20"/>
                <w:szCs w:val="20"/>
                <w:color w:val="auto"/>
              </w:rPr>
            </w:pPr>
            <w:r>
              <w:rPr>
                <w:rFonts w:ascii="Arial" w:cs="Arial" w:eastAsia="Arial" w:hAnsi="Arial"/>
                <w:sz w:val="17"/>
                <w:szCs w:val="17"/>
                <w:color w:val="auto"/>
                <w:w w:val="95"/>
              </w:rPr>
              <w:t xml:space="preserve">Deduction for Tier I Limit (50% of Regulatory capital) </w:t>
            </w:r>
            <w:r>
              <w:rPr>
                <w:rFonts w:ascii="Arial" w:cs="Arial" w:eastAsia="Arial" w:hAnsi="Arial"/>
                <w:sz w:val="27"/>
                <w:szCs w:val="27"/>
                <w:color w:val="auto"/>
                <w:w w:val="95"/>
                <w:vertAlign w:val="superscript"/>
              </w:rPr>
              <w:t>(4)</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r>
      <w:tr>
        <w:trPr>
          <w:trHeight w:val="194"/>
        </w:trPr>
        <w:tc>
          <w:tcPr>
            <w:tcW w:w="4060" w:type="dxa"/>
            <w:vAlign w:val="bottom"/>
            <w:tcBorders>
              <w:bottom w:val="single" w:sz="8" w:color="CCEEFF"/>
            </w:tcBorders>
            <w:gridSpan w:val="2"/>
          </w:tcPr>
          <w:p>
            <w:pPr>
              <w:spacing w:after="0" w:line="194" w:lineRule="exact"/>
              <w:rPr>
                <w:sz w:val="20"/>
                <w:szCs w:val="20"/>
                <w:color w:val="auto"/>
              </w:rPr>
            </w:pPr>
            <w:r>
              <w:rPr>
                <w:rFonts w:ascii="Arial" w:cs="Arial" w:eastAsia="Arial" w:hAnsi="Arial"/>
                <w:sz w:val="17"/>
                <w:szCs w:val="17"/>
                <w:b w:val="1"/>
                <w:bCs w:val="1"/>
                <w:color w:val="auto"/>
              </w:rPr>
              <w:t>Total Regulatory Capital (A)</w:t>
            </w:r>
          </w:p>
        </w:tc>
        <w:tc>
          <w:tcPr>
            <w:tcW w:w="12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27,868,294</w:t>
            </w:r>
          </w:p>
        </w:tc>
        <w:tc>
          <w:tcPr>
            <w:tcW w:w="2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28,969,333</w:t>
            </w:r>
          </w:p>
        </w:tc>
        <w:tc>
          <w:tcPr>
            <w:tcW w:w="2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30,879,672</w:t>
            </w:r>
          </w:p>
        </w:tc>
        <w:tc>
          <w:tcPr>
            <w:tcW w:w="2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6.0</w:t>
            </w:r>
          </w:p>
        </w:tc>
        <w:tc>
          <w:tcPr>
            <w:tcW w:w="260" w:type="dxa"/>
            <w:vAlign w:val="bottom"/>
            <w:tcBorders>
              <w:bottom w:val="single" w:sz="8" w:color="CCEEFF"/>
            </w:tcBorders>
          </w:tcPr>
          <w:p>
            <w:pPr>
              <w:jc w:val="right"/>
              <w:ind w:right="16"/>
              <w:spacing w:after="0" w:line="194" w:lineRule="exact"/>
              <w:rPr>
                <w:sz w:val="20"/>
                <w:szCs w:val="20"/>
                <w:color w:val="auto"/>
              </w:rPr>
            </w:pPr>
            <w:r>
              <w:rPr>
                <w:rFonts w:ascii="Arial" w:cs="Arial" w:eastAsia="Arial" w:hAnsi="Arial"/>
                <w:sz w:val="17"/>
                <w:szCs w:val="17"/>
                <w:b w:val="1"/>
                <w:bCs w:val="1"/>
                <w:color w:val="auto"/>
                <w:w w:val="92"/>
              </w:rPr>
              <w:t>%</w:t>
            </w:r>
          </w:p>
        </w:tc>
        <w:tc>
          <w:tcPr>
            <w:tcW w:w="3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10.2</w:t>
            </w:r>
          </w:p>
        </w:tc>
        <w:tc>
          <w:tcPr>
            <w:tcW w:w="160" w:type="dxa"/>
            <w:vAlign w:val="bottom"/>
            <w:tcBorders>
              <w:bottom w:val="single" w:sz="8" w:color="CCEEFF"/>
            </w:tcBorders>
          </w:tcPr>
          <w:p>
            <w:pPr>
              <w:jc w:val="right"/>
              <w:spacing w:after="0" w:line="194" w:lineRule="exact"/>
              <w:rPr>
                <w:sz w:val="20"/>
                <w:szCs w:val="20"/>
                <w:color w:val="auto"/>
              </w:rPr>
            </w:pPr>
            <w:r>
              <w:rPr>
                <w:rFonts w:ascii="Arial" w:cs="Arial" w:eastAsia="Arial" w:hAnsi="Arial"/>
                <w:sz w:val="17"/>
                <w:szCs w:val="17"/>
                <w:b w:val="1"/>
                <w:bCs w:val="1"/>
                <w:color w:val="auto"/>
                <w:w w:val="92"/>
              </w:rPr>
              <w:t>%</w:t>
            </w:r>
          </w:p>
        </w:tc>
      </w:tr>
      <w:tr>
        <w:trPr>
          <w:trHeight w:val="194"/>
        </w:trPr>
        <w:tc>
          <w:tcPr>
            <w:tcW w:w="3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9"/>
        </w:trPr>
        <w:tc>
          <w:tcPr>
            <w:tcW w:w="406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(5)</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15,271,365</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15,312,787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15,357,748</w:t>
            </w:r>
          </w:p>
        </w:tc>
        <w:tc>
          <w:tcPr>
            <w:tcW w:w="1480" w:type="dxa"/>
            <w:vAlign w:val="bottom"/>
            <w:gridSpan w:val="2"/>
          </w:tcPr>
          <w:p>
            <w:pPr>
              <w:jc w:val="right"/>
              <w:ind w:right="36"/>
              <w:spacing w:after="0"/>
              <w:rPr>
                <w:sz w:val="20"/>
                <w:szCs w:val="20"/>
                <w:color w:val="auto"/>
              </w:rPr>
            </w:pPr>
            <w:r>
              <w:rPr>
                <w:rFonts w:ascii="Arial" w:cs="Arial" w:eastAsia="Arial" w:hAnsi="Arial"/>
                <w:sz w:val="17"/>
                <w:szCs w:val="17"/>
                <w:color w:val="auto"/>
              </w:rPr>
              <w:t>0.3%</w:t>
            </w: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0.6%</w:t>
            </w:r>
          </w:p>
        </w:tc>
      </w:tr>
      <w:tr>
        <w:trPr>
          <w:trHeight w:val="239"/>
        </w:trPr>
        <w:tc>
          <w:tcPr>
            <w:tcW w:w="406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Tier 2 </w:t>
            </w:r>
            <w:r>
              <w:rPr>
                <w:rFonts w:ascii="Arial" w:cs="Arial" w:eastAsia="Arial" w:hAnsi="Arial"/>
                <w:sz w:val="27"/>
                <w:szCs w:val="27"/>
                <w:color w:val="auto"/>
                <w:vertAlign w:val="superscript"/>
              </w:rPr>
              <w:t>(6)</w:t>
            </w:r>
            <w:r>
              <w:rPr>
                <w:rFonts w:ascii="Arial" w:cs="Arial" w:eastAsia="Arial" w:hAnsi="Arial"/>
                <w:sz w:val="17"/>
                <w:szCs w:val="17"/>
                <w:color w:val="auto"/>
              </w:rPr>
              <w:t xml:space="preserve"> + Tier 3 </w:t>
            </w:r>
            <w:r>
              <w:rPr>
                <w:rFonts w:ascii="Arial" w:cs="Arial" w:eastAsia="Arial" w:hAnsi="Arial"/>
                <w:sz w:val="27"/>
                <w:szCs w:val="27"/>
                <w:color w:val="auto"/>
                <w:vertAlign w:val="superscript"/>
              </w:rPr>
              <w:t>(7)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12,596,929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13,656,546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15,357,748</w:t>
            </w:r>
          </w:p>
        </w:tc>
        <w:tc>
          <w:tcPr>
            <w:tcW w:w="14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w:t>
            </w:r>
          </w:p>
        </w:tc>
      </w:tr>
      <w:tr>
        <w:trPr>
          <w:trHeight w:val="202"/>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1"/>
        </w:trPr>
        <w:tc>
          <w:tcPr>
            <w:tcW w:w="406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w w:val="96"/>
              </w:rPr>
              <w:t>Financial Consolidated Group (FCG) Regulatory Capital</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0"/>
        </w:trPr>
        <w:tc>
          <w:tcPr>
            <w:tcW w:w="40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 xml:space="preserve">Requirements </w:t>
            </w:r>
            <w:r>
              <w:rPr>
                <w:rFonts w:ascii="Arial" w:cs="Arial" w:eastAsia="Arial" w:hAnsi="Arial"/>
                <w:sz w:val="27"/>
                <w:szCs w:val="27"/>
                <w:color w:val="auto"/>
                <w:vertAlign w:val="superscript"/>
              </w:rPr>
              <w:t>(8)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19,925,877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20,136,258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20,268,295</w:t>
            </w:r>
          </w:p>
        </w:tc>
        <w:tc>
          <w:tcPr>
            <w:tcW w:w="14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0.7%</w:t>
            </w:r>
          </w:p>
        </w:tc>
        <w:tc>
          <w:tcPr>
            <w:tcW w:w="3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191"/>
        </w:trPr>
        <w:tc>
          <w:tcPr>
            <w:tcW w:w="4060" w:type="dxa"/>
            <w:vAlign w:val="bottom"/>
            <w:gridSpan w:val="2"/>
          </w:tcPr>
          <w:p>
            <w:pPr>
              <w:spacing w:after="0" w:line="191" w:lineRule="exact"/>
              <w:rPr>
                <w:sz w:val="20"/>
                <w:szCs w:val="20"/>
                <w:color w:val="auto"/>
              </w:rPr>
            </w:pPr>
            <w:r>
              <w:rPr>
                <w:rFonts w:ascii="Arial" w:cs="Arial" w:eastAsia="Arial" w:hAnsi="Arial"/>
                <w:sz w:val="17"/>
                <w:szCs w:val="17"/>
                <w:color w:val="auto"/>
              </w:rPr>
              <w:t>Insurance Consolidated Group (ICG) Capital</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0"/>
        </w:trPr>
        <w:tc>
          <w:tcPr>
            <w:tcW w:w="4060" w:type="dxa"/>
            <w:vAlign w:val="bottom"/>
            <w:gridSpan w:val="2"/>
          </w:tcPr>
          <w:p>
            <w:pPr>
              <w:spacing w:after="0" w:line="250" w:lineRule="exact"/>
              <w:rPr>
                <w:sz w:val="20"/>
                <w:szCs w:val="20"/>
                <w:color w:val="auto"/>
              </w:rPr>
            </w:pPr>
            <w:r>
              <w:rPr>
                <w:rFonts w:ascii="Arial" w:cs="Arial" w:eastAsia="Arial" w:hAnsi="Arial"/>
                <w:sz w:val="17"/>
                <w:szCs w:val="17"/>
                <w:color w:val="auto"/>
              </w:rPr>
              <w:t xml:space="preserve">Requirements </w:t>
            </w:r>
            <w:r>
              <w:rPr>
                <w:rFonts w:ascii="Arial" w:cs="Arial" w:eastAsia="Arial" w:hAnsi="Arial"/>
                <w:sz w:val="27"/>
                <w:szCs w:val="27"/>
                <w:color w:val="auto"/>
                <w:vertAlign w:val="superscript"/>
              </w:rPr>
              <w:t>(9)</w:t>
            </w:r>
          </w:p>
        </w:tc>
        <w:tc>
          <w:tcPr>
            <w:tcW w:w="1240" w:type="dxa"/>
            <w:vAlign w:val="bottom"/>
          </w:tcPr>
          <w:p>
            <w:pPr>
              <w:jc w:val="right"/>
              <w:spacing w:after="0"/>
              <w:rPr>
                <w:sz w:val="20"/>
                <w:szCs w:val="20"/>
                <w:color w:val="auto"/>
              </w:rPr>
            </w:pPr>
            <w:r>
              <w:rPr>
                <w:rFonts w:ascii="Arial" w:cs="Arial" w:eastAsia="Arial" w:hAnsi="Arial"/>
                <w:sz w:val="17"/>
                <w:szCs w:val="17"/>
                <w:color w:val="auto"/>
              </w:rPr>
              <w:t>1,243,035</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1,304,266</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1,362,246</w:t>
            </w:r>
          </w:p>
        </w:tc>
        <w:tc>
          <w:tcPr>
            <w:tcW w:w="1480" w:type="dxa"/>
            <w:vAlign w:val="bottom"/>
            <w:gridSpan w:val="2"/>
          </w:tcPr>
          <w:p>
            <w:pPr>
              <w:jc w:val="right"/>
              <w:ind w:right="36"/>
              <w:spacing w:after="0"/>
              <w:rPr>
                <w:sz w:val="20"/>
                <w:szCs w:val="20"/>
                <w:color w:val="auto"/>
              </w:rPr>
            </w:pPr>
            <w:r>
              <w:rPr>
                <w:rFonts w:ascii="Arial" w:cs="Arial" w:eastAsia="Arial" w:hAnsi="Arial"/>
                <w:sz w:val="17"/>
                <w:szCs w:val="17"/>
                <w:color w:val="auto"/>
              </w:rPr>
              <w:t>4.4%</w:t>
            </w:r>
          </w:p>
        </w:tc>
        <w:tc>
          <w:tcPr>
            <w:tcW w:w="3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9.6%</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FCG Capital Requirements related to operations with ICG</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(503,013)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(467,303)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(467,303)</w:t>
            </w:r>
          </w:p>
        </w:tc>
        <w:tc>
          <w:tcPr>
            <w:tcW w:w="14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0.0%</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4"/>
        </w:trPr>
        <w:tc>
          <w:tcPr>
            <w:tcW w:w="4060" w:type="dxa"/>
            <w:vAlign w:val="bottom"/>
            <w:gridSpan w:val="2"/>
          </w:tcPr>
          <w:p>
            <w:pPr>
              <w:spacing w:after="0"/>
              <w:rPr>
                <w:sz w:val="20"/>
                <w:szCs w:val="20"/>
                <w:color w:val="auto"/>
              </w:rPr>
            </w:pPr>
            <w:r>
              <w:rPr>
                <w:rFonts w:ascii="Arial" w:cs="Arial" w:eastAsia="Arial" w:hAnsi="Arial"/>
                <w:sz w:val="17"/>
                <w:szCs w:val="17"/>
                <w:color w:val="auto"/>
                <w:w w:val="93"/>
              </w:rPr>
              <w:t>ICG Capital Requirements related to operations with FCG</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76"/>
              <w:spacing w:after="0"/>
              <w:rPr>
                <w:sz w:val="20"/>
                <w:szCs w:val="20"/>
                <w:color w:val="auto"/>
              </w:rPr>
            </w:pPr>
            <w:r>
              <w:rPr>
                <w:rFonts w:ascii="Arial" w:cs="Arial" w:eastAsia="Arial" w:hAnsi="Arial"/>
                <w:sz w:val="17"/>
                <w:szCs w:val="17"/>
                <w:color w:val="auto"/>
              </w:rPr>
              <w:t>-</w:t>
            </w:r>
          </w:p>
        </w:tc>
      </w:tr>
      <w:tr>
        <w:trPr>
          <w:trHeight w:val="194"/>
        </w:trPr>
        <w:tc>
          <w:tcPr>
            <w:tcW w:w="406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Regulatory Capital Requirements (B)</w:t>
            </w: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20,665,899</w:t>
            </w: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20,973,221</w:t>
            </w: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21,163,239</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0.9</w:t>
            </w:r>
          </w:p>
        </w:tc>
        <w:tc>
          <w:tcPr>
            <w:tcW w:w="260" w:type="dxa"/>
            <w:vAlign w:val="bottom"/>
            <w:tcBorders>
              <w:top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b w:val="1"/>
                <w:bCs w:val="1"/>
                <w:color w:val="auto"/>
                <w:w w:val="92"/>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2.4</w:t>
            </w:r>
          </w:p>
        </w:tc>
        <w:tc>
          <w:tcPr>
            <w:tcW w:w="16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2"/>
              </w:rPr>
              <w:t>%</w:t>
            </w:r>
          </w:p>
        </w:tc>
      </w:tr>
      <w:tr>
        <w:trPr>
          <w:trHeight w:val="194"/>
        </w:trPr>
        <w:tc>
          <w:tcPr>
            <w:tcW w:w="40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Regulatory Capital Ratio (A) / (B)</w:t>
            </w:r>
          </w:p>
        </w:tc>
        <w:tc>
          <w:tcPr>
            <w:tcW w:w="12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1.35</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1.38</w:t>
            </w:r>
          </w:p>
        </w:tc>
        <w:tc>
          <w:tcPr>
            <w:tcW w:w="2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1.46</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9"/>
        </w:trPr>
        <w:tc>
          <w:tcPr>
            <w:tcW w:w="406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7"/>
                <w:szCs w:val="27"/>
                <w:b w:val="1"/>
                <w:bCs w:val="1"/>
                <w:color w:val="auto"/>
                <w:vertAlign w:val="superscript"/>
              </w:rPr>
              <w:t>(10)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1.00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1.00</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bl>
    <w:p>
      <w:pPr>
        <w:spacing w:after="0" w:line="189" w:lineRule="exact"/>
        <w:rPr>
          <w:sz w:val="20"/>
          <w:szCs w:val="20"/>
          <w:color w:val="auto"/>
        </w:rPr>
      </w:pPr>
    </w:p>
    <w:p>
      <w:pPr>
        <w:ind w:left="240" w:hanging="239"/>
        <w:spacing w:after="0"/>
        <w:tabs>
          <w:tab w:leader="none" w:pos="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Legal and other capital reserves include restricted capital reserves (PEN 14,745 million) and optional capital reserves (PEN 6,661 million).</w:t>
      </w:r>
    </w:p>
    <w:p>
      <w:pPr>
        <w:spacing w:after="0" w:line="18" w:lineRule="exact"/>
        <w:rPr>
          <w:rFonts w:ascii="Arial" w:cs="Arial" w:eastAsia="Arial" w:hAnsi="Arial"/>
          <w:sz w:val="17"/>
          <w:szCs w:val="17"/>
          <w:color w:val="auto"/>
        </w:rPr>
      </w:pPr>
    </w:p>
    <w:p>
      <w:pPr>
        <w:ind w:left="240" w:hanging="239"/>
        <w:spacing w:after="0"/>
        <w:tabs>
          <w:tab w:leader="none" w:pos="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Minority interest includes Tier I (PEN 421 million)</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Up to 1.25% of total risk-weighted assets of Banco de Credito del Peru, Solucion Empresa Administradora Hipotecaria, Mibanco and Atlantic Security Bank.</w:t>
      </w:r>
    </w:p>
    <w:p>
      <w:pPr>
        <w:spacing w:after="0" w:line="29" w:lineRule="exact"/>
        <w:rPr>
          <w:rFonts w:ascii="Arial" w:cs="Arial" w:eastAsia="Arial" w:hAnsi="Arial"/>
          <w:sz w:val="15"/>
          <w:szCs w:val="15"/>
          <w:color w:val="auto"/>
        </w:rPr>
      </w:pPr>
    </w:p>
    <w:p>
      <w:pPr>
        <w:ind w:left="240" w:hanging="239"/>
        <w:spacing w:after="0"/>
        <w:tabs>
          <w:tab w:leader="none" w:pos="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Tier II + Tier III cannot be more than 50% of total regulatory capital.</w:t>
      </w:r>
    </w:p>
    <w:p>
      <w:pPr>
        <w:spacing w:after="0" w:line="6" w:lineRule="exact"/>
        <w:rPr>
          <w:rFonts w:ascii="Arial" w:cs="Arial" w:eastAsia="Arial" w:hAnsi="Arial"/>
          <w:sz w:val="17"/>
          <w:szCs w:val="17"/>
          <w:color w:val="auto"/>
        </w:rPr>
      </w:pPr>
    </w:p>
    <w:p>
      <w:pPr>
        <w:ind w:firstLine="1"/>
        <w:spacing w:after="0" w:line="247" w:lineRule="auto"/>
        <w:tabs>
          <w:tab w:leader="none" w:pos="25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Tier I = capital + restricted capital reserves + Tier I minority interest - goodwill - (0.5 x investment in equity and subordinated debt of financial and insurance companies) + perpetual subordinated debt.</w:t>
      </w:r>
    </w:p>
    <w:p>
      <w:pPr>
        <w:ind w:firstLine="1"/>
        <w:spacing w:after="0" w:line="247" w:lineRule="auto"/>
        <w:tabs>
          <w:tab w:leader="none" w:pos="257" w:val="left"/>
        </w:tabs>
        <w:numPr>
          <w:ilvl w:val="0"/>
          <w:numId w:val="72"/>
        </w:numPr>
        <w:rPr>
          <w:rFonts w:ascii="Arial" w:cs="Arial" w:eastAsia="Arial" w:hAnsi="Arial"/>
          <w:sz w:val="17"/>
          <w:szCs w:val="17"/>
          <w:color w:val="auto"/>
        </w:rPr>
      </w:pPr>
      <w:r>
        <w:rPr>
          <w:rFonts w:ascii="Arial" w:cs="Arial" w:eastAsia="Arial" w:hAnsi="Arial"/>
          <w:sz w:val="17"/>
          <w:szCs w:val="17"/>
          <w:color w:val="auto"/>
        </w:rPr>
        <w:t>Tier II = subordinated debt + TierII minority interest tier + loan loss reserves - (0.5 x investment in equity and subordinated debt of financial and insurance companies).</w:t>
      </w:r>
    </w:p>
    <w:p>
      <w:pPr>
        <w:ind w:left="240" w:hanging="239"/>
        <w:spacing w:after="0"/>
        <w:tabs>
          <w:tab w:leader="none" w:pos="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Tier III = Subordinated debt covering market risk only.</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Includes regulatory capital requirements of the financial consolidated group.</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Includes regulatory capital requirements of the insurance consolidated group.</w:t>
      </w:r>
    </w:p>
    <w:p>
      <w:pPr>
        <w:spacing w:after="0" w:line="6" w:lineRule="exact"/>
        <w:rPr>
          <w:rFonts w:ascii="Arial" w:cs="Arial" w:eastAsia="Arial" w:hAnsi="Arial"/>
          <w:sz w:val="17"/>
          <w:szCs w:val="17"/>
          <w:color w:val="auto"/>
        </w:rPr>
      </w:pPr>
    </w:p>
    <w:p>
      <w:pPr>
        <w:ind w:left="320" w:hanging="319"/>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Regulatory Capital / Total Regulatory Capital Requirements (legal minimum = 1.00).</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8"/>
        </w:trPr>
        <w:tc>
          <w:tcPr>
            <w:tcW w:w="4000" w:type="dxa"/>
            <w:vAlign w:val="bottom"/>
            <w:gridSpan w:val="3"/>
          </w:tcPr>
          <w:p>
            <w:pPr>
              <w:spacing w:after="0"/>
              <w:rPr>
                <w:sz w:val="20"/>
                <w:szCs w:val="20"/>
                <w:color w:val="auto"/>
              </w:rPr>
            </w:pPr>
            <w:r>
              <w:rPr>
                <w:rFonts w:ascii="Arial" w:cs="Arial" w:eastAsia="Arial" w:hAnsi="Arial"/>
                <w:sz w:val="17"/>
                <w:szCs w:val="17"/>
                <w:b w:val="1"/>
                <w:bCs w:val="1"/>
                <w:color w:val="auto"/>
                <w:w w:val="94"/>
              </w:rPr>
              <w:t>Regulatory Capital at BCP Stand-alone – Peru GAAP</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87"/>
        </w:trPr>
        <w:tc>
          <w:tcPr>
            <w:tcW w:w="4000" w:type="dxa"/>
            <w:vAlign w:val="bottom"/>
            <w:gridSpan w:val="3"/>
          </w:tcPr>
          <w:p>
            <w:pPr>
              <w:spacing w:after="0"/>
              <w:rPr>
                <w:sz w:val="20"/>
                <w:szCs w:val="20"/>
                <w:color w:val="auto"/>
              </w:rPr>
            </w:pPr>
            <w:r>
              <w:rPr>
                <w:rFonts w:ascii="Arial" w:cs="Arial" w:eastAsia="Arial" w:hAnsi="Arial"/>
                <w:sz w:val="17"/>
                <w:szCs w:val="17"/>
                <w:b w:val="1"/>
                <w:bCs w:val="1"/>
                <w:color w:val="auto"/>
                <w:w w:val="99"/>
              </w:rPr>
              <w:t>Regulatory Capital and Capital Adequacy Ratios -</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8"/>
        </w:trPr>
        <w:tc>
          <w:tcPr>
            <w:tcW w:w="4000" w:type="dxa"/>
            <w:vAlign w:val="bottom"/>
            <w:gridSpan w:val="3"/>
          </w:tcPr>
          <w:p>
            <w:pPr>
              <w:spacing w:after="0"/>
              <w:rPr>
                <w:sz w:val="20"/>
                <w:szCs w:val="20"/>
                <w:color w:val="auto"/>
              </w:rPr>
            </w:pPr>
            <w:r>
              <w:rPr>
                <w:rFonts w:ascii="Arial" w:cs="Arial" w:eastAsia="Arial" w:hAnsi="Arial"/>
                <w:sz w:val="17"/>
                <w:szCs w:val="17"/>
                <w:b w:val="1"/>
                <w:bCs w:val="1"/>
                <w:color w:val="auto"/>
              </w:rPr>
              <w:t>SBS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As of</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gridSpan w:val="3"/>
          </w:tcPr>
          <w:p>
            <w:pPr>
              <w:ind w:left="240"/>
              <w:spacing w:after="0"/>
              <w:rPr>
                <w:sz w:val="20"/>
                <w:szCs w:val="20"/>
                <w:color w:val="auto"/>
              </w:rPr>
            </w:pPr>
            <w:r>
              <w:rPr>
                <w:rFonts w:ascii="Arial" w:cs="Arial" w:eastAsia="Arial" w:hAnsi="Arial"/>
                <w:sz w:val="17"/>
                <w:szCs w:val="17"/>
                <w:b w:val="1"/>
                <w:bCs w:val="1"/>
                <w:color w:val="auto"/>
              </w:rPr>
              <w:t>% change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4"/>
        </w:trPr>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Mar 20</w:t>
            </w:r>
          </w:p>
        </w:tc>
        <w:tc>
          <w:tcPr>
            <w:tcW w:w="26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Dec 20</w:t>
            </w:r>
          </w:p>
        </w:tc>
        <w:tc>
          <w:tcPr>
            <w:tcW w:w="26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Mar 21</w:t>
            </w:r>
          </w:p>
        </w:tc>
        <w:tc>
          <w:tcPr>
            <w:tcW w:w="24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7"/>
                <w:szCs w:val="17"/>
                <w:b w:val="1"/>
                <w:bCs w:val="1"/>
                <w:color w:val="auto"/>
                <w:w w:val="92"/>
              </w:rPr>
              <w:t>QoQ</w:t>
            </w:r>
          </w:p>
        </w:tc>
        <w:tc>
          <w:tcPr>
            <w:tcW w:w="4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b w:val="1"/>
                <w:bCs w:val="1"/>
                <w:color w:val="auto"/>
              </w:rPr>
              <w:t>YoY</w:t>
            </w:r>
          </w:p>
        </w:tc>
        <w:tc>
          <w:tcPr>
            <w:tcW w:w="240" w:type="dxa"/>
            <w:vAlign w:val="bottom"/>
            <w:tcBorders>
              <w:bottom w:val="single" w:sz="8" w:color="CCEEFF"/>
            </w:tcBorders>
          </w:tcPr>
          <w:p>
            <w:pPr>
              <w:spacing w:after="0"/>
              <w:rPr>
                <w:sz w:val="16"/>
                <w:szCs w:val="16"/>
                <w:color w:val="auto"/>
              </w:rPr>
            </w:pPr>
          </w:p>
        </w:tc>
      </w:tr>
      <w:tr>
        <w:trPr>
          <w:trHeight w:val="194"/>
        </w:trPr>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Capital Stock</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10,217,387</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11,067,387</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11,317,387</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2.3%</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10.8%</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Legal and Other capital reserves</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4,695,118</w:t>
            </w:r>
          </w:p>
        </w:tc>
        <w:tc>
          <w:tcPr>
            <w:tcW w:w="1220" w:type="dxa"/>
            <w:vAlign w:val="bottom"/>
          </w:tcPr>
          <w:p>
            <w:pPr>
              <w:jc w:val="right"/>
              <w:spacing w:after="0"/>
              <w:rPr>
                <w:sz w:val="20"/>
                <w:szCs w:val="20"/>
                <w:color w:val="auto"/>
              </w:rPr>
            </w:pPr>
            <w:r>
              <w:rPr>
                <w:rFonts w:ascii="Arial" w:cs="Arial" w:eastAsia="Arial" w:hAnsi="Arial"/>
                <w:sz w:val="17"/>
                <w:szCs w:val="17"/>
                <w:color w:val="auto"/>
              </w:rPr>
              <w:t>6,166,670</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6,707,503</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42.9%</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Accumulated earnings with capitalization agreement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850,000</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N/A</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r>
      <w:tr>
        <w:trPr>
          <w:trHeight w:val="239"/>
        </w:trPr>
        <w:tc>
          <w:tcPr>
            <w:tcW w:w="40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Loan loss reserves </w:t>
            </w:r>
            <w:r>
              <w:rPr>
                <w:rFonts w:ascii="Arial" w:cs="Arial" w:eastAsia="Arial" w:hAnsi="Arial"/>
                <w:sz w:val="27"/>
                <w:szCs w:val="27"/>
                <w:color w:val="auto"/>
                <w:vertAlign w:val="superscript"/>
              </w:rPr>
              <w:t>(1)</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1,383,834</w:t>
            </w:r>
          </w:p>
        </w:tc>
        <w:tc>
          <w:tcPr>
            <w:tcW w:w="1220" w:type="dxa"/>
            <w:vAlign w:val="bottom"/>
          </w:tcPr>
          <w:p>
            <w:pPr>
              <w:jc w:val="right"/>
              <w:spacing w:after="0"/>
              <w:rPr>
                <w:sz w:val="20"/>
                <w:szCs w:val="20"/>
                <w:color w:val="auto"/>
              </w:rPr>
            </w:pPr>
            <w:r>
              <w:rPr>
                <w:rFonts w:ascii="Arial" w:cs="Arial" w:eastAsia="Arial" w:hAnsi="Arial"/>
                <w:sz w:val="17"/>
                <w:szCs w:val="17"/>
                <w:color w:val="auto"/>
              </w:rPr>
              <w:t>1,595,916</w:t>
            </w:r>
          </w:p>
        </w:tc>
        <w:tc>
          <w:tcPr>
            <w:tcW w:w="2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1,609,750</w:t>
            </w:r>
          </w:p>
        </w:tc>
        <w:tc>
          <w:tcPr>
            <w:tcW w:w="8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0.9%</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16.3%</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Perpetual subordinated debt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N/A</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Subordinated Debt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4,128,099</w:t>
            </w:r>
          </w:p>
        </w:tc>
        <w:tc>
          <w:tcPr>
            <w:tcW w:w="1220" w:type="dxa"/>
            <w:vAlign w:val="bottom"/>
          </w:tcPr>
          <w:p>
            <w:pPr>
              <w:jc w:val="right"/>
              <w:spacing w:after="0"/>
              <w:rPr>
                <w:sz w:val="20"/>
                <w:szCs w:val="20"/>
                <w:color w:val="auto"/>
              </w:rPr>
            </w:pPr>
            <w:r>
              <w:rPr>
                <w:rFonts w:ascii="Arial" w:cs="Arial" w:eastAsia="Arial" w:hAnsi="Arial"/>
                <w:sz w:val="17"/>
                <w:szCs w:val="17"/>
                <w:color w:val="auto"/>
              </w:rPr>
              <w:t>4,817,188</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6,276,991</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30.3%</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52.1%</w:t>
            </w:r>
          </w:p>
        </w:tc>
      </w:tr>
      <w:tr>
        <w:trPr>
          <w:trHeight w:val="189"/>
        </w:trPr>
        <w:tc>
          <w:tcPr>
            <w:tcW w:w="40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w w:val="95"/>
              </w:rPr>
              <w:t>Investment in subsidiaries and others, net of unrealized</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4"/>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profit and net income</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(1,937,102)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(2,314,790)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(2,281,859)</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w:t>
            </w:r>
          </w:p>
        </w:tc>
      </w:tr>
      <w:tr>
        <w:trPr>
          <w:trHeight w:val="202"/>
        </w:trPr>
        <w:tc>
          <w:tcPr>
            <w:tcW w:w="4000" w:type="dxa"/>
            <w:vAlign w:val="bottom"/>
            <w:gridSpan w:val="3"/>
          </w:tcPr>
          <w:p>
            <w:pPr>
              <w:ind w:left="160"/>
              <w:spacing w:after="0"/>
              <w:rPr>
                <w:sz w:val="20"/>
                <w:szCs w:val="20"/>
                <w:color w:val="auto"/>
              </w:rPr>
            </w:pPr>
            <w:r>
              <w:rPr>
                <w:rFonts w:ascii="Arial" w:cs="Arial" w:eastAsia="Arial" w:hAnsi="Arial"/>
                <w:sz w:val="17"/>
                <w:szCs w:val="17"/>
                <w:color w:val="auto"/>
              </w:rPr>
              <w:t>Investment in subsidiaries and others</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(2,008,782)</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(2,297,879)</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(2,295,243)</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-0.1%</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r>
      <w:tr>
        <w:trPr>
          <w:trHeight w:val="202"/>
        </w:trPr>
        <w:tc>
          <w:tcPr>
            <w:tcW w:w="40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Unrealized profit and net income in subsidiaries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71,680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(16,911)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13,383</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5"/>
              </w:rPr>
              <w:t>-179.1%</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-81.3%</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(122,083)</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(122,083)</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(122,083)</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0.0%</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Regulatory Capital - SBS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19,215,253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21,210,287</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23,507,689</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10.8%</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22.3%</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b w:val="1"/>
                <w:bCs w:val="1"/>
                <w:color w:val="auto"/>
              </w:rPr>
              <w:t>Off-balance sheet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88,189,663</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90,253,383</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94,853,451</w:t>
            </w:r>
          </w:p>
        </w:tc>
        <w:tc>
          <w:tcPr>
            <w:tcW w:w="8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5.1%</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7.6%</w:t>
            </w:r>
          </w:p>
        </w:tc>
      </w:tr>
      <w:tr>
        <w:trPr>
          <w:trHeight w:val="239"/>
        </w:trPr>
        <w:tc>
          <w:tcPr>
            <w:tcW w:w="40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Regulatory Tier 1 Capital </w:t>
            </w:r>
            <w:r>
              <w:rPr>
                <w:rFonts w:ascii="Arial" w:cs="Arial" w:eastAsia="Arial" w:hAnsi="Arial"/>
                <w:sz w:val="27"/>
                <w:szCs w:val="27"/>
                <w:color w:val="auto"/>
                <w:vertAlign w:val="superscript"/>
              </w:rPr>
              <w:t>(2)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14,671,871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14,783,879</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15,133,634</w:t>
            </w: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r>
      <w:tr>
        <w:trPr>
          <w:trHeight w:val="239"/>
        </w:trPr>
        <w:tc>
          <w:tcPr>
            <w:tcW w:w="40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Regulatory Tier 2 Capital </w:t>
            </w:r>
            <w:r>
              <w:rPr>
                <w:rFonts w:ascii="Arial" w:cs="Arial" w:eastAsia="Arial" w:hAnsi="Arial"/>
                <w:sz w:val="27"/>
                <w:szCs w:val="27"/>
                <w:color w:val="auto"/>
                <w:vertAlign w:val="superscript"/>
              </w:rPr>
              <w:t>(3)</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4,543,382</w:t>
            </w:r>
          </w:p>
        </w:tc>
        <w:tc>
          <w:tcPr>
            <w:tcW w:w="1220" w:type="dxa"/>
            <w:vAlign w:val="bottom"/>
          </w:tcPr>
          <w:p>
            <w:pPr>
              <w:jc w:val="right"/>
              <w:spacing w:after="0"/>
              <w:rPr>
                <w:sz w:val="20"/>
                <w:szCs w:val="20"/>
                <w:color w:val="auto"/>
              </w:rPr>
            </w:pPr>
            <w:r>
              <w:rPr>
                <w:rFonts w:ascii="Arial" w:cs="Arial" w:eastAsia="Arial" w:hAnsi="Arial"/>
                <w:sz w:val="17"/>
                <w:szCs w:val="17"/>
                <w:color w:val="auto"/>
              </w:rPr>
              <w:t>6,426,408</w:t>
            </w:r>
          </w:p>
        </w:tc>
        <w:tc>
          <w:tcPr>
            <w:tcW w:w="2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8,374,055</w:t>
            </w:r>
          </w:p>
        </w:tc>
        <w:tc>
          <w:tcPr>
            <w:tcW w:w="8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30.3%</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r>
      <w:tr>
        <w:trPr>
          <w:trHeight w:val="239"/>
        </w:trPr>
        <w:tc>
          <w:tcPr>
            <w:tcW w:w="40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Total risk-weighted assets - SBS </w:t>
            </w:r>
            <w:r>
              <w:rPr>
                <w:rFonts w:ascii="Arial" w:cs="Arial" w:eastAsia="Arial" w:hAnsi="Arial"/>
                <w:sz w:val="27"/>
                <w:szCs w:val="27"/>
                <w:b w:val="1"/>
                <w:bCs w:val="1"/>
                <w:color w:val="auto"/>
                <w:vertAlign w:val="superscript"/>
              </w:rPr>
              <w:t>(4)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142,084,684</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142,042,877</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142,854,356</w:t>
            </w: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0.6%</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0.5%</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Credit risk-weighted assets</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129,331,389</w:t>
            </w:r>
          </w:p>
        </w:tc>
        <w:tc>
          <w:tcPr>
            <w:tcW w:w="1220" w:type="dxa"/>
            <w:vAlign w:val="bottom"/>
          </w:tcPr>
          <w:p>
            <w:pPr>
              <w:jc w:val="right"/>
              <w:spacing w:after="0"/>
              <w:rPr>
                <w:sz w:val="20"/>
                <w:szCs w:val="20"/>
                <w:color w:val="auto"/>
              </w:rPr>
            </w:pPr>
            <w:r>
              <w:rPr>
                <w:rFonts w:ascii="Arial" w:cs="Arial" w:eastAsia="Arial" w:hAnsi="Arial"/>
                <w:sz w:val="17"/>
                <w:szCs w:val="17"/>
                <w:color w:val="auto"/>
              </w:rPr>
              <w:t>125,874,294</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126,638,687</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0.6%</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r>
      <w:tr>
        <w:trPr>
          <w:trHeight w:val="239"/>
        </w:trPr>
        <w:tc>
          <w:tcPr>
            <w:tcW w:w="40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3,074,766</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4,859,241</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4,708,619</w:t>
            </w: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53.1%</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Operational risk-weighted assets</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9,678,529</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11,309,343</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11,507,050</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18.9%</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capital requirement -SBS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16,411,339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16,359,370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16,509,727</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0.9%</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0.6%</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Credit risk capital requirement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12,933,139</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12,587,429</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12,663,869</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0.6%</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Market risk capital requirement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307,477</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485,924</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470,862</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53.1%</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Operational risk capital requirement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967,853</w:t>
            </w:r>
          </w:p>
        </w:tc>
        <w:tc>
          <w:tcPr>
            <w:tcW w:w="1220" w:type="dxa"/>
            <w:vAlign w:val="bottom"/>
          </w:tcPr>
          <w:p>
            <w:pPr>
              <w:jc w:val="right"/>
              <w:spacing w:after="0"/>
              <w:rPr>
                <w:sz w:val="20"/>
                <w:szCs w:val="20"/>
                <w:color w:val="auto"/>
              </w:rPr>
            </w:pPr>
            <w:r>
              <w:rPr>
                <w:rFonts w:ascii="Arial" w:cs="Arial" w:eastAsia="Arial" w:hAnsi="Arial"/>
                <w:sz w:val="17"/>
                <w:szCs w:val="17"/>
                <w:color w:val="auto"/>
              </w:rPr>
              <w:t>1,130,934</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1,150,705</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18.9%</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Additional capital requirements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2,202,871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2,155,082</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2,224,292</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39"/>
        </w:trPr>
        <w:tc>
          <w:tcPr>
            <w:tcW w:w="4000" w:type="dxa"/>
            <w:vAlign w:val="bottom"/>
            <w:gridSpan w:val="3"/>
          </w:tcPr>
          <w:p>
            <w:pPr>
              <w:spacing w:after="0" w:line="239" w:lineRule="exact"/>
              <w:rPr>
                <w:sz w:val="20"/>
                <w:szCs w:val="20"/>
                <w:color w:val="auto"/>
              </w:rPr>
            </w:pPr>
            <w:r>
              <w:rPr>
                <w:rFonts w:ascii="Arial" w:cs="Arial" w:eastAsia="Arial" w:hAnsi="Arial"/>
                <w:sz w:val="17"/>
                <w:szCs w:val="17"/>
                <w:b w:val="1"/>
                <w:bCs w:val="1"/>
                <w:color w:val="auto"/>
              </w:rPr>
              <w:t xml:space="preserve">Common Equity Tier 1 - Basel </w:t>
            </w:r>
            <w:r>
              <w:rPr>
                <w:rFonts w:ascii="Arial" w:cs="Arial" w:eastAsia="Arial" w:hAnsi="Arial"/>
                <w:sz w:val="27"/>
                <w:szCs w:val="27"/>
                <w:b w:val="1"/>
                <w:bCs w:val="1"/>
                <w:color w:val="auto"/>
                <w:vertAlign w:val="superscript"/>
              </w:rPr>
              <w:t>(6)</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16,146,039</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15,292,575</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14,966,550</w:t>
            </w:r>
          </w:p>
        </w:tc>
        <w:tc>
          <w:tcPr>
            <w:tcW w:w="8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-2.1%</w:t>
            </w: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-7.3%</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Capital and reserves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14,912,505</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17,234,057</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18,024,890</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Retained earnings</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4,273,266</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832,931</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460,214</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-44.7%</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-89.2%</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Unrealized gains (losses)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(20,316)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691,094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(77,354)</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5"/>
              </w:rPr>
              <w:t>-111.2%</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280.8%</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Goodwill and intangibles</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(1,010,634)</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(1,167,628)</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(1,145,958)</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13.4%</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Investments in subsidiaries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(2,008,782)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(2,297,879)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(2,295,243)</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-0.1%</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w:t>
            </w:r>
          </w:p>
        </w:tc>
      </w:tr>
      <w:tr>
        <w:trPr>
          <w:trHeight w:val="239"/>
        </w:trPr>
        <w:tc>
          <w:tcPr>
            <w:tcW w:w="4000" w:type="dxa"/>
            <w:vAlign w:val="bottom"/>
            <w:gridSpan w:val="3"/>
          </w:tcPr>
          <w:p>
            <w:pPr>
              <w:spacing w:after="0" w:line="239" w:lineRule="exact"/>
              <w:rPr>
                <w:sz w:val="20"/>
                <w:szCs w:val="20"/>
                <w:color w:val="auto"/>
              </w:rPr>
            </w:pPr>
            <w:r>
              <w:rPr>
                <w:rFonts w:ascii="Arial" w:cs="Arial" w:eastAsia="Arial" w:hAnsi="Arial"/>
                <w:sz w:val="17"/>
                <w:szCs w:val="17"/>
                <w:b w:val="1"/>
                <w:bCs w:val="1"/>
                <w:color w:val="auto"/>
              </w:rPr>
              <w:t xml:space="preserve">Adjusted Risk-Weighted Assets - Basel </w:t>
            </w:r>
            <w:r>
              <w:rPr>
                <w:rFonts w:ascii="Arial" w:cs="Arial" w:eastAsia="Arial" w:hAnsi="Arial"/>
                <w:sz w:val="27"/>
                <w:szCs w:val="27"/>
                <w:b w:val="1"/>
                <w:bCs w:val="1"/>
                <w:color w:val="auto"/>
                <w:vertAlign w:val="superscript"/>
              </w:rPr>
              <w:t>(7)</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135,790,140</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134,192,100</w:t>
            </w:r>
          </w:p>
        </w:tc>
        <w:tc>
          <w:tcPr>
            <w:tcW w:w="2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134,747,468</w:t>
            </w:r>
          </w:p>
        </w:tc>
        <w:tc>
          <w:tcPr>
            <w:tcW w:w="8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0.4%</w:t>
            </w: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-0.8%</w:t>
            </w: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risk-weighted assets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142,084,684</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142,042,877</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142,854,356</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0.6%</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w:t>
            </w: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color w:val="auto"/>
              </w:rPr>
              <w:t>(-) RWA Intangible assets, excluding goodwill.</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6,802,121</w:t>
            </w:r>
          </w:p>
        </w:tc>
        <w:tc>
          <w:tcPr>
            <w:tcW w:w="1220" w:type="dxa"/>
            <w:vAlign w:val="bottom"/>
          </w:tcPr>
          <w:p>
            <w:pPr>
              <w:jc w:val="right"/>
              <w:spacing w:after="0"/>
              <w:rPr>
                <w:sz w:val="20"/>
                <w:szCs w:val="20"/>
                <w:color w:val="auto"/>
              </w:rPr>
            </w:pPr>
            <w:r>
              <w:rPr>
                <w:rFonts w:ascii="Arial" w:cs="Arial" w:eastAsia="Arial" w:hAnsi="Arial"/>
                <w:sz w:val="17"/>
                <w:szCs w:val="17"/>
                <w:color w:val="auto"/>
              </w:rPr>
              <w:t>9,264,963</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9,387,483</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38.0%</w:t>
            </w:r>
          </w:p>
        </w:tc>
      </w:tr>
      <w:tr>
        <w:trPr>
          <w:trHeight w:val="189"/>
        </w:trPr>
        <w:tc>
          <w:tcPr>
            <w:tcW w:w="40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w w:val="99"/>
              </w:rPr>
              <w:t>(+) RWA Deferred tax assets generated as a result of</w:t>
            </w: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2"/>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temporary differences in income tax, in excess of 10%</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4"/>
        </w:trPr>
        <w:tc>
          <w:tcPr>
            <w:tcW w:w="4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of CET1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507,578</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1,414,185</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1,280,595</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152.3%</w:t>
            </w:r>
          </w:p>
        </w:tc>
      </w:tr>
      <w:tr>
        <w:trPr>
          <w:trHeight w:val="189"/>
        </w:trPr>
        <w:tc>
          <w:tcPr>
            <w:tcW w:w="4000" w:type="dxa"/>
            <w:vAlign w:val="bottom"/>
            <w:gridSpan w:val="3"/>
          </w:tcPr>
          <w:p>
            <w:pPr>
              <w:spacing w:after="0" w:line="189" w:lineRule="exact"/>
              <w:rPr>
                <w:sz w:val="20"/>
                <w:szCs w:val="20"/>
                <w:color w:val="auto"/>
              </w:rPr>
            </w:pPr>
            <w:r>
              <w:rPr>
                <w:rFonts w:ascii="Arial" w:cs="Arial" w:eastAsia="Arial" w:hAnsi="Arial"/>
                <w:sz w:val="17"/>
                <w:szCs w:val="17"/>
                <w:color w:val="auto"/>
                <w:w w:val="99"/>
              </w:rPr>
              <w:t>(+) RWA Deferred tax assets generated as a result of</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4"/>
        </w:trPr>
        <w:tc>
          <w:tcPr>
            <w:tcW w:w="4000" w:type="dxa"/>
            <w:vAlign w:val="bottom"/>
            <w:gridSpan w:val="3"/>
          </w:tcPr>
          <w:p>
            <w:pPr>
              <w:spacing w:after="0"/>
              <w:rPr>
                <w:sz w:val="20"/>
                <w:szCs w:val="20"/>
                <w:color w:val="auto"/>
              </w:rPr>
            </w:pPr>
            <w:r>
              <w:rPr>
                <w:rFonts w:ascii="Arial" w:cs="Arial" w:eastAsia="Arial" w:hAnsi="Arial"/>
                <w:sz w:val="17"/>
                <w:szCs w:val="17"/>
                <w:color w:val="auto"/>
              </w:rPr>
              <w:t>past losses</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202"/>
        </w:trPr>
        <w:tc>
          <w:tcPr>
            <w:tcW w:w="3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2"/>
        </w:trPr>
        <w:tc>
          <w:tcPr>
            <w:tcW w:w="4000" w:type="dxa"/>
            <w:vAlign w:val="bottom"/>
            <w:gridSpan w:val="3"/>
          </w:tcPr>
          <w:p>
            <w:pPr>
              <w:spacing w:after="0"/>
              <w:rPr>
                <w:sz w:val="20"/>
                <w:szCs w:val="20"/>
                <w:color w:val="auto"/>
              </w:rPr>
            </w:pPr>
            <w:r>
              <w:rPr>
                <w:rFonts w:ascii="Arial" w:cs="Arial" w:eastAsia="Arial" w:hAnsi="Arial"/>
                <w:sz w:val="17"/>
                <w:szCs w:val="17"/>
                <w:b w:val="1"/>
                <w:bCs w:val="1"/>
                <w:color w:val="auto"/>
              </w:rPr>
              <w:t>Capital ratios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9"/>
        </w:trPr>
        <w:tc>
          <w:tcPr>
            <w:tcW w:w="40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Regulatory Tier 1 ratio </w:t>
            </w:r>
            <w:r>
              <w:rPr>
                <w:rFonts w:ascii="Arial" w:cs="Arial" w:eastAsia="Arial" w:hAnsi="Arial"/>
                <w:sz w:val="27"/>
                <w:szCs w:val="27"/>
                <w:color w:val="auto"/>
                <w:vertAlign w:val="superscript"/>
              </w:rPr>
              <w:t>(8)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10.59%</w:t>
            </w:r>
          </w:p>
        </w:tc>
        <w:tc>
          <w:tcPr>
            <w:tcW w:w="8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18bps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26bps</w:t>
            </w:r>
          </w:p>
        </w:tc>
      </w:tr>
      <w:tr>
        <w:trPr>
          <w:trHeight w:val="239"/>
        </w:trPr>
        <w:tc>
          <w:tcPr>
            <w:tcW w:w="4000" w:type="dxa"/>
            <w:vAlign w:val="bottom"/>
            <w:gridSpan w:val="3"/>
          </w:tcPr>
          <w:p>
            <w:pPr>
              <w:spacing w:after="0" w:line="239" w:lineRule="exact"/>
              <w:rPr>
                <w:sz w:val="20"/>
                <w:szCs w:val="20"/>
                <w:color w:val="auto"/>
              </w:rPr>
            </w:pPr>
            <w:r>
              <w:rPr>
                <w:rFonts w:ascii="Arial" w:cs="Arial" w:eastAsia="Arial" w:hAnsi="Arial"/>
                <w:sz w:val="17"/>
                <w:szCs w:val="17"/>
                <w:color w:val="auto"/>
              </w:rPr>
              <w:t xml:space="preserve">Common Equity Tier 1 ratio </w:t>
            </w:r>
            <w:r>
              <w:rPr>
                <w:rFonts w:ascii="Arial" w:cs="Arial" w:eastAsia="Arial" w:hAnsi="Arial"/>
                <w:sz w:val="27"/>
                <w:szCs w:val="27"/>
                <w:color w:val="auto"/>
                <w:vertAlign w:val="superscript"/>
              </w:rPr>
              <w:t>(9)</w:t>
            </w: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11.89%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11.40%</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11.11%</w:t>
            </w:r>
          </w:p>
        </w:tc>
        <w:tc>
          <w:tcPr>
            <w:tcW w:w="800" w:type="dxa"/>
            <w:vAlign w:val="bottom"/>
          </w:tcPr>
          <w:p>
            <w:pPr>
              <w:spacing w:after="0"/>
              <w:rPr>
                <w:sz w:val="20"/>
                <w:szCs w:val="20"/>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7"/>
                <w:szCs w:val="17"/>
                <w:color w:val="auto"/>
              </w:rPr>
              <w:t>-29bps</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-78bps</w:t>
            </w:r>
          </w:p>
        </w:tc>
      </w:tr>
      <w:tr>
        <w:trPr>
          <w:trHeight w:val="239"/>
        </w:trPr>
        <w:tc>
          <w:tcPr>
            <w:tcW w:w="4000" w:type="dxa"/>
            <w:vAlign w:val="bottom"/>
            <w:gridSpan w:val="3"/>
            <w:shd w:val="clear" w:color="auto" w:fill="CCEEFF"/>
          </w:tcPr>
          <w:p>
            <w:pPr>
              <w:spacing w:after="0" w:line="239" w:lineRule="exact"/>
              <w:rPr>
                <w:sz w:val="20"/>
                <w:szCs w:val="20"/>
                <w:color w:val="auto"/>
              </w:rPr>
            </w:pPr>
            <w:r>
              <w:rPr>
                <w:rFonts w:ascii="Arial" w:cs="Arial" w:eastAsia="Arial" w:hAnsi="Arial"/>
                <w:sz w:val="17"/>
                <w:szCs w:val="17"/>
                <w:color w:val="auto"/>
              </w:rPr>
              <w:t xml:space="preserve">BIS ratio </w:t>
            </w:r>
            <w:r>
              <w:rPr>
                <w:rFonts w:ascii="Arial" w:cs="Arial" w:eastAsia="Arial" w:hAnsi="Arial"/>
                <w:sz w:val="27"/>
                <w:szCs w:val="27"/>
                <w:color w:val="auto"/>
                <w:vertAlign w:val="superscript"/>
              </w:rPr>
              <w:t>(10)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14.93%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16.46%</w:t>
            </w:r>
          </w:p>
        </w:tc>
        <w:tc>
          <w:tcPr>
            <w:tcW w:w="8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153bps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29bps</w:t>
            </w:r>
          </w:p>
        </w:tc>
      </w:tr>
      <w:tr>
        <w:trPr>
          <w:trHeight w:val="214"/>
        </w:trPr>
        <w:tc>
          <w:tcPr>
            <w:tcW w:w="4000" w:type="dxa"/>
            <w:vAlign w:val="bottom"/>
            <w:gridSpan w:val="3"/>
          </w:tcPr>
          <w:p>
            <w:pPr>
              <w:spacing w:after="0"/>
              <w:rPr>
                <w:sz w:val="20"/>
                <w:szCs w:val="20"/>
                <w:color w:val="auto"/>
              </w:rPr>
            </w:pPr>
            <w:r>
              <w:rPr>
                <w:rFonts w:ascii="Arial" w:cs="Arial" w:eastAsia="Arial" w:hAnsi="Arial"/>
                <w:sz w:val="17"/>
                <w:szCs w:val="17"/>
                <w:color w:val="auto"/>
              </w:rPr>
              <w:t>Risk-weighted assets / Regulatory capital</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7.39</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6.70</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6.08</w:t>
            </w:r>
          </w:p>
        </w:tc>
        <w:tc>
          <w:tcPr>
            <w:tcW w:w="8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-9.3%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r>
    </w:tbl>
    <w:p>
      <w:pPr>
        <w:spacing w:after="0" w:line="177" w:lineRule="exact"/>
        <w:rPr>
          <w:sz w:val="20"/>
          <w:szCs w:val="20"/>
          <w:color w:val="auto"/>
        </w:rPr>
      </w:pPr>
    </w:p>
    <w:p>
      <w:pPr>
        <w:ind w:left="240" w:hanging="239"/>
        <w:spacing w:after="0"/>
        <w:tabs>
          <w:tab w:leader="none" w:pos="2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 to 1.25% of total risk-weighted assets.</w:t>
      </w:r>
    </w:p>
    <w:p>
      <w:pPr>
        <w:spacing w:after="0" w:line="18" w:lineRule="exact"/>
        <w:rPr>
          <w:rFonts w:ascii="Arial" w:cs="Arial" w:eastAsia="Arial" w:hAnsi="Arial"/>
          <w:sz w:val="17"/>
          <w:szCs w:val="17"/>
          <w:color w:val="auto"/>
        </w:rPr>
      </w:pPr>
    </w:p>
    <w:p>
      <w:pPr>
        <w:jc w:val="both"/>
        <w:ind w:firstLine="1"/>
        <w:spacing w:after="0" w:line="262" w:lineRule="auto"/>
        <w:tabs>
          <w:tab w:leader="none" w:pos="25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6"/>
          <w:szCs w:val="16"/>
          <w:color w:val="auto"/>
        </w:rPr>
      </w:pPr>
    </w:p>
    <w:p>
      <w:pPr>
        <w:ind w:firstLine="1"/>
        <w:spacing w:after="0" w:line="247" w:lineRule="auto"/>
        <w:tabs>
          <w:tab w:leader="none" w:pos="252"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Regulatory Tier 2 Capital = Subordinated debt + Loan loss reserves + Unrestricted Reserves + (0.5 x Unrealized profit and net income in subsidiaries) - (0.5 x Investment in subsidiaries).</w:t>
      </w:r>
    </w:p>
    <w:p>
      <w:pPr>
        <w:ind w:firstLine="1"/>
        <w:spacing w:after="0" w:line="247" w:lineRule="auto"/>
        <w:tabs>
          <w:tab w:leader="none" w:pos="247" w:val="left"/>
        </w:tabs>
        <w:numPr>
          <w:ilvl w:val="0"/>
          <w:numId w:val="73"/>
        </w:numPr>
        <w:rPr>
          <w:rFonts w:ascii="Arial" w:cs="Arial" w:eastAsia="Arial" w:hAnsi="Arial"/>
          <w:sz w:val="17"/>
          <w:szCs w:val="17"/>
          <w:color w:val="auto"/>
        </w:rPr>
      </w:pPr>
      <w:r>
        <w:rPr>
          <w:rFonts w:ascii="Arial" w:cs="Arial" w:eastAsia="Arial" w:hAnsi="Arial"/>
          <w:sz w:val="17"/>
          <w:szCs w:val="17"/>
          <w:color w:val="auto"/>
        </w:rPr>
        <w:t>Since July 2012, Total Risk-weighted assets = Credit risk-weighted assets * 1.00 + Capital requirement to cover market risk * 10 + Capital requirement to cover operational risk * 10 * 1.00 (since July 2014)</w:t>
      </w:r>
    </w:p>
    <w:p>
      <w:pPr>
        <w:ind w:left="240" w:hanging="239"/>
        <w:spacing w:after="0"/>
        <w:tabs>
          <w:tab w:leader="none" w:pos="2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It includes capital requirement to cover price and rate risk.</w:t>
      </w:r>
    </w:p>
    <w:p>
      <w:pPr>
        <w:spacing w:after="0" w:line="6" w:lineRule="exact"/>
        <w:rPr>
          <w:rFonts w:ascii="Arial" w:cs="Arial" w:eastAsia="Arial" w:hAnsi="Arial"/>
          <w:sz w:val="17"/>
          <w:szCs w:val="17"/>
          <w:color w:val="auto"/>
        </w:rPr>
      </w:pPr>
    </w:p>
    <w:p>
      <w:pPr>
        <w:ind w:right="120" w:firstLine="1"/>
        <w:spacing w:after="0" w:line="247" w:lineRule="auto"/>
        <w:tabs>
          <w:tab w:leader="none" w:pos="238"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Common Equity Tier I = Capital + Reserves – 100% of applicable deductions (investment in subsidiaries, goodwill, intangibles and net deferred taxes that rely on future profitability) + retained earnings + unrealized gains.</w:t>
      </w:r>
    </w:p>
    <w:p>
      <w:pPr>
        <w:ind w:right="660" w:firstLine="1"/>
        <w:spacing w:after="0" w:line="262" w:lineRule="auto"/>
        <w:tabs>
          <w:tab w:leader="none" w:pos="22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spacing w:after="0" w:line="1" w:lineRule="exact"/>
        <w:rPr>
          <w:rFonts w:ascii="Arial" w:cs="Arial" w:eastAsia="Arial" w:hAnsi="Arial"/>
          <w:sz w:val="16"/>
          <w:szCs w:val="16"/>
          <w:color w:val="auto"/>
        </w:rPr>
      </w:pPr>
    </w:p>
    <w:p>
      <w:pPr>
        <w:ind w:left="240" w:hanging="239"/>
        <w:spacing w:after="0"/>
        <w:tabs>
          <w:tab w:leader="none" w:pos="2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Regulatory Tier 1 Capital / Total Risk-weighted assets</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Common Equity Tier I / Adjusted Risk-Weighted Assets Risk-Weighted Assets</w:t>
      </w:r>
    </w:p>
    <w:p>
      <w:pPr>
        <w:spacing w:after="0" w:line="6" w:lineRule="exact"/>
        <w:rPr>
          <w:rFonts w:ascii="Arial" w:cs="Arial" w:eastAsia="Arial" w:hAnsi="Arial"/>
          <w:sz w:val="17"/>
          <w:szCs w:val="17"/>
          <w:color w:val="auto"/>
        </w:rPr>
      </w:pPr>
    </w:p>
    <w:p>
      <w:pPr>
        <w:ind w:left="320" w:hanging="319"/>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Total Regulatory Capital / Total Risk-weighted assets (legal minimum = 10% since July 2011)</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8"/>
        </w:trPr>
        <w:tc>
          <w:tcPr>
            <w:tcW w:w="3800" w:type="dxa"/>
            <w:vAlign w:val="bottom"/>
            <w:gridSpan w:val="2"/>
          </w:tcPr>
          <w:p>
            <w:pPr>
              <w:spacing w:after="0"/>
              <w:rPr>
                <w:sz w:val="20"/>
                <w:szCs w:val="20"/>
                <w:color w:val="auto"/>
              </w:rPr>
            </w:pPr>
            <w:r>
              <w:rPr>
                <w:rFonts w:ascii="Arial" w:cs="Arial" w:eastAsia="Arial" w:hAnsi="Arial"/>
                <w:sz w:val="17"/>
                <w:szCs w:val="17"/>
                <w:b w:val="1"/>
                <w:bCs w:val="1"/>
                <w:color w:val="auto"/>
              </w:rPr>
              <w:t>Regulatory Capital Mibanco – Peru GAAP</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87"/>
        </w:trPr>
        <w:tc>
          <w:tcPr>
            <w:tcW w:w="3800" w:type="dxa"/>
            <w:vAlign w:val="bottom"/>
            <w:gridSpan w:val="2"/>
          </w:tcPr>
          <w:p>
            <w:pPr>
              <w:spacing w:after="0"/>
              <w:rPr>
                <w:sz w:val="20"/>
                <w:szCs w:val="20"/>
                <w:color w:val="auto"/>
              </w:rPr>
            </w:pPr>
            <w:r>
              <w:rPr>
                <w:rFonts w:ascii="Arial" w:cs="Arial" w:eastAsia="Arial" w:hAnsi="Arial"/>
                <w:sz w:val="17"/>
                <w:szCs w:val="17"/>
                <w:b w:val="1"/>
                <w:bCs w:val="1"/>
                <w:color w:val="auto"/>
                <w:w w:val="94"/>
              </w:rPr>
              <w:t>Regulatory Capital and Capital Adequacy Ratios -</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8"/>
        </w:trPr>
        <w:tc>
          <w:tcPr>
            <w:tcW w:w="3800" w:type="dxa"/>
            <w:vAlign w:val="bottom"/>
            <w:gridSpan w:val="2"/>
          </w:tcPr>
          <w:p>
            <w:pPr>
              <w:spacing w:after="0"/>
              <w:rPr>
                <w:sz w:val="20"/>
                <w:szCs w:val="20"/>
                <w:color w:val="auto"/>
              </w:rPr>
            </w:pPr>
            <w:r>
              <w:rPr>
                <w:rFonts w:ascii="Arial" w:cs="Arial" w:eastAsia="Arial" w:hAnsi="Arial"/>
                <w:sz w:val="17"/>
                <w:szCs w:val="17"/>
                <w:b w:val="1"/>
                <w:bCs w:val="1"/>
                <w:color w:val="auto"/>
              </w:rPr>
              <w:t>SBS</w:t>
            </w: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7"/>
                <w:szCs w:val="17"/>
                <w:b w:val="1"/>
                <w:bCs w:val="1"/>
                <w:color w:val="auto"/>
              </w:rPr>
              <w:t>As of</w:t>
            </w:r>
          </w:p>
        </w:tc>
        <w:tc>
          <w:tcPr>
            <w:tcW w:w="1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7"/>
                <w:szCs w:val="17"/>
                <w:b w:val="1"/>
                <w:bCs w:val="1"/>
                <w:color w:val="auto"/>
              </w:rPr>
              <w:t>% change</w:t>
            </w: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94"/>
        </w:trPr>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Mar 20</w:t>
            </w: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Dec 20</w:t>
            </w: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Mar 21</w:t>
            </w:r>
          </w:p>
        </w:tc>
        <w:tc>
          <w:tcPr>
            <w:tcW w:w="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w w:val="92"/>
              </w:rPr>
              <w:t>QoQ</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YoY</w:t>
            </w:r>
          </w:p>
        </w:tc>
        <w:tc>
          <w:tcPr>
            <w:tcW w:w="240" w:type="dxa"/>
            <w:vAlign w:val="bottom"/>
            <w:tcBorders>
              <w:bottom w:val="single" w:sz="8" w:color="CCEEFF"/>
            </w:tcBorders>
          </w:tcPr>
          <w:p>
            <w:pPr>
              <w:spacing w:after="0"/>
              <w:rPr>
                <w:sz w:val="16"/>
                <w:szCs w:val="16"/>
                <w:color w:val="auto"/>
              </w:rPr>
            </w:pPr>
          </w:p>
        </w:tc>
      </w:tr>
      <w:tr>
        <w:trPr>
          <w:trHeight w:val="194"/>
        </w:trPr>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Capital Stock</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1,331,484</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2,114,500</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1,714,577</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-18.9%</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28.8%</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Legal and Other capital reserves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207,129</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246,305</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246,305</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0.0%</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18.9%</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Accumulated earnings with capitalization agreement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156,000</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8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N/A</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r>
      <w:tr>
        <w:trPr>
          <w:trHeight w:val="239"/>
        </w:trPr>
        <w:tc>
          <w:tcPr>
            <w:tcW w:w="380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Loan loss reserves </w:t>
            </w:r>
            <w:r>
              <w:rPr>
                <w:rFonts w:ascii="Arial" w:cs="Arial" w:eastAsia="Arial" w:hAnsi="Arial"/>
                <w:sz w:val="27"/>
                <w:szCs w:val="27"/>
                <w:color w:val="auto"/>
                <w:vertAlign w:val="superscript"/>
              </w:rPr>
              <w:t>(1)</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141,004</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133,221</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139,073</w:t>
            </w:r>
          </w:p>
        </w:tc>
        <w:tc>
          <w:tcPr>
            <w:tcW w:w="8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4.4%</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Perpetual subordinated debt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NA</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Subordinated Debt</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130,000</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130,000</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285,000</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119.2%</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119.2%</w:t>
            </w:r>
          </w:p>
        </w:tc>
      </w:tr>
      <w:tr>
        <w:trPr>
          <w:trHeight w:val="189"/>
        </w:trPr>
        <w:tc>
          <w:tcPr>
            <w:tcW w:w="38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w w:val="90"/>
              </w:rPr>
              <w:t>Investment in subsidiaries and others, net of unrealized</w:t>
            </w: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profit and net income</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r>
        <w:trPr>
          <w:trHeight w:val="202"/>
        </w:trPr>
        <w:tc>
          <w:tcPr>
            <w:tcW w:w="3800" w:type="dxa"/>
            <w:vAlign w:val="bottom"/>
            <w:gridSpan w:val="2"/>
          </w:tcPr>
          <w:p>
            <w:pPr>
              <w:ind w:left="160"/>
              <w:spacing w:after="0"/>
              <w:rPr>
                <w:sz w:val="20"/>
                <w:szCs w:val="20"/>
                <w:color w:val="auto"/>
              </w:rPr>
            </w:pPr>
            <w:r>
              <w:rPr>
                <w:rFonts w:ascii="Arial" w:cs="Arial" w:eastAsia="Arial" w:hAnsi="Arial"/>
                <w:sz w:val="17"/>
                <w:szCs w:val="17"/>
                <w:color w:val="auto"/>
              </w:rPr>
              <w:t>Investment in subsidiaries and others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202"/>
        </w:trPr>
        <w:tc>
          <w:tcPr>
            <w:tcW w:w="3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Unrealized profit and net income in subsidiaries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(139,180)</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(139,180)</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(139,180)</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0.0%</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Losses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(35,204)</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b w:val="1"/>
                <w:bCs w:val="1"/>
                <w:color w:val="auto"/>
              </w:rPr>
              <w:t>Total Regulatory Capital - SBS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1,826,436</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2,449,642</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2,245,780</w:t>
            </w:r>
          </w:p>
        </w:tc>
        <w:tc>
          <w:tcPr>
            <w:tcW w:w="8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-8.3%</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23.0%</w:t>
            </w:r>
          </w:p>
        </w:tc>
      </w:tr>
      <w:tr>
        <w:trPr>
          <w:trHeight w:val="239"/>
        </w:trPr>
        <w:tc>
          <w:tcPr>
            <w:tcW w:w="380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Regulatory Tier 1 Capital </w:t>
            </w:r>
            <w:r>
              <w:rPr>
                <w:rFonts w:ascii="Arial" w:cs="Arial" w:eastAsia="Arial" w:hAnsi="Arial"/>
                <w:sz w:val="27"/>
                <w:szCs w:val="27"/>
                <w:color w:val="auto"/>
                <w:vertAlign w:val="superscript"/>
              </w:rPr>
              <w:t>(2)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1,552,693</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2,183,682</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1,823,859</w:t>
            </w: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-16.5%</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w:t>
            </w:r>
          </w:p>
        </w:tc>
      </w:tr>
      <w:tr>
        <w:trPr>
          <w:trHeight w:val="239"/>
        </w:trPr>
        <w:tc>
          <w:tcPr>
            <w:tcW w:w="380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Regulatory Tier 2 Capital </w:t>
            </w:r>
            <w:r>
              <w:rPr>
                <w:rFonts w:ascii="Arial" w:cs="Arial" w:eastAsia="Arial" w:hAnsi="Arial"/>
                <w:sz w:val="27"/>
                <w:szCs w:val="27"/>
                <w:color w:val="auto"/>
                <w:vertAlign w:val="superscript"/>
              </w:rPr>
              <w:t>(3)</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273,743</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265,960</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426,804</w:t>
            </w:r>
          </w:p>
        </w:tc>
        <w:tc>
          <w:tcPr>
            <w:tcW w:w="8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60.5%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55.9%</w:t>
            </w:r>
          </w:p>
        </w:tc>
      </w:tr>
      <w:tr>
        <w:trPr>
          <w:trHeight w:val="239"/>
        </w:trPr>
        <w:tc>
          <w:tcPr>
            <w:tcW w:w="380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Total risk-weighted assets - SBS </w:t>
            </w:r>
            <w:r>
              <w:rPr>
                <w:rFonts w:ascii="Arial" w:cs="Arial" w:eastAsia="Arial" w:hAnsi="Arial"/>
                <w:sz w:val="27"/>
                <w:szCs w:val="27"/>
                <w:b w:val="1"/>
                <w:bCs w:val="1"/>
                <w:color w:val="auto"/>
                <w:vertAlign w:val="superscript"/>
              </w:rPr>
              <w:t>(4)</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13,030,959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12,356,336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12,595,303</w:t>
            </w: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1.9%</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-3.3%</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Credit risk-weighted assets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10,929,378</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10,314,642</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10,530,894</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r>
      <w:tr>
        <w:trPr>
          <w:trHeight w:val="239"/>
        </w:trPr>
        <w:tc>
          <w:tcPr>
            <w:tcW w:w="380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152,782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134,862</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184,495</w:t>
            </w: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36.8%</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20.8%</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Operational risk-weighted assets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1,948,798</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1,906,832</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1,879,913</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capital requirement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1,448,821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1,373,162</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1,399,942</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2.0%</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-3.4%</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Credit risk capital requirement</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1,092,938</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1,031,464</w:t>
            </w:r>
          </w:p>
        </w:tc>
        <w:tc>
          <w:tcPr>
            <w:tcW w:w="2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1,053,089</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Market risk-weighted assets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15,278</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13,486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18,450</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36.8%</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20.8%</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Operational risk capital requirement</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194,880</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190,683</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187,991</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capital requirements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145,725</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137,528</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140,412</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r>
      <w:tr>
        <w:trPr>
          <w:trHeight w:val="239"/>
        </w:trPr>
        <w:tc>
          <w:tcPr>
            <w:tcW w:w="3800" w:type="dxa"/>
            <w:vAlign w:val="bottom"/>
            <w:gridSpan w:val="2"/>
          </w:tcPr>
          <w:p>
            <w:pPr>
              <w:spacing w:after="0" w:line="239" w:lineRule="exact"/>
              <w:rPr>
                <w:sz w:val="20"/>
                <w:szCs w:val="20"/>
                <w:color w:val="auto"/>
              </w:rPr>
            </w:pPr>
            <w:r>
              <w:rPr>
                <w:rFonts w:ascii="Arial" w:cs="Arial" w:eastAsia="Arial" w:hAnsi="Arial"/>
                <w:sz w:val="17"/>
                <w:szCs w:val="17"/>
                <w:b w:val="1"/>
                <w:bCs w:val="1"/>
                <w:color w:val="auto"/>
              </w:rPr>
              <w:t xml:space="preserve">Common Equity Tier 1 - Basel </w:t>
            </w:r>
            <w:r>
              <w:rPr>
                <w:rFonts w:ascii="Arial" w:cs="Arial" w:eastAsia="Arial" w:hAnsi="Arial"/>
                <w:sz w:val="27"/>
                <w:szCs w:val="27"/>
                <w:b w:val="1"/>
                <w:bCs w:val="1"/>
                <w:color w:val="auto"/>
                <w:vertAlign w:val="superscript"/>
              </w:rPr>
              <w:t>(6)</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1,653,165</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2,097,427</w:t>
            </w:r>
          </w:p>
        </w:tc>
        <w:tc>
          <w:tcPr>
            <w:tcW w:w="2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1,718,640</w:t>
            </w:r>
          </w:p>
        </w:tc>
        <w:tc>
          <w:tcPr>
            <w:tcW w:w="8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-18.1%</w:t>
            </w: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4.0%</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and reserves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1,538,613</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2,360,805</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1,960,882</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-16.9%</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Retained earnings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329,218</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(35,204)</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88,907</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152.6%</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-73.0%</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gains (losses)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5,549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7,691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2,904</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5"/>
              </w:rPr>
              <w:t>-137.8%</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-47.7%</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Goodwill and intangibles</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(219,993)</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(235,627)</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(242,350)</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10.2%</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Excess DT of 10% CET1 Basilea</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(91,468)</w:t>
            </w:r>
          </w:p>
        </w:tc>
        <w:tc>
          <w:tcPr>
            <w:tcW w:w="8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N/A</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Investments in subsidiaries</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(223)</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(238)</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(234)</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r>
      <w:tr>
        <w:trPr>
          <w:trHeight w:val="239"/>
        </w:trPr>
        <w:tc>
          <w:tcPr>
            <w:tcW w:w="380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 xml:space="preserve">Adjusted Risk-Weighted Assets - Basel </w:t>
            </w:r>
            <w:r>
              <w:rPr>
                <w:rFonts w:ascii="Arial" w:cs="Arial" w:eastAsia="Arial" w:hAnsi="Arial"/>
                <w:sz w:val="27"/>
                <w:szCs w:val="27"/>
                <w:b w:val="1"/>
                <w:bCs w:val="1"/>
                <w:color w:val="auto"/>
                <w:vertAlign w:val="superscript"/>
              </w:rPr>
              <w:t>(7)</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12,447,266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11,851,948</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11,546,385</w:t>
            </w: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-2.6%</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-7.2%</w:t>
            </w:r>
          </w:p>
        </w:tc>
      </w:tr>
      <w:tr>
        <w:trPr>
          <w:trHeight w:val="202"/>
        </w:trPr>
        <w:tc>
          <w:tcPr>
            <w:tcW w:w="3800" w:type="dxa"/>
            <w:vAlign w:val="bottom"/>
            <w:gridSpan w:val="2"/>
          </w:tcPr>
          <w:p>
            <w:pPr>
              <w:spacing w:after="0"/>
              <w:rPr>
                <w:sz w:val="20"/>
                <w:szCs w:val="20"/>
                <w:color w:val="auto"/>
              </w:rPr>
            </w:pPr>
            <w:r>
              <w:rPr>
                <w:rFonts w:ascii="Arial" w:cs="Arial" w:eastAsia="Arial" w:hAnsi="Arial"/>
                <w:sz w:val="17"/>
                <w:szCs w:val="17"/>
                <w:color w:val="auto"/>
              </w:rPr>
              <w:t>Total risk-weighted assets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13,030,959</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12,356,336</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12,595,303</w:t>
            </w:r>
          </w:p>
        </w:tc>
        <w:tc>
          <w:tcPr>
            <w:tcW w:w="8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r>
      <w:tr>
        <w:trPr>
          <w:trHeight w:val="202"/>
        </w:trPr>
        <w:tc>
          <w:tcPr>
            <w:tcW w:w="3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RWA Intangible assets, excluding goodwill.</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583,693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746,454</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840,797</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12.6%</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44.0%</w:t>
            </w:r>
          </w:p>
        </w:tc>
      </w:tr>
      <w:tr>
        <w:trPr>
          <w:trHeight w:val="189"/>
        </w:trPr>
        <w:tc>
          <w:tcPr>
            <w:tcW w:w="3800" w:type="dxa"/>
            <w:vAlign w:val="bottom"/>
            <w:gridSpan w:val="2"/>
          </w:tcPr>
          <w:p>
            <w:pPr>
              <w:ind w:left="160"/>
              <w:spacing w:after="0" w:line="189" w:lineRule="exact"/>
              <w:rPr>
                <w:sz w:val="20"/>
                <w:szCs w:val="20"/>
                <w:color w:val="auto"/>
              </w:rPr>
            </w:pPr>
            <w:r>
              <w:rPr>
                <w:rFonts w:ascii="Arial" w:cs="Arial" w:eastAsia="Arial" w:hAnsi="Arial"/>
                <w:sz w:val="17"/>
                <w:szCs w:val="17"/>
                <w:color w:val="auto"/>
                <w:w w:val="90"/>
              </w:rPr>
              <w:t>(+) RWA Deferred tax assets generated as a result of</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2"/>
        </w:trPr>
        <w:tc>
          <w:tcPr>
            <w:tcW w:w="3800" w:type="dxa"/>
            <w:vAlign w:val="bottom"/>
            <w:gridSpan w:val="2"/>
          </w:tcPr>
          <w:p>
            <w:pPr>
              <w:ind w:left="160"/>
              <w:spacing w:after="0"/>
              <w:rPr>
                <w:sz w:val="20"/>
                <w:szCs w:val="20"/>
                <w:color w:val="auto"/>
              </w:rPr>
            </w:pPr>
            <w:r>
              <w:rPr>
                <w:rFonts w:ascii="Arial" w:cs="Arial" w:eastAsia="Arial" w:hAnsi="Arial"/>
                <w:sz w:val="17"/>
                <w:szCs w:val="17"/>
                <w:color w:val="auto"/>
                <w:w w:val="98"/>
              </w:rPr>
              <w:t>temporary differences in income tax, in excess of</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4"/>
        </w:trPr>
        <w:tc>
          <w:tcPr>
            <w:tcW w:w="3800" w:type="dxa"/>
            <w:vAlign w:val="bottom"/>
            <w:gridSpan w:val="2"/>
          </w:tcPr>
          <w:p>
            <w:pPr>
              <w:ind w:left="160"/>
              <w:spacing w:after="0"/>
              <w:rPr>
                <w:sz w:val="20"/>
                <w:szCs w:val="20"/>
                <w:color w:val="auto"/>
              </w:rPr>
            </w:pPr>
            <w:r>
              <w:rPr>
                <w:rFonts w:ascii="Arial" w:cs="Arial" w:eastAsia="Arial" w:hAnsi="Arial"/>
                <w:sz w:val="17"/>
                <w:szCs w:val="17"/>
                <w:color w:val="auto"/>
              </w:rPr>
              <w:t>10% of CET1</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242,065</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226,264</w:t>
            </w:r>
          </w:p>
        </w:tc>
        <w:tc>
          <w:tcPr>
            <w:tcW w:w="8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-6.5%</w:t>
            </w:r>
          </w:p>
        </w:tc>
        <w:tc>
          <w:tcPr>
            <w:tcW w:w="3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r>
      <w:tr>
        <w:trPr>
          <w:trHeight w:val="202"/>
        </w:trPr>
        <w:tc>
          <w:tcPr>
            <w:tcW w:w="3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RWA assets that exceed 10% of CET1 SBS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426,732</w:t>
            </w:r>
          </w:p>
        </w:tc>
        <w:tc>
          <w:tcPr>
            <w:tcW w:w="8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N/A</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r>
      <w:tr>
        <w:trPr>
          <w:trHeight w:val="189"/>
        </w:trPr>
        <w:tc>
          <w:tcPr>
            <w:tcW w:w="3800" w:type="dxa"/>
            <w:vAlign w:val="bottom"/>
            <w:gridSpan w:val="2"/>
          </w:tcPr>
          <w:p>
            <w:pPr>
              <w:ind w:left="160"/>
              <w:spacing w:after="0" w:line="189" w:lineRule="exact"/>
              <w:rPr>
                <w:sz w:val="20"/>
                <w:szCs w:val="20"/>
                <w:color w:val="auto"/>
              </w:rPr>
            </w:pPr>
            <w:r>
              <w:rPr>
                <w:rFonts w:ascii="Arial" w:cs="Arial" w:eastAsia="Arial" w:hAnsi="Arial"/>
                <w:sz w:val="17"/>
                <w:szCs w:val="17"/>
                <w:color w:val="auto"/>
                <w:w w:val="93"/>
              </w:rPr>
              <w:t>(-) RWA difference between excees SBS and Basel</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4"/>
        </w:trPr>
        <w:tc>
          <w:tcPr>
            <w:tcW w:w="3800" w:type="dxa"/>
            <w:vAlign w:val="bottom"/>
            <w:gridSpan w:val="2"/>
          </w:tcPr>
          <w:p>
            <w:pPr>
              <w:ind w:left="160"/>
              <w:spacing w:after="0"/>
              <w:rPr>
                <w:sz w:val="20"/>
                <w:szCs w:val="20"/>
                <w:color w:val="auto"/>
              </w:rPr>
            </w:pPr>
            <w:r>
              <w:rPr>
                <w:rFonts w:ascii="Arial" w:cs="Arial" w:eastAsia="Arial" w:hAnsi="Arial"/>
                <w:sz w:val="17"/>
                <w:szCs w:val="17"/>
                <w:color w:val="auto"/>
              </w:rPr>
              <w:t>methodology</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7,652</w:t>
            </w:r>
          </w:p>
        </w:tc>
        <w:tc>
          <w:tcPr>
            <w:tcW w:w="800" w:type="dxa"/>
            <w:vAlign w:val="bottom"/>
          </w:tcPr>
          <w:p>
            <w:pPr>
              <w:spacing w:after="0"/>
              <w:rPr>
                <w:sz w:val="18"/>
                <w:szCs w:val="18"/>
                <w:color w:val="auto"/>
              </w:rPr>
            </w:pPr>
          </w:p>
        </w:tc>
        <w:tc>
          <w:tcPr>
            <w:tcW w:w="1080" w:type="dxa"/>
            <w:vAlign w:val="bottom"/>
            <w:gridSpan w:val="3"/>
          </w:tcPr>
          <w:p>
            <w:pPr>
              <w:ind w:left="140"/>
              <w:spacing w:after="0"/>
              <w:rPr>
                <w:sz w:val="20"/>
                <w:szCs w:val="20"/>
                <w:color w:val="auto"/>
              </w:rPr>
            </w:pPr>
            <w:r>
              <w:rPr>
                <w:rFonts w:ascii="Arial" w:cs="Arial" w:eastAsia="Arial" w:hAnsi="Arial"/>
                <w:sz w:val="17"/>
                <w:szCs w:val="17"/>
                <w:color w:val="auto"/>
              </w:rPr>
              <w:t>N/A</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Capital ratios</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9"/>
        </w:trPr>
        <w:tc>
          <w:tcPr>
            <w:tcW w:w="380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Regulatory Tier 1 ratio </w:t>
            </w:r>
            <w:r>
              <w:rPr>
                <w:rFonts w:ascii="Arial" w:cs="Arial" w:eastAsia="Arial" w:hAnsi="Arial"/>
                <w:sz w:val="27"/>
                <w:szCs w:val="27"/>
                <w:color w:val="auto"/>
                <w:vertAlign w:val="superscript"/>
              </w:rPr>
              <w:t>(8)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11.92%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17.67%</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14.48%</w:t>
            </w:r>
          </w:p>
        </w:tc>
        <w:tc>
          <w:tcPr>
            <w:tcW w:w="800" w:type="dxa"/>
            <w:vAlign w:val="bottom"/>
          </w:tcPr>
          <w:p>
            <w:pPr>
              <w:spacing w:after="0"/>
              <w:rPr>
                <w:sz w:val="20"/>
                <w:szCs w:val="20"/>
                <w:color w:val="auto"/>
              </w:rPr>
            </w:pPr>
          </w:p>
        </w:tc>
        <w:tc>
          <w:tcPr>
            <w:tcW w:w="1080" w:type="dxa"/>
            <w:vAlign w:val="bottom"/>
            <w:gridSpan w:val="3"/>
          </w:tcPr>
          <w:p>
            <w:pPr>
              <w:ind w:left="120"/>
              <w:spacing w:after="0"/>
              <w:rPr>
                <w:sz w:val="20"/>
                <w:szCs w:val="20"/>
                <w:color w:val="auto"/>
              </w:rPr>
            </w:pPr>
            <w:r>
              <w:rPr>
                <w:rFonts w:ascii="Arial" w:cs="Arial" w:eastAsia="Arial" w:hAnsi="Arial"/>
                <w:sz w:val="17"/>
                <w:szCs w:val="17"/>
                <w:color w:val="auto"/>
              </w:rPr>
              <w:t>-319bps</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256bps</w:t>
            </w:r>
          </w:p>
        </w:tc>
      </w:tr>
      <w:tr>
        <w:trPr>
          <w:trHeight w:val="239"/>
        </w:trPr>
        <w:tc>
          <w:tcPr>
            <w:tcW w:w="380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Common Equity Tier 1 ratio </w:t>
            </w:r>
            <w:r>
              <w:rPr>
                <w:rFonts w:ascii="Arial" w:cs="Arial" w:eastAsia="Arial" w:hAnsi="Arial"/>
                <w:sz w:val="27"/>
                <w:szCs w:val="27"/>
                <w:color w:val="auto"/>
                <w:vertAlign w:val="superscript"/>
              </w:rPr>
              <w:t>(9)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13.28%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17.70%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14.88%</w:t>
            </w:r>
          </w:p>
        </w:tc>
        <w:tc>
          <w:tcPr>
            <w:tcW w:w="8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-282bps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16bps</w:t>
            </w:r>
          </w:p>
        </w:tc>
      </w:tr>
      <w:tr>
        <w:trPr>
          <w:trHeight w:val="239"/>
        </w:trPr>
        <w:tc>
          <w:tcPr>
            <w:tcW w:w="380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BIS ratio </w:t>
            </w:r>
            <w:r>
              <w:rPr>
                <w:rFonts w:ascii="Arial" w:cs="Arial" w:eastAsia="Arial" w:hAnsi="Arial"/>
                <w:sz w:val="27"/>
                <w:szCs w:val="27"/>
                <w:color w:val="auto"/>
                <w:vertAlign w:val="superscript"/>
              </w:rPr>
              <w:t>(10)</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14.02%</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19.82%</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17.83%</w:t>
            </w:r>
          </w:p>
        </w:tc>
        <w:tc>
          <w:tcPr>
            <w:tcW w:w="800" w:type="dxa"/>
            <w:vAlign w:val="bottom"/>
          </w:tcPr>
          <w:p>
            <w:pPr>
              <w:spacing w:after="0"/>
              <w:rPr>
                <w:sz w:val="20"/>
                <w:szCs w:val="20"/>
                <w:color w:val="auto"/>
              </w:rPr>
            </w:pPr>
          </w:p>
        </w:tc>
        <w:tc>
          <w:tcPr>
            <w:tcW w:w="1080" w:type="dxa"/>
            <w:vAlign w:val="bottom"/>
            <w:gridSpan w:val="3"/>
          </w:tcPr>
          <w:p>
            <w:pPr>
              <w:ind w:left="120"/>
              <w:spacing w:after="0"/>
              <w:rPr>
                <w:sz w:val="20"/>
                <w:szCs w:val="20"/>
                <w:color w:val="auto"/>
              </w:rPr>
            </w:pPr>
            <w:r>
              <w:rPr>
                <w:rFonts w:ascii="Arial" w:cs="Arial" w:eastAsia="Arial" w:hAnsi="Arial"/>
                <w:sz w:val="17"/>
                <w:szCs w:val="17"/>
                <w:color w:val="auto"/>
              </w:rPr>
              <w:t>-199bps</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381bps</w:t>
            </w:r>
          </w:p>
        </w:tc>
      </w:tr>
      <w:tr>
        <w:trPr>
          <w:trHeight w:val="202"/>
        </w:trPr>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Risk-weighted assets / Regulatory capital</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5.04</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5.61</w:t>
            </w: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11.2%</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w:t>
            </w:r>
          </w:p>
        </w:tc>
      </w:tr>
    </w:tbl>
    <w:p>
      <w:pPr>
        <w:spacing w:after="0" w:line="189" w:lineRule="exact"/>
        <w:rPr>
          <w:sz w:val="20"/>
          <w:szCs w:val="20"/>
          <w:color w:val="auto"/>
        </w:rPr>
      </w:pPr>
    </w:p>
    <w:p>
      <w:pPr>
        <w:ind w:left="240" w:hanging="239"/>
        <w:spacing w:after="0"/>
        <w:tabs>
          <w:tab w:leader="none" w:pos="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 to 1.25% of total risk-weighted assets.</w:t>
      </w:r>
    </w:p>
    <w:p>
      <w:pPr>
        <w:spacing w:after="0" w:line="18" w:lineRule="exact"/>
        <w:rPr>
          <w:rFonts w:ascii="Arial" w:cs="Arial" w:eastAsia="Arial" w:hAnsi="Arial"/>
          <w:sz w:val="17"/>
          <w:szCs w:val="17"/>
          <w:color w:val="auto"/>
        </w:rPr>
      </w:pPr>
    </w:p>
    <w:p>
      <w:pPr>
        <w:jc w:val="both"/>
        <w:ind w:firstLine="1"/>
        <w:spacing w:after="0" w:line="262" w:lineRule="auto"/>
        <w:tabs>
          <w:tab w:leader="none" w:pos="25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6"/>
          <w:szCs w:val="16"/>
          <w:color w:val="auto"/>
        </w:rPr>
      </w:pPr>
    </w:p>
    <w:p>
      <w:pPr>
        <w:ind w:firstLine="1"/>
        <w:spacing w:after="0" w:line="247" w:lineRule="auto"/>
        <w:tabs>
          <w:tab w:leader="none" w:pos="252"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Regulatory Tier 2 Capital = Subordinated debt + Loan loss reserves + Unrestricted Reserves + (0.5 x Unrealized profit and net income in subsidiaries) - (0.5 x Investment in subsidiaries).</w:t>
      </w:r>
    </w:p>
    <w:p>
      <w:pPr>
        <w:ind w:firstLine="1"/>
        <w:spacing w:after="0" w:line="247" w:lineRule="auto"/>
        <w:tabs>
          <w:tab w:leader="none" w:pos="247" w:val="left"/>
        </w:tabs>
        <w:numPr>
          <w:ilvl w:val="0"/>
          <w:numId w:val="74"/>
        </w:numPr>
        <w:rPr>
          <w:rFonts w:ascii="Arial" w:cs="Arial" w:eastAsia="Arial" w:hAnsi="Arial"/>
          <w:sz w:val="17"/>
          <w:szCs w:val="17"/>
          <w:color w:val="auto"/>
        </w:rPr>
      </w:pPr>
      <w:r>
        <w:rPr>
          <w:rFonts w:ascii="Arial" w:cs="Arial" w:eastAsia="Arial" w:hAnsi="Arial"/>
          <w:sz w:val="17"/>
          <w:szCs w:val="17"/>
          <w:color w:val="auto"/>
        </w:rPr>
        <w:t>Since July 2012, Total Risk-weighted assets = Credit risk-weighted assets * 1.00 + Capital requirement to cover market risk * 10 + Capital requirement to cover operational risk * 10 * 1.00 (since July 2014)</w:t>
      </w:r>
    </w:p>
    <w:p>
      <w:pPr>
        <w:ind w:left="240" w:hanging="239"/>
        <w:spacing w:after="0"/>
        <w:tabs>
          <w:tab w:leader="none" w:pos="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It includes capital requirement to cover price and rate risk.</w:t>
      </w:r>
    </w:p>
    <w:p>
      <w:pPr>
        <w:spacing w:after="0" w:line="6" w:lineRule="exact"/>
        <w:rPr>
          <w:rFonts w:ascii="Arial" w:cs="Arial" w:eastAsia="Arial" w:hAnsi="Arial"/>
          <w:sz w:val="17"/>
          <w:szCs w:val="17"/>
          <w:color w:val="auto"/>
        </w:rPr>
      </w:pPr>
    </w:p>
    <w:p>
      <w:pPr>
        <w:ind w:firstLine="1"/>
        <w:spacing w:after="0" w:line="247" w:lineRule="auto"/>
        <w:tabs>
          <w:tab w:leader="none" w:pos="242"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Common Equity Tier I = Capital + Reserves – 100% of applicable deductions (investment in subsidiaries, goodwill, intangibles and net deferred taxes that rely on future profitability) + retained earnings + unrealized gains.</w:t>
      </w:r>
    </w:p>
    <w:p>
      <w:pPr>
        <w:ind w:firstLine="1"/>
        <w:spacing w:after="0" w:line="247" w:lineRule="auto"/>
        <w:tabs>
          <w:tab w:leader="none" w:pos="2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ind w:left="240" w:hanging="239"/>
        <w:spacing w:after="0"/>
        <w:tabs>
          <w:tab w:leader="none" w:pos="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Regulatory Tier 1 Capital / Total Risk-weighted assets</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Common Equity Tier I / Adjusted Risk-Weighted assets Risk-Weighted Assets</w:t>
      </w:r>
    </w:p>
    <w:p>
      <w:pPr>
        <w:spacing w:after="0" w:line="6" w:lineRule="exact"/>
        <w:rPr>
          <w:rFonts w:ascii="Arial" w:cs="Arial" w:eastAsia="Arial" w:hAnsi="Arial"/>
          <w:sz w:val="17"/>
          <w:szCs w:val="17"/>
          <w:color w:val="auto"/>
        </w:rPr>
      </w:pPr>
    </w:p>
    <w:p>
      <w:pPr>
        <w:ind w:left="320" w:hanging="319"/>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Total Regulatory Capital / Total Risk-weighted assets (legal minimum = 10% since July 2011)</w:t>
      </w:r>
    </w:p>
    <w:p>
      <w:pPr>
        <w:spacing w:after="0" w:line="9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12.6. Mibanco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MIBANCO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S/ thousands, IFRS)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7"/>
                <w:szCs w:val="17"/>
                <w:b w:val="1"/>
                <w:bCs w:val="1"/>
                <w:color w:val="auto"/>
                <w:w w:val="89"/>
              </w:rPr>
              <w:t>As of</w:t>
            </w:r>
          </w:p>
        </w:tc>
        <w:tc>
          <w:tcPr>
            <w:tcW w:w="1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bottom w:val="single" w:sz="8" w:color="auto"/>
            </w:tcBorders>
            <w:gridSpan w:val="5"/>
          </w:tcPr>
          <w:p>
            <w:pPr>
              <w:ind w:left="1040"/>
              <w:spacing w:after="0"/>
              <w:rPr>
                <w:sz w:val="20"/>
                <w:szCs w:val="20"/>
                <w:color w:val="auto"/>
              </w:rPr>
            </w:pPr>
            <w:r>
              <w:rPr>
                <w:rFonts w:ascii="Arial" w:cs="Arial" w:eastAsia="Arial" w:hAnsi="Arial"/>
                <w:sz w:val="17"/>
                <w:szCs w:val="17"/>
                <w:b w:val="1"/>
                <w:bCs w:val="1"/>
                <w:color w:val="auto"/>
              </w:rPr>
              <w:t>% change</w:t>
            </w: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4"/>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4"/>
          </w:tcPr>
          <w:p>
            <w:pPr>
              <w:ind w:left="360"/>
              <w:spacing w:after="0"/>
              <w:rPr>
                <w:sz w:val="20"/>
                <w:szCs w:val="20"/>
                <w:color w:val="auto"/>
              </w:rPr>
            </w:pPr>
            <w:r>
              <w:rPr>
                <w:rFonts w:ascii="Arial" w:cs="Arial" w:eastAsia="Arial" w:hAnsi="Arial"/>
                <w:sz w:val="17"/>
                <w:szCs w:val="17"/>
                <w:b w:val="1"/>
                <w:bCs w:val="1"/>
                <w:color w:val="auto"/>
              </w:rPr>
              <w:t>Mar 20</w:t>
            </w:r>
          </w:p>
        </w:tc>
        <w:tc>
          <w:tcPr>
            <w:tcW w:w="148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87"/>
              </w:rPr>
              <w:t>Dec 20</w:t>
            </w:r>
          </w:p>
        </w:tc>
        <w:tc>
          <w:tcPr>
            <w:tcW w:w="1240" w:type="dxa"/>
            <w:vAlign w:val="bottom"/>
            <w:gridSpan w:val="2"/>
          </w:tcPr>
          <w:p>
            <w:pPr>
              <w:ind w:left="360"/>
              <w:spacing w:after="0"/>
              <w:rPr>
                <w:sz w:val="20"/>
                <w:szCs w:val="20"/>
                <w:color w:val="auto"/>
              </w:rPr>
            </w:pPr>
            <w:r>
              <w:rPr>
                <w:rFonts w:ascii="Arial" w:cs="Arial" w:eastAsia="Arial" w:hAnsi="Arial"/>
                <w:sz w:val="17"/>
                <w:szCs w:val="17"/>
                <w:b w:val="1"/>
                <w:bCs w:val="1"/>
                <w:color w:val="auto"/>
              </w:rPr>
              <w:t>Mar 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gridSpan w:val="5"/>
          </w:tcPr>
          <w:p>
            <w:pPr>
              <w:ind w:left="460"/>
              <w:spacing w:after="0"/>
              <w:rPr>
                <w:sz w:val="20"/>
                <w:szCs w:val="20"/>
                <w:color w:val="auto"/>
              </w:rPr>
            </w:pPr>
            <w:r>
              <w:rPr>
                <w:rFonts w:ascii="Arial" w:cs="Arial" w:eastAsia="Arial" w:hAnsi="Arial"/>
                <w:sz w:val="17"/>
                <w:szCs w:val="17"/>
                <w:b w:val="1"/>
                <w:bCs w:val="1"/>
                <w:color w:val="auto"/>
              </w:rPr>
              <w:t>QoQ</w:t>
            </w:r>
          </w:p>
        </w:tc>
        <w:tc>
          <w:tcPr>
            <w:tcW w:w="9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YoY</w:t>
            </w:r>
          </w:p>
        </w:tc>
        <w:tc>
          <w:tcPr>
            <w:tcW w:w="200" w:type="dxa"/>
            <w:vAlign w:val="bottom"/>
          </w:tcPr>
          <w:p>
            <w:pPr>
              <w:spacing w:after="0"/>
              <w:rPr>
                <w:sz w:val="16"/>
                <w:szCs w:val="16"/>
                <w:color w:val="auto"/>
              </w:rPr>
            </w:pPr>
          </w:p>
        </w:tc>
      </w:tr>
      <w:tr>
        <w:trPr>
          <w:trHeight w:val="194"/>
        </w:trPr>
        <w:tc>
          <w:tcPr>
            <w:tcW w:w="382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Cash and due from banks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919,001</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1,861,011</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1,373,259</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-26.2%</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49.4%</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1,744,788</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1,435,436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1,528,708</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6.5%</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-12.4%</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Total loans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10,732,068</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12,928,787</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12,990,370</w:t>
            </w:r>
          </w:p>
        </w:tc>
        <w:tc>
          <w:tcPr>
            <w:tcW w:w="20" w:type="dxa"/>
            <w:vAlign w:val="bottom"/>
          </w:tcPr>
          <w:p>
            <w:pPr>
              <w:spacing w:after="0"/>
              <w:rPr>
                <w:sz w:val="17"/>
                <w:szCs w:val="17"/>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0.5%</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21.0%</w:t>
            </w:r>
          </w:p>
        </w:tc>
      </w:tr>
      <w:tr>
        <w:trPr>
          <w:trHeight w:val="202"/>
        </w:trPr>
        <w:tc>
          <w:tcPr>
            <w:tcW w:w="3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Current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10,061,078</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11,904,708</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11,724,305</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r>
      <w:tr>
        <w:trPr>
          <w:trHeight w:val="202"/>
        </w:trPr>
        <w:tc>
          <w:tcPr>
            <w:tcW w:w="3820" w:type="dxa"/>
            <w:vAlign w:val="bottom"/>
            <w:gridSpan w:val="2"/>
          </w:tcPr>
          <w:p>
            <w:pPr>
              <w:ind w:left="120"/>
              <w:spacing w:after="0"/>
              <w:rPr>
                <w:sz w:val="20"/>
                <w:szCs w:val="20"/>
                <w:color w:val="auto"/>
              </w:rPr>
            </w:pPr>
            <w:r>
              <w:rPr>
                <w:rFonts w:ascii="Arial" w:cs="Arial" w:eastAsia="Arial" w:hAnsi="Arial"/>
                <w:sz w:val="17"/>
                <w:szCs w:val="17"/>
                <w:color w:val="auto"/>
              </w:rPr>
              <w:t>Internal overdue loans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574,899</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913,273</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1,187,277</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30.0%</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106.5%</w:t>
            </w:r>
          </w:p>
        </w:tc>
      </w:tr>
      <w:tr>
        <w:trPr>
          <w:trHeight w:val="202"/>
        </w:trPr>
        <w:tc>
          <w:tcPr>
            <w:tcW w:w="3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Refinanced</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96,091</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110,806</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78,789</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-28.9%</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-18.0%</w:t>
            </w:r>
          </w:p>
        </w:tc>
      </w:tr>
      <w:tr>
        <w:trPr>
          <w:trHeight w:val="202"/>
        </w:trPr>
        <w:tc>
          <w:tcPr>
            <w:tcW w:w="3820" w:type="dxa"/>
            <w:vAlign w:val="bottom"/>
            <w:gridSpan w:val="2"/>
          </w:tcPr>
          <w:p>
            <w:pPr>
              <w:ind w:left="120"/>
              <w:spacing w:after="0"/>
              <w:rPr>
                <w:sz w:val="20"/>
                <w:szCs w:val="20"/>
                <w:color w:val="auto"/>
              </w:rPr>
            </w:pPr>
            <w:r>
              <w:rPr>
                <w:rFonts w:ascii="Arial" w:cs="Arial" w:eastAsia="Arial" w:hAnsi="Arial"/>
                <w:sz w:val="17"/>
                <w:szCs w:val="17"/>
                <w:color w:val="auto"/>
              </w:rPr>
              <w:t>Allowance for loan losses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-1,051,741</w:t>
            </w:r>
          </w:p>
        </w:tc>
        <w:tc>
          <w:tcPr>
            <w:tcW w:w="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-1,821,546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-1,862,739</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2.3%</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77.1%</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loans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9,680,327</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11,107,241</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11,127,631</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0.2%</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15.0%</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166,018</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165,559</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151,052</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-8.8%</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-9.0%</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1,018,840</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1,080,247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1,120,807</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r>
      <w:tr>
        <w:trPr>
          <w:trHeight w:val="202"/>
        </w:trPr>
        <w:tc>
          <w:tcPr>
            <w:tcW w:w="3820" w:type="dxa"/>
            <w:vAlign w:val="bottom"/>
            <w:gridSpan w:val="2"/>
          </w:tcPr>
          <w:p>
            <w:pPr>
              <w:ind w:left="1380"/>
              <w:spacing w:after="0"/>
              <w:rPr>
                <w:sz w:val="20"/>
                <w:szCs w:val="20"/>
                <w:color w:val="auto"/>
              </w:rPr>
            </w:pPr>
            <w:r>
              <w:rPr>
                <w:rFonts w:ascii="Arial" w:cs="Arial" w:eastAsia="Arial" w:hAnsi="Arial"/>
                <w:sz w:val="17"/>
                <w:szCs w:val="17"/>
                <w:b w:val="1"/>
                <w:bCs w:val="1"/>
                <w:color w:val="auto"/>
              </w:rPr>
              <w:t>Total assets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13,528,974</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15,649,493</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15,301,458</w:t>
            </w:r>
          </w:p>
        </w:tc>
        <w:tc>
          <w:tcPr>
            <w:tcW w:w="20" w:type="dxa"/>
            <w:vAlign w:val="bottom"/>
          </w:tcPr>
          <w:p>
            <w:pPr>
              <w:spacing w:after="0"/>
              <w:rPr>
                <w:sz w:val="17"/>
                <w:szCs w:val="17"/>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-2.2%</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13.1%</w:t>
            </w:r>
          </w:p>
        </w:tc>
      </w:tr>
      <w:tr>
        <w:trPr>
          <w:trHeight w:val="185"/>
        </w:trPr>
        <w:tc>
          <w:tcPr>
            <w:tcW w:w="3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LIABILITIES AND NET SHAREHOLDERS’</w:t>
            </w: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8"/>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Deposits and obligations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8,366,714</w:t>
            </w:r>
          </w:p>
        </w:tc>
        <w:tc>
          <w:tcPr>
            <w:tcW w:w="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8,661,124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8,371,900</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0.1%</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Due to banks and correspondents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2,235,744</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1,362,275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1,423,122</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-36.3%</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Bonds and subordinated debt</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135,262</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132,687</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290,524</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119.0%</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114.8%</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670,371</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3,383,480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3,096,616</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361.9%</w:t>
            </w:r>
          </w:p>
        </w:tc>
      </w:tr>
      <w:tr>
        <w:trPr>
          <w:trHeight w:val="202"/>
        </w:trPr>
        <w:tc>
          <w:tcPr>
            <w:tcW w:w="3820" w:type="dxa"/>
            <w:vAlign w:val="bottom"/>
            <w:gridSpan w:val="2"/>
          </w:tcPr>
          <w:p>
            <w:pPr>
              <w:ind w:left="1300"/>
              <w:spacing w:after="0"/>
              <w:rPr>
                <w:sz w:val="20"/>
                <w:szCs w:val="20"/>
                <w:color w:val="auto"/>
              </w:rPr>
            </w:pPr>
            <w:r>
              <w:rPr>
                <w:rFonts w:ascii="Arial" w:cs="Arial" w:eastAsia="Arial" w:hAnsi="Arial"/>
                <w:sz w:val="17"/>
                <w:szCs w:val="17"/>
                <w:b w:val="1"/>
                <w:bCs w:val="1"/>
                <w:color w:val="auto"/>
              </w:rPr>
              <w:t>Total liabilities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11,408,091</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13,539,566</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13,182,162</w:t>
            </w:r>
          </w:p>
        </w:tc>
        <w:tc>
          <w:tcPr>
            <w:tcW w:w="20" w:type="dxa"/>
            <w:vAlign w:val="bottom"/>
          </w:tcPr>
          <w:p>
            <w:pPr>
              <w:spacing w:after="0"/>
              <w:rPr>
                <w:sz w:val="17"/>
                <w:szCs w:val="17"/>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-2.6%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15.6%</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equity</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2,120,883</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2,109,927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2,119,295</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0.4%</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-0.1%</w:t>
            </w:r>
          </w:p>
        </w:tc>
      </w:tr>
      <w:tr>
        <w:trPr>
          <w:trHeight w:val="185"/>
        </w:trPr>
        <w:tc>
          <w:tcPr>
            <w:tcW w:w="382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TOTAL LIABILITIES AND NET</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8"/>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SHAREHOLDERS’ EQUITY</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13,528,974</w:t>
            </w:r>
          </w:p>
        </w:tc>
        <w:tc>
          <w:tcPr>
            <w:tcW w:w="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15,649,493</w:t>
            </w:r>
          </w:p>
        </w:tc>
        <w:tc>
          <w:tcPr>
            <w:tcW w:w="2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15,301,458</w:t>
            </w:r>
          </w:p>
        </w:tc>
        <w:tc>
          <w:tcPr>
            <w:tcW w:w="2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-2.2%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13.1%</w:t>
            </w:r>
          </w:p>
        </w:tc>
      </w:tr>
      <w:tr>
        <w:trPr>
          <w:trHeight w:val="441"/>
        </w:trPr>
        <w:tc>
          <w:tcPr>
            <w:tcW w:w="3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300"/>
              <w:spacing w:after="0"/>
              <w:rPr>
                <w:sz w:val="20"/>
                <w:szCs w:val="20"/>
                <w:color w:val="auto"/>
              </w:rPr>
            </w:pPr>
            <w:r>
              <w:rPr>
                <w:rFonts w:ascii="Arial" w:cs="Arial" w:eastAsia="Arial" w:hAnsi="Arial"/>
                <w:sz w:val="17"/>
                <w:szCs w:val="17"/>
                <w:b w:val="1"/>
                <w:bCs w:val="1"/>
                <w:color w:val="auto"/>
              </w:rPr>
              <w:t>Quarter</w:t>
            </w: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1020"/>
              <w:spacing w:after="0"/>
              <w:rPr>
                <w:sz w:val="20"/>
                <w:szCs w:val="20"/>
                <w:color w:val="auto"/>
              </w:rPr>
            </w:pPr>
            <w:r>
              <w:rPr>
                <w:rFonts w:ascii="Arial" w:cs="Arial" w:eastAsia="Arial" w:hAnsi="Arial"/>
                <w:sz w:val="17"/>
                <w:szCs w:val="17"/>
                <w:b w:val="1"/>
                <w:bCs w:val="1"/>
                <w:color w:val="auto"/>
              </w:rPr>
              <w:t>% change</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7"/>
        </w:trPr>
        <w:tc>
          <w:tcPr>
            <w:tcW w:w="38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1Q20</w:t>
            </w:r>
          </w:p>
        </w:tc>
        <w:tc>
          <w:tcPr>
            <w:tcW w:w="26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4Q20</w:t>
            </w:r>
          </w:p>
        </w:tc>
        <w:tc>
          <w:tcPr>
            <w:tcW w:w="26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1Q21</w:t>
            </w:r>
          </w:p>
        </w:tc>
        <w:tc>
          <w:tcPr>
            <w:tcW w:w="2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rPr>
              <w:t>QoQ</w:t>
            </w:r>
          </w:p>
        </w:tc>
        <w:tc>
          <w:tcPr>
            <w:tcW w:w="340" w:type="dxa"/>
            <w:vAlign w:val="bottom"/>
            <w:tcBorders>
              <w:bottom w:val="single" w:sz="8" w:color="CCEEFF"/>
            </w:tcBorders>
            <w:gridSpan w:val="2"/>
          </w:tcPr>
          <w:p>
            <w:pPr>
              <w:spacing w:after="0"/>
              <w:rPr>
                <w:sz w:val="17"/>
                <w:szCs w:val="17"/>
                <w:color w:val="auto"/>
              </w:rPr>
            </w:pPr>
          </w:p>
        </w:tc>
        <w:tc>
          <w:tcPr>
            <w:tcW w:w="360" w:type="dxa"/>
            <w:vAlign w:val="bottom"/>
            <w:tcBorders>
              <w:bottom w:val="single" w:sz="8" w:color="auto"/>
            </w:tcBorders>
            <w:gridSpan w:val="2"/>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YoY</w:t>
            </w:r>
          </w:p>
        </w:tc>
        <w:tc>
          <w:tcPr>
            <w:tcW w:w="240" w:type="dxa"/>
            <w:vAlign w:val="bottom"/>
            <w:tcBorders>
              <w:bottom w:val="single" w:sz="8" w:color="CCEEFF"/>
            </w:tcBorders>
            <w:gridSpan w:val="2"/>
          </w:tcPr>
          <w:p>
            <w:pPr>
              <w:spacing w:after="0"/>
              <w:rPr>
                <w:sz w:val="17"/>
                <w:szCs w:val="17"/>
                <w:color w:val="auto"/>
              </w:rPr>
            </w:pPr>
          </w:p>
        </w:tc>
      </w:tr>
      <w:tr>
        <w:trPr>
          <w:trHeight w:val="194"/>
        </w:trPr>
        <w:tc>
          <w:tcPr>
            <w:tcW w:w="3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interest income</w:t>
            </w: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485,079</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386,545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403,407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4.4%</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-16.8%</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Provision for loan losses, net of recoveries</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-179,839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-117,946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-138,718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7"/>
                <w:szCs w:val="17"/>
                <w:color w:val="auto"/>
              </w:rPr>
              <w:t>17.6%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-22.9%</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interest income after provisions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305,240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268,599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264,689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-1.5%</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-13.3%</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Non-financial income</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40,838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59,491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28,339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7"/>
                <w:szCs w:val="17"/>
                <w:color w:val="auto"/>
              </w:rPr>
              <w:t>-52.4%</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-30.6%</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-294,967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-277,169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-268,751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-8.9%</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Translation result</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0.0%</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-27,942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-10,222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-63.4%</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-39.9%</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Net income</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34,095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22,979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14,055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-38.8%</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-58.8%</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Efficiency ratio</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55.6%</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55.7%</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63.9%</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820bps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830bps</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ROAE</w:t>
            </w: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7"/>
                <w:szCs w:val="17"/>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7"/>
                <w:szCs w:val="17"/>
                <w:color w:val="auto"/>
              </w:rPr>
              <w:t>-210bps</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-380bps</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ROAE incl. Goow dill</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6.1%</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4.5%</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-200bps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-360bps</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L/D ratio</w:t>
            </w: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128.3%</w:t>
            </w:r>
          </w:p>
        </w:tc>
        <w:tc>
          <w:tcPr>
            <w:tcW w:w="20" w:type="dxa"/>
            <w:vAlign w:val="bottom"/>
          </w:tcPr>
          <w:p>
            <w:pPr>
              <w:spacing w:after="0"/>
              <w:rPr>
                <w:sz w:val="17"/>
                <w:szCs w:val="17"/>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149.3%</w:t>
            </w:r>
          </w:p>
        </w:tc>
        <w:tc>
          <w:tcPr>
            <w:tcW w:w="2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155.2%</w:t>
            </w:r>
          </w:p>
        </w:tc>
        <w:tc>
          <w:tcPr>
            <w:tcW w:w="20" w:type="dxa"/>
            <w:vAlign w:val="bottom"/>
          </w:tcPr>
          <w:p>
            <w:pPr>
              <w:spacing w:after="0"/>
              <w:rPr>
                <w:sz w:val="17"/>
                <w:szCs w:val="17"/>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7"/>
                <w:szCs w:val="17"/>
                <w:color w:val="auto"/>
              </w:rPr>
              <w:t>590bps</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2690bps</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IOL ratio</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5.4%</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7.1%</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200bps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370bps</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NPL ratio</w:t>
            </w: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7"/>
                <w:szCs w:val="17"/>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9.7%</w:t>
            </w:r>
          </w:p>
        </w:tc>
        <w:tc>
          <w:tcPr>
            <w:tcW w:w="20" w:type="dxa"/>
            <w:vAlign w:val="bottom"/>
          </w:tcPr>
          <w:p>
            <w:pPr>
              <w:spacing w:after="0"/>
              <w:rPr>
                <w:sz w:val="17"/>
                <w:szCs w:val="17"/>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7"/>
                <w:szCs w:val="17"/>
                <w:color w:val="auto"/>
              </w:rPr>
              <w:t>180bps</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340bps</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Coverage of IOLs</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182.9%</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199.5%</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156.9%</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-4260bps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-2600bps</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Coverage of NPLs</w:t>
            </w: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156.7%</w:t>
            </w:r>
          </w:p>
        </w:tc>
        <w:tc>
          <w:tcPr>
            <w:tcW w:w="20" w:type="dxa"/>
            <w:vAlign w:val="bottom"/>
          </w:tcPr>
          <w:p>
            <w:pPr>
              <w:spacing w:after="0"/>
              <w:rPr>
                <w:sz w:val="17"/>
                <w:szCs w:val="17"/>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177.9%</w:t>
            </w:r>
          </w:p>
        </w:tc>
        <w:tc>
          <w:tcPr>
            <w:tcW w:w="2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147.1%</w:t>
            </w:r>
          </w:p>
        </w:tc>
        <w:tc>
          <w:tcPr>
            <w:tcW w:w="20" w:type="dxa"/>
            <w:vAlign w:val="bottom"/>
          </w:tcPr>
          <w:p>
            <w:pPr>
              <w:spacing w:after="0"/>
              <w:rPr>
                <w:sz w:val="17"/>
                <w:szCs w:val="17"/>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7"/>
                <w:szCs w:val="17"/>
                <w:color w:val="auto"/>
              </w:rPr>
              <w:t>-3080bps</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-960bps</w:t>
            </w:r>
          </w:p>
        </w:tc>
      </w:tr>
      <w:tr>
        <w:trPr>
          <w:trHeight w:val="239"/>
        </w:trPr>
        <w:tc>
          <w:tcPr>
            <w:tcW w:w="382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Branches </w:t>
            </w:r>
            <w:r>
              <w:rPr>
                <w:rFonts w:ascii="Arial" w:cs="Arial" w:eastAsia="Arial" w:hAnsi="Arial"/>
                <w:sz w:val="27"/>
                <w:szCs w:val="27"/>
                <w:color w:val="auto"/>
                <w:vertAlign w:val="superscript"/>
              </w:rPr>
              <w:t>(1)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323</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317</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0"/>
                <w:szCs w:val="20"/>
                <w:color w:val="auto"/>
              </w:rPr>
            </w:pPr>
          </w:p>
        </w:tc>
      </w:tr>
      <w:tr>
        <w:trPr>
          <w:trHeight w:val="214"/>
        </w:trPr>
        <w:tc>
          <w:tcPr>
            <w:tcW w:w="3820" w:type="dxa"/>
            <w:vAlign w:val="bottom"/>
            <w:gridSpan w:val="2"/>
          </w:tcPr>
          <w:p>
            <w:pPr>
              <w:spacing w:after="0"/>
              <w:rPr>
                <w:sz w:val="20"/>
                <w:szCs w:val="20"/>
                <w:color w:val="auto"/>
              </w:rPr>
            </w:pPr>
            <w:r>
              <w:rPr>
                <w:rFonts w:ascii="Arial" w:cs="Arial" w:eastAsia="Arial" w:hAnsi="Arial"/>
                <w:sz w:val="17"/>
                <w:szCs w:val="17"/>
                <w:color w:val="auto"/>
              </w:rPr>
              <w:t>Employees</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11,656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10,781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10,483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-298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-1,173</w:t>
            </w:r>
          </w:p>
        </w:tc>
        <w:tc>
          <w:tcPr>
            <w:tcW w:w="200" w:type="dxa"/>
            <w:vAlign w:val="bottom"/>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(1) Includes Banco de la Nacion branches, which in March-20 were 35 and in December-20 and January-21 were 34.</w:t>
      </w:r>
    </w:p>
    <w:p>
      <w:pPr>
        <w:spacing w:after="0" w:line="10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8"/>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12.7. BCP Bolivia</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87"/>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7"/>
          </w:tcPr>
          <w:p>
            <w:pPr>
              <w:jc w:val="center"/>
              <w:ind w:right="560"/>
              <w:spacing w:after="0"/>
              <w:rPr>
                <w:sz w:val="20"/>
                <w:szCs w:val="20"/>
                <w:color w:val="auto"/>
              </w:rPr>
            </w:pPr>
            <w:r>
              <w:rPr>
                <w:rFonts w:ascii="Arial" w:cs="Arial" w:eastAsia="Arial" w:hAnsi="Arial"/>
                <w:sz w:val="17"/>
                <w:szCs w:val="17"/>
                <w:b w:val="1"/>
                <w:bCs w:val="1"/>
                <w:color w:val="auto"/>
                <w:w w:val="98"/>
              </w:rPr>
              <w:t>BCP BOLIVIA</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gridSpan w:val="8"/>
          </w:tcPr>
          <w:p>
            <w:pPr>
              <w:jc w:val="center"/>
              <w:ind w:left="556"/>
              <w:spacing w:after="0"/>
              <w:rPr>
                <w:sz w:val="20"/>
                <w:szCs w:val="20"/>
                <w:color w:val="auto"/>
              </w:rPr>
            </w:pPr>
            <w:r>
              <w:rPr>
                <w:rFonts w:ascii="Arial" w:cs="Arial" w:eastAsia="Arial" w:hAnsi="Arial"/>
                <w:sz w:val="17"/>
                <w:szCs w:val="17"/>
                <w:b w:val="1"/>
                <w:bCs w:val="1"/>
                <w:color w:val="auto"/>
                <w:w w:val="90"/>
              </w:rPr>
              <w:t>(In S/ thousands, IFRS)</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03"/>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7"/>
                <w:szCs w:val="17"/>
                <w:b w:val="1"/>
                <w:bCs w:val="1"/>
                <w:color w:val="auto"/>
                <w:w w:val="89"/>
              </w:rPr>
              <w:t>As of</w:t>
            </w: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bottom w:val="single" w:sz="8" w:color="auto"/>
            </w:tcBorders>
            <w:gridSpan w:val="5"/>
          </w:tcPr>
          <w:p>
            <w:pPr>
              <w:ind w:left="1040"/>
              <w:spacing w:after="0"/>
              <w:rPr>
                <w:sz w:val="20"/>
                <w:szCs w:val="20"/>
                <w:color w:val="auto"/>
              </w:rPr>
            </w:pPr>
            <w:r>
              <w:rPr>
                <w:rFonts w:ascii="Arial" w:cs="Arial" w:eastAsia="Arial" w:hAnsi="Arial"/>
                <w:sz w:val="17"/>
                <w:szCs w:val="17"/>
                <w:b w:val="1"/>
                <w:bCs w:val="1"/>
                <w:color w:val="auto"/>
              </w:rPr>
              <w:t>% change</w:t>
            </w: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4"/>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4"/>
          </w:tcPr>
          <w:p>
            <w:pPr>
              <w:ind w:left="360"/>
              <w:spacing w:after="0"/>
              <w:rPr>
                <w:sz w:val="20"/>
                <w:szCs w:val="20"/>
                <w:color w:val="auto"/>
              </w:rPr>
            </w:pPr>
            <w:r>
              <w:rPr>
                <w:rFonts w:ascii="Arial" w:cs="Arial" w:eastAsia="Arial" w:hAnsi="Arial"/>
                <w:sz w:val="17"/>
                <w:szCs w:val="17"/>
                <w:b w:val="1"/>
                <w:bCs w:val="1"/>
                <w:color w:val="auto"/>
              </w:rPr>
              <w:t>Mar 20</w:t>
            </w:r>
          </w:p>
        </w:tc>
        <w:tc>
          <w:tcPr>
            <w:tcW w:w="148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87"/>
              </w:rPr>
              <w:t>Dec 20</w:t>
            </w:r>
          </w:p>
        </w:tc>
        <w:tc>
          <w:tcPr>
            <w:tcW w:w="1240" w:type="dxa"/>
            <w:vAlign w:val="bottom"/>
            <w:gridSpan w:val="2"/>
          </w:tcPr>
          <w:p>
            <w:pPr>
              <w:ind w:left="360"/>
              <w:spacing w:after="0"/>
              <w:rPr>
                <w:sz w:val="20"/>
                <w:szCs w:val="20"/>
                <w:color w:val="auto"/>
              </w:rPr>
            </w:pPr>
            <w:r>
              <w:rPr>
                <w:rFonts w:ascii="Arial" w:cs="Arial" w:eastAsia="Arial" w:hAnsi="Arial"/>
                <w:sz w:val="17"/>
                <w:szCs w:val="17"/>
                <w:b w:val="1"/>
                <w:bCs w:val="1"/>
                <w:color w:val="auto"/>
              </w:rPr>
              <w:t>Mar 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gridSpan w:val="5"/>
          </w:tcPr>
          <w:p>
            <w:pPr>
              <w:ind w:left="460"/>
              <w:spacing w:after="0"/>
              <w:rPr>
                <w:sz w:val="20"/>
                <w:szCs w:val="20"/>
                <w:color w:val="auto"/>
              </w:rPr>
            </w:pPr>
            <w:r>
              <w:rPr>
                <w:rFonts w:ascii="Arial" w:cs="Arial" w:eastAsia="Arial" w:hAnsi="Arial"/>
                <w:sz w:val="17"/>
                <w:szCs w:val="17"/>
                <w:b w:val="1"/>
                <w:bCs w:val="1"/>
                <w:color w:val="auto"/>
              </w:rPr>
              <w:t>QoQ</w:t>
            </w:r>
          </w:p>
        </w:tc>
        <w:tc>
          <w:tcPr>
            <w:tcW w:w="9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YoY</w:t>
            </w:r>
          </w:p>
        </w:tc>
        <w:tc>
          <w:tcPr>
            <w:tcW w:w="200" w:type="dxa"/>
            <w:vAlign w:val="bottom"/>
          </w:tcPr>
          <w:p>
            <w:pPr>
              <w:spacing w:after="0"/>
              <w:rPr>
                <w:sz w:val="16"/>
                <w:szCs w:val="16"/>
                <w:color w:val="auto"/>
              </w:rPr>
            </w:pPr>
          </w:p>
        </w:tc>
      </w:tr>
      <w:tr>
        <w:trPr>
          <w:trHeight w:val="194"/>
        </w:trPr>
        <w:tc>
          <w:tcPr>
            <w:tcW w:w="382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Cash and due from banks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2,080,341</w:t>
            </w:r>
          </w:p>
        </w:tc>
        <w:tc>
          <w:tcPr>
            <w:tcW w:w="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2,325,205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2,124,586</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-8.6%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1,406,483</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1,483,229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1,568,083</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5.7%</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11.5%</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Total loans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7,945,254</w:t>
            </w:r>
          </w:p>
        </w:tc>
        <w:tc>
          <w:tcPr>
            <w:tcW w:w="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b w:val="1"/>
                <w:bCs w:val="1"/>
                <w:color w:val="auto"/>
              </w:rPr>
              <w:t>8,838,281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8,822,909</w:t>
            </w:r>
          </w:p>
        </w:tc>
        <w:tc>
          <w:tcPr>
            <w:tcW w:w="20" w:type="dxa"/>
            <w:vAlign w:val="bottom"/>
          </w:tcPr>
          <w:p>
            <w:pPr>
              <w:spacing w:after="0"/>
              <w:rPr>
                <w:sz w:val="17"/>
                <w:szCs w:val="17"/>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-0.2%</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11.0%</w:t>
            </w:r>
          </w:p>
        </w:tc>
      </w:tr>
      <w:tr>
        <w:trPr>
          <w:trHeight w:val="202"/>
        </w:trPr>
        <w:tc>
          <w:tcPr>
            <w:tcW w:w="3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Current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7,775,930</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8,703,786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8,435,719</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8.5%</w:t>
            </w:r>
          </w:p>
        </w:tc>
      </w:tr>
      <w:tr>
        <w:trPr>
          <w:trHeight w:val="202"/>
        </w:trPr>
        <w:tc>
          <w:tcPr>
            <w:tcW w:w="3820" w:type="dxa"/>
            <w:vAlign w:val="bottom"/>
            <w:gridSpan w:val="2"/>
          </w:tcPr>
          <w:p>
            <w:pPr>
              <w:ind w:left="160"/>
              <w:spacing w:after="0"/>
              <w:rPr>
                <w:sz w:val="20"/>
                <w:szCs w:val="20"/>
                <w:color w:val="auto"/>
              </w:rPr>
            </w:pPr>
            <w:r>
              <w:rPr>
                <w:rFonts w:ascii="Arial" w:cs="Arial" w:eastAsia="Arial" w:hAnsi="Arial"/>
                <w:sz w:val="17"/>
                <w:szCs w:val="17"/>
                <w:color w:val="auto"/>
              </w:rPr>
              <w:t>Internal overdue loans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147,421</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89,481</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188,432</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110.6%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27.8%</w:t>
            </w:r>
          </w:p>
        </w:tc>
      </w:tr>
      <w:tr>
        <w:trPr>
          <w:trHeight w:val="202"/>
        </w:trPr>
        <w:tc>
          <w:tcPr>
            <w:tcW w:w="3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Refinanced</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21,903</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45,014</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198,758</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341.5%</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r>
      <w:tr>
        <w:trPr>
          <w:trHeight w:val="202"/>
        </w:trPr>
        <w:tc>
          <w:tcPr>
            <w:tcW w:w="3820" w:type="dxa"/>
            <w:vAlign w:val="bottom"/>
            <w:gridSpan w:val="2"/>
          </w:tcPr>
          <w:p>
            <w:pPr>
              <w:ind w:left="160"/>
              <w:spacing w:after="0"/>
              <w:rPr>
                <w:sz w:val="20"/>
                <w:szCs w:val="20"/>
                <w:color w:val="auto"/>
              </w:rPr>
            </w:pPr>
            <w:r>
              <w:rPr>
                <w:rFonts w:ascii="Arial" w:cs="Arial" w:eastAsia="Arial" w:hAnsi="Arial"/>
                <w:sz w:val="17"/>
                <w:szCs w:val="17"/>
                <w:color w:val="auto"/>
              </w:rPr>
              <w:t>Allowance for loan losses</w:t>
            </w:r>
          </w:p>
        </w:tc>
        <w:tc>
          <w:tcPr>
            <w:tcW w:w="1460" w:type="dxa"/>
            <w:vAlign w:val="bottom"/>
            <w:gridSpan w:val="3"/>
          </w:tcPr>
          <w:p>
            <w:pPr>
              <w:jc w:val="right"/>
              <w:ind w:right="140"/>
              <w:spacing w:after="0"/>
              <w:rPr>
                <w:sz w:val="20"/>
                <w:szCs w:val="20"/>
                <w:color w:val="auto"/>
              </w:rPr>
            </w:pPr>
            <w:r>
              <w:rPr>
                <w:rFonts w:ascii="Arial" w:cs="Arial" w:eastAsia="Arial" w:hAnsi="Arial"/>
                <w:sz w:val="17"/>
                <w:szCs w:val="17"/>
                <w:color w:val="auto"/>
              </w:rPr>
              <w:t>(263,746)</w:t>
            </w:r>
          </w:p>
        </w:tc>
        <w:tc>
          <w:tcPr>
            <w:tcW w:w="20" w:type="dxa"/>
            <w:vAlign w:val="bottom"/>
          </w:tcPr>
          <w:p>
            <w:pPr>
              <w:spacing w:after="0"/>
              <w:rPr>
                <w:sz w:val="17"/>
                <w:szCs w:val="17"/>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7"/>
                <w:szCs w:val="17"/>
                <w:color w:val="auto"/>
              </w:rPr>
              <w:t>(614,337)</w:t>
            </w:r>
          </w:p>
        </w:tc>
        <w:tc>
          <w:tcPr>
            <w:tcW w:w="20" w:type="dxa"/>
            <w:vAlign w:val="bottom"/>
          </w:tcPr>
          <w:p>
            <w:pPr>
              <w:spacing w:after="0"/>
              <w:rPr>
                <w:sz w:val="17"/>
                <w:szCs w:val="17"/>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(487,161)</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-20.7%</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84.7%</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loans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7,681,508</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8,223,944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8,335,748</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1.4%</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8.5%</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51,639</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54,898</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55,179</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6.9%</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138,720</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385,144</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386,073</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178.3%</w:t>
            </w:r>
          </w:p>
        </w:tc>
      </w:tr>
      <w:tr>
        <w:trPr>
          <w:trHeight w:val="202"/>
        </w:trPr>
        <w:tc>
          <w:tcPr>
            <w:tcW w:w="3820" w:type="dxa"/>
            <w:vAlign w:val="bottom"/>
            <w:gridSpan w:val="2"/>
          </w:tcPr>
          <w:p>
            <w:pPr>
              <w:ind w:left="1480"/>
              <w:spacing w:after="0"/>
              <w:rPr>
                <w:sz w:val="20"/>
                <w:szCs w:val="20"/>
                <w:color w:val="auto"/>
              </w:rPr>
            </w:pPr>
            <w:r>
              <w:rPr>
                <w:rFonts w:ascii="Arial" w:cs="Arial" w:eastAsia="Arial" w:hAnsi="Arial"/>
                <w:sz w:val="17"/>
                <w:szCs w:val="17"/>
                <w:b w:val="1"/>
                <w:bCs w:val="1"/>
                <w:color w:val="auto"/>
              </w:rPr>
              <w:t>Total assets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11,358,690</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12,472,420</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12,469,669</w:t>
            </w:r>
          </w:p>
        </w:tc>
        <w:tc>
          <w:tcPr>
            <w:tcW w:w="20" w:type="dxa"/>
            <w:vAlign w:val="bottom"/>
          </w:tcPr>
          <w:p>
            <w:pPr>
              <w:spacing w:after="0"/>
              <w:rPr>
                <w:sz w:val="17"/>
                <w:szCs w:val="17"/>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0.0%</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9.8%</w:t>
            </w:r>
          </w:p>
        </w:tc>
      </w:tr>
      <w:tr>
        <w:trPr>
          <w:trHeight w:val="185"/>
        </w:trPr>
        <w:tc>
          <w:tcPr>
            <w:tcW w:w="3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LIABILITIES AND NET SHAREHOLDERS’</w:t>
            </w: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8"/>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Deposits and obligations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9,769,903</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10,722,703</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10,691,224</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-0.3%</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9.4%</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Due to banks and correspondents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55,691</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78,187</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89,702</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14.7%</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61.1%</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Bonds and subordinated debt</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106,703</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168,936</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173,208</w:t>
            </w:r>
          </w:p>
        </w:tc>
        <w:tc>
          <w:tcPr>
            <w:tcW w:w="20" w:type="dxa"/>
            <w:vAlign w:val="bottom"/>
          </w:tcPr>
          <w:p>
            <w:pPr>
              <w:spacing w:after="0"/>
              <w:rPr>
                <w:sz w:val="17"/>
                <w:szCs w:val="17"/>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62.3%</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716,332</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811,553</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795,200</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11.0%</w:t>
            </w:r>
          </w:p>
        </w:tc>
      </w:tr>
      <w:tr>
        <w:trPr>
          <w:trHeight w:val="202"/>
        </w:trPr>
        <w:tc>
          <w:tcPr>
            <w:tcW w:w="3820" w:type="dxa"/>
            <w:vAlign w:val="bottom"/>
            <w:gridSpan w:val="2"/>
          </w:tcPr>
          <w:p>
            <w:pPr>
              <w:ind w:left="1380"/>
              <w:spacing w:after="0"/>
              <w:rPr>
                <w:sz w:val="20"/>
                <w:szCs w:val="20"/>
                <w:color w:val="auto"/>
              </w:rPr>
            </w:pPr>
            <w:r>
              <w:rPr>
                <w:rFonts w:ascii="Arial" w:cs="Arial" w:eastAsia="Arial" w:hAnsi="Arial"/>
                <w:sz w:val="17"/>
                <w:szCs w:val="17"/>
                <w:b w:val="1"/>
                <w:bCs w:val="1"/>
                <w:color w:val="auto"/>
              </w:rPr>
              <w:t>Total liabilities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10,648,630</w:t>
            </w:r>
          </w:p>
        </w:tc>
        <w:tc>
          <w:tcPr>
            <w:tcW w:w="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11,781,380</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11,749,334</w:t>
            </w:r>
          </w:p>
        </w:tc>
        <w:tc>
          <w:tcPr>
            <w:tcW w:w="20" w:type="dxa"/>
            <w:vAlign w:val="bottom"/>
          </w:tcPr>
          <w:p>
            <w:pPr>
              <w:spacing w:after="0"/>
              <w:rPr>
                <w:sz w:val="17"/>
                <w:szCs w:val="17"/>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-0.3%</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10.3%</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equity</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710,060</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691,040</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720,335</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4.2%</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1.4%</w:t>
            </w:r>
          </w:p>
        </w:tc>
      </w:tr>
      <w:tr>
        <w:trPr>
          <w:trHeight w:val="185"/>
        </w:trPr>
        <w:tc>
          <w:tcPr>
            <w:tcW w:w="382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TOTAL LIABILITIES AND NET</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8"/>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SHAREHOLDERS’ EQUITY</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11,358,690</w:t>
            </w:r>
          </w:p>
        </w:tc>
        <w:tc>
          <w:tcPr>
            <w:tcW w:w="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12,472,420</w:t>
            </w:r>
          </w:p>
        </w:tc>
        <w:tc>
          <w:tcPr>
            <w:tcW w:w="2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12,469,669</w:t>
            </w:r>
          </w:p>
        </w:tc>
        <w:tc>
          <w:tcPr>
            <w:tcW w:w="2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9.8%</w:t>
            </w:r>
          </w:p>
        </w:tc>
      </w:tr>
      <w:tr>
        <w:trPr>
          <w:trHeight w:val="441"/>
        </w:trPr>
        <w:tc>
          <w:tcPr>
            <w:tcW w:w="3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300"/>
              <w:spacing w:after="0"/>
              <w:rPr>
                <w:sz w:val="20"/>
                <w:szCs w:val="20"/>
                <w:color w:val="auto"/>
              </w:rPr>
            </w:pPr>
            <w:r>
              <w:rPr>
                <w:rFonts w:ascii="Arial" w:cs="Arial" w:eastAsia="Arial" w:hAnsi="Arial"/>
                <w:sz w:val="17"/>
                <w:szCs w:val="17"/>
                <w:b w:val="1"/>
                <w:bCs w:val="1"/>
                <w:color w:val="auto"/>
              </w:rPr>
              <w:t>Quarter</w:t>
            </w: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1020"/>
              <w:spacing w:after="0"/>
              <w:rPr>
                <w:sz w:val="20"/>
                <w:szCs w:val="20"/>
                <w:color w:val="auto"/>
              </w:rPr>
            </w:pPr>
            <w:r>
              <w:rPr>
                <w:rFonts w:ascii="Arial" w:cs="Arial" w:eastAsia="Arial" w:hAnsi="Arial"/>
                <w:sz w:val="17"/>
                <w:szCs w:val="17"/>
                <w:b w:val="1"/>
                <w:bCs w:val="1"/>
                <w:color w:val="auto"/>
              </w:rPr>
              <w:t>% change</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7"/>
        </w:trPr>
        <w:tc>
          <w:tcPr>
            <w:tcW w:w="38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1Q20</w:t>
            </w:r>
          </w:p>
        </w:tc>
        <w:tc>
          <w:tcPr>
            <w:tcW w:w="26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4Q20</w:t>
            </w:r>
          </w:p>
        </w:tc>
        <w:tc>
          <w:tcPr>
            <w:tcW w:w="26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1Q21</w:t>
            </w:r>
          </w:p>
        </w:tc>
        <w:tc>
          <w:tcPr>
            <w:tcW w:w="2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rPr>
              <w:t>QoQ</w:t>
            </w:r>
          </w:p>
        </w:tc>
        <w:tc>
          <w:tcPr>
            <w:tcW w:w="340" w:type="dxa"/>
            <w:vAlign w:val="bottom"/>
            <w:tcBorders>
              <w:bottom w:val="single" w:sz="8" w:color="CCEEFF"/>
            </w:tcBorders>
            <w:gridSpan w:val="2"/>
          </w:tcPr>
          <w:p>
            <w:pPr>
              <w:spacing w:after="0"/>
              <w:rPr>
                <w:sz w:val="17"/>
                <w:szCs w:val="17"/>
                <w:color w:val="auto"/>
              </w:rPr>
            </w:pPr>
          </w:p>
        </w:tc>
        <w:tc>
          <w:tcPr>
            <w:tcW w:w="360" w:type="dxa"/>
            <w:vAlign w:val="bottom"/>
            <w:tcBorders>
              <w:bottom w:val="single" w:sz="8" w:color="auto"/>
            </w:tcBorders>
            <w:gridSpan w:val="2"/>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YoY</w:t>
            </w:r>
          </w:p>
        </w:tc>
        <w:tc>
          <w:tcPr>
            <w:tcW w:w="240" w:type="dxa"/>
            <w:vAlign w:val="bottom"/>
            <w:tcBorders>
              <w:bottom w:val="single" w:sz="8" w:color="CCEEFF"/>
            </w:tcBorders>
            <w:gridSpan w:val="2"/>
          </w:tcPr>
          <w:p>
            <w:pPr>
              <w:spacing w:after="0"/>
              <w:rPr>
                <w:sz w:val="17"/>
                <w:szCs w:val="17"/>
                <w:color w:val="auto"/>
              </w:rPr>
            </w:pPr>
          </w:p>
        </w:tc>
      </w:tr>
      <w:tr>
        <w:trPr>
          <w:trHeight w:val="194"/>
        </w:trPr>
        <w:tc>
          <w:tcPr>
            <w:tcW w:w="3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interest income</w:t>
            </w: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86,646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-79,373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75,189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-194.7%</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-13.2%</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Provision for loan losses, net of recoveries</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(36,010)</w:t>
            </w:r>
          </w:p>
        </w:tc>
        <w:tc>
          <w:tcPr>
            <w:tcW w:w="20" w:type="dxa"/>
            <w:vAlign w:val="bottom"/>
          </w:tcPr>
          <w:p>
            <w:pPr>
              <w:spacing w:after="0"/>
              <w:rPr>
                <w:sz w:val="17"/>
                <w:szCs w:val="17"/>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(36,599)</w:t>
            </w: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(23,581)</w:t>
            </w:r>
          </w:p>
        </w:tc>
        <w:tc>
          <w:tcPr>
            <w:tcW w:w="20" w:type="dxa"/>
            <w:vAlign w:val="bottom"/>
          </w:tcPr>
          <w:p>
            <w:pPr>
              <w:spacing w:after="0"/>
              <w:rPr>
                <w:sz w:val="17"/>
                <w:szCs w:val="17"/>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7"/>
                <w:szCs w:val="17"/>
                <w:color w:val="auto"/>
              </w:rPr>
              <w:t>-35.6%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-34.5%</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interest income after provisions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50,636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(115,972)</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51,608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700"/>
              <w:spacing w:after="0"/>
              <w:rPr>
                <w:sz w:val="20"/>
                <w:szCs w:val="20"/>
                <w:color w:val="auto"/>
              </w:rPr>
            </w:pPr>
            <w:r>
              <w:rPr>
                <w:rFonts w:ascii="Arial" w:cs="Arial" w:eastAsia="Arial" w:hAnsi="Arial"/>
                <w:sz w:val="17"/>
                <w:szCs w:val="17"/>
                <w:b w:val="1"/>
                <w:bCs w:val="1"/>
                <w:color w:val="auto"/>
              </w:rPr>
              <w:t>n.a.</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1.9%</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Non-financial income</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26,452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31,187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35,623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7"/>
                <w:szCs w:val="17"/>
                <w:color w:val="auto"/>
              </w:rPr>
              <w:t>14.2%</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34.7%</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(64,025)</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(79,517)</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(64,743)</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-18.6%</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Translation result</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7"/>
                <w:szCs w:val="17"/>
                <w:color w:val="auto"/>
              </w:rPr>
            </w:pPr>
          </w:p>
        </w:tc>
        <w:tc>
          <w:tcPr>
            <w:tcW w:w="1900" w:type="dxa"/>
            <w:vAlign w:val="bottom"/>
            <w:gridSpan w:val="5"/>
          </w:tcPr>
          <w:p>
            <w:pPr>
              <w:jc w:val="right"/>
              <w:ind w:right="700"/>
              <w:spacing w:after="0"/>
              <w:rPr>
                <w:sz w:val="20"/>
                <w:szCs w:val="20"/>
                <w:color w:val="auto"/>
              </w:rPr>
            </w:pPr>
            <w:r>
              <w:rPr>
                <w:rFonts w:ascii="Arial" w:cs="Arial" w:eastAsia="Arial" w:hAnsi="Arial"/>
                <w:sz w:val="17"/>
                <w:szCs w:val="17"/>
                <w:color w:val="auto"/>
              </w:rPr>
              <w:t>n.a.</w:t>
            </w: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rPr>
              <w:t>n.a.</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(6,207)</w:t>
            </w: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143,500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(11,023)</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700"/>
              <w:spacing w:after="0"/>
              <w:rPr>
                <w:sz w:val="20"/>
                <w:szCs w:val="20"/>
                <w:color w:val="auto"/>
              </w:rPr>
            </w:pPr>
            <w:r>
              <w:rPr>
                <w:rFonts w:ascii="Arial" w:cs="Arial" w:eastAsia="Arial" w:hAnsi="Arial"/>
                <w:sz w:val="17"/>
                <w:szCs w:val="17"/>
                <w:color w:val="auto"/>
              </w:rPr>
              <w:t>n.a.</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Net income</w:t>
            </w:r>
          </w:p>
        </w:tc>
        <w:tc>
          <w:tcPr>
            <w:tcW w:w="1260" w:type="dxa"/>
            <w:vAlign w:val="bottom"/>
            <w:gridSpan w:val="2"/>
          </w:tcPr>
          <w:p>
            <w:pPr>
              <w:jc w:val="right"/>
              <w:spacing w:after="0"/>
              <w:rPr>
                <w:sz w:val="20"/>
                <w:szCs w:val="20"/>
                <w:color w:val="auto"/>
              </w:rPr>
            </w:pPr>
            <w:r>
              <w:rPr>
                <w:rFonts w:ascii="Arial" w:cs="Arial" w:eastAsia="Arial" w:hAnsi="Arial"/>
                <w:sz w:val="17"/>
                <w:szCs w:val="17"/>
                <w:b w:val="1"/>
                <w:bCs w:val="1"/>
                <w:color w:val="auto"/>
              </w:rPr>
              <w:t>6,829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(20,587)</w:t>
            </w: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11,453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155.6%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67.7%</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Efficiency ratio</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56.4%</w:t>
            </w:r>
          </w:p>
        </w:tc>
        <w:tc>
          <w:tcPr>
            <w:tcW w:w="20" w:type="dxa"/>
            <w:vAlign w:val="bottom"/>
            <w:shd w:val="clear" w:color="auto" w:fill="CCEEFF"/>
          </w:tcPr>
          <w:p>
            <w:pPr>
              <w:spacing w:after="0"/>
              <w:rPr>
                <w:sz w:val="17"/>
                <w:szCs w:val="17"/>
                <w:color w:val="auto"/>
              </w:rPr>
            </w:pPr>
          </w:p>
        </w:tc>
        <w:tc>
          <w:tcPr>
            <w:tcW w:w="1480" w:type="dxa"/>
            <w:vAlign w:val="bottom"/>
            <w:gridSpan w:val="4"/>
            <w:shd w:val="clear" w:color="auto" w:fill="CCEEFF"/>
          </w:tcPr>
          <w:p>
            <w:pPr>
              <w:ind w:left="1000"/>
              <w:spacing w:after="0"/>
              <w:rPr>
                <w:sz w:val="20"/>
                <w:szCs w:val="20"/>
                <w:color w:val="auto"/>
              </w:rPr>
            </w:pPr>
            <w:r>
              <w:rPr>
                <w:rFonts w:ascii="Arial" w:cs="Arial" w:eastAsia="Arial" w:hAnsi="Arial"/>
                <w:sz w:val="17"/>
                <w:szCs w:val="17"/>
                <w:color w:val="auto"/>
              </w:rPr>
              <w:t>n.a</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59.7%</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700"/>
              <w:spacing w:after="0"/>
              <w:rPr>
                <w:sz w:val="20"/>
                <w:szCs w:val="20"/>
                <w:color w:val="auto"/>
              </w:rPr>
            </w:pPr>
            <w:r>
              <w:rPr>
                <w:rFonts w:ascii="Arial" w:cs="Arial" w:eastAsia="Arial" w:hAnsi="Arial"/>
                <w:sz w:val="17"/>
                <w:szCs w:val="17"/>
                <w:color w:val="auto"/>
              </w:rPr>
              <w:t>n.a.</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ROAE</w:t>
            </w: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7"/>
                <w:szCs w:val="17"/>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7"/>
                <w:szCs w:val="17"/>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7"/>
                <w:szCs w:val="17"/>
                <w:color w:val="auto"/>
              </w:rPr>
              <w:t>1850pbs</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277pbs</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L/D ratio</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81.3%</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82.4%</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82.5%</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10pbs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120pbs</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IOL ratio</w:t>
            </w: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1.86%</w:t>
            </w:r>
          </w:p>
        </w:tc>
        <w:tc>
          <w:tcPr>
            <w:tcW w:w="20" w:type="dxa"/>
            <w:vAlign w:val="bottom"/>
          </w:tcPr>
          <w:p>
            <w:pPr>
              <w:spacing w:after="0"/>
              <w:rPr>
                <w:sz w:val="17"/>
                <w:szCs w:val="17"/>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2.14%</w:t>
            </w:r>
          </w:p>
        </w:tc>
        <w:tc>
          <w:tcPr>
            <w:tcW w:w="20" w:type="dxa"/>
            <w:vAlign w:val="bottom"/>
          </w:tcPr>
          <w:p>
            <w:pPr>
              <w:spacing w:after="0"/>
              <w:rPr>
                <w:sz w:val="17"/>
                <w:szCs w:val="17"/>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7"/>
                <w:szCs w:val="17"/>
                <w:color w:val="auto"/>
              </w:rPr>
              <w:t>110pbs</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28pbs</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NPL ratio</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2.13%</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1.52%</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4.39%</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290pbs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226pbs</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Coverage of IOLs</w:t>
            </w: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178.9%</w:t>
            </w:r>
          </w:p>
        </w:tc>
        <w:tc>
          <w:tcPr>
            <w:tcW w:w="20" w:type="dxa"/>
            <w:vAlign w:val="bottom"/>
          </w:tcPr>
          <w:p>
            <w:pPr>
              <w:spacing w:after="0"/>
              <w:rPr>
                <w:sz w:val="17"/>
                <w:szCs w:val="17"/>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686.6%</w:t>
            </w:r>
          </w:p>
        </w:tc>
        <w:tc>
          <w:tcPr>
            <w:tcW w:w="2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258.5%</w:t>
            </w:r>
          </w:p>
        </w:tc>
        <w:tc>
          <w:tcPr>
            <w:tcW w:w="20" w:type="dxa"/>
            <w:vAlign w:val="bottom"/>
          </w:tcPr>
          <w:p>
            <w:pPr>
              <w:spacing w:after="0"/>
              <w:rPr>
                <w:sz w:val="17"/>
                <w:szCs w:val="17"/>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7"/>
                <w:szCs w:val="17"/>
                <w:color w:val="auto"/>
              </w:rPr>
              <w:t>-42810pbs</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7962pbs</w:t>
            </w: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Coverage of NPLs</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155.8%</w:t>
            </w:r>
          </w:p>
        </w:tc>
        <w:tc>
          <w:tcPr>
            <w:tcW w:w="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456.8%</w:t>
            </w:r>
          </w:p>
        </w:tc>
        <w:tc>
          <w:tcPr>
            <w:tcW w:w="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125.8%</w:t>
            </w:r>
          </w:p>
        </w:tc>
        <w:tc>
          <w:tcPr>
            <w:tcW w:w="2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right"/>
              <w:ind w:right="460"/>
              <w:spacing w:after="0"/>
              <w:rPr>
                <w:sz w:val="20"/>
                <w:szCs w:val="20"/>
                <w:color w:val="auto"/>
              </w:rPr>
            </w:pPr>
            <w:r>
              <w:rPr>
                <w:rFonts w:ascii="Arial" w:cs="Arial" w:eastAsia="Arial" w:hAnsi="Arial"/>
                <w:sz w:val="17"/>
                <w:szCs w:val="17"/>
                <w:color w:val="auto"/>
              </w:rPr>
              <w:t>-33100pbs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-2994pbs</w:t>
            </w: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Branches</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Agentes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295</w:t>
            </w:r>
          </w:p>
        </w:tc>
        <w:tc>
          <w:tcPr>
            <w:tcW w:w="200" w:type="dxa"/>
            <w:vAlign w:val="bottom"/>
            <w:shd w:val="clear" w:color="auto" w:fill="CCEEFF"/>
          </w:tcPr>
          <w:p>
            <w:pPr>
              <w:spacing w:after="0"/>
              <w:rPr>
                <w:sz w:val="17"/>
                <w:szCs w:val="17"/>
                <w:color w:val="auto"/>
              </w:rPr>
            </w:pPr>
          </w:p>
        </w:tc>
      </w:tr>
      <w:tr>
        <w:trPr>
          <w:trHeight w:val="202"/>
        </w:trPr>
        <w:tc>
          <w:tcPr>
            <w:tcW w:w="3820" w:type="dxa"/>
            <w:vAlign w:val="bottom"/>
            <w:gridSpan w:val="2"/>
          </w:tcPr>
          <w:p>
            <w:pPr>
              <w:spacing w:after="0"/>
              <w:rPr>
                <w:sz w:val="20"/>
                <w:szCs w:val="20"/>
                <w:color w:val="auto"/>
              </w:rPr>
            </w:pPr>
            <w:r>
              <w:rPr>
                <w:rFonts w:ascii="Arial" w:cs="Arial" w:eastAsia="Arial" w:hAnsi="Arial"/>
                <w:sz w:val="17"/>
                <w:szCs w:val="17"/>
                <w:color w:val="auto"/>
              </w:rPr>
              <w:t>ATMs</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310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310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r>
      <w:tr>
        <w:trPr>
          <w:trHeight w:val="202"/>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w:t>
            </w:r>
          </w:p>
        </w:tc>
        <w:tc>
          <w:tcPr>
            <w:tcW w:w="200" w:type="dxa"/>
            <w:vAlign w:val="bottom"/>
            <w:shd w:val="clear" w:color="auto" w:fill="CCEEFF"/>
          </w:tcPr>
          <w:p>
            <w:pPr>
              <w:spacing w:after="0"/>
              <w:rPr>
                <w:sz w:val="17"/>
                <w:szCs w:val="17"/>
                <w:color w:val="auto"/>
              </w:rPr>
            </w:pPr>
          </w:p>
        </w:tc>
      </w:tr>
      <w:tr>
        <w:trPr>
          <w:trHeight w:val="302"/>
        </w:trPr>
        <w:tc>
          <w:tcPr>
            <w:tcW w:w="3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74</w:t>
            </w:r>
          </w:p>
        </w:tc>
      </w:tr>
    </w:tbl>
    <w:p>
      <w:pPr>
        <w:sectPr>
          <w:pgSz w:w="11900" w:h="16838" w:orient="portrait"/>
          <w:cols w:equalWidth="0" w:num="1">
            <w:col w:w="11240"/>
          </w:cols>
          <w:pgMar w:left="320" w:top="551"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12.8. IB &amp; WM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3"/>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Investment Banking &amp; Wealth Management</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Quarter</w:t>
            </w:r>
          </w:p>
        </w:tc>
        <w:tc>
          <w:tcPr>
            <w:tcW w:w="1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b w:val="1"/>
                <w:bCs w:val="1"/>
                <w:color w:val="auto"/>
              </w:rPr>
              <w:t>% change</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4"/>
        </w:trPr>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000</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1Q20</w:t>
            </w:r>
          </w:p>
        </w:tc>
        <w:tc>
          <w:tcPr>
            <w:tcW w:w="2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4Q20</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1Q21</w:t>
            </w: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w w:val="92"/>
              </w:rPr>
              <w:t>QoQ</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YoY</w:t>
            </w:r>
          </w:p>
        </w:tc>
        <w:tc>
          <w:tcPr>
            <w:tcW w:w="140" w:type="dxa"/>
            <w:vAlign w:val="bottom"/>
            <w:tcBorders>
              <w:bottom w:val="single" w:sz="8" w:color="CCEEFF"/>
            </w:tcBorders>
          </w:tcPr>
          <w:p>
            <w:pPr>
              <w:spacing w:after="0"/>
              <w:rPr>
                <w:sz w:val="16"/>
                <w:szCs w:val="16"/>
                <w:color w:val="auto"/>
              </w:rPr>
            </w:pPr>
          </w:p>
        </w:tc>
      </w:tr>
      <w:tr>
        <w:trPr>
          <w:trHeight w:val="194"/>
        </w:trPr>
        <w:tc>
          <w:tcPr>
            <w:tcW w:w="3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interest income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13,735</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19,349</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23,087</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19.3%</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68%</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Non-financial income</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133,318</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302,575</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178,065</w:t>
            </w:r>
          </w:p>
        </w:tc>
        <w:tc>
          <w:tcPr>
            <w:tcW w:w="840" w:type="dxa"/>
            <w:vAlign w:val="bottom"/>
          </w:tcPr>
          <w:p>
            <w:pPr>
              <w:spacing w:after="0"/>
              <w:rPr>
                <w:sz w:val="17"/>
                <w:szCs w:val="17"/>
                <w:color w:val="auto"/>
              </w:rPr>
            </w:pPr>
          </w:p>
        </w:tc>
        <w:tc>
          <w:tcPr>
            <w:tcW w:w="660" w:type="dxa"/>
            <w:vAlign w:val="bottom"/>
            <w:gridSpan w:val="2"/>
          </w:tcPr>
          <w:p>
            <w:pPr>
              <w:jc w:val="right"/>
              <w:ind w:right="56"/>
              <w:spacing w:after="0"/>
              <w:rPr>
                <w:sz w:val="20"/>
                <w:szCs w:val="20"/>
                <w:color w:val="auto"/>
              </w:rPr>
            </w:pPr>
            <w:r>
              <w:rPr>
                <w:rFonts w:ascii="Arial" w:cs="Arial" w:eastAsia="Arial" w:hAnsi="Arial"/>
                <w:sz w:val="17"/>
                <w:szCs w:val="17"/>
                <w:color w:val="auto"/>
                <w:w w:val="92"/>
              </w:rPr>
              <w:t>-41.2%</w:t>
            </w:r>
          </w:p>
        </w:tc>
        <w:tc>
          <w:tcPr>
            <w:tcW w:w="3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33.6%</w:t>
            </w:r>
          </w:p>
        </w:tc>
      </w:tr>
      <w:tr>
        <w:trPr>
          <w:trHeight w:val="202"/>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Fee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112,658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156,753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147,594</w:t>
            </w:r>
          </w:p>
        </w:tc>
        <w:tc>
          <w:tcPr>
            <w:tcW w:w="8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-5.8%</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r>
      <w:tr>
        <w:trPr>
          <w:trHeight w:val="202"/>
        </w:trPr>
        <w:tc>
          <w:tcPr>
            <w:tcW w:w="4060" w:type="dxa"/>
            <w:vAlign w:val="bottom"/>
            <w:gridSpan w:val="2"/>
          </w:tcPr>
          <w:p>
            <w:pPr>
              <w:ind w:left="160"/>
              <w:spacing w:after="0"/>
              <w:rPr>
                <w:sz w:val="20"/>
                <w:szCs w:val="20"/>
                <w:color w:val="auto"/>
              </w:rPr>
            </w:pPr>
            <w:r>
              <w:rPr>
                <w:rFonts w:ascii="Arial" w:cs="Arial" w:eastAsia="Arial" w:hAnsi="Arial"/>
                <w:sz w:val="17"/>
                <w:szCs w:val="17"/>
                <w:color w:val="auto"/>
              </w:rPr>
              <w:t>Net gain on foreign exchange transactions</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-5,406</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-21,862</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12,288</w:t>
            </w:r>
          </w:p>
        </w:tc>
        <w:tc>
          <w:tcPr>
            <w:tcW w:w="840" w:type="dxa"/>
            <w:vAlign w:val="bottom"/>
          </w:tcPr>
          <w:p>
            <w:pPr>
              <w:spacing w:after="0"/>
              <w:rPr>
                <w:sz w:val="17"/>
                <w:szCs w:val="17"/>
                <w:color w:val="auto"/>
              </w:rPr>
            </w:pPr>
          </w:p>
        </w:tc>
        <w:tc>
          <w:tcPr>
            <w:tcW w:w="1020" w:type="dxa"/>
            <w:vAlign w:val="bottom"/>
            <w:gridSpan w:val="3"/>
          </w:tcPr>
          <w:p>
            <w:pPr>
              <w:ind w:left="180"/>
              <w:spacing w:after="0"/>
              <w:rPr>
                <w:sz w:val="20"/>
                <w:szCs w:val="20"/>
                <w:color w:val="auto"/>
              </w:rPr>
            </w:pPr>
            <w:r>
              <w:rPr>
                <w:rFonts w:ascii="Arial" w:cs="Arial" w:eastAsia="Arial" w:hAnsi="Arial"/>
                <w:sz w:val="17"/>
                <w:szCs w:val="17"/>
                <w:color w:val="auto"/>
              </w:rPr>
              <w:t>n.a</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02"/>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gain on sales of securities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-25,193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101,559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-44,052</w:t>
            </w:r>
          </w:p>
        </w:tc>
        <w:tc>
          <w:tcPr>
            <w:tcW w:w="8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74.9%</w:t>
            </w:r>
          </w:p>
        </w:tc>
      </w:tr>
      <w:tr>
        <w:trPr>
          <w:trHeight w:val="202"/>
        </w:trPr>
        <w:tc>
          <w:tcPr>
            <w:tcW w:w="4060" w:type="dxa"/>
            <w:vAlign w:val="bottom"/>
            <w:gridSpan w:val="2"/>
          </w:tcPr>
          <w:p>
            <w:pPr>
              <w:ind w:left="160"/>
              <w:spacing w:after="0"/>
              <w:rPr>
                <w:sz w:val="20"/>
                <w:szCs w:val="20"/>
                <w:color w:val="auto"/>
              </w:rPr>
            </w:pPr>
            <w:r>
              <w:rPr>
                <w:rFonts w:ascii="Arial" w:cs="Arial" w:eastAsia="Arial" w:hAnsi="Arial"/>
                <w:sz w:val="17"/>
                <w:szCs w:val="17"/>
                <w:color w:val="auto"/>
              </w:rPr>
              <w:t>Derivative Result</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35,957</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13,027</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56,265</w:t>
            </w:r>
          </w:p>
        </w:tc>
        <w:tc>
          <w:tcPr>
            <w:tcW w:w="840" w:type="dxa"/>
            <w:vAlign w:val="bottom"/>
          </w:tcPr>
          <w:p>
            <w:pPr>
              <w:spacing w:after="0"/>
              <w:rPr>
                <w:sz w:val="17"/>
                <w:szCs w:val="17"/>
                <w:color w:val="auto"/>
              </w:rPr>
            </w:pPr>
          </w:p>
        </w:tc>
        <w:tc>
          <w:tcPr>
            <w:tcW w:w="660" w:type="dxa"/>
            <w:vAlign w:val="bottom"/>
            <w:gridSpan w:val="2"/>
          </w:tcPr>
          <w:p>
            <w:pPr>
              <w:jc w:val="right"/>
              <w:ind w:right="56"/>
              <w:spacing w:after="0"/>
              <w:rPr>
                <w:sz w:val="20"/>
                <w:szCs w:val="20"/>
                <w:color w:val="auto"/>
              </w:rPr>
            </w:pPr>
            <w:r>
              <w:rPr>
                <w:rFonts w:ascii="Arial" w:cs="Arial" w:eastAsia="Arial" w:hAnsi="Arial"/>
                <w:sz w:val="17"/>
                <w:szCs w:val="17"/>
                <w:color w:val="auto"/>
                <w:w w:val="86"/>
              </w:rPr>
              <w:t>331.9%</w:t>
            </w:r>
          </w:p>
        </w:tc>
        <w:tc>
          <w:tcPr>
            <w:tcW w:w="3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56.5%</w:t>
            </w:r>
          </w:p>
        </w:tc>
      </w:tr>
      <w:tr>
        <w:trPr>
          <w:trHeight w:val="202"/>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Result from exposure to the exchange rate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5,671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-1,001</w:t>
            </w:r>
          </w:p>
        </w:tc>
        <w:tc>
          <w:tcPr>
            <w:tcW w:w="8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n.a</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2"/>
        </w:trPr>
        <w:tc>
          <w:tcPr>
            <w:tcW w:w="4060" w:type="dxa"/>
            <w:vAlign w:val="bottom"/>
            <w:gridSpan w:val="2"/>
          </w:tcPr>
          <w:p>
            <w:pPr>
              <w:ind w:left="160"/>
              <w:spacing w:after="0"/>
              <w:rPr>
                <w:sz w:val="20"/>
                <w:szCs w:val="20"/>
                <w:color w:val="auto"/>
              </w:rPr>
            </w:pPr>
            <w:r>
              <w:rPr>
                <w:rFonts w:ascii="Arial" w:cs="Arial" w:eastAsia="Arial" w:hAnsi="Arial"/>
                <w:sz w:val="17"/>
                <w:szCs w:val="17"/>
                <w:color w:val="auto"/>
              </w:rPr>
              <w:t>Other income</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15,132</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47,427</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6,971</w:t>
            </w:r>
          </w:p>
        </w:tc>
        <w:tc>
          <w:tcPr>
            <w:tcW w:w="840" w:type="dxa"/>
            <w:vAlign w:val="bottom"/>
          </w:tcPr>
          <w:p>
            <w:pPr>
              <w:spacing w:after="0"/>
              <w:rPr>
                <w:sz w:val="17"/>
                <w:szCs w:val="17"/>
                <w:color w:val="auto"/>
              </w:rPr>
            </w:pPr>
          </w:p>
        </w:tc>
        <w:tc>
          <w:tcPr>
            <w:tcW w:w="660" w:type="dxa"/>
            <w:vAlign w:val="bottom"/>
            <w:gridSpan w:val="2"/>
          </w:tcPr>
          <w:p>
            <w:pPr>
              <w:jc w:val="right"/>
              <w:ind w:right="56"/>
              <w:spacing w:after="0"/>
              <w:rPr>
                <w:sz w:val="20"/>
                <w:szCs w:val="20"/>
                <w:color w:val="auto"/>
              </w:rPr>
            </w:pPr>
            <w:r>
              <w:rPr>
                <w:rFonts w:ascii="Arial" w:cs="Arial" w:eastAsia="Arial" w:hAnsi="Arial"/>
                <w:sz w:val="17"/>
                <w:szCs w:val="17"/>
                <w:color w:val="auto"/>
                <w:w w:val="92"/>
              </w:rPr>
              <w:t>-85.3%</w:t>
            </w:r>
          </w:p>
        </w:tc>
        <w:tc>
          <w:tcPr>
            <w:tcW w:w="3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-53.9%</w:t>
            </w:r>
          </w:p>
        </w:tc>
      </w:tr>
      <w:tr>
        <w:trPr>
          <w:trHeight w:val="252"/>
        </w:trPr>
        <w:tc>
          <w:tcPr>
            <w:tcW w:w="4060" w:type="dxa"/>
            <w:vAlign w:val="bottom"/>
            <w:gridSpan w:val="2"/>
            <w:shd w:val="clear" w:color="auto" w:fill="CCEEFF"/>
          </w:tcPr>
          <w:p>
            <w:pPr>
              <w:spacing w:after="0" w:line="251" w:lineRule="exact"/>
              <w:rPr>
                <w:sz w:val="20"/>
                <w:szCs w:val="20"/>
                <w:color w:val="auto"/>
              </w:rPr>
            </w:pPr>
            <w:r>
              <w:rPr>
                <w:rFonts w:ascii="Arial" w:cs="Arial" w:eastAsia="Arial" w:hAnsi="Arial"/>
                <w:sz w:val="17"/>
                <w:szCs w:val="17"/>
                <w:color w:val="auto"/>
              </w:rPr>
              <w:t xml:space="preserve">Operating expenses </w:t>
            </w:r>
            <w:r>
              <w:rPr>
                <w:rFonts w:ascii="Arial" w:cs="Arial" w:eastAsia="Arial" w:hAnsi="Arial"/>
                <w:sz w:val="27"/>
                <w:szCs w:val="27"/>
                <w:color w:val="auto"/>
                <w:vertAlign w:val="superscript"/>
              </w:rPr>
              <w:t>(2)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-144,873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-225,503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-156,685</w:t>
            </w:r>
          </w:p>
        </w:tc>
        <w:tc>
          <w:tcPr>
            <w:tcW w:w="8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92"/>
              </w:rPr>
              <w:t>-30.5%</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07"/>
        </w:trPr>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Operating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2,180</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96,421</w:t>
            </w: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44,467</w:t>
            </w:r>
          </w:p>
        </w:tc>
        <w:tc>
          <w:tcPr>
            <w:tcW w:w="2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-53.9</w:t>
            </w:r>
          </w:p>
        </w:tc>
        <w:tc>
          <w:tcPr>
            <w:tcW w:w="280" w:type="dxa"/>
            <w:vAlign w:val="bottom"/>
            <w:tcBorders>
              <w:bottom w:val="single" w:sz="8" w:color="CCEEFF"/>
            </w:tcBorders>
          </w:tcPr>
          <w:p>
            <w:pPr>
              <w:jc w:val="right"/>
              <w:ind w:right="36"/>
              <w:spacing w:after="0"/>
              <w:rPr>
                <w:sz w:val="20"/>
                <w:szCs w:val="20"/>
                <w:color w:val="auto"/>
              </w:rPr>
            </w:pPr>
            <w:r>
              <w:rPr>
                <w:rFonts w:ascii="Arial" w:cs="Arial" w:eastAsia="Arial" w:hAnsi="Arial"/>
                <w:sz w:val="17"/>
                <w:szCs w:val="17"/>
                <w:b w:val="1"/>
                <w:bCs w:val="1"/>
                <w:color w:val="auto"/>
                <w:w w:val="92"/>
              </w:rPr>
              <w:t>%</w:t>
            </w: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n.a</w:t>
            </w:r>
          </w:p>
        </w:tc>
        <w:tc>
          <w:tcPr>
            <w:tcW w:w="140" w:type="dxa"/>
            <w:vAlign w:val="bottom"/>
            <w:tcBorders>
              <w:bottom w:val="single" w:sz="8" w:color="CCEEFF"/>
            </w:tcBorders>
          </w:tcPr>
          <w:p>
            <w:pPr>
              <w:spacing w:after="0"/>
              <w:rPr>
                <w:sz w:val="17"/>
                <w:szCs w:val="17"/>
                <w:color w:val="auto"/>
              </w:rPr>
            </w:pPr>
          </w:p>
        </w:tc>
      </w:tr>
      <w:tr>
        <w:trPr>
          <w:trHeight w:val="194"/>
        </w:trPr>
        <w:tc>
          <w:tcPr>
            <w:tcW w:w="40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Income taxes</w:t>
            </w:r>
          </w:p>
        </w:tc>
        <w:tc>
          <w:tcPr>
            <w:tcW w:w="1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-2,301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-12,595</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-7,137</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w w:val="92"/>
              </w:rPr>
              <w:t>-43.3%</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210.2%</w:t>
            </w:r>
          </w:p>
        </w:tc>
      </w:tr>
      <w:tr>
        <w:trPr>
          <w:trHeight w:val="214"/>
        </w:trPr>
        <w:tc>
          <w:tcPr>
            <w:tcW w:w="4060" w:type="dxa"/>
            <w:vAlign w:val="bottom"/>
            <w:gridSpan w:val="2"/>
          </w:tcPr>
          <w:p>
            <w:pPr>
              <w:spacing w:after="0"/>
              <w:rPr>
                <w:sz w:val="20"/>
                <w:szCs w:val="20"/>
                <w:color w:val="auto"/>
              </w:rPr>
            </w:pPr>
            <w:r>
              <w:rPr>
                <w:rFonts w:ascii="Arial" w:cs="Arial" w:eastAsia="Arial" w:hAnsi="Arial"/>
                <w:sz w:val="17"/>
                <w:szCs w:val="17"/>
                <w:color w:val="auto"/>
              </w:rPr>
              <w:t>Non-controlling interest</w:t>
            </w:r>
          </w:p>
        </w:tc>
        <w:tc>
          <w:tcPr>
            <w:tcW w:w="124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453</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629</w:t>
            </w:r>
          </w:p>
        </w:tc>
        <w:tc>
          <w:tcPr>
            <w:tcW w:w="840" w:type="dxa"/>
            <w:vAlign w:val="bottom"/>
          </w:tcPr>
          <w:p>
            <w:pPr>
              <w:spacing w:after="0"/>
              <w:rPr>
                <w:sz w:val="18"/>
                <w:szCs w:val="18"/>
                <w:color w:val="auto"/>
              </w:rPr>
            </w:pPr>
          </w:p>
        </w:tc>
        <w:tc>
          <w:tcPr>
            <w:tcW w:w="660" w:type="dxa"/>
            <w:vAlign w:val="bottom"/>
            <w:gridSpan w:val="2"/>
          </w:tcPr>
          <w:p>
            <w:pPr>
              <w:jc w:val="right"/>
              <w:ind w:right="56"/>
              <w:spacing w:after="0"/>
              <w:rPr>
                <w:sz w:val="20"/>
                <w:szCs w:val="20"/>
                <w:color w:val="auto"/>
              </w:rPr>
            </w:pPr>
            <w:r>
              <w:rPr>
                <w:rFonts w:ascii="Arial" w:cs="Arial" w:eastAsia="Arial" w:hAnsi="Arial"/>
                <w:sz w:val="17"/>
                <w:szCs w:val="17"/>
                <w:color w:val="auto"/>
              </w:rPr>
              <w:t>38.9%</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07"/>
        </w:trPr>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83,373</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36,701</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-56.0</w:t>
            </w:r>
          </w:p>
        </w:tc>
        <w:tc>
          <w:tcPr>
            <w:tcW w:w="280" w:type="dxa"/>
            <w:vAlign w:val="bottom"/>
            <w:tcBorders>
              <w:top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2"/>
              </w:rPr>
              <w:t>%</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n.a</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Unaudited results.</w:t>
      </w:r>
    </w:p>
    <w:p>
      <w:pPr>
        <w:spacing w:after="0" w:line="18" w:lineRule="exact"/>
        <w:rPr>
          <w:sz w:val="20"/>
          <w:szCs w:val="20"/>
          <w:color w:val="auto"/>
        </w:rPr>
      </w:pPr>
    </w:p>
    <w:p>
      <w:pPr>
        <w:ind w:firstLine="1"/>
        <w:spacing w:after="0" w:line="254" w:lineRule="auto"/>
        <w:tabs>
          <w:tab w:leader="none" w:pos="264"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Includes: Salaries and employee benefits + Administrative expenses + Assigned expenses + Depreciation and amortization + Tax and contributions + Other expenses.</w:t>
      </w:r>
    </w:p>
    <w:p>
      <w:pPr>
        <w:spacing w:after="0" w:line="7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8"/>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12.9. Grupo Pacifico</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1"/>
        </w:trPr>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8"/>
          </w:tcPr>
          <w:p>
            <w:pPr>
              <w:ind w:left="760"/>
              <w:spacing w:after="0"/>
              <w:rPr>
                <w:sz w:val="20"/>
                <w:szCs w:val="20"/>
                <w:color w:val="auto"/>
              </w:rPr>
            </w:pPr>
            <w:r>
              <w:rPr>
                <w:rFonts w:ascii="Arial" w:cs="Arial" w:eastAsia="Arial" w:hAnsi="Arial"/>
                <w:sz w:val="17"/>
                <w:szCs w:val="17"/>
                <w:b w:val="1"/>
                <w:bCs w:val="1"/>
                <w:color w:val="auto"/>
              </w:rPr>
              <w:t>GRUPO PACIFICO *</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4"/>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8"/>
          </w:tcPr>
          <w:p>
            <w:pPr>
              <w:jc w:val="right"/>
              <w:ind w:right="780"/>
              <w:spacing w:after="0"/>
              <w:rPr>
                <w:sz w:val="20"/>
                <w:szCs w:val="20"/>
                <w:color w:val="auto"/>
              </w:rPr>
            </w:pPr>
            <w:r>
              <w:rPr>
                <w:rFonts w:ascii="Arial" w:cs="Arial" w:eastAsia="Arial" w:hAnsi="Arial"/>
                <w:sz w:val="17"/>
                <w:szCs w:val="17"/>
                <w:color w:val="auto"/>
              </w:rPr>
              <w:t>(S/ in thousands)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3"/>
        </w:trPr>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420"/>
              <w:spacing w:after="0"/>
              <w:rPr>
                <w:sz w:val="20"/>
                <w:szCs w:val="20"/>
                <w:color w:val="auto"/>
              </w:rPr>
            </w:pPr>
            <w:r>
              <w:rPr>
                <w:rFonts w:ascii="Arial" w:cs="Arial" w:eastAsia="Arial" w:hAnsi="Arial"/>
                <w:sz w:val="17"/>
                <w:szCs w:val="17"/>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Borders>
              <w:bottom w:val="single" w:sz="8" w:color="auto"/>
            </w:tcBorders>
            <w:gridSpan w:val="5"/>
          </w:tcPr>
          <w:p>
            <w:pPr>
              <w:ind w:left="1000"/>
              <w:spacing w:after="0"/>
              <w:rPr>
                <w:sz w:val="20"/>
                <w:szCs w:val="20"/>
                <w:color w:val="auto"/>
              </w:rPr>
            </w:pPr>
            <w:r>
              <w:rPr>
                <w:rFonts w:ascii="Arial" w:cs="Arial" w:eastAsia="Arial" w:hAnsi="Arial"/>
                <w:sz w:val="17"/>
                <w:szCs w:val="17"/>
                <w:b w:val="1"/>
                <w:bCs w:val="1"/>
                <w:color w:val="auto"/>
                <w:w w:val="98"/>
              </w:rPr>
              <w:t>% change</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4"/>
        </w:trPr>
        <w:tc>
          <w:tcPr>
            <w:tcW w:w="38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rPr>
              <w:t>Mar 20</w:t>
            </w:r>
          </w:p>
        </w:tc>
        <w:tc>
          <w:tcPr>
            <w:tcW w:w="220" w:type="dxa"/>
            <w:vAlign w:val="bottom"/>
            <w:tcBorders>
              <w:bottom w:val="single" w:sz="8" w:color="CCEEFF"/>
            </w:tcBorders>
            <w:gridSpan w:val="2"/>
          </w:tcPr>
          <w:p>
            <w:pPr>
              <w:spacing w:after="0"/>
              <w:rPr>
                <w:sz w:val="16"/>
                <w:szCs w:val="16"/>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Dec 20</w:t>
            </w:r>
          </w:p>
        </w:tc>
        <w:tc>
          <w:tcPr>
            <w:tcW w:w="200" w:type="dxa"/>
            <w:vAlign w:val="bottom"/>
            <w:tcBorders>
              <w:bottom w:val="single" w:sz="8" w:color="CCEEFF"/>
            </w:tcBorders>
            <w:gridSpan w:val="2"/>
          </w:tcPr>
          <w:p>
            <w:pPr>
              <w:spacing w:after="0"/>
              <w:rPr>
                <w:sz w:val="16"/>
                <w:szCs w:val="16"/>
                <w:color w:val="auto"/>
              </w:rPr>
            </w:pPr>
          </w:p>
        </w:tc>
        <w:tc>
          <w:tcPr>
            <w:tcW w:w="12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Mar 21</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QoQ</w:t>
            </w:r>
          </w:p>
        </w:tc>
        <w:tc>
          <w:tcPr>
            <w:tcW w:w="26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YoY</w:t>
            </w:r>
          </w:p>
        </w:tc>
        <w:tc>
          <w:tcPr>
            <w:tcW w:w="140" w:type="dxa"/>
            <w:vAlign w:val="bottom"/>
            <w:tcBorders>
              <w:bottom w:val="single" w:sz="8" w:color="CCEEFF"/>
            </w:tcBorders>
          </w:tcPr>
          <w:p>
            <w:pPr>
              <w:spacing w:after="0"/>
              <w:rPr>
                <w:sz w:val="16"/>
                <w:szCs w:val="16"/>
                <w:color w:val="auto"/>
              </w:rPr>
            </w:pPr>
          </w:p>
        </w:tc>
      </w:tr>
      <w:tr>
        <w:trPr>
          <w:trHeight w:val="194"/>
        </w:trPr>
        <w:tc>
          <w:tcPr>
            <w:tcW w:w="40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assets</w:t>
            </w:r>
          </w:p>
        </w:tc>
        <w:tc>
          <w:tcPr>
            <w:tcW w:w="1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13,729,726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16,021,597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15,743,014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14.7%</w:t>
            </w:r>
          </w:p>
        </w:tc>
      </w:tr>
      <w:tr>
        <w:trPr>
          <w:trHeight w:val="239"/>
        </w:trPr>
        <w:tc>
          <w:tcPr>
            <w:tcW w:w="406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Invesment on securities </w:t>
            </w:r>
            <w:r>
              <w:rPr>
                <w:rFonts w:ascii="Arial" w:cs="Arial" w:eastAsia="Arial" w:hAnsi="Arial"/>
                <w:sz w:val="27"/>
                <w:szCs w:val="27"/>
                <w:color w:val="auto"/>
                <w:vertAlign w:val="superscript"/>
              </w:rPr>
              <w:t>(6)</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10,586,838</w:t>
            </w:r>
          </w:p>
        </w:tc>
        <w:tc>
          <w:tcPr>
            <w:tcW w:w="18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7"/>
                <w:szCs w:val="17"/>
                <w:color w:val="auto"/>
              </w:rPr>
              <w:t>12,348,185</w:t>
            </w:r>
          </w:p>
        </w:tc>
        <w:tc>
          <w:tcPr>
            <w:tcW w:w="18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12,210,160</w:t>
            </w:r>
          </w:p>
        </w:tc>
        <w:tc>
          <w:tcPr>
            <w:tcW w:w="14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15.3%</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Technical reserves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9,980,047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11,694,653</w:t>
            </w:r>
          </w:p>
        </w:tc>
        <w:tc>
          <w:tcPr>
            <w:tcW w:w="1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11,826,778</w:t>
            </w:r>
          </w:p>
        </w:tc>
        <w:tc>
          <w:tcPr>
            <w:tcW w:w="1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14"/>
        </w:trPr>
        <w:tc>
          <w:tcPr>
            <w:tcW w:w="4060" w:type="dxa"/>
            <w:vAlign w:val="bottom"/>
            <w:gridSpan w:val="2"/>
          </w:tcPr>
          <w:p>
            <w:pPr>
              <w:spacing w:after="0"/>
              <w:rPr>
                <w:sz w:val="20"/>
                <w:szCs w:val="20"/>
                <w:color w:val="auto"/>
              </w:rPr>
            </w:pPr>
            <w:r>
              <w:rPr>
                <w:rFonts w:ascii="Arial" w:cs="Arial" w:eastAsia="Arial" w:hAnsi="Arial"/>
                <w:sz w:val="17"/>
                <w:szCs w:val="17"/>
                <w:color w:val="auto"/>
              </w:rPr>
              <w:t>Net equity</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2,724,095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7"/>
                <w:szCs w:val="17"/>
                <w:color w:val="auto"/>
              </w:rPr>
              <w:t>2,971,337</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2,374,371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7"/>
                <w:szCs w:val="17"/>
                <w:color w:val="auto"/>
              </w:rPr>
              <w:t>-20.1%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-12.8%</w:t>
            </w:r>
          </w:p>
        </w:tc>
      </w:tr>
      <w:tr>
        <w:trPr>
          <w:trHeight w:val="592"/>
        </w:trPr>
        <w:tc>
          <w:tcPr>
            <w:tcW w:w="3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40"/>
              <w:spacing w:after="0"/>
              <w:rPr>
                <w:sz w:val="20"/>
                <w:szCs w:val="20"/>
                <w:color w:val="auto"/>
              </w:rPr>
            </w:pPr>
            <w:r>
              <w:rPr>
                <w:rFonts w:ascii="Arial" w:cs="Arial" w:eastAsia="Arial" w:hAnsi="Arial"/>
                <w:sz w:val="17"/>
                <w:szCs w:val="17"/>
                <w:b w:val="1"/>
                <w:bCs w:val="1"/>
                <w:color w:val="auto"/>
              </w:rPr>
              <w:t>Quarter</w:t>
            </w: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880"/>
              <w:spacing w:after="0"/>
              <w:rPr>
                <w:sz w:val="20"/>
                <w:szCs w:val="20"/>
                <w:color w:val="auto"/>
              </w:rPr>
            </w:pPr>
            <w:r>
              <w:rPr>
                <w:rFonts w:ascii="Arial" w:cs="Arial" w:eastAsia="Arial" w:hAnsi="Arial"/>
                <w:sz w:val="17"/>
                <w:szCs w:val="17"/>
                <w:b w:val="1"/>
                <w:bCs w:val="1"/>
                <w:color w:val="auto"/>
              </w:rPr>
              <w:t>% change</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4"/>
        </w:trPr>
        <w:tc>
          <w:tcPr>
            <w:tcW w:w="3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1Q20</w:t>
            </w:r>
          </w:p>
        </w:tc>
        <w:tc>
          <w:tcPr>
            <w:tcW w:w="26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4Q20</w:t>
            </w:r>
          </w:p>
        </w:tc>
        <w:tc>
          <w:tcPr>
            <w:tcW w:w="26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1Q21</w:t>
            </w:r>
          </w:p>
        </w:tc>
        <w:tc>
          <w:tcPr>
            <w:tcW w:w="24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QoQ</w:t>
            </w:r>
          </w:p>
        </w:tc>
        <w:tc>
          <w:tcPr>
            <w:tcW w:w="340" w:type="dxa"/>
            <w:vAlign w:val="bottom"/>
            <w:tcBorders>
              <w:bottom w:val="single" w:sz="8" w:color="CCEEFF"/>
            </w:tcBorders>
            <w:gridSpan w:val="2"/>
          </w:tcPr>
          <w:p>
            <w:pPr>
              <w:spacing w:after="0"/>
              <w:rPr>
                <w:sz w:val="16"/>
                <w:szCs w:val="16"/>
                <w:color w:val="auto"/>
              </w:rPr>
            </w:pPr>
          </w:p>
        </w:tc>
        <w:tc>
          <w:tcPr>
            <w:tcW w:w="400" w:type="dxa"/>
            <w:vAlign w:val="bottom"/>
            <w:tcBorders>
              <w:bottom w:val="single" w:sz="8" w:color="auto"/>
            </w:tcBorders>
            <w:gridSpan w:val="2"/>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YoY</w:t>
            </w:r>
          </w:p>
        </w:tc>
        <w:tc>
          <w:tcPr>
            <w:tcW w:w="240" w:type="dxa"/>
            <w:vAlign w:val="bottom"/>
            <w:tcBorders>
              <w:bottom w:val="single" w:sz="8" w:color="CCEEFF"/>
            </w:tcBorders>
            <w:gridSpan w:val="2"/>
          </w:tcPr>
          <w:p>
            <w:pPr>
              <w:spacing w:after="0"/>
              <w:rPr>
                <w:sz w:val="16"/>
                <w:szCs w:val="16"/>
                <w:color w:val="auto"/>
              </w:rPr>
            </w:pPr>
          </w:p>
        </w:tc>
      </w:tr>
      <w:tr>
        <w:trPr>
          <w:trHeight w:val="194"/>
        </w:trPr>
        <w:tc>
          <w:tcPr>
            <w:tcW w:w="3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earned premiums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640,707</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657,373</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651,510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-0.9%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Net claims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(383,525)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(495,532)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(627,791)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-26.7%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-63.7%</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fees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(156,165)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(173,855)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(142,700)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Net underwriting expenses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(50,159)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(11,234)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(30,218)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-169.0%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39.8%</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Underwriting result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50,858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(23,247)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(149,198)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5"/>
            <w:shd w:val="clear" w:color="auto" w:fill="CCEEFF"/>
          </w:tcPr>
          <w:p>
            <w:pPr>
              <w:ind w:left="760"/>
              <w:spacing w:after="0"/>
              <w:rPr>
                <w:sz w:val="20"/>
                <w:szCs w:val="20"/>
                <w:color w:val="auto"/>
              </w:rPr>
            </w:pPr>
            <w:r>
              <w:rPr>
                <w:rFonts w:ascii="Arial" w:cs="Arial" w:eastAsia="Arial" w:hAnsi="Arial"/>
                <w:sz w:val="17"/>
                <w:szCs w:val="17"/>
                <w:b w:val="1"/>
                <w:bCs w:val="1"/>
                <w:color w:val="auto"/>
              </w:rPr>
              <w:t>N/A</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-393.4%</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Net financial income</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135,099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137,684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149,457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8.6%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10.6%</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(105,254)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(119,900)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(108,836)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8,339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16,424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3,241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-80.3%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-61.1%</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Traslations results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1,590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-124.9%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-64.4%</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EPS business deduction</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17,186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16,625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23,377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40.6%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36.0%</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Medical Assistance insurance deduction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(6,430)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(17,079)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(13,906)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-116.3%</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Income tax</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(1,550)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391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(1,399)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-457.4%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9.7%</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before minority interest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99,838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8,621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(96,698)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5"/>
            <w:shd w:val="clear" w:color="auto" w:fill="CCEEFF"/>
          </w:tcPr>
          <w:p>
            <w:pPr>
              <w:ind w:left="760"/>
              <w:spacing w:after="0"/>
              <w:rPr>
                <w:sz w:val="20"/>
                <w:szCs w:val="20"/>
                <w:color w:val="auto"/>
              </w:rPr>
            </w:pPr>
            <w:r>
              <w:rPr>
                <w:rFonts w:ascii="Arial" w:cs="Arial" w:eastAsia="Arial" w:hAnsi="Arial"/>
                <w:sz w:val="17"/>
                <w:szCs w:val="17"/>
                <w:b w:val="1"/>
                <w:bCs w:val="1"/>
                <w:color w:val="auto"/>
              </w:rPr>
              <w:t>N/A</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-196.9%</w:t>
            </w: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Non-controlling interest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(2,523)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(921)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(1,730)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-87.9%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31.4%</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97,315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7,701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(98,428)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5"/>
            <w:shd w:val="clear" w:color="auto" w:fill="CCEEFF"/>
          </w:tcPr>
          <w:p>
            <w:pPr>
              <w:ind w:left="760"/>
              <w:spacing w:after="0"/>
              <w:rPr>
                <w:sz w:val="20"/>
                <w:szCs w:val="20"/>
                <w:color w:val="auto"/>
              </w:rPr>
            </w:pPr>
            <w:r>
              <w:rPr>
                <w:rFonts w:ascii="Arial" w:cs="Arial" w:eastAsia="Arial" w:hAnsi="Arial"/>
                <w:sz w:val="17"/>
                <w:szCs w:val="17"/>
                <w:b w:val="1"/>
                <w:bCs w:val="1"/>
                <w:color w:val="auto"/>
              </w:rPr>
              <w:t>N/A</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-201.1%</w:t>
            </w:r>
          </w:p>
        </w:tc>
      </w:tr>
      <w:tr>
        <w:trPr>
          <w:trHeight w:val="202"/>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Ratios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4060" w:type="dxa"/>
            <w:vAlign w:val="bottom"/>
            <w:gridSpan w:val="2"/>
          </w:tcPr>
          <w:p>
            <w:pPr>
              <w:spacing w:after="0"/>
              <w:rPr>
                <w:sz w:val="20"/>
                <w:szCs w:val="20"/>
                <w:color w:val="auto"/>
              </w:rPr>
            </w:pPr>
            <w:r>
              <w:rPr>
                <w:rFonts w:ascii="Arial" w:cs="Arial" w:eastAsia="Arial" w:hAnsi="Arial"/>
                <w:sz w:val="17"/>
                <w:szCs w:val="17"/>
                <w:color w:val="auto"/>
              </w:rPr>
              <w:t>Ceded</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13.0%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20.6%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7"/>
                <w:szCs w:val="17"/>
                <w:color w:val="auto"/>
              </w:rPr>
              <w:t>-240bps</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520bps</w:t>
            </w:r>
          </w:p>
        </w:tc>
      </w:tr>
      <w:tr>
        <w:trPr>
          <w:trHeight w:val="239"/>
        </w:trPr>
        <w:tc>
          <w:tcPr>
            <w:tcW w:w="406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Loss ratio </w:t>
            </w:r>
            <w:r>
              <w:rPr>
                <w:rFonts w:ascii="Arial" w:cs="Arial" w:eastAsia="Arial" w:hAnsi="Arial"/>
                <w:sz w:val="27"/>
                <w:szCs w:val="27"/>
                <w:color w:val="auto"/>
                <w:vertAlign w:val="superscript"/>
              </w:rPr>
              <w:t>(1)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5"/>
            <w:shd w:val="clear" w:color="auto" w:fill="CCEEFF"/>
          </w:tcPr>
          <w:p>
            <w:pPr>
              <w:jc w:val="right"/>
              <w:ind w:right="500"/>
              <w:spacing w:after="0"/>
              <w:rPr>
                <w:sz w:val="20"/>
                <w:szCs w:val="20"/>
                <w:color w:val="auto"/>
              </w:rPr>
            </w:pPr>
            <w:r>
              <w:rPr>
                <w:rFonts w:ascii="Arial" w:cs="Arial" w:eastAsia="Arial" w:hAnsi="Arial"/>
                <w:sz w:val="17"/>
                <w:szCs w:val="17"/>
                <w:color w:val="auto"/>
              </w:rPr>
              <w:t>-2100bps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-3650bps</w:t>
            </w:r>
          </w:p>
        </w:tc>
      </w:tr>
      <w:tr>
        <w:trPr>
          <w:trHeight w:val="189"/>
        </w:trPr>
        <w:tc>
          <w:tcPr>
            <w:tcW w:w="4060" w:type="dxa"/>
            <w:vAlign w:val="bottom"/>
            <w:gridSpan w:val="2"/>
          </w:tcPr>
          <w:p>
            <w:pPr>
              <w:spacing w:after="0" w:line="189" w:lineRule="exact"/>
              <w:rPr>
                <w:sz w:val="20"/>
                <w:szCs w:val="20"/>
                <w:color w:val="auto"/>
              </w:rPr>
            </w:pPr>
            <w:r>
              <w:rPr>
                <w:rFonts w:ascii="Arial" w:cs="Arial" w:eastAsia="Arial" w:hAnsi="Arial"/>
                <w:sz w:val="17"/>
                <w:szCs w:val="17"/>
                <w:color w:val="auto"/>
              </w:rPr>
              <w:t>Fees + underwriting expenses, net / net earned</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4"/>
        </w:trPr>
        <w:tc>
          <w:tcPr>
            <w:tcW w:w="4060" w:type="dxa"/>
            <w:vAlign w:val="bottom"/>
            <w:gridSpan w:val="2"/>
          </w:tcPr>
          <w:p>
            <w:pPr>
              <w:spacing w:after="0"/>
              <w:rPr>
                <w:sz w:val="20"/>
                <w:szCs w:val="20"/>
                <w:color w:val="auto"/>
              </w:rPr>
            </w:pPr>
            <w:r>
              <w:rPr>
                <w:rFonts w:ascii="Arial" w:cs="Arial" w:eastAsia="Arial" w:hAnsi="Arial"/>
                <w:sz w:val="17"/>
                <w:szCs w:val="17"/>
                <w:color w:val="auto"/>
              </w:rPr>
              <w:t>premiums</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-32.2%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-26.5%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7"/>
                <w:szCs w:val="17"/>
                <w:color w:val="auto"/>
              </w:rPr>
              <w:t>170bps</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570bps</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 / net earned premiums</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5"/>
            <w:shd w:val="clear" w:color="auto" w:fill="CCEEFF"/>
          </w:tcPr>
          <w:p>
            <w:pPr>
              <w:jc w:val="right"/>
              <w:ind w:right="500"/>
              <w:spacing w:after="0"/>
              <w:rPr>
                <w:sz w:val="20"/>
                <w:szCs w:val="20"/>
                <w:color w:val="auto"/>
              </w:rPr>
            </w:pPr>
            <w:r>
              <w:rPr>
                <w:rFonts w:ascii="Arial" w:cs="Arial" w:eastAsia="Arial" w:hAnsi="Arial"/>
                <w:sz w:val="17"/>
                <w:szCs w:val="17"/>
                <w:color w:val="auto"/>
              </w:rPr>
              <w:t>150bps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-30bps</w:t>
            </w:r>
          </w:p>
        </w:tc>
      </w:tr>
      <w:tr>
        <w:trPr>
          <w:trHeight w:val="239"/>
        </w:trPr>
        <w:tc>
          <w:tcPr>
            <w:tcW w:w="4060" w:type="dxa"/>
            <w:vAlign w:val="bottom"/>
            <w:gridSpan w:val="2"/>
          </w:tcPr>
          <w:p>
            <w:pPr>
              <w:spacing w:after="0" w:line="239" w:lineRule="exact"/>
              <w:rPr>
                <w:sz w:val="20"/>
                <w:szCs w:val="20"/>
                <w:color w:val="auto"/>
              </w:rPr>
            </w:pPr>
            <w:r>
              <w:rPr>
                <w:rFonts w:ascii="Arial" w:cs="Arial" w:eastAsia="Arial" w:hAnsi="Arial"/>
                <w:sz w:val="27"/>
                <w:szCs w:val="27"/>
                <w:color w:val="auto"/>
                <w:vertAlign w:val="subscript"/>
              </w:rPr>
              <w:t>ROAE</w:t>
            </w:r>
            <w:r>
              <w:rPr>
                <w:rFonts w:ascii="Arial" w:cs="Arial" w:eastAsia="Arial" w:hAnsi="Arial"/>
                <w:sz w:val="12"/>
                <w:szCs w:val="12"/>
                <w:color w:val="auto"/>
              </w:rPr>
              <w:t xml:space="preserve"> (2)(3)</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14.5%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-14.5%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7"/>
                <w:szCs w:val="17"/>
                <w:color w:val="auto"/>
              </w:rPr>
              <w:t>-1570bps</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-2900bps</w:t>
            </w:r>
          </w:p>
        </w:tc>
      </w:tr>
      <w:tr>
        <w:trPr>
          <w:trHeight w:val="202"/>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Return on written premiums</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5"/>
            <w:shd w:val="clear" w:color="auto" w:fill="CCEEFF"/>
          </w:tcPr>
          <w:p>
            <w:pPr>
              <w:jc w:val="right"/>
              <w:ind w:right="500"/>
              <w:spacing w:after="0"/>
              <w:rPr>
                <w:sz w:val="20"/>
                <w:szCs w:val="20"/>
                <w:color w:val="auto"/>
              </w:rPr>
            </w:pPr>
            <w:r>
              <w:rPr>
                <w:rFonts w:ascii="Arial" w:cs="Arial" w:eastAsia="Arial" w:hAnsi="Arial"/>
                <w:sz w:val="17"/>
                <w:szCs w:val="17"/>
                <w:color w:val="auto"/>
              </w:rPr>
              <w:t>-1050bps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-2040bps</w:t>
            </w:r>
          </w:p>
        </w:tc>
      </w:tr>
      <w:tr>
        <w:trPr>
          <w:trHeight w:val="239"/>
        </w:trPr>
        <w:tc>
          <w:tcPr>
            <w:tcW w:w="406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Combined ratio of Life </w:t>
            </w:r>
            <w:r>
              <w:rPr>
                <w:rFonts w:ascii="Arial" w:cs="Arial" w:eastAsia="Arial" w:hAnsi="Arial"/>
                <w:sz w:val="27"/>
                <w:szCs w:val="27"/>
                <w:color w:val="auto"/>
                <w:vertAlign w:val="superscript"/>
              </w:rPr>
              <w:t>(4)</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87.6%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110.9%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133.4%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7"/>
                <w:szCs w:val="17"/>
                <w:color w:val="auto"/>
              </w:rPr>
              <w:t>2250bps</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4580bps</w:t>
            </w:r>
          </w:p>
        </w:tc>
      </w:tr>
      <w:tr>
        <w:trPr>
          <w:trHeight w:val="239"/>
        </w:trPr>
        <w:tc>
          <w:tcPr>
            <w:tcW w:w="406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 xml:space="preserve">Combined ratio of P&amp;C </w:t>
            </w:r>
            <w:r>
              <w:rPr>
                <w:rFonts w:ascii="Arial" w:cs="Arial" w:eastAsia="Arial" w:hAnsi="Arial"/>
                <w:sz w:val="27"/>
                <w:szCs w:val="27"/>
                <w:color w:val="auto"/>
                <w:vertAlign w:val="superscript"/>
              </w:rPr>
              <w:t>(5)</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5"/>
            <w:shd w:val="clear" w:color="auto" w:fill="CCEEFF"/>
          </w:tcPr>
          <w:p>
            <w:pPr>
              <w:jc w:val="right"/>
              <w:ind w:right="500"/>
              <w:spacing w:after="0"/>
              <w:rPr>
                <w:sz w:val="20"/>
                <w:szCs w:val="20"/>
                <w:color w:val="auto"/>
              </w:rPr>
            </w:pPr>
            <w:r>
              <w:rPr>
                <w:rFonts w:ascii="Arial" w:cs="Arial" w:eastAsia="Arial" w:hAnsi="Arial"/>
                <w:sz w:val="17"/>
                <w:szCs w:val="17"/>
                <w:color w:val="auto"/>
              </w:rPr>
              <w:t>410bps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-890bps</w:t>
            </w:r>
          </w:p>
        </w:tc>
      </w:tr>
      <w:tr>
        <w:trPr>
          <w:trHeight w:val="366"/>
        </w:trPr>
        <w:tc>
          <w:tcPr>
            <w:tcW w:w="4060" w:type="dxa"/>
            <w:vAlign w:val="bottom"/>
            <w:gridSpan w:val="2"/>
          </w:tcPr>
          <w:p>
            <w:pPr>
              <w:spacing w:after="0"/>
              <w:rPr>
                <w:sz w:val="20"/>
                <w:szCs w:val="20"/>
                <w:color w:val="auto"/>
              </w:rPr>
            </w:pPr>
            <w:r>
              <w:rPr>
                <w:rFonts w:ascii="Arial" w:cs="Arial" w:eastAsia="Arial" w:hAnsi="Arial"/>
                <w:sz w:val="17"/>
                <w:szCs w:val="17"/>
                <w:color w:val="auto"/>
              </w:rPr>
              <w:t xml:space="preserve">Equity requirement ratio </w:t>
            </w:r>
            <w:r>
              <w:rPr>
                <w:rFonts w:ascii="Arial" w:cs="Arial" w:eastAsia="Arial" w:hAnsi="Arial"/>
                <w:sz w:val="27"/>
                <w:szCs w:val="27"/>
                <w:color w:val="auto"/>
                <w:vertAlign w:val="superscript"/>
              </w:rPr>
              <w:t>(7)</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1.27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7"/>
                <w:szCs w:val="17"/>
                <w:color w:val="auto"/>
              </w:rPr>
              <w:t>-920bps</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-200bps</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without consolidation adjustments.</w:t>
      </w:r>
    </w:p>
    <w:p>
      <w:pPr>
        <w:spacing w:after="0" w:line="18" w:lineRule="exact"/>
        <w:rPr>
          <w:sz w:val="20"/>
          <w:szCs w:val="20"/>
          <w:color w:val="auto"/>
        </w:rPr>
      </w:pPr>
    </w:p>
    <w:p>
      <w:pPr>
        <w:ind w:left="240" w:hanging="239"/>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Excluding investments in real estate.</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Net claims / Net earned premiums.</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Includes unrealized gains.</w:t>
      </w:r>
    </w:p>
    <w:p>
      <w:pPr>
        <w:spacing w:after="0" w:line="6" w:lineRule="exact"/>
        <w:rPr>
          <w:rFonts w:ascii="Arial" w:cs="Arial" w:eastAsia="Arial" w:hAnsi="Arial"/>
          <w:sz w:val="17"/>
          <w:szCs w:val="17"/>
          <w:color w:val="auto"/>
        </w:rPr>
      </w:pPr>
    </w:p>
    <w:p>
      <w:pPr>
        <w:ind w:left="220" w:hanging="219"/>
        <w:spacing w:after="0"/>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Annualized and average are determined as the average of period beginning and period ending.</w:t>
      </w:r>
    </w:p>
    <w:p>
      <w:pPr>
        <w:spacing w:after="0" w:line="6" w:lineRule="exact"/>
        <w:rPr>
          <w:rFonts w:ascii="Arial" w:cs="Arial" w:eastAsia="Arial" w:hAnsi="Arial"/>
          <w:sz w:val="17"/>
          <w:szCs w:val="17"/>
          <w:color w:val="auto"/>
        </w:rPr>
      </w:pPr>
    </w:p>
    <w:p>
      <w:pPr>
        <w:ind w:firstLine="1"/>
        <w:spacing w:after="0" w:line="247" w:lineRule="auto"/>
        <w:tabs>
          <w:tab w:leader="none" w:pos="25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(Net claims / Net earned premiums) + Reserves / Net earned premiums) + [(Acquisition cost + total expenses) / Net earned premiums] - (Net Financial Income without real state sales, securities sales, impairment loss and fluctuation / Net earned premiums).</w:t>
      </w:r>
    </w:p>
    <w:p>
      <w:pPr>
        <w:ind w:left="240" w:hanging="239"/>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(Net claims / Net earned premiums) + [(Acquisition cost + total expenses) / Net earned premiums].</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Support to cover credit risk, market risk and operational risk.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From 1Q15 and on, Grupo Pacifico’s financial statements reflect the association with Banmedica. This partnership includes:</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private health insurance business, which is managed by Grupo Pacifico and incorporated in each line of Grupo Pacifico’s financial statements; corporate health insurance for payroll employees; and medical services.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explained before, corporate health insurance and medical services businesses are consolidated by Banmedica. The following table reflects the consolidated results from which Grupo Pacifico receives the 50% net income.</w:t>
      </w:r>
    </w:p>
    <w:p>
      <w:pPr>
        <w:spacing w:after="0" w:line="6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Seguro de Salud Corporativo y Servicios Médicos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(En miles de 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7"/>
                <w:szCs w:val="17"/>
                <w:b w:val="1"/>
                <w:bCs w:val="1"/>
                <w:color w:val="auto"/>
              </w:rPr>
              <w:t>% change</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4060" w:type="dxa"/>
            <w:vAlign w:val="bottom"/>
          </w:tcPr>
          <w:p>
            <w:pPr>
              <w:spacing w:after="0"/>
              <w:rPr>
                <w:sz w:val="16"/>
                <w:szCs w:val="16"/>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1Q20</w:t>
            </w:r>
          </w:p>
        </w:tc>
        <w:tc>
          <w:tcPr>
            <w:tcW w:w="14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4Q20</w:t>
            </w:r>
          </w:p>
        </w:tc>
        <w:tc>
          <w:tcPr>
            <w:tcW w:w="1220" w:type="dxa"/>
            <w:vAlign w:val="bottom"/>
          </w:tcPr>
          <w:p>
            <w:pPr>
              <w:ind w:left="480"/>
              <w:spacing w:after="0"/>
              <w:rPr>
                <w:sz w:val="20"/>
                <w:szCs w:val="20"/>
                <w:color w:val="auto"/>
              </w:rPr>
            </w:pPr>
            <w:r>
              <w:rPr>
                <w:rFonts w:ascii="Arial" w:cs="Arial" w:eastAsia="Arial" w:hAnsi="Arial"/>
                <w:sz w:val="17"/>
                <w:szCs w:val="17"/>
                <w:b w:val="1"/>
                <w:bCs w:val="1"/>
                <w:color w:val="auto"/>
              </w:rPr>
              <w:t>1Q21</w:t>
            </w:r>
          </w:p>
        </w:tc>
        <w:tc>
          <w:tcPr>
            <w:tcW w:w="220" w:type="dxa"/>
            <w:vAlign w:val="bottom"/>
          </w:tcPr>
          <w:p>
            <w:pPr>
              <w:spacing w:after="0"/>
              <w:rPr>
                <w:sz w:val="16"/>
                <w:szCs w:val="16"/>
                <w:color w:val="auto"/>
              </w:rPr>
            </w:pPr>
          </w:p>
        </w:tc>
        <w:tc>
          <w:tcPr>
            <w:tcW w:w="1860" w:type="dxa"/>
            <w:vAlign w:val="bottom"/>
            <w:gridSpan w:val="3"/>
          </w:tcPr>
          <w:p>
            <w:pPr>
              <w:ind w:left="480"/>
              <w:spacing w:after="0"/>
              <w:rPr>
                <w:sz w:val="20"/>
                <w:szCs w:val="20"/>
                <w:color w:val="auto"/>
              </w:rPr>
            </w:pPr>
            <w:r>
              <w:rPr>
                <w:rFonts w:ascii="Arial" w:cs="Arial" w:eastAsia="Arial" w:hAnsi="Arial"/>
                <w:sz w:val="17"/>
                <w:szCs w:val="17"/>
                <w:b w:val="1"/>
                <w:bCs w:val="1"/>
                <w:color w:val="auto"/>
              </w:rPr>
              <w:t>QoQ</w:t>
            </w:r>
          </w:p>
        </w:tc>
        <w:tc>
          <w:tcPr>
            <w:tcW w:w="860" w:type="dxa"/>
            <w:vAlign w:val="bottom"/>
          </w:tcPr>
          <w:p>
            <w:pPr>
              <w:ind w:left="140"/>
              <w:spacing w:after="0"/>
              <w:rPr>
                <w:sz w:val="20"/>
                <w:szCs w:val="20"/>
                <w:color w:val="auto"/>
              </w:rPr>
            </w:pPr>
            <w:r>
              <w:rPr>
                <w:rFonts w:ascii="Arial" w:cs="Arial" w:eastAsia="Arial" w:hAnsi="Arial"/>
                <w:sz w:val="17"/>
                <w:szCs w:val="17"/>
                <w:b w:val="1"/>
                <w:bCs w:val="1"/>
                <w:color w:val="auto"/>
              </w:rPr>
              <w:t>YoY</w:t>
            </w:r>
          </w:p>
        </w:tc>
        <w:tc>
          <w:tcPr>
            <w:tcW w:w="160" w:type="dxa"/>
            <w:vAlign w:val="bottom"/>
          </w:tcPr>
          <w:p>
            <w:pPr>
              <w:spacing w:after="0"/>
              <w:rPr>
                <w:sz w:val="16"/>
                <w:szCs w:val="16"/>
                <w:color w:val="auto"/>
              </w:rPr>
            </w:pPr>
          </w:p>
        </w:tc>
      </w:tr>
      <w:tr>
        <w:trPr>
          <w:trHeight w:val="194"/>
        </w:trPr>
        <w:tc>
          <w:tcPr>
            <w:tcW w:w="4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Results</w:t>
            </w: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Net earned premiums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278,256</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288,742</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277,944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3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Net claims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(213,978)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(223,322)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(215,638)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-0.8%</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Net fees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(12,118)</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(11,583)</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(12,309)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-6.3%</w:t>
            </w:r>
          </w:p>
        </w:tc>
        <w:tc>
          <w:tcPr>
            <w:tcW w:w="3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Net underwriting expenses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(2,845)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(1,997)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(2,877)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-44.1%</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Underwriting result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49,315</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51,839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47,120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-9.1%</w:t>
            </w:r>
          </w:p>
        </w:tc>
        <w:tc>
          <w:tcPr>
            <w:tcW w:w="3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-4.5%</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Net financial income</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1,671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1,188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-28.9%</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123.2%</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Total expenses</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(19,659)</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(28,515)</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(20,709)</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27.4%</w:t>
            </w:r>
          </w:p>
        </w:tc>
        <w:tc>
          <w:tcPr>
            <w:tcW w:w="3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-5.3%</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2,280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-118.3%</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-271.1%</w:t>
            </w:r>
          </w:p>
        </w:tc>
      </w:tr>
      <w:tr>
        <w:trPr>
          <w:trHeight w:val="202"/>
        </w:trPr>
        <w:tc>
          <w:tcPr>
            <w:tcW w:w="4060" w:type="dxa"/>
            <w:vAlign w:val="bottom"/>
          </w:tcPr>
          <w:p>
            <w:pPr>
              <w:spacing w:after="0"/>
              <w:rPr>
                <w:sz w:val="20"/>
                <w:szCs w:val="20"/>
                <w:color w:val="auto"/>
              </w:rPr>
            </w:pPr>
            <w:r>
              <w:rPr>
                <w:rFonts w:ascii="Arial" w:cs="Arial" w:eastAsia="Arial" w:hAnsi="Arial"/>
                <w:sz w:val="17"/>
                <w:szCs w:val="17"/>
                <w:color w:val="auto"/>
              </w:rPr>
              <w:t>Traslations results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919</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271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1,385</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411.4%</w:t>
            </w:r>
          </w:p>
        </w:tc>
        <w:tc>
          <w:tcPr>
            <w:tcW w:w="3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50.7%</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Income tax</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(9,825)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(8,645)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w:t>
            </w:r>
          </w:p>
        </w:tc>
      </w:t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Net income before Medical services</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21,526</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18,523</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19,921</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7.6%</w:t>
            </w:r>
          </w:p>
        </w:tc>
        <w:tc>
          <w:tcPr>
            <w:tcW w:w="3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-7.5%</w:t>
            </w: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of Medical services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12,765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14,647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26,750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82.6%</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109.6%</w:t>
            </w:r>
          </w:p>
        </w:tc>
      </w:tr>
      <w:tr>
        <w:trPr>
          <w:trHeight w:val="218"/>
        </w:trPr>
        <w:tc>
          <w:tcPr>
            <w:tcW w:w="406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34,290</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33,170</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46,671</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40.7%</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36.1%</w:t>
            </w:r>
          </w:p>
        </w:tc>
      </w:tr>
      <w:tr>
        <w:trPr>
          <w:trHeight w:val="286"/>
        </w:trPr>
        <w:tc>
          <w:tcPr>
            <w:tcW w:w="4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77</w:t>
            </w:r>
          </w:p>
        </w:tc>
      </w:tr>
    </w:tbl>
    <w:p>
      <w:pPr>
        <w:sectPr>
          <w:pgSz w:w="11900" w:h="16838" w:orient="portrait"/>
          <w:cols w:equalWidth="0" w:num="1">
            <w:col w:w="11240"/>
          </w:cols>
          <w:pgMar w:left="320" w:top="551"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20" w:type="dxa"/>
            <w:vAlign w:val="bottom"/>
          </w:tcPr>
          <w:p>
            <w:pPr>
              <w:spacing w:after="0"/>
              <w:rPr>
                <w:sz w:val="20"/>
                <w:szCs w:val="20"/>
                <w:color w:val="auto"/>
              </w:rPr>
            </w:pPr>
            <w:r>
              <w:rPr>
                <w:rFonts w:ascii="Arial" w:cs="Arial" w:eastAsia="Arial" w:hAnsi="Arial"/>
                <w:sz w:val="17"/>
                <w:szCs w:val="17"/>
                <w:b w:val="1"/>
                <w:bCs w:val="1"/>
                <w:color w:val="auto"/>
              </w:rPr>
              <w:t>12.10. Prima AFP</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Quarter</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860"/>
              <w:spacing w:after="0"/>
              <w:rPr>
                <w:sz w:val="20"/>
                <w:szCs w:val="20"/>
                <w:color w:val="auto"/>
              </w:rPr>
            </w:pPr>
            <w:r>
              <w:rPr>
                <w:rFonts w:ascii="Arial" w:cs="Arial" w:eastAsia="Arial" w:hAnsi="Arial"/>
                <w:sz w:val="17"/>
                <w:szCs w:val="17"/>
                <w:b w:val="1"/>
                <w:bCs w:val="1"/>
                <w:color w:val="auto"/>
              </w:rPr>
              <w:t>% change</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1Q20</w:t>
            </w: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4Q20</w:t>
            </w: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1Q21</w:t>
            </w: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QoQ</w:t>
            </w:r>
          </w:p>
        </w:tc>
        <w:tc>
          <w:tcPr>
            <w:tcW w:w="360" w:type="dxa"/>
            <w:vAlign w:val="bottom"/>
            <w:tcBorders>
              <w:bottom w:val="single" w:sz="8" w:color="CCEEFF"/>
            </w:tcBorders>
            <w:gridSpan w:val="2"/>
          </w:tcPr>
          <w:p>
            <w:pPr>
              <w:spacing w:after="0"/>
              <w:rPr>
                <w:sz w:val="16"/>
                <w:szCs w:val="16"/>
                <w:color w:val="auto"/>
              </w:rPr>
            </w:pPr>
          </w:p>
        </w:tc>
        <w:tc>
          <w:tcPr>
            <w:tcW w:w="420" w:type="dxa"/>
            <w:vAlign w:val="bottom"/>
            <w:tcBorders>
              <w:bottom w:val="single" w:sz="8" w:color="auto"/>
            </w:tcBorders>
            <w:gridSpan w:val="2"/>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YoY</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from commissions</w:t>
            </w:r>
          </w:p>
        </w:tc>
        <w:tc>
          <w:tcPr>
            <w:tcW w:w="1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103,233</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87,314</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97,600</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Arial" w:cs="Arial" w:eastAsia="Arial" w:hAnsi="Arial"/>
                <w:sz w:val="17"/>
                <w:szCs w:val="17"/>
                <w:color w:val="auto"/>
              </w:rPr>
              <w:t>Administrative and sale expenses</w:t>
            </w:r>
          </w:p>
        </w:tc>
        <w:tc>
          <w:tcPr>
            <w:tcW w:w="1500" w:type="dxa"/>
            <w:vAlign w:val="bottom"/>
            <w:gridSpan w:val="3"/>
          </w:tcPr>
          <w:p>
            <w:pPr>
              <w:jc w:val="right"/>
              <w:ind w:right="260"/>
              <w:spacing w:after="0"/>
              <w:rPr>
                <w:sz w:val="20"/>
                <w:szCs w:val="20"/>
                <w:color w:val="auto"/>
              </w:rPr>
            </w:pPr>
            <w:r>
              <w:rPr>
                <w:rFonts w:ascii="Arial" w:cs="Arial" w:eastAsia="Arial" w:hAnsi="Arial"/>
                <w:sz w:val="17"/>
                <w:szCs w:val="17"/>
                <w:color w:val="auto"/>
              </w:rPr>
              <w:t>(35,807)</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(33,670)</w:t>
            </w:r>
          </w:p>
        </w:tc>
        <w:tc>
          <w:tcPr>
            <w:tcW w:w="2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(38,878)</w:t>
            </w:r>
          </w:p>
        </w:tc>
        <w:tc>
          <w:tcPr>
            <w:tcW w:w="4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15.5%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5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(6,100)</w:t>
            </w:r>
          </w:p>
        </w:tc>
        <w:tc>
          <w:tcPr>
            <w:tcW w:w="2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(5,795)</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(5,923)</w:t>
            </w:r>
          </w:p>
        </w:tc>
        <w:tc>
          <w:tcPr>
            <w:tcW w:w="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Arial" w:cs="Arial" w:eastAsia="Arial" w:hAnsi="Arial"/>
                <w:sz w:val="17"/>
                <w:szCs w:val="17"/>
                <w:b w:val="1"/>
                <w:bCs w:val="1"/>
                <w:color w:val="auto"/>
              </w:rPr>
              <w:t>Operating income</w:t>
            </w:r>
          </w:p>
        </w:tc>
        <w:tc>
          <w:tcPr>
            <w:tcW w:w="150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61,326</w:t>
            </w:r>
          </w:p>
        </w:tc>
        <w:tc>
          <w:tcPr>
            <w:tcW w:w="20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47,849</w:t>
            </w:r>
          </w:p>
        </w:tc>
        <w:tc>
          <w:tcPr>
            <w:tcW w:w="20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52,799</w:t>
            </w:r>
          </w:p>
        </w:tc>
        <w:tc>
          <w:tcPr>
            <w:tcW w:w="40" w:type="dxa"/>
            <w:vAlign w:val="bottom"/>
          </w:tcPr>
          <w:p>
            <w:pPr>
              <w:spacing w:after="0"/>
              <w:rPr>
                <w:sz w:val="17"/>
                <w:szCs w:val="17"/>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-13.9%</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w w:val="95"/>
              </w:rPr>
              <w:t>Other income and expenses, net (profitability of lace)</w:t>
            </w:r>
          </w:p>
        </w:tc>
        <w:tc>
          <w:tcPr>
            <w:tcW w:w="15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(44,933)</w:t>
            </w:r>
          </w:p>
        </w:tc>
        <w:tc>
          <w:tcPr>
            <w:tcW w:w="2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36,425</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(1,554)</w:t>
            </w:r>
          </w:p>
        </w:tc>
        <w:tc>
          <w:tcPr>
            <w:tcW w:w="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Arial" w:cs="Arial" w:eastAsia="Arial" w:hAnsi="Arial"/>
                <w:sz w:val="17"/>
                <w:szCs w:val="17"/>
                <w:color w:val="auto"/>
              </w:rPr>
              <w:t>Income tax</w:t>
            </w:r>
          </w:p>
        </w:tc>
        <w:tc>
          <w:tcPr>
            <w:tcW w:w="1500" w:type="dxa"/>
            <w:vAlign w:val="bottom"/>
            <w:gridSpan w:val="3"/>
          </w:tcPr>
          <w:p>
            <w:pPr>
              <w:jc w:val="right"/>
              <w:ind w:right="260"/>
              <w:spacing w:after="0"/>
              <w:rPr>
                <w:sz w:val="20"/>
                <w:szCs w:val="20"/>
                <w:color w:val="auto"/>
              </w:rPr>
            </w:pPr>
            <w:r>
              <w:rPr>
                <w:rFonts w:ascii="Arial" w:cs="Arial" w:eastAsia="Arial" w:hAnsi="Arial"/>
                <w:sz w:val="17"/>
                <w:szCs w:val="17"/>
                <w:color w:val="auto"/>
              </w:rPr>
              <w:t>(20,155)</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(21,190)</w:t>
            </w:r>
          </w:p>
        </w:tc>
        <w:tc>
          <w:tcPr>
            <w:tcW w:w="2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(16,227)</w:t>
            </w:r>
          </w:p>
        </w:tc>
        <w:tc>
          <w:tcPr>
            <w:tcW w:w="4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-23.4%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before translation results</w:t>
            </w:r>
          </w:p>
        </w:tc>
        <w:tc>
          <w:tcPr>
            <w:tcW w:w="15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(3,762)</w:t>
            </w:r>
          </w:p>
        </w:tc>
        <w:tc>
          <w:tcPr>
            <w:tcW w:w="2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63,084</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35,018</w:t>
            </w:r>
          </w:p>
        </w:tc>
        <w:tc>
          <w:tcPr>
            <w:tcW w:w="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-44.5%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-1030.8%</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Arial" w:cs="Arial" w:eastAsia="Arial" w:hAnsi="Arial"/>
                <w:sz w:val="17"/>
                <w:szCs w:val="17"/>
                <w:color w:val="auto"/>
              </w:rPr>
              <w:t>Translations results</w:t>
            </w:r>
          </w:p>
        </w:tc>
        <w:tc>
          <w:tcPr>
            <w:tcW w:w="1500" w:type="dxa"/>
            <w:vAlign w:val="bottom"/>
            <w:gridSpan w:val="3"/>
          </w:tcPr>
          <w:p>
            <w:pPr>
              <w:jc w:val="right"/>
              <w:ind w:right="260"/>
              <w:spacing w:after="0"/>
              <w:rPr>
                <w:sz w:val="20"/>
                <w:szCs w:val="20"/>
                <w:color w:val="auto"/>
              </w:rPr>
            </w:pPr>
            <w:r>
              <w:rPr>
                <w:rFonts w:ascii="Arial" w:cs="Arial" w:eastAsia="Arial" w:hAnsi="Arial"/>
                <w:sz w:val="17"/>
                <w:szCs w:val="17"/>
                <w:color w:val="auto"/>
              </w:rPr>
              <w:t>(317)</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(134)</w:t>
            </w:r>
          </w:p>
        </w:tc>
        <w:tc>
          <w:tcPr>
            <w:tcW w:w="2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(422)</w:t>
            </w:r>
          </w:p>
        </w:tc>
        <w:tc>
          <w:tcPr>
            <w:tcW w:w="4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215.7%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5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(4,079)</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62,950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34,596</w:t>
            </w: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-948.1%</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line="251" w:lineRule="exact"/>
              <w:rPr>
                <w:sz w:val="20"/>
                <w:szCs w:val="20"/>
                <w:color w:val="auto"/>
              </w:rPr>
            </w:pPr>
            <w:r>
              <w:rPr>
                <w:rFonts w:ascii="Arial" w:cs="Arial" w:eastAsia="Arial" w:hAnsi="Arial"/>
                <w:sz w:val="17"/>
                <w:szCs w:val="17"/>
                <w:b w:val="1"/>
                <w:bCs w:val="1"/>
                <w:color w:val="auto"/>
              </w:rPr>
              <w:t xml:space="preserve">ROAE </w:t>
            </w:r>
            <w:r>
              <w:rPr>
                <w:rFonts w:ascii="Arial" w:cs="Arial" w:eastAsia="Arial" w:hAnsi="Arial"/>
                <w:sz w:val="27"/>
                <w:szCs w:val="27"/>
                <w:b w:val="1"/>
                <w:bCs w:val="1"/>
                <w:color w:val="auto"/>
                <w:vertAlign w:val="superscript"/>
              </w:rPr>
              <w:t>(1)</w:t>
            </w: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820" w:type="dxa"/>
            <w:vAlign w:val="bottom"/>
            <w:vMerge w:val="continue"/>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-2.6%</w:t>
            </w:r>
          </w:p>
        </w:tc>
        <w:tc>
          <w:tcPr>
            <w:tcW w:w="2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37.7%</w:t>
            </w: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21.3%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5"/>
          </w:tcPr>
          <w:p>
            <w:pPr>
              <w:ind w:left="620"/>
              <w:spacing w:after="0"/>
              <w:rPr>
                <w:sz w:val="20"/>
                <w:szCs w:val="20"/>
                <w:color w:val="auto"/>
              </w:rPr>
            </w:pPr>
            <w:r>
              <w:rPr>
                <w:rFonts w:ascii="Arial" w:cs="Arial" w:eastAsia="Arial" w:hAnsi="Arial"/>
                <w:sz w:val="17"/>
                <w:szCs w:val="17"/>
                <w:b w:val="1"/>
                <w:bCs w:val="1"/>
                <w:color w:val="auto"/>
              </w:rPr>
              <w:t>-1639pbs</w:t>
            </w:r>
          </w:p>
        </w:tc>
        <w:tc>
          <w:tcPr>
            <w:tcW w:w="1040" w:type="dxa"/>
            <w:vAlign w:val="bottom"/>
            <w:gridSpan w:val="3"/>
          </w:tcPr>
          <w:p>
            <w:pPr>
              <w:jc w:val="right"/>
              <w:spacing w:after="0"/>
              <w:rPr>
                <w:sz w:val="20"/>
                <w:szCs w:val="20"/>
                <w:color w:val="auto"/>
              </w:rPr>
            </w:pPr>
            <w:r>
              <w:rPr>
                <w:rFonts w:ascii="Arial" w:cs="Arial" w:eastAsia="Arial" w:hAnsi="Arial"/>
                <w:sz w:val="17"/>
                <w:szCs w:val="17"/>
                <w:b w:val="1"/>
                <w:bCs w:val="1"/>
                <w:color w:val="auto"/>
              </w:rPr>
              <w:t>2391pbs</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As of</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Borders>
              <w:bottom w:val="single" w:sz="8" w:color="auto"/>
            </w:tcBorders>
            <w:gridSpan w:val="5"/>
          </w:tcPr>
          <w:p>
            <w:pPr>
              <w:ind w:left="1000"/>
              <w:spacing w:after="0"/>
              <w:rPr>
                <w:sz w:val="20"/>
                <w:szCs w:val="20"/>
                <w:color w:val="auto"/>
              </w:rPr>
            </w:pPr>
            <w:r>
              <w:rPr>
                <w:rFonts w:ascii="Arial" w:cs="Arial" w:eastAsia="Arial" w:hAnsi="Arial"/>
                <w:sz w:val="17"/>
                <w:szCs w:val="17"/>
                <w:b w:val="1"/>
                <w:bCs w:val="1"/>
                <w:color w:val="auto"/>
                <w:w w:val="98"/>
              </w:rPr>
              <w:t>% change</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1Q20</w:t>
            </w:r>
          </w:p>
        </w:tc>
        <w:tc>
          <w:tcPr>
            <w:tcW w:w="2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4Q20</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1Q21</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QoQ</w:t>
            </w:r>
          </w:p>
        </w:tc>
        <w:tc>
          <w:tcPr>
            <w:tcW w:w="26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YoY</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973,862</w:t>
            </w:r>
          </w:p>
        </w:tc>
        <w:tc>
          <w:tcPr>
            <w:tcW w:w="20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1,107,706</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1,016,650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Arial" w:cs="Arial" w:eastAsia="Arial" w:hAnsi="Arial"/>
                <w:sz w:val="17"/>
                <w:szCs w:val="17"/>
                <w:color w:val="auto"/>
              </w:rPr>
              <w:t>Total liabilities</w:t>
            </w:r>
          </w:p>
        </w:tc>
        <w:tc>
          <w:tcPr>
            <w:tcW w:w="1700" w:type="dxa"/>
            <w:vAlign w:val="bottom"/>
            <w:gridSpan w:val="4"/>
          </w:tcPr>
          <w:p>
            <w:pPr>
              <w:jc w:val="right"/>
              <w:ind w:right="220"/>
              <w:spacing w:after="0"/>
              <w:rPr>
                <w:sz w:val="20"/>
                <w:szCs w:val="20"/>
                <w:color w:val="auto"/>
              </w:rPr>
            </w:pPr>
            <w:r>
              <w:rPr>
                <w:rFonts w:ascii="Arial" w:cs="Arial" w:eastAsia="Arial" w:hAnsi="Arial"/>
                <w:sz w:val="17"/>
                <w:szCs w:val="17"/>
                <w:color w:val="auto"/>
              </w:rPr>
              <w:t>426,510</w:t>
            </w:r>
          </w:p>
        </w:tc>
        <w:tc>
          <w:tcPr>
            <w:tcW w:w="1460" w:type="dxa"/>
            <w:vAlign w:val="bottom"/>
            <w:gridSpan w:val="3"/>
          </w:tcPr>
          <w:p>
            <w:pPr>
              <w:jc w:val="right"/>
              <w:ind w:right="200"/>
              <w:spacing w:after="0"/>
              <w:rPr>
                <w:sz w:val="20"/>
                <w:szCs w:val="20"/>
                <w:color w:val="auto"/>
              </w:rPr>
            </w:pPr>
            <w:r>
              <w:rPr>
                <w:rFonts w:ascii="Arial" w:cs="Arial" w:eastAsia="Arial" w:hAnsi="Arial"/>
                <w:sz w:val="17"/>
                <w:szCs w:val="17"/>
                <w:color w:val="auto"/>
              </w:rPr>
              <w:t>407,536</w:t>
            </w:r>
          </w:p>
        </w:tc>
        <w:tc>
          <w:tcPr>
            <w:tcW w:w="1260" w:type="dxa"/>
            <w:vAlign w:val="bottom"/>
            <w:gridSpan w:val="3"/>
          </w:tcPr>
          <w:p>
            <w:pPr>
              <w:jc w:val="right"/>
              <w:ind w:right="40"/>
              <w:spacing w:after="0"/>
              <w:rPr>
                <w:sz w:val="20"/>
                <w:szCs w:val="20"/>
                <w:color w:val="auto"/>
              </w:rPr>
            </w:pPr>
            <w:r>
              <w:rPr>
                <w:rFonts w:ascii="Arial" w:cs="Arial" w:eastAsia="Arial" w:hAnsi="Arial"/>
                <w:sz w:val="17"/>
                <w:szCs w:val="17"/>
                <w:color w:val="auto"/>
              </w:rPr>
              <w:t>416,933</w:t>
            </w:r>
          </w:p>
        </w:tc>
        <w:tc>
          <w:tcPr>
            <w:tcW w:w="1540" w:type="dxa"/>
            <w:vAlign w:val="bottom"/>
            <w:gridSpan w:val="4"/>
          </w:tcPr>
          <w:p>
            <w:pPr>
              <w:jc w:val="right"/>
              <w:ind w:right="2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Net shareholders’ equity</w:t>
            </w:r>
          </w:p>
        </w:tc>
        <w:tc>
          <w:tcPr>
            <w:tcW w:w="17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547,352</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700,170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599,717</w:t>
            </w:r>
          </w:p>
        </w:tc>
        <w:tc>
          <w:tcPr>
            <w:tcW w:w="15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40" w:hanging="239"/>
        <w:spacing w:after="0"/>
        <w:tabs>
          <w:tab w:leader="none" w:pos="2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net profitability of lace and mutual funds is being presented net of taxes, for which the retroactive change was made (it was presented gross before)</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(1) Net shareholders’ equity includes unrealized gains from Prima’s investment portfolio.</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20" w:type="dxa"/>
            <w:vAlign w:val="bottom"/>
            <w:gridSpan w:val="2"/>
          </w:tcPr>
          <w:p>
            <w:pPr>
              <w:spacing w:after="0"/>
              <w:rPr>
                <w:sz w:val="20"/>
                <w:szCs w:val="20"/>
                <w:color w:val="auto"/>
              </w:rPr>
            </w:pPr>
            <w:r>
              <w:rPr>
                <w:rFonts w:ascii="Arial" w:cs="Arial" w:eastAsia="Arial" w:hAnsi="Arial"/>
                <w:sz w:val="17"/>
                <w:szCs w:val="17"/>
                <w:b w:val="1"/>
                <w:bCs w:val="1"/>
                <w:color w:val="auto"/>
              </w:rPr>
              <w:t>Funds under management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6"/>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Funds under management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7"/>
                <w:szCs w:val="17"/>
                <w:b w:val="1"/>
                <w:bCs w:val="1"/>
                <w:color w:val="auto"/>
                <w:w w:val="94"/>
              </w:rPr>
              <w:t>Dec 20</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7"/>
                <w:szCs w:val="17"/>
                <w:b w:val="1"/>
                <w:bCs w:val="1"/>
                <w:color w:val="auto"/>
                <w:w w:val="88"/>
              </w:rPr>
              <w:t>% share</w:t>
            </w: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3"/>
          </w:tcPr>
          <w:p>
            <w:pPr>
              <w:spacing w:after="0"/>
              <w:rPr>
                <w:sz w:val="24"/>
                <w:szCs w:val="24"/>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Mar 21</w:t>
            </w:r>
          </w:p>
        </w:tc>
        <w:tc>
          <w:tcPr>
            <w:tcW w:w="200" w:type="dxa"/>
            <w:vAlign w:val="bottom"/>
            <w:tcBorders>
              <w:bottom w:val="single" w:sz="8" w:color="CCEEFF"/>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 share</w:t>
            </w:r>
          </w:p>
        </w:tc>
        <w:tc>
          <w:tcPr>
            <w:tcW w:w="140" w:type="dxa"/>
            <w:vAlign w:val="bottom"/>
            <w:tcBorders>
              <w:bottom w:val="single" w:sz="8" w:color="CCEEFF"/>
            </w:tcBorders>
          </w:tcPr>
          <w:p>
            <w:pPr>
              <w:spacing w:after="0"/>
              <w:rPr>
                <w:sz w:val="24"/>
                <w:szCs w:val="24"/>
                <w:color w:val="auto"/>
              </w:rPr>
            </w:pPr>
          </w:p>
        </w:tc>
      </w:tr>
      <w:tr>
        <w:trPr>
          <w:trHeight w:val="194"/>
        </w:trPr>
        <w:tc>
          <w:tcPr>
            <w:tcW w:w="27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Fund 0</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1,084</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2.2%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2.3%</w:t>
            </w:r>
          </w:p>
        </w:tc>
      </w:tr>
      <w:tr>
        <w:trPr>
          <w:trHeight w:val="202"/>
        </w:trPr>
        <w:tc>
          <w:tcPr>
            <w:tcW w:w="2720" w:type="dxa"/>
            <w:vAlign w:val="bottom"/>
            <w:gridSpan w:val="2"/>
          </w:tcPr>
          <w:p>
            <w:pPr>
              <w:spacing w:after="0"/>
              <w:rPr>
                <w:sz w:val="20"/>
                <w:szCs w:val="20"/>
                <w:color w:val="auto"/>
              </w:rPr>
            </w:pPr>
            <w:r>
              <w:rPr>
                <w:rFonts w:ascii="Arial" w:cs="Arial" w:eastAsia="Arial" w:hAnsi="Arial"/>
                <w:sz w:val="17"/>
                <w:szCs w:val="17"/>
                <w:color w:val="auto"/>
              </w:rPr>
              <w:t>Fund 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7,817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36"/>
              <w:spacing w:after="0"/>
              <w:rPr>
                <w:sz w:val="20"/>
                <w:szCs w:val="20"/>
                <w:color w:val="auto"/>
              </w:rPr>
            </w:pPr>
            <w:r>
              <w:rPr>
                <w:rFonts w:ascii="Arial" w:cs="Arial" w:eastAsia="Arial" w:hAnsi="Arial"/>
                <w:sz w:val="17"/>
                <w:szCs w:val="17"/>
                <w:color w:val="auto"/>
              </w:rPr>
              <w:t>15.7%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7,495</w:t>
            </w:r>
          </w:p>
        </w:tc>
        <w:tc>
          <w:tcPr>
            <w:tcW w:w="10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15.6%</w:t>
            </w: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 2</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35,732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71.8%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34,377</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71.3%</w:t>
            </w:r>
          </w:p>
        </w:tc>
      </w:tr>
      <w:tr>
        <w:trPr>
          <w:trHeight w:val="214"/>
        </w:trPr>
        <w:tc>
          <w:tcPr>
            <w:tcW w:w="2720" w:type="dxa"/>
            <w:vAlign w:val="bottom"/>
            <w:gridSpan w:val="2"/>
          </w:tcPr>
          <w:p>
            <w:pPr>
              <w:spacing w:after="0"/>
              <w:rPr>
                <w:sz w:val="20"/>
                <w:szCs w:val="20"/>
                <w:color w:val="auto"/>
              </w:rPr>
            </w:pPr>
            <w:r>
              <w:rPr>
                <w:rFonts w:ascii="Arial" w:cs="Arial" w:eastAsia="Arial" w:hAnsi="Arial"/>
                <w:sz w:val="17"/>
                <w:szCs w:val="17"/>
                <w:color w:val="auto"/>
              </w:rPr>
              <w:t>Fund 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5,157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6"/>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5,218</w:t>
            </w:r>
          </w:p>
        </w:tc>
        <w:tc>
          <w:tcPr>
            <w:tcW w:w="1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10.8%</w:t>
            </w:r>
          </w:p>
        </w:tc>
      </w:tr>
      <w:tr>
        <w:trPr>
          <w:trHeight w:val="194"/>
        </w:trPr>
        <w:tc>
          <w:tcPr>
            <w:tcW w:w="272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S/ Millions</w:t>
            </w: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49,790</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100</w:t>
            </w:r>
          </w:p>
        </w:tc>
        <w:tc>
          <w:tcPr>
            <w:tcW w:w="260" w:type="dxa"/>
            <w:vAlign w:val="bottom"/>
            <w:tcBorders>
              <w:top w:val="single" w:sz="8" w:color="CCEEFF"/>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w w:val="79"/>
              </w:rPr>
              <w:t>%</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48,198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100</w:t>
            </w:r>
          </w:p>
        </w:tc>
        <w:tc>
          <w:tcPr>
            <w:tcW w:w="14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w:t>
            </w:r>
          </w:p>
        </w:tc>
      </w:tr>
      <w:tr>
        <w:trPr>
          <w:trHeight w:val="395"/>
        </w:trPr>
        <w:tc>
          <w:tcPr>
            <w:tcW w:w="2720" w:type="dxa"/>
            <w:vAlign w:val="bottom"/>
            <w:gridSpan w:val="2"/>
          </w:tcPr>
          <w:p>
            <w:pPr>
              <w:spacing w:after="0"/>
              <w:rPr>
                <w:sz w:val="20"/>
                <w:szCs w:val="20"/>
                <w:color w:val="auto"/>
              </w:rPr>
            </w:pPr>
            <w:r>
              <w:rPr>
                <w:rFonts w:ascii="Arial" w:cs="Arial" w:eastAsia="Arial" w:hAnsi="Arial"/>
                <w:sz w:val="17"/>
                <w:szCs w:val="17"/>
                <w:i w:val="1"/>
                <w:iCs w:val="1"/>
                <w:color w:val="auto"/>
              </w:rPr>
              <w:t>Source: SBS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3"/>
        </w:trPr>
        <w:tc>
          <w:tcPr>
            <w:tcW w:w="3240" w:type="dxa"/>
            <w:vAlign w:val="bottom"/>
            <w:gridSpan w:val="4"/>
          </w:tcPr>
          <w:p>
            <w:pPr>
              <w:spacing w:after="0"/>
              <w:rPr>
                <w:sz w:val="20"/>
                <w:szCs w:val="20"/>
                <w:color w:val="auto"/>
              </w:rPr>
            </w:pPr>
            <w:r>
              <w:rPr>
                <w:rFonts w:ascii="Arial" w:cs="Arial" w:eastAsia="Arial" w:hAnsi="Arial"/>
                <w:sz w:val="17"/>
                <w:szCs w:val="17"/>
                <w:b w:val="1"/>
                <w:bCs w:val="1"/>
                <w:color w:val="auto"/>
                <w:w w:val="89"/>
              </w:rPr>
              <w:t>Nominal profitability over the last 12 months</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6"/>
        </w:trPr>
        <w:tc>
          <w:tcPr>
            <w:tcW w:w="226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gridSpan w:val="5"/>
          </w:tcPr>
          <w:p>
            <w:pPr>
              <w:ind w:left="160"/>
              <w:spacing w:after="0"/>
              <w:rPr>
                <w:sz w:val="20"/>
                <w:szCs w:val="20"/>
                <w:color w:val="auto"/>
              </w:rPr>
            </w:pPr>
            <w:r>
              <w:rPr>
                <w:rFonts w:ascii="Arial" w:cs="Arial" w:eastAsia="Arial" w:hAnsi="Arial"/>
                <w:sz w:val="17"/>
                <w:szCs w:val="17"/>
                <w:b w:val="1"/>
                <w:bCs w:val="1"/>
                <w:color w:val="auto"/>
              </w:rPr>
              <w:t>Dec 20 / Dec 19</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7"/>
                <w:szCs w:val="17"/>
                <w:b w:val="1"/>
                <w:bCs w:val="1"/>
                <w:color w:val="auto"/>
              </w:rPr>
              <w:t>Mar 21 / Mar 20</w:t>
            </w:r>
          </w:p>
        </w:tc>
        <w:tc>
          <w:tcPr>
            <w:tcW w:w="220" w:type="dxa"/>
            <w:vAlign w:val="bottom"/>
            <w:tcBorders>
              <w:bottom w:val="single" w:sz="8" w:color="CCEEFF"/>
            </w:tcBorders>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4"/>
        </w:trPr>
        <w:tc>
          <w:tcPr>
            <w:tcW w:w="2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Fund 0</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2720" w:type="dxa"/>
            <w:vAlign w:val="bottom"/>
            <w:gridSpan w:val="2"/>
          </w:tcPr>
          <w:p>
            <w:pPr>
              <w:spacing w:after="0"/>
              <w:rPr>
                <w:sz w:val="20"/>
                <w:szCs w:val="20"/>
                <w:color w:val="auto"/>
              </w:rPr>
            </w:pPr>
            <w:r>
              <w:rPr>
                <w:rFonts w:ascii="Arial" w:cs="Arial" w:eastAsia="Arial" w:hAnsi="Arial"/>
                <w:sz w:val="17"/>
                <w:szCs w:val="17"/>
                <w:color w:val="auto"/>
              </w:rPr>
              <w:t>Fund 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 2</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4"/>
        </w:trPr>
        <w:tc>
          <w:tcPr>
            <w:tcW w:w="2720" w:type="dxa"/>
            <w:vAlign w:val="bottom"/>
            <w:gridSpan w:val="2"/>
          </w:tcPr>
          <w:p>
            <w:pPr>
              <w:spacing w:after="0"/>
              <w:rPr>
                <w:sz w:val="20"/>
                <w:szCs w:val="20"/>
                <w:color w:val="auto"/>
              </w:rPr>
            </w:pPr>
            <w:r>
              <w:rPr>
                <w:rFonts w:ascii="Arial" w:cs="Arial" w:eastAsia="Arial" w:hAnsi="Arial"/>
                <w:sz w:val="17"/>
                <w:szCs w:val="17"/>
                <w:color w:val="auto"/>
              </w:rPr>
              <w:t>Fund 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1"/>
        </w:trPr>
        <w:tc>
          <w:tcPr>
            <w:tcW w:w="2720" w:type="dxa"/>
            <w:vAlign w:val="bottom"/>
            <w:gridSpan w:val="2"/>
          </w:tcPr>
          <w:p>
            <w:pPr>
              <w:spacing w:after="0"/>
              <w:rPr>
                <w:sz w:val="20"/>
                <w:szCs w:val="20"/>
                <w:color w:val="auto"/>
              </w:rPr>
            </w:pPr>
            <w:r>
              <w:rPr>
                <w:rFonts w:ascii="Arial" w:cs="Arial" w:eastAsia="Arial" w:hAnsi="Arial"/>
                <w:sz w:val="17"/>
                <w:szCs w:val="17"/>
                <w:b w:val="1"/>
                <w:bCs w:val="1"/>
                <w:color w:val="auto"/>
              </w:rPr>
              <w:t>AFP fees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27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4"/>
          </w:tcPr>
          <w:p>
            <w:pPr>
              <w:spacing w:after="0"/>
              <w:rPr>
                <w:sz w:val="17"/>
                <w:szCs w:val="17"/>
                <w:color w:val="auto"/>
              </w:rPr>
            </w:pPr>
          </w:p>
        </w:tc>
        <w:tc>
          <w:tcPr>
            <w:tcW w:w="1360" w:type="dxa"/>
            <w:vAlign w:val="bottom"/>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11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Comisión basada en el Flujo</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1.60%</w:t>
            </w:r>
          </w:p>
        </w:tc>
        <w:tc>
          <w:tcPr>
            <w:tcW w:w="4040" w:type="dxa"/>
            <w:vAlign w:val="bottom"/>
            <w:gridSpan w:val="16"/>
            <w:shd w:val="clear" w:color="auto" w:fill="CCEEFF"/>
          </w:tcPr>
          <w:p>
            <w:pPr>
              <w:ind w:left="20"/>
              <w:spacing w:after="0"/>
              <w:rPr>
                <w:sz w:val="20"/>
                <w:szCs w:val="20"/>
                <w:color w:val="auto"/>
              </w:rPr>
            </w:pPr>
            <w:r>
              <w:rPr>
                <w:rFonts w:ascii="Arial" w:cs="Arial" w:eastAsia="Arial" w:hAnsi="Arial"/>
                <w:sz w:val="17"/>
                <w:szCs w:val="17"/>
                <w:color w:val="auto"/>
              </w:rPr>
              <w:t>Sobre la remuneración mensual del afiliado.</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2720" w:type="dxa"/>
            <w:vAlign w:val="bottom"/>
            <w:gridSpan w:val="2"/>
          </w:tcPr>
          <w:p>
            <w:pPr>
              <w:spacing w:after="0"/>
              <w:rPr>
                <w:sz w:val="20"/>
                <w:szCs w:val="20"/>
                <w:color w:val="auto"/>
              </w:rPr>
            </w:pPr>
            <w:r>
              <w:rPr>
                <w:rFonts w:ascii="Arial" w:cs="Arial" w:eastAsia="Arial" w:hAnsi="Arial"/>
                <w:sz w:val="17"/>
                <w:szCs w:val="17"/>
                <w:b w:val="1"/>
                <w:bCs w:val="1"/>
                <w:color w:val="auto"/>
              </w:rPr>
              <w:t>Comisión Mixta</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27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spacing w:after="0"/>
              <w:rPr>
                <w:sz w:val="17"/>
                <w:szCs w:val="17"/>
                <w:color w:val="auto"/>
              </w:rPr>
            </w:pPr>
          </w:p>
        </w:tc>
        <w:tc>
          <w:tcPr>
            <w:tcW w:w="1360" w:type="dxa"/>
            <w:vAlign w:val="bottom"/>
            <w:gridSpan w:val="5"/>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120" w:type="dxa"/>
            <w:vAlign w:val="bottom"/>
            <w:gridSpan w:val="3"/>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12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r>
      <w:tr>
        <w:trPr>
          <w:trHeight w:val="202"/>
        </w:trPr>
        <w:tc>
          <w:tcPr>
            <w:tcW w:w="2720" w:type="dxa"/>
            <w:vAlign w:val="bottom"/>
            <w:gridSpan w:val="2"/>
          </w:tcPr>
          <w:p>
            <w:pPr>
              <w:spacing w:after="0"/>
              <w:rPr>
                <w:sz w:val="20"/>
                <w:szCs w:val="20"/>
                <w:color w:val="auto"/>
              </w:rPr>
            </w:pPr>
            <w:r>
              <w:rPr>
                <w:rFonts w:ascii="Arial" w:cs="Arial" w:eastAsia="Arial" w:hAnsi="Arial"/>
                <w:sz w:val="17"/>
                <w:szCs w:val="17"/>
                <w:color w:val="auto"/>
              </w:rPr>
              <w:t>Porción flujo</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0.18%</w:t>
            </w:r>
          </w:p>
        </w:tc>
        <w:tc>
          <w:tcPr>
            <w:tcW w:w="8000" w:type="dxa"/>
            <w:vAlign w:val="bottom"/>
            <w:gridSpan w:val="28"/>
          </w:tcPr>
          <w:p>
            <w:pPr>
              <w:ind w:left="20"/>
              <w:spacing w:after="0"/>
              <w:rPr>
                <w:sz w:val="20"/>
                <w:szCs w:val="20"/>
                <w:color w:val="auto"/>
              </w:rPr>
            </w:pPr>
            <w:r>
              <w:rPr>
                <w:rFonts w:ascii="Arial" w:cs="Arial" w:eastAsia="Arial" w:hAnsi="Arial"/>
                <w:sz w:val="17"/>
                <w:szCs w:val="17"/>
                <w:color w:val="auto"/>
                <w:w w:val="98"/>
              </w:rPr>
              <w:t>Sobre la remuneración mensual del afiliado a partir del devengue de junio 2017. Feb 17 - may 17 = 0.87% .</w:t>
            </w:r>
          </w:p>
        </w:tc>
      </w:tr>
      <w:tr>
        <w:trPr>
          <w:trHeight w:val="202"/>
        </w:trPr>
        <w:tc>
          <w:tcPr>
            <w:tcW w:w="27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spacing w:after="0"/>
              <w:rPr>
                <w:sz w:val="17"/>
                <w:szCs w:val="17"/>
                <w:color w:val="auto"/>
              </w:rPr>
            </w:pPr>
          </w:p>
        </w:tc>
        <w:tc>
          <w:tcPr>
            <w:tcW w:w="1360" w:type="dxa"/>
            <w:vAlign w:val="bottom"/>
            <w:gridSpan w:val="5"/>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120" w:type="dxa"/>
            <w:vAlign w:val="bottom"/>
            <w:gridSpan w:val="3"/>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12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r>
      <w:tr>
        <w:trPr>
          <w:trHeight w:val="189"/>
        </w:trPr>
        <w:tc>
          <w:tcPr>
            <w:tcW w:w="2720" w:type="dxa"/>
            <w:vAlign w:val="bottom"/>
            <w:gridSpan w:val="2"/>
          </w:tcPr>
          <w:p>
            <w:pPr>
              <w:spacing w:after="0" w:line="189" w:lineRule="exact"/>
              <w:rPr>
                <w:sz w:val="20"/>
                <w:szCs w:val="20"/>
                <w:color w:val="auto"/>
              </w:rPr>
            </w:pPr>
            <w:r>
              <w:rPr>
                <w:rFonts w:ascii="Arial" w:cs="Arial" w:eastAsia="Arial" w:hAnsi="Arial"/>
                <w:sz w:val="17"/>
                <w:szCs w:val="17"/>
                <w:color w:val="auto"/>
              </w:rPr>
              <w:t>Porción saldo</w:t>
            </w:r>
          </w:p>
        </w:tc>
        <w:tc>
          <w:tcPr>
            <w:tcW w:w="5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w w:val="87"/>
              </w:rPr>
              <w:t>1.25%</w:t>
            </w:r>
          </w:p>
        </w:tc>
        <w:tc>
          <w:tcPr>
            <w:tcW w:w="8000" w:type="dxa"/>
            <w:vAlign w:val="bottom"/>
            <w:gridSpan w:val="28"/>
          </w:tcPr>
          <w:p>
            <w:pPr>
              <w:ind w:left="20"/>
              <w:spacing w:after="0" w:line="189" w:lineRule="exact"/>
              <w:rPr>
                <w:sz w:val="20"/>
                <w:szCs w:val="20"/>
                <w:color w:val="auto"/>
              </w:rPr>
            </w:pPr>
            <w:r>
              <w:rPr>
                <w:rFonts w:ascii="Arial" w:cs="Arial" w:eastAsia="Arial" w:hAnsi="Arial"/>
                <w:sz w:val="17"/>
                <w:szCs w:val="17"/>
                <w:color w:val="auto"/>
                <w:w w:val="89"/>
              </w:rPr>
              <w:t>Aplica anualmente sobre los nuevos saldos a partir de febrero 2013 para afiliados nuevos del sistema, y desde inicios</w:t>
            </w:r>
          </w:p>
        </w:tc>
      </w:tr>
      <w:tr>
        <w:trPr>
          <w:trHeight w:val="214"/>
        </w:trPr>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22"/>
          </w:tcPr>
          <w:p>
            <w:pPr>
              <w:ind w:left="20"/>
              <w:spacing w:after="0"/>
              <w:rPr>
                <w:sz w:val="20"/>
                <w:szCs w:val="20"/>
                <w:color w:val="auto"/>
              </w:rPr>
            </w:pPr>
            <w:r>
              <w:rPr>
                <w:rFonts w:ascii="Arial" w:cs="Arial" w:eastAsia="Arial" w:hAnsi="Arial"/>
                <w:sz w:val="17"/>
                <w:szCs w:val="17"/>
                <w:color w:val="auto"/>
                <w:w w:val="88"/>
              </w:rPr>
              <w:t>de junio 2013 para afiliados existentes que eligieron este esquema de comisiones.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3"/>
        </w:trPr>
        <w:tc>
          <w:tcPr>
            <w:tcW w:w="2720" w:type="dxa"/>
            <w:vAlign w:val="bottom"/>
            <w:gridSpan w:val="2"/>
          </w:tcPr>
          <w:p>
            <w:pPr>
              <w:spacing w:after="0"/>
              <w:rPr>
                <w:sz w:val="20"/>
                <w:szCs w:val="20"/>
                <w:color w:val="auto"/>
              </w:rPr>
            </w:pPr>
            <w:r>
              <w:rPr>
                <w:rFonts w:ascii="Arial" w:cs="Arial" w:eastAsia="Arial" w:hAnsi="Arial"/>
                <w:sz w:val="17"/>
                <w:szCs w:val="17"/>
                <w:b w:val="1"/>
                <w:bCs w:val="1"/>
                <w:color w:val="auto"/>
              </w:rPr>
              <w:t>Principales indicadores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7"/>
        </w:trPr>
        <w:tc>
          <w:tcPr>
            <w:tcW w:w="2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rPr>
              <w:t>Prima</w:t>
            </w:r>
          </w:p>
        </w:tc>
        <w:tc>
          <w:tcPr>
            <w:tcW w:w="120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rPr>
              <w:t>System</w:t>
            </w:r>
          </w:p>
        </w:tc>
        <w:tc>
          <w:tcPr>
            <w:tcW w:w="160" w:type="dxa"/>
            <w:vAlign w:val="bottom"/>
          </w:tcPr>
          <w:p>
            <w:pPr>
              <w:spacing w:after="0"/>
              <w:rPr>
                <w:sz w:val="24"/>
                <w:szCs w:val="24"/>
                <w:color w:val="auto"/>
              </w:rPr>
            </w:pPr>
          </w:p>
        </w:tc>
        <w:tc>
          <w:tcPr>
            <w:tcW w:w="1280" w:type="dxa"/>
            <w:vAlign w:val="bottom"/>
            <w:gridSpan w:val="4"/>
          </w:tcPr>
          <w:p>
            <w:pPr>
              <w:jc w:val="center"/>
              <w:ind w:right="160"/>
              <w:spacing w:after="0"/>
              <w:rPr>
                <w:sz w:val="20"/>
                <w:szCs w:val="20"/>
                <w:color w:val="auto"/>
              </w:rPr>
            </w:pPr>
            <w:r>
              <w:rPr>
                <w:rFonts w:ascii="Arial" w:cs="Arial" w:eastAsia="Arial" w:hAnsi="Arial"/>
                <w:sz w:val="17"/>
                <w:szCs w:val="17"/>
                <w:b w:val="1"/>
                <w:bCs w:val="1"/>
                <w:color w:val="auto"/>
                <w:w w:val="91"/>
              </w:rPr>
              <w:t>% share</w:t>
            </w:r>
          </w:p>
        </w:tc>
        <w:tc>
          <w:tcPr>
            <w:tcW w:w="80" w:type="dxa"/>
            <w:vAlign w:val="bottom"/>
          </w:tcPr>
          <w:p>
            <w:pPr>
              <w:spacing w:after="0"/>
              <w:rPr>
                <w:sz w:val="24"/>
                <w:szCs w:val="24"/>
                <w:color w:val="auto"/>
              </w:rPr>
            </w:pPr>
          </w:p>
        </w:tc>
        <w:tc>
          <w:tcPr>
            <w:tcW w:w="1400" w:type="dxa"/>
            <w:vAlign w:val="bottom"/>
            <w:gridSpan w:val="5"/>
          </w:tcPr>
          <w:p>
            <w:pPr>
              <w:ind w:left="340"/>
              <w:spacing w:after="0"/>
              <w:rPr>
                <w:sz w:val="20"/>
                <w:szCs w:val="20"/>
                <w:color w:val="auto"/>
              </w:rPr>
            </w:pPr>
            <w:r>
              <w:rPr>
                <w:rFonts w:ascii="Arial" w:cs="Arial" w:eastAsia="Arial" w:hAnsi="Arial"/>
                <w:sz w:val="17"/>
                <w:szCs w:val="17"/>
                <w:b w:val="1"/>
                <w:bCs w:val="1"/>
                <w:color w:val="auto"/>
              </w:rPr>
              <w:t>Prima</w:t>
            </w:r>
          </w:p>
        </w:tc>
        <w:tc>
          <w:tcPr>
            <w:tcW w:w="112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2"/>
              </w:rPr>
              <w:t>System</w:t>
            </w:r>
          </w:p>
        </w:tc>
        <w:tc>
          <w:tcPr>
            <w:tcW w:w="100" w:type="dxa"/>
            <w:vAlign w:val="bottom"/>
          </w:tcPr>
          <w:p>
            <w:pPr>
              <w:spacing w:after="0"/>
              <w:rPr>
                <w:sz w:val="24"/>
                <w:szCs w:val="24"/>
                <w:color w:val="auto"/>
              </w:rPr>
            </w:pPr>
          </w:p>
        </w:tc>
        <w:tc>
          <w:tcPr>
            <w:tcW w:w="1260" w:type="dxa"/>
            <w:vAlign w:val="bottom"/>
            <w:gridSpan w:val="2"/>
          </w:tcPr>
          <w:p>
            <w:pPr>
              <w:jc w:val="right"/>
              <w:ind w:right="316"/>
              <w:spacing w:after="0"/>
              <w:rPr>
                <w:sz w:val="20"/>
                <w:szCs w:val="20"/>
                <w:color w:val="auto"/>
              </w:rPr>
            </w:pPr>
            <w:r>
              <w:rPr>
                <w:rFonts w:ascii="Arial" w:cs="Arial" w:eastAsia="Arial" w:hAnsi="Arial"/>
                <w:sz w:val="17"/>
                <w:szCs w:val="17"/>
                <w:b w:val="1"/>
                <w:bCs w:val="1"/>
                <w:color w:val="auto"/>
              </w:rPr>
              <w:t>% share</w:t>
            </w:r>
          </w:p>
        </w:tc>
      </w:tr>
      <w:tr>
        <w:trPr>
          <w:trHeight w:val="218"/>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9"/>
              </w:rPr>
              <w:t>Main indicators and market share</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7"/>
                <w:szCs w:val="17"/>
                <w:b w:val="1"/>
                <w:bCs w:val="1"/>
                <w:color w:val="auto"/>
              </w:rPr>
              <w:t>4Q20</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7"/>
                <w:szCs w:val="17"/>
                <w:b w:val="1"/>
                <w:bCs w:val="1"/>
                <w:color w:val="auto"/>
              </w:rPr>
              <w:t>4Q20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1"/>
              </w:rPr>
              <w:t>4Q20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7"/>
                <w:szCs w:val="17"/>
                <w:b w:val="1"/>
                <w:bCs w:val="1"/>
                <w:color w:val="auto"/>
              </w:rPr>
              <w:t>1Q21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w w:val="91"/>
              </w:rPr>
              <w:t>1Q21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1Q21</w:t>
            </w:r>
          </w:p>
        </w:tc>
        <w:tc>
          <w:tcPr>
            <w:tcW w:w="140" w:type="dxa"/>
            <w:vAlign w:val="bottom"/>
            <w:tcBorders>
              <w:bottom w:val="single" w:sz="8" w:color="CCEEFF"/>
            </w:tcBorders>
          </w:tcPr>
          <w:p>
            <w:pPr>
              <w:spacing w:after="0"/>
              <w:rPr>
                <w:sz w:val="18"/>
                <w:szCs w:val="18"/>
                <w:color w:val="auto"/>
              </w:rPr>
            </w:pPr>
          </w:p>
        </w:tc>
      </w:tr>
      <w:tr>
        <w:trPr>
          <w:trHeight w:val="232"/>
        </w:trPr>
        <w:tc>
          <w:tcPr>
            <w:tcW w:w="27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 xml:space="preserve">Affiliates </w:t>
            </w:r>
            <w:r>
              <w:rPr>
                <w:rFonts w:ascii="Arial" w:cs="Arial" w:eastAsia="Arial" w:hAnsi="Arial"/>
                <w:sz w:val="26"/>
                <w:szCs w:val="26"/>
                <w:color w:val="auto"/>
                <w:vertAlign w:val="superscript"/>
              </w:rPr>
              <w:t>(1)</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2,360,161</w:t>
            </w:r>
          </w:p>
        </w:tc>
        <w:tc>
          <w:tcPr>
            <w:tcW w:w="2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7,780,721</w:t>
            </w:r>
          </w:p>
        </w:tc>
        <w:tc>
          <w:tcPr>
            <w:tcW w:w="80" w:type="dxa"/>
            <w:vAlign w:val="bottom"/>
            <w:shd w:val="clear" w:color="auto" w:fill="CCEEFF"/>
          </w:tcPr>
          <w:p>
            <w:pPr>
              <w:spacing w:after="0"/>
              <w:rPr>
                <w:sz w:val="20"/>
                <w:szCs w:val="20"/>
                <w:color w:val="auto"/>
              </w:rPr>
            </w:pP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30.3%</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2,358,189</w:t>
            </w: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7,845,683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30.1%</w:t>
            </w:r>
          </w:p>
        </w:tc>
      </w:tr>
      <w:tr>
        <w:trPr>
          <w:trHeight w:val="239"/>
        </w:trPr>
        <w:tc>
          <w:tcPr>
            <w:tcW w:w="272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New affiliations </w:t>
            </w:r>
            <w:r>
              <w:rPr>
                <w:rFonts w:ascii="Arial" w:cs="Arial" w:eastAsia="Arial" w:hAnsi="Arial"/>
                <w:sz w:val="27"/>
                <w:szCs w:val="27"/>
                <w:color w:val="auto"/>
                <w:vertAlign w:val="superscript"/>
              </w:rPr>
              <w:t>(1) (2)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7"/>
                <w:szCs w:val="17"/>
                <w:color w:val="auto"/>
              </w:rPr>
              <w:t>113,328</w:t>
            </w:r>
          </w:p>
        </w:tc>
        <w:tc>
          <w:tcPr>
            <w:tcW w:w="1440" w:type="dxa"/>
            <w:vAlign w:val="bottom"/>
            <w:gridSpan w:val="5"/>
          </w:tcPr>
          <w:p>
            <w:pPr>
              <w:jc w:val="right"/>
              <w:ind w:right="20"/>
              <w:spacing w:after="0"/>
              <w:rPr>
                <w:sz w:val="20"/>
                <w:szCs w:val="20"/>
                <w:color w:val="auto"/>
              </w:rPr>
            </w:pPr>
            <w:r>
              <w:rPr>
                <w:rFonts w:ascii="Arial" w:cs="Arial" w:eastAsia="Arial" w:hAnsi="Arial"/>
                <w:sz w:val="17"/>
                <w:szCs w:val="17"/>
                <w:color w:val="auto"/>
              </w:rPr>
              <w:t>0.0%</w:t>
            </w:r>
          </w:p>
        </w:tc>
        <w:tc>
          <w:tcPr>
            <w:tcW w:w="1400" w:type="dxa"/>
            <w:vAlign w:val="bottom"/>
            <w:gridSpan w:val="5"/>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67,790</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0.0%</w:t>
            </w: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Funds under management (S/ Millions)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w w:val="96"/>
              </w:rPr>
              <w:t>49,790</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164,875</w:t>
            </w:r>
          </w:p>
        </w:tc>
        <w:tc>
          <w:tcPr>
            <w:tcW w:w="80" w:type="dxa"/>
            <w:vAlign w:val="bottom"/>
            <w:shd w:val="clear" w:color="auto" w:fill="CCEEFF"/>
          </w:tcPr>
          <w:p>
            <w:pPr>
              <w:spacing w:after="0"/>
              <w:rPr>
                <w:sz w:val="17"/>
                <w:szCs w:val="17"/>
                <w:color w:val="auto"/>
              </w:rPr>
            </w:pP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30.2%</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48,198</w:t>
            </w: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160,128</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30.1%</w:t>
            </w:r>
          </w:p>
        </w:tc>
      </w:tr>
      <w:tr>
        <w:trPr>
          <w:trHeight w:val="239"/>
        </w:trPr>
        <w:tc>
          <w:tcPr>
            <w:tcW w:w="2720" w:type="dxa"/>
            <w:vAlign w:val="bottom"/>
            <w:gridSpan w:val="2"/>
          </w:tcPr>
          <w:p>
            <w:pPr>
              <w:spacing w:after="0" w:line="239" w:lineRule="exact"/>
              <w:rPr>
                <w:sz w:val="20"/>
                <w:szCs w:val="20"/>
                <w:color w:val="auto"/>
              </w:rPr>
            </w:pPr>
            <w:r>
              <w:rPr>
                <w:rFonts w:ascii="Arial" w:cs="Arial" w:eastAsia="Arial" w:hAnsi="Arial"/>
                <w:sz w:val="17"/>
                <w:szCs w:val="17"/>
                <w:color w:val="auto"/>
              </w:rPr>
              <w:t xml:space="preserve">Collections (S/ Millions) </w:t>
            </w:r>
            <w:r>
              <w:rPr>
                <w:rFonts w:ascii="Arial" w:cs="Arial" w:eastAsia="Arial" w:hAnsi="Arial"/>
                <w:sz w:val="27"/>
                <w:szCs w:val="27"/>
                <w:color w:val="auto"/>
                <w:vertAlign w:val="superscript"/>
              </w:rPr>
              <w:t>(1)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962</w:t>
            </w:r>
          </w:p>
        </w:tc>
        <w:tc>
          <w:tcPr>
            <w:tcW w:w="1200" w:type="dxa"/>
            <w:vAlign w:val="bottom"/>
            <w:gridSpan w:val="5"/>
          </w:tcPr>
          <w:p>
            <w:pPr>
              <w:jc w:val="right"/>
              <w:ind w:right="80"/>
              <w:spacing w:after="0"/>
              <w:rPr>
                <w:sz w:val="20"/>
                <w:szCs w:val="20"/>
                <w:color w:val="auto"/>
              </w:rPr>
            </w:pPr>
            <w:r>
              <w:rPr>
                <w:rFonts w:ascii="Arial" w:cs="Arial" w:eastAsia="Arial" w:hAnsi="Arial"/>
                <w:sz w:val="17"/>
                <w:szCs w:val="17"/>
                <w:color w:val="auto"/>
              </w:rPr>
              <w:t>3,113</w:t>
            </w:r>
          </w:p>
        </w:tc>
        <w:tc>
          <w:tcPr>
            <w:tcW w:w="1440" w:type="dxa"/>
            <w:vAlign w:val="bottom"/>
            <w:gridSpan w:val="5"/>
          </w:tcPr>
          <w:p>
            <w:pPr>
              <w:jc w:val="right"/>
              <w:ind w:right="20"/>
              <w:spacing w:after="0"/>
              <w:rPr>
                <w:sz w:val="20"/>
                <w:szCs w:val="20"/>
                <w:color w:val="auto"/>
              </w:rPr>
            </w:pPr>
            <w:r>
              <w:rPr>
                <w:rFonts w:ascii="Arial" w:cs="Arial" w:eastAsia="Arial" w:hAnsi="Arial"/>
                <w:sz w:val="17"/>
                <w:szCs w:val="17"/>
                <w:color w:val="auto"/>
              </w:rPr>
              <w:t>30.9%</w:t>
            </w:r>
          </w:p>
        </w:tc>
        <w:tc>
          <w:tcPr>
            <w:tcW w:w="1400" w:type="dxa"/>
            <w:vAlign w:val="bottom"/>
            <w:gridSpan w:val="5"/>
          </w:tcPr>
          <w:p>
            <w:pPr>
              <w:jc w:val="right"/>
              <w:ind w:right="200"/>
              <w:spacing w:after="0"/>
              <w:rPr>
                <w:sz w:val="20"/>
                <w:szCs w:val="20"/>
                <w:color w:val="auto"/>
              </w:rPr>
            </w:pPr>
            <w:r>
              <w:rPr>
                <w:rFonts w:ascii="Arial" w:cs="Arial" w:eastAsia="Arial" w:hAnsi="Arial"/>
                <w:sz w:val="17"/>
                <w:szCs w:val="17"/>
                <w:color w:val="auto"/>
              </w:rPr>
              <w:t>633</w:t>
            </w:r>
          </w:p>
        </w:tc>
        <w:tc>
          <w:tcPr>
            <w:tcW w:w="8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2,242</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28.3%</w:t>
            </w:r>
          </w:p>
        </w:tc>
      </w:tr>
      <w:tr>
        <w:trPr>
          <w:trHeight w:val="239"/>
        </w:trPr>
        <w:tc>
          <w:tcPr>
            <w:tcW w:w="272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w w:val="92"/>
              </w:rPr>
              <w:t xml:space="preserve">Voluntary contributions (S/ Millions) </w:t>
            </w:r>
            <w:r>
              <w:rPr>
                <w:rFonts w:ascii="Arial" w:cs="Arial" w:eastAsia="Arial" w:hAnsi="Arial"/>
                <w:sz w:val="27"/>
                <w:szCs w:val="27"/>
                <w:color w:val="auto"/>
                <w:w w:val="92"/>
                <w:vertAlign w:val="superscript"/>
              </w:rPr>
              <w:t>(1)</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1,173</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2,670</w:t>
            </w:r>
          </w:p>
        </w:tc>
        <w:tc>
          <w:tcPr>
            <w:tcW w:w="80" w:type="dxa"/>
            <w:vAlign w:val="bottom"/>
            <w:shd w:val="clear" w:color="auto" w:fill="CCEEFF"/>
          </w:tcPr>
          <w:p>
            <w:pPr>
              <w:spacing w:after="0"/>
              <w:rPr>
                <w:sz w:val="20"/>
                <w:szCs w:val="20"/>
                <w:color w:val="auto"/>
              </w:rPr>
            </w:pP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43.9%</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1,234</w:t>
            </w: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2,922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42.2%</w:t>
            </w:r>
          </w:p>
        </w:tc>
      </w:tr>
      <w:tr>
        <w:trPr>
          <w:trHeight w:val="366"/>
        </w:trPr>
        <w:tc>
          <w:tcPr>
            <w:tcW w:w="2720" w:type="dxa"/>
            <w:vAlign w:val="bottom"/>
            <w:gridSpan w:val="2"/>
          </w:tcPr>
          <w:p>
            <w:pPr>
              <w:spacing w:after="0"/>
              <w:rPr>
                <w:sz w:val="20"/>
                <w:szCs w:val="20"/>
                <w:color w:val="auto"/>
              </w:rPr>
            </w:pPr>
            <w:r>
              <w:rPr>
                <w:rFonts w:ascii="Arial" w:cs="Arial" w:eastAsia="Arial" w:hAnsi="Arial"/>
                <w:sz w:val="17"/>
                <w:szCs w:val="17"/>
                <w:color w:val="auto"/>
              </w:rPr>
              <w:t xml:space="preserve">RAM (S/ Millions) </w:t>
            </w:r>
            <w:r>
              <w:rPr>
                <w:rFonts w:ascii="Arial" w:cs="Arial" w:eastAsia="Arial" w:hAnsi="Arial"/>
                <w:sz w:val="27"/>
                <w:szCs w:val="27"/>
                <w:color w:val="auto"/>
                <w:vertAlign w:val="superscript"/>
              </w:rPr>
              <w:t>(1) (3)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1,288</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4,158</w:t>
            </w:r>
          </w:p>
        </w:tc>
        <w:tc>
          <w:tcPr>
            <w:tcW w:w="80" w:type="dxa"/>
            <w:vAlign w:val="bottom"/>
          </w:tcPr>
          <w:p>
            <w:pPr>
              <w:spacing w:after="0"/>
              <w:rPr>
                <w:sz w:val="24"/>
                <w:szCs w:val="24"/>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7"/>
                <w:szCs w:val="17"/>
                <w:color w:val="auto"/>
              </w:rPr>
              <w:t>31.0%</w:t>
            </w:r>
          </w:p>
        </w:tc>
        <w:tc>
          <w:tcPr>
            <w:tcW w:w="1400" w:type="dxa"/>
            <w:vAlign w:val="bottom"/>
            <w:gridSpan w:val="5"/>
          </w:tcPr>
          <w:p>
            <w:pPr>
              <w:jc w:val="right"/>
              <w:ind w:right="200"/>
              <w:spacing w:after="0"/>
              <w:rPr>
                <w:sz w:val="20"/>
                <w:szCs w:val="20"/>
                <w:color w:val="auto"/>
              </w:rPr>
            </w:pPr>
            <w:r>
              <w:rPr>
                <w:rFonts w:ascii="Arial" w:cs="Arial" w:eastAsia="Arial" w:hAnsi="Arial"/>
                <w:sz w:val="17"/>
                <w:szCs w:val="17"/>
                <w:color w:val="auto"/>
              </w:rPr>
              <w:t>1,279</w:t>
            </w:r>
          </w:p>
        </w:tc>
        <w:tc>
          <w:tcPr>
            <w:tcW w:w="80" w:type="dxa"/>
            <w:vAlign w:val="bottom"/>
          </w:tcPr>
          <w:p>
            <w:pPr>
              <w:spacing w:after="0"/>
              <w:rPr>
                <w:sz w:val="24"/>
                <w:szCs w:val="2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4,232</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30.2%</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 SBS</w:t>
      </w:r>
    </w:p>
    <w:p>
      <w:pPr>
        <w:spacing w:after="0" w:line="18" w:lineRule="exact"/>
        <w:rPr>
          <w:sz w:val="20"/>
          <w:szCs w:val="20"/>
          <w:color w:val="auto"/>
        </w:rPr>
      </w:pPr>
    </w:p>
    <w:p>
      <w:pPr>
        <w:ind w:left="240" w:hanging="239"/>
        <w:spacing w:after="0"/>
        <w:tabs>
          <w:tab w:leader="none" w:pos="240"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Information available as of February 2021.</w:t>
      </w:r>
    </w:p>
    <w:p>
      <w:pPr>
        <w:spacing w:after="0" w:line="6" w:lineRule="exact"/>
        <w:rPr>
          <w:rFonts w:ascii="Arial" w:cs="Arial" w:eastAsia="Arial" w:hAnsi="Arial"/>
          <w:sz w:val="17"/>
          <w:szCs w:val="17"/>
          <w:i w:val="1"/>
          <w:iCs w:val="1"/>
          <w:color w:val="auto"/>
        </w:rPr>
      </w:pPr>
    </w:p>
    <w:p>
      <w:pPr>
        <w:ind w:left="240" w:hanging="239"/>
        <w:spacing w:after="0"/>
        <w:tabs>
          <w:tab w:leader="none" w:pos="240"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As of June 2019, another AFP has the exclusivity of affiliations.</w:t>
      </w:r>
    </w:p>
    <w:p>
      <w:pPr>
        <w:spacing w:after="0" w:line="6" w:lineRule="exact"/>
        <w:rPr>
          <w:rFonts w:ascii="Arial" w:cs="Arial" w:eastAsia="Arial" w:hAnsi="Arial"/>
          <w:sz w:val="17"/>
          <w:szCs w:val="17"/>
          <w:i w:val="1"/>
          <w:iCs w:val="1"/>
          <w:color w:val="auto"/>
        </w:rPr>
      </w:pPr>
    </w:p>
    <w:p>
      <w:pPr>
        <w:ind w:left="240" w:hanging="239"/>
        <w:spacing w:after="0"/>
        <w:tabs>
          <w:tab w:leader="none" w:pos="24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Prima AFP estimate: Average of aggregated income for flow during the last 4 months, excluding special collections and voluntary contribution fees.</w:t>
      </w:r>
    </w:p>
    <w:p>
      <w:pPr>
        <w:spacing w:after="0" w:line="10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12.11. Portfolio Quality indicators by Business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142240</wp:posOffset>
            </wp:positionV>
            <wp:extent cx="5598160" cy="20154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9816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142240</wp:posOffset>
            </wp:positionV>
            <wp:extent cx="5598160" cy="2055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98160" cy="205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142240</wp:posOffset>
            </wp:positionV>
            <wp:extent cx="5598160" cy="20955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98160"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2" w:name="page83"/>
    <w:bookmarkEnd w:id="82"/>
    <w:p>
      <w:pPr>
        <w:ind w:left="4160"/>
        <w:spacing w:after="0"/>
        <w:rPr>
          <w:sz w:val="20"/>
          <w:szCs w:val="20"/>
          <w:color w:val="auto"/>
        </w:rPr>
      </w:pPr>
      <w:r>
        <w:rPr>
          <w:rFonts w:ascii="Arial" w:cs="Arial" w:eastAsia="Arial" w:hAnsi="Arial"/>
          <w:sz w:val="17"/>
          <w:szCs w:val="17"/>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142240</wp:posOffset>
            </wp:positionV>
            <wp:extent cx="5598160" cy="19913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98160" cy="199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142240</wp:posOffset>
            </wp:positionV>
            <wp:extent cx="5598160" cy="20631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98160" cy="206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11430</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753" w:right="339" w:bottom="1440" w:gutter="0" w:footer="0" w:header="0"/>
        </w:sectPr>
      </w:pPr>
    </w:p>
    <w:bookmarkStart w:id="83" w:name="page84"/>
    <w:bookmarkEnd w:id="83"/>
    <w:p>
      <w:pPr>
        <w:ind w:left="4180"/>
        <w:spacing w:after="0"/>
        <w:rPr>
          <w:sz w:val="20"/>
          <w:szCs w:val="20"/>
          <w:color w:val="auto"/>
        </w:rPr>
      </w:pPr>
      <w:r>
        <w:rPr>
          <w:rFonts w:ascii="Arial" w:cs="Arial" w:eastAsia="Arial" w:hAnsi="Arial"/>
          <w:sz w:val="17"/>
          <w:szCs w:val="17"/>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5598160" cy="23672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98160" cy="236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142240</wp:posOffset>
            </wp:positionV>
            <wp:extent cx="5598160" cy="21355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9816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11430</wp:posOffset>
            </wp:positionV>
            <wp:extent cx="71412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551"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12.12.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142240</wp:posOffset>
            </wp:positionV>
            <wp:extent cx="6141720" cy="60617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41720" cy="606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20" w:hanging="219"/>
        <w:spacing w:after="0"/>
        <w:tabs>
          <w:tab w:leader="none" w:pos="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Averages are determined as the average of period-beginning and period-ending balances.</w:t>
      </w:r>
    </w:p>
    <w:p>
      <w:pPr>
        <w:spacing w:after="0" w:line="18" w:lineRule="exact"/>
        <w:rPr>
          <w:rFonts w:ascii="Arial" w:cs="Arial" w:eastAsia="Arial" w:hAnsi="Arial"/>
          <w:sz w:val="17"/>
          <w:szCs w:val="17"/>
          <w:color w:val="auto"/>
        </w:rPr>
      </w:pPr>
    </w:p>
    <w:p>
      <w:pPr>
        <w:ind w:left="240" w:hanging="239"/>
        <w:spacing w:after="0"/>
        <w:tabs>
          <w:tab w:leader="none" w:pos="2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Includes total deposits, due to banks and correspondents, BCRP instruments, repurchase agreements and bonds and notes issued.</w:t>
      </w:r>
    </w:p>
    <w:p>
      <w:pPr>
        <w:spacing w:after="0" w:line="6" w:lineRule="exact"/>
        <w:rPr>
          <w:rFonts w:ascii="Arial" w:cs="Arial" w:eastAsia="Arial" w:hAnsi="Arial"/>
          <w:sz w:val="17"/>
          <w:szCs w:val="17"/>
          <w:color w:val="auto"/>
        </w:rPr>
      </w:pPr>
    </w:p>
    <w:p>
      <w:pPr>
        <w:ind w:left="240" w:hanging="239"/>
        <w:spacing w:after="0"/>
        <w:tabs>
          <w:tab w:leader="none" w:pos="2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Does not include Life insurance business.</w:t>
      </w:r>
    </w:p>
    <w:p>
      <w:pPr>
        <w:spacing w:after="0" w:line="6" w:lineRule="exact"/>
        <w:rPr>
          <w:rFonts w:ascii="Arial" w:cs="Arial" w:eastAsia="Arial" w:hAnsi="Arial"/>
          <w:sz w:val="17"/>
          <w:szCs w:val="17"/>
          <w:color w:val="auto"/>
        </w:rPr>
      </w:pPr>
    </w:p>
    <w:p>
      <w:pPr>
        <w:jc w:val="both"/>
        <w:ind w:firstLine="1"/>
        <w:spacing w:after="0" w:line="247" w:lineRule="auto"/>
        <w:tabs>
          <w:tab w:leader="none" w:pos="2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40" w:hanging="239"/>
        <w:spacing w:after="0"/>
        <w:tabs>
          <w:tab w:leader="none" w:pos="2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Includes investment in subsidiaries, goodwill, intangibles and deferred tax that rely on future profitability.</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12.13.  Glossary of terms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5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Colocaciones del Programa del Gobierno</w:t>
            </w:r>
          </w:p>
        </w:tc>
        <w:tc>
          <w:tcPr>
            <w:tcW w:w="77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88"/>
              </w:rPr>
              <w:t>Cartera de colocaciones compuesta por los programas del gobierno, Reactiva Perú y FAE-MYPE, para responder</w:t>
            </w:r>
          </w:p>
        </w:tc>
      </w:tr>
      <w:tr>
        <w:trPr>
          <w:trHeight w:val="218"/>
        </w:trPr>
        <w:tc>
          <w:tcPr>
            <w:tcW w:w="3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(“PG” o “Colocaciones PG”)</w:t>
            </w:r>
          </w:p>
        </w:tc>
        <w:tc>
          <w:tcPr>
            <w:tcW w:w="7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4"/>
              </w:rPr>
              <w:t>rápida y efectivamente las necesidades de liquidez del sistema con el fin de mantener la cadena de pagos.</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Colocaciones Estructurales</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rPr>
              <w:t>Colocaciones totales excluyendo las colocaciones PG.</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One-Off Impairment</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w w:val="93"/>
              </w:rPr>
              <w:t>Gasto de desembolso único debido a las tasas de interés cero con el fin de financiar las cuotas congeladas.</w:t>
            </w:r>
          </w:p>
        </w:tc>
      </w:tr>
      <w:tr>
        <w:trPr>
          <w:trHeight w:val="182"/>
        </w:trPr>
        <w:tc>
          <w:tcPr>
            <w:tcW w:w="350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7"/>
                <w:szCs w:val="17"/>
                <w:b w:val="1"/>
                <w:bCs w:val="1"/>
                <w:color w:val="auto"/>
              </w:rPr>
              <w:t>Costo del Riesgo Estructural</w:t>
            </w:r>
          </w:p>
        </w:tc>
        <w:tc>
          <w:tcPr>
            <w:tcW w:w="77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7"/>
                <w:szCs w:val="17"/>
                <w:color w:val="auto"/>
                <w:w w:val="91"/>
              </w:rPr>
              <w:t>Costo del Riesgo afectado por los ajustes estructurales. Excluye, en el numerador, las provisiones de perdidas</w:t>
            </w:r>
          </w:p>
        </w:tc>
      </w:tr>
      <w:tr>
        <w:trPr>
          <w:trHeight w:val="214"/>
        </w:trPr>
        <w:tc>
          <w:tcPr>
            <w:tcW w:w="3500" w:type="dxa"/>
            <w:vAlign w:val="bottom"/>
            <w:tcBorders>
              <w:left w:val="single" w:sz="8" w:color="auto"/>
              <w:bottom w:val="single" w:sz="8" w:color="auto"/>
              <w:right w:val="single" w:sz="8" w:color="auto"/>
            </w:tcBorders>
          </w:tcPr>
          <w:p>
            <w:pPr>
              <w:spacing w:after="0"/>
              <w:rPr>
                <w:sz w:val="18"/>
                <w:szCs w:val="18"/>
                <w:color w:val="auto"/>
              </w:rPr>
            </w:pPr>
          </w:p>
        </w:tc>
        <w:tc>
          <w:tcPr>
            <w:tcW w:w="7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crediticias por PG y en el denominador las colocaciones PG.</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Índice de Cartera Atrasada Estructural</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rPr>
              <w:t>El índice de Cartera Atrasada Estructural excluye el efecto de las colocaciones PG.</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Mora temprana (&gt;60 - &lt;150) Estructural</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rPr>
              <w:t>El índice de Mora temprana Estructural excluye el impacto de las colocaciones PG.</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Índice de Cartera Deteriorada Estructural</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rPr>
              <w:t>El índice de Cartera Deteriorada Estructural excluye el impacto de las colocaciones PG.</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Margen Neto por intereses Estructural</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rPr>
              <w:t>MNI Estructural excluye el efecto de las colocaciones por GP y el One-Off Impairment.</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Costo de Fondeo Estructural</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w w:val="95"/>
              </w:rPr>
              <w:t>Costo de Fondeo Estructural excluye el efecto del nivel de fondeo del Banco Central por colocaciones GP.</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Crecimiento Ajustado del Ingreso</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rPr>
              <w:t>Crecimiento del ingreso ajustado por el One-Off Impairment.</w:t>
            </w:r>
          </w:p>
        </w:tc>
      </w:tr>
      <w:tr>
        <w:trPr>
          <w:trHeight w:val="194"/>
        </w:trPr>
        <w:tc>
          <w:tcPr>
            <w:tcW w:w="350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Ratio de Eficiencia Ajustado</w:t>
            </w:r>
          </w:p>
        </w:tc>
        <w:tc>
          <w:tcPr>
            <w:tcW w:w="776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color w:val="auto"/>
              </w:rPr>
              <w:t>Ratio de Eficiencia ajustado por el One-Off Impairment en el ingreso operativo.</w:t>
            </w:r>
          </w:p>
        </w:tc>
      </w:tr>
      <w:tr>
        <w:trPr>
          <w:trHeight w:val="496"/>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7580"/>
              <w:spacing w:after="0"/>
              <w:rPr>
                <w:sz w:val="20"/>
                <w:szCs w:val="20"/>
                <w:color w:val="auto"/>
              </w:rPr>
            </w:pPr>
            <w:r>
              <w:rPr>
                <w:rFonts w:ascii="Arial" w:cs="Arial" w:eastAsia="Arial" w:hAnsi="Arial"/>
                <w:sz w:val="17"/>
                <w:szCs w:val="17"/>
                <w:color w:val="auto"/>
                <w:w w:val="73"/>
              </w:rPr>
              <w:t>83</w:t>
            </w:r>
          </w:p>
        </w:tc>
      </w:tr>
    </w:tbl>
    <w:p>
      <w:pPr>
        <w:spacing w:after="0" w:line="1" w:lineRule="exact"/>
        <w:rPr>
          <w:sz w:val="20"/>
          <w:szCs w:val="20"/>
          <w:color w:val="auto"/>
        </w:rPr>
      </w:pPr>
    </w:p>
    <w:sectPr>
      <w:pgSz w:w="11900" w:h="16838" w:orient="portrait"/>
      <w:cols w:equalWidth="0" w:num="1">
        <w:col w:w="11240"/>
      </w:cols>
      <w:pgMar w:left="320" w:top="5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lowerRoman"/>
      <w:start w:val="1"/>
    </w:lvl>
  </w:abstractNum>
  <w:abstractNum w:abstractNumId="3">
    <w:nsid w:val="3855585C"/>
    <w:multiLevelType w:val="hybridMultilevel"/>
    <w:lvl w:ilvl="0">
      <w:lvlJc w:val="left"/>
      <w:lvlText w:val="(%1)"/>
      <w:numFmt w:val="lowerRoman"/>
      <w:start w:val="1"/>
    </w:lvl>
  </w:abstractNum>
  <w:abstractNum w:abstractNumId="4">
    <w:nsid w:val="70A64E2A"/>
    <w:multiLevelType w:val="hybridMultilevel"/>
    <w:lvl w:ilvl="0">
      <w:lvlJc w:val="left"/>
      <w:lvlText w:val="(%1)"/>
      <w:numFmt w:val="lowerRoman"/>
      <w:start w:val="3"/>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lowerRoman"/>
      <w:start w:val="1"/>
    </w:lvl>
  </w:abstractNum>
  <w:abstractNum w:abstractNumId="9">
    <w:nsid w:val="2CD89A32"/>
    <w:multiLevelType w:val="hybridMultilevel"/>
    <w:lvl w:ilvl="0">
      <w:lvlJc w:val="left"/>
      <w:lvlText w:val="(%1)"/>
      <w:numFmt w:val="lowerRoman"/>
      <w:start w:val="1"/>
    </w:lvl>
  </w:abstractNum>
  <w:abstractNum w:abstractNumId="10">
    <w:nsid w:val="57E4CCAF"/>
    <w:multiLevelType w:val="hybridMultilevel"/>
    <w:lvl w:ilvl="0">
      <w:lvlJc w:val="left"/>
      <w:lvlText w:val="(%1)"/>
      <w:numFmt w:val="lowerRoman"/>
      <w:start w:val="4"/>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lvl w:ilvl="1">
      <w:lvlJc w:val="left"/>
      <w:lvlText w:val="(%2)"/>
      <w:numFmt w:val="lowerRoman"/>
      <w:start w:val="1"/>
    </w:lvl>
  </w:abstractNum>
  <w:abstractNum w:abstractNumId="16">
    <w:nsid w:val="7644A45C"/>
    <w:multiLevelType w:val="hybridMultilevel"/>
    <w:lvl w:ilvl="0">
      <w:lvlJc w:val="left"/>
      <w:lvlText w:val="(%1)"/>
      <w:numFmt w:val="lowerRoman"/>
      <w:start w:val="2"/>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lowerRoman"/>
      <w:start w:val="1"/>
    </w:lvl>
  </w:abstractNum>
  <w:abstractNum w:abstractNumId="19">
    <w:nsid w:val="579478FE"/>
    <w:multiLevelType w:val="hybridMultilevel"/>
    <w:lvl w:ilvl="0">
      <w:lvlJc w:val="left"/>
      <w:lvlText w:val="(%1)"/>
      <w:numFmt w:val="lowerRoman"/>
      <w:start w:val="1"/>
    </w:lvl>
  </w:abstractNum>
  <w:abstractNum w:abstractNumId="20">
    <w:nsid w:val="749ABB43"/>
    <w:multiLevelType w:val="hybridMultilevel"/>
    <w:lvl w:ilvl="0">
      <w:lvlJc w:val="left"/>
      <w:lvlText w:val="(%1)"/>
      <w:numFmt w:val="lowerRoman"/>
      <w:start w:val="1"/>
    </w:lvl>
  </w:abstractNum>
  <w:abstractNum w:abstractNumId="21">
    <w:nsid w:val="3DC240FB"/>
    <w:multiLevelType w:val="hybridMultilevel"/>
    <w:lvl w:ilvl="0">
      <w:lvlJc w:val="left"/>
      <w:lvlText w:val="(%1)"/>
      <w:numFmt w:val="lowerRoman"/>
      <w:start w:val="1"/>
    </w:lvl>
  </w:abstractNum>
  <w:abstractNum w:abstractNumId="22">
    <w:nsid w:val="1BA026FA"/>
    <w:multiLevelType w:val="hybridMultilevel"/>
    <w:lvl w:ilvl="0">
      <w:lvlJc w:val="left"/>
      <w:lvlText w:val="(%1)"/>
      <w:numFmt w:val="lowerRoman"/>
      <w:start w:val="1"/>
    </w:lvl>
    <w:lvl w:ilvl="1">
      <w:lvlJc w:val="left"/>
      <w:lvlText w:val="%2)"/>
      <w:numFmt w:val="lowerLetter"/>
      <w:start w:val="1"/>
    </w:lvl>
  </w:abstractNum>
  <w:abstractNum w:abstractNumId="23">
    <w:nsid w:val="79A1DEAA"/>
    <w:multiLevelType w:val="hybridMultilevel"/>
    <w:lvl w:ilvl="0">
      <w:lvlJc w:val="left"/>
      <w:lvlText w:val="(%1)"/>
      <w:numFmt w:val="decimal"/>
      <w:start w:val="1"/>
    </w:lvl>
    <w:lvl w:ilvl="1">
      <w:lvlJc w:val="left"/>
      <w:lvlText w:val="(%2)"/>
      <w:numFmt w:val="lowerRoman"/>
      <w:start w:val="1"/>
    </w:lvl>
  </w:abstractNum>
  <w:abstractNum w:abstractNumId="24">
    <w:nsid w:val="75C6C33A"/>
    <w:multiLevelType w:val="hybridMultilevel"/>
    <w:lvl w:ilvl="0">
      <w:lvlJc w:val="left"/>
      <w:lvlText w:val="(%1)"/>
      <w:numFmt w:val="lowerRoman"/>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lowerRoman"/>
      <w:start w:val="1"/>
    </w:lvl>
  </w:abstractNum>
  <w:abstractNum w:abstractNumId="29">
    <w:nsid w:val="4F4EF005"/>
    <w:multiLevelType w:val="hybridMultilevel"/>
    <w:lvl w:ilvl="0">
      <w:lvlJc w:val="left"/>
      <w:lvlText w:val="(%1)"/>
      <w:numFmt w:val="lowerRoman"/>
      <w:start w:val="3"/>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lowerRoman"/>
      <w:start w:val="1"/>
    </w:lvl>
  </w:abstractNum>
  <w:abstractNum w:abstractNumId="34">
    <w:nsid w:val="1CF10FD8"/>
    <w:multiLevelType w:val="hybridMultilevel"/>
    <w:lvl w:ilvl="0">
      <w:lvlJc w:val="left"/>
      <w:lvlText w:val="(%1)"/>
      <w:numFmt w:val="lowerRoman"/>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lowerRoman"/>
      <w:start w:val="1"/>
    </w:lvl>
  </w:abstractNum>
  <w:abstractNum w:abstractNumId="37">
    <w:nsid w:val="47398C89"/>
    <w:multiLevelType w:val="hybridMultilevel"/>
    <w:lvl w:ilvl="0">
      <w:lvlJc w:val="left"/>
      <w:lvlText w:val="(%1)"/>
      <w:numFmt w:val="lowerRoman"/>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lowerRoman"/>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lowerRoman"/>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lowerRoman"/>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lowerRoman"/>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lowerRoman"/>
      <w:start w:val="1"/>
    </w:lvl>
  </w:abstractNum>
  <w:abstractNum w:abstractNumId="49">
    <w:nsid w:val="5FF87E05"/>
    <w:multiLevelType w:val="hybridMultilevel"/>
    <w:lvl w:ilvl="0">
      <w:lvlJc w:val="left"/>
      <w:lvlText w:val="(%1)"/>
      <w:numFmt w:val="lowerRoman"/>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
      <w:numFmt w:val="bullet"/>
      <w:start w:val="1"/>
    </w:lvl>
    <w:lvl w:ilvl="1">
      <w:lvlJc w:val="left"/>
      <w:lvlText w:val="%2."/>
      <w:numFmt w:val="lowerLetter"/>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lvl w:ilvl="1">
      <w:lvlJc w:val="left"/>
      <w:lvlText w:val="%2."/>
      <w:numFmt w:val="lowerLetter"/>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decimal"/>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2021-05-10T05:42:32Z</dcterms:created>
  <dcterms:modified xsi:type="dcterms:W3CDTF">2021-05-10T05:42:32Z</dcterms:modified>
</cp:coreProperties>
</file>