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44674_6k.htm"/>
      <w:bookmarkStart w:id="1" w:name="ksef20044674_6k"/>
      <w:bookmarkStart w:id="2" w:name="ef20044674_6k.htm"/>
      <w:bookmarkStart w:id="3" w:name="ksef20044674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February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serif" w:hAnsi="Times New Roman;serif"/>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40-F.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24479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3810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February 28,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 (‘Credicorp’) notifies you as a Material Event that, in its session held on February 27, 2025, Credicorp’s Board of Directors unanimously agreed on the following matters: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 w:name="z592bfa6f7098441f8cbca9402039c784"/>
      <w:bookmarkStart w:id="5" w:name="z592bfa6f7098441f8cbca9402039c784"/>
      <w:bookmarkEnd w:id="5"/>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4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Approved the Annual and Sustainability Report of Credicorp for the financial year ended December 31, 2024, that the Chairman will present at the Annual General Meeting (the “AGM”) of Shareholders on March 27, 2025, at 3:00 p. m. (Peru time).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8af458b276ed4a428a269e31d5f8976d"/>
      <w:bookmarkStart w:id="7" w:name="z8af458b276ed4a428a269e31d5f8976d"/>
      <w:bookmarkEnd w:id="7"/>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Approved the audited individual (standalone) and consolidated financial statements of Credicorp and its subsidiaries for the financial year ended December 31, 2024, including the report of the external auditors Tanaka, Valdivia &amp; Asociados Sociedad Civil de Responsabilidad Limitada, representatives of EYG in Peru, that the Chairman will present at the AGM.</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9be8947e7c7d4b19b5e04bf7b06e941d"/>
      <w:bookmarkStart w:id="9" w:name="z9be8947e7c7d4b19b5e04bf7b06e941d"/>
      <w:bookmarkEnd w:id="9"/>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Agreed to propose to the AGM the recommendation of the Audit Committee to (i) appoint Tanaka, Valdivia &amp; Asociados Sociedad Civil de Responsabilidad Limitada, representatives of EYG in Peru, as the external auditors of Credicorp and its subsidiaries for the financial year 2025; and (ii) delegate the power to set and approve fees for such audit services to the Board of Directors (for further delegation to the Audit Committee thereof).</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Documents mentioned above are available through the following hyperlink: </w:t>
      </w:r>
      <w:r>
        <w:rPr>
          <w:rFonts w:ascii="Times New Roman" w:hAnsi="Times New Roman"/>
          <w:color w:val="000000"/>
          <w:sz w:val="20"/>
          <w:u w:val="single"/>
        </w:rPr>
        <w:t>https://credicorp.gcs-web.com/events-and-presentations/annual-general-meeting-shareholders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Furthermore, the Board of Directors also agreed unanimously the following: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To constitute special reserves considering the net income attained in the financial year 2024, as well as the accumulated results, in accordance with the authority conferred by Credicorp's Bye-Laws.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 this regard, the Board of Directors has approved to increase the special reserves by S/5,637,737,677.74, based on the total 2024 net income of S/5,501,254,379.37 and the accumulated results of S/136,483,298.37.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08" w:right="0" w:hanging="0"/>
        <w:jc w:val="both"/>
        <w:rPr>
          <w:rFonts w:ascii="Times New Roman" w:hAnsi="Times New Roman"/>
          <w:color w:val="000000"/>
          <w:sz w:val="20"/>
        </w:rPr>
      </w:pPr>
      <w:r>
        <w:rPr>
          <w:rFonts w:ascii="Times New Roman" w:hAnsi="Times New Roman"/>
          <w:color w:val="000000"/>
          <w:sz w:val="20"/>
        </w:rPr>
        <w:t>Notwithstanding, Credicorp’s Board will assess the regular dividend distribution related to 2024 earnings in its usual April meeting. For this purpose, the corresponding accounts may be used without affecting Credicorp’s Dividend Policy.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 w:name="zf37cfaa2880e421595943934d8ca8973"/>
      <w:bookmarkStart w:id="11" w:name="zf37cfaa2880e421595943934d8ca8973"/>
      <w:bookmarkEnd w:id="11"/>
    </w:p>
    <w:tbl>
      <w:tblPr>
        <w:tblW w:w="2255" w:type="dxa"/>
        <w:jc w:val="left"/>
        <w:tblInd w:w="0" w:type="dxa"/>
        <w:tblLayout w:type="fixed"/>
        <w:tblCellMar>
          <w:top w:w="0" w:type="dxa"/>
          <w:left w:w="0" w:type="dxa"/>
          <w:bottom w:w="0" w:type="dxa"/>
          <w:right w:w="0" w:type="dxa"/>
        </w:tblCellMar>
      </w:tblPr>
      <w:tblGrid>
        <w:gridCol w:w="2195"/>
        <w:gridCol w:w="60"/>
      </w:tblGrid>
      <w:tr>
        <w:trPr/>
        <w:tc>
          <w:tcPr>
            <w:tcW w:w="2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Sincerely,</w:t>
            </w:r>
          </w:p>
        </w:tc>
        <w:tc>
          <w:tcPr>
            <w:tcW w:w="6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 </w:t>
            </w:r>
            <w:r>
              <w:rPr>
                <w:rFonts w:ascii="Times New Roman" w:hAnsi="Times New Roman"/>
                <w:sz w:val="20"/>
                <w:u w:val="single"/>
              </w:rPr>
              <w:t>Guillermo Morales</w:t>
            </w:r>
          </w:p>
        </w:tc>
        <w:tc>
          <w:tcPr>
            <w:tcW w:w="6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Authorized Representative</w:t>
            </w:r>
          </w:p>
        </w:tc>
        <w:tc>
          <w:tcPr>
            <w:tcW w:w="6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Credicorp Ltd.</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2" w:name="z8d0d771d02de418982a05990a961c802"/>
      <w:bookmarkStart w:id="13" w:name="z8d0d771d02de418982a05990a961c802"/>
      <w:bookmarkEnd w:id="13"/>
    </w:p>
    <w:tbl>
      <w:tblPr>
        <w:tblW w:w="5168" w:type="dxa"/>
        <w:jc w:val="left"/>
        <w:tblInd w:w="0" w:type="dxa"/>
        <w:tblLayout w:type="fixed"/>
        <w:tblCellMar>
          <w:top w:w="0" w:type="dxa"/>
          <w:left w:w="0" w:type="dxa"/>
          <w:bottom w:w="0" w:type="dxa"/>
          <w:right w:w="0" w:type="dxa"/>
        </w:tblCellMar>
      </w:tblPr>
      <w:tblGrid>
        <w:gridCol w:w="2579"/>
        <w:gridCol w:w="320"/>
        <w:gridCol w:w="2196"/>
        <w:gridCol w:w="73"/>
      </w:tblGrid>
      <w:tr>
        <w:trPr/>
        <w:tc>
          <w:tcPr>
            <w:tcW w:w="2579" w:type="dxa"/>
            <w:tcBorders/>
            <w:vAlign w:val="center"/>
          </w:tcPr>
          <w:p>
            <w:pPr>
              <w:pStyle w:val="TableContents"/>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February 28, 2025</w:t>
            </w:r>
          </w:p>
        </w:tc>
        <w:tc>
          <w:tcPr>
            <w:tcW w:w="2589" w:type="dxa"/>
            <w:gridSpan w:val="3"/>
            <w:tcBorders/>
            <w:vAlign w:val="center"/>
          </w:tcPr>
          <w:p>
            <w:pPr>
              <w:pStyle w:val="TableContents"/>
              <w:bidi w:val="0"/>
              <w:spacing w:before="0" w:after="283"/>
              <w:jc w:val="left"/>
              <w:rPr/>
            </w:pPr>
            <w:r>
              <w:rPr/>
              <w:t> </w:t>
            </w:r>
          </w:p>
        </w:tc>
      </w:tr>
      <w:tr>
        <w:trPr/>
        <w:tc>
          <w:tcPr>
            <w:tcW w:w="2579" w:type="dxa"/>
            <w:tcBorders/>
            <w:vAlign w:val="center"/>
          </w:tcPr>
          <w:p>
            <w:pPr>
              <w:pStyle w:val="TableContents"/>
              <w:bidi w:val="0"/>
              <w:spacing w:before="0" w:after="283"/>
              <w:jc w:val="left"/>
              <w:rPr/>
            </w:pPr>
            <w:r>
              <w:rPr/>
              <w:t> </w:t>
            </w:r>
          </w:p>
        </w:tc>
        <w:tc>
          <w:tcPr>
            <w:tcW w:w="2589" w:type="dxa"/>
            <w:gridSpan w:val="3"/>
            <w:tcBorders/>
            <w:vAlign w:val="center"/>
          </w:tcPr>
          <w:p>
            <w:pPr>
              <w:pStyle w:val="TableContents"/>
              <w:bidi w:val="0"/>
              <w:spacing w:before="0" w:after="283"/>
              <w:jc w:val="left"/>
              <w:rPr/>
            </w:pPr>
            <w:r>
              <w:rPr/>
              <w:t> </w:t>
            </w:r>
          </w:p>
        </w:tc>
      </w:tr>
      <w:tr>
        <w:trPr/>
        <w:tc>
          <w:tcPr>
            <w:tcW w:w="2579" w:type="dxa"/>
            <w:tcBorders/>
            <w:vAlign w:val="center"/>
          </w:tcPr>
          <w:p>
            <w:pPr>
              <w:pStyle w:val="TableContents"/>
              <w:bidi w:val="0"/>
              <w:spacing w:before="0" w:after="283"/>
              <w:jc w:val="left"/>
              <w:rPr/>
            </w:pPr>
            <w:r>
              <w:rPr/>
              <w:t> </w:t>
            </w:r>
          </w:p>
        </w:tc>
        <w:tc>
          <w:tcPr>
            <w:tcW w:w="2589"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CREDICORP LTD.</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2579" w:type="dxa"/>
            <w:tcBorders/>
            <w:vAlign w:val="center"/>
          </w:tcPr>
          <w:p>
            <w:pPr>
              <w:pStyle w:val="TableContents"/>
              <w:bidi w:val="0"/>
              <w:spacing w:before="0" w:after="283"/>
              <w:jc w:val="left"/>
              <w:rPr/>
            </w:pPr>
            <w:r>
              <w:rPr/>
              <w:t> </w:t>
            </w:r>
          </w:p>
        </w:tc>
        <w:tc>
          <w:tcPr>
            <w:tcW w:w="2589" w:type="dxa"/>
            <w:gridSpan w:val="3"/>
            <w:tcBorders/>
            <w:vAlign w:val="center"/>
          </w:tcPr>
          <w:p>
            <w:pPr>
              <w:pStyle w:val="TableContents"/>
              <w:bidi w:val="0"/>
              <w:spacing w:before="0" w:after="283"/>
              <w:jc w:val="left"/>
              <w:rPr/>
            </w:pPr>
            <w:r>
              <w:rPr/>
              <w:t> </w:t>
            </w:r>
          </w:p>
        </w:tc>
      </w:tr>
      <w:tr>
        <w:trPr/>
        <w:tc>
          <w:tcPr>
            <w:tcW w:w="2579"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19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Guillermo Morales</w:t>
            </w:r>
          </w:p>
        </w:tc>
        <w:tc>
          <w:tcPr>
            <w:tcW w:w="73" w:type="dxa"/>
            <w:tcBorders/>
            <w:vAlign w:val="center"/>
          </w:tcPr>
          <w:p>
            <w:pPr>
              <w:pStyle w:val="TableContents"/>
              <w:bidi w:val="0"/>
              <w:spacing w:before="0" w:after="283"/>
              <w:jc w:val="left"/>
              <w:rPr/>
            </w:pPr>
            <w:r>
              <w:rPr/>
              <w:t> </w:t>
            </w:r>
          </w:p>
        </w:tc>
      </w:tr>
      <w:tr>
        <w:trPr/>
        <w:tc>
          <w:tcPr>
            <w:tcW w:w="2579"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Guillermo Morales</w:t>
            </w:r>
          </w:p>
        </w:tc>
      </w:tr>
      <w:tr>
        <w:trPr/>
        <w:tc>
          <w:tcPr>
            <w:tcW w:w="2579"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Authorized Representative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577</Words>
  <Characters>3279</Characters>
  <CharactersWithSpaces>3825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