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May,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5405755</wp:posOffset>
            </wp:positionH>
            <wp:positionV relativeFrom="page">
              <wp:posOffset>517525</wp:posOffset>
            </wp:positionV>
            <wp:extent cx="199834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8345" cy="54038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please contact:</w:t>
      </w:r>
    </w:p>
    <w:p>
      <w:pPr>
        <w:spacing w:after="0" w:line="36"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Jose N. Hung</w:t>
      </w:r>
      <w:r>
        <w:rPr>
          <w:sz w:val="20"/>
          <w:szCs w:val="20"/>
          <w:color w:val="auto"/>
        </w:rPr>
        <w:tab/>
      </w:r>
      <w:r>
        <w:rPr>
          <w:rFonts w:ascii="Arial" w:cs="Arial" w:eastAsia="Arial" w:hAnsi="Arial"/>
          <w:sz w:val="16"/>
          <w:szCs w:val="16"/>
          <w:color w:val="auto"/>
        </w:rPr>
        <w:t>Alfredo Montero</w:t>
      </w:r>
    </w:p>
    <w:p>
      <w:pPr>
        <w:spacing w:after="0" w:line="36"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Phone: (511) 313-2123</w:t>
      </w:r>
      <w:r>
        <w:rPr>
          <w:sz w:val="20"/>
          <w:szCs w:val="20"/>
          <w:color w:val="auto"/>
        </w:rPr>
        <w:tab/>
      </w:r>
      <w:r>
        <w:rPr>
          <w:rFonts w:ascii="Arial" w:cs="Arial" w:eastAsia="Arial" w:hAnsi="Arial"/>
          <w:sz w:val="15"/>
          <w:szCs w:val="15"/>
          <w:color w:val="auto"/>
        </w:rPr>
        <w:t>Phone: (305) 448-0971</w:t>
      </w:r>
    </w:p>
    <w:p>
      <w:pPr>
        <w:spacing w:after="0" w:line="36"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E-mail: jhung</w:t>
      </w:r>
      <w:r>
        <w:rPr>
          <w:rFonts w:ascii="Courier New" w:cs="Courier New" w:eastAsia="Courier New" w:hAnsi="Courier New"/>
          <w:sz w:val="13"/>
          <w:szCs w:val="13"/>
          <w:color w:val="auto"/>
        </w:rPr>
        <w:t>@</w:t>
      </w:r>
      <w:r>
        <w:rPr>
          <w:rFonts w:ascii="Arial" w:cs="Arial" w:eastAsia="Arial" w:hAnsi="Arial"/>
          <w:sz w:val="18"/>
          <w:szCs w:val="18"/>
          <w:color w:val="auto"/>
        </w:rPr>
        <w:t>bcp.com.pe</w:t>
      </w:r>
      <w:r>
        <w:rPr>
          <w:sz w:val="20"/>
          <w:szCs w:val="20"/>
          <w:color w:val="auto"/>
        </w:rPr>
        <w:tab/>
      </w:r>
      <w:r>
        <w:rPr>
          <w:rFonts w:ascii="Arial" w:cs="Arial" w:eastAsia="Arial" w:hAnsi="Arial"/>
          <w:sz w:val="16"/>
          <w:szCs w:val="16"/>
          <w:color w:val="auto"/>
        </w:rPr>
        <w:t>E-mail: amontero</w:t>
      </w:r>
      <w:r>
        <w:rPr>
          <w:rFonts w:ascii="Courier New" w:cs="Courier New" w:eastAsia="Courier New" w:hAnsi="Courier New"/>
          <w:sz w:val="12"/>
          <w:szCs w:val="12"/>
          <w:color w:val="auto"/>
        </w:rPr>
        <w:t>@</w:t>
      </w:r>
      <w:r>
        <w:rPr>
          <w:rFonts w:ascii="Arial" w:cs="Arial" w:eastAsia="Arial" w:hAnsi="Arial"/>
          <w:sz w:val="16"/>
          <w:szCs w:val="16"/>
          <w:color w:val="auto"/>
        </w:rPr>
        <w:t>bcpmiami.com</w:t>
      </w:r>
    </w:p>
    <w:p>
      <w:pPr>
        <w:spacing w:after="0" w:line="24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CREDICORP LTD. ANNOUNCES FINANCIAL RESULTS</w:t>
      </w:r>
    </w:p>
    <w:p>
      <w:pPr>
        <w:spacing w:after="0" w:line="3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FOR THE QUARTER ENDED MARCH 31, 2005</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Credicorp (NYSE:BAP; LSE:BAPC1) reported a consolidated net income for the quarter ended March 31, 2005 of US$46.5 million, 41.7% above net profit in the first quarter of 2004 of US$32.8 million. According to IFRS requirements, starting with this report, two net income concepts have to be identified: (i) Net Income (without deducting minority interest), and (ii) Net Income due to shareholders, where minority interest is deducted as in prior reports. Net income due to shareholders in first quarter 2005 was US$43.6 million, or US$0.55 per share, 45.1% above net income due to shareholders of US$30.1 million, or US$0.44 per share, in the first quarter of 2004.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First quarter 2005 results are higher than profits in the same year-ago quarter mainly because of higher financial income and lower loan loss provision expense.</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Loan loss provisions, net of recoveries, had a positive effect in net income of the current quarter. Due to improved loan portfolio quality, recoveries of previously charged-off loans exceeded provision requirements in this quarter. Loan quality improvement is noted through a lower past-due loan ratio, that decreased from 5.7% at March 2004, to 3.3% at the end of March 2005, and by the improved coverage of bad loans by provisions which increased from 117.7% to 161.6%, respectively.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Increased revenue from Premiums and health fees, were partly offset by higher Claims and health cost expenses, which are mainly due to transactions added from Novasalud EPS, which PPS acquired in March 2004, and was finally merged in August 2004.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 CREDICORP LTD.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RESULTS</w:t>
      </w:r>
    </w:p>
    <w:p>
      <w:pPr>
        <w:spacing w:after="0" w:line="66"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73025</wp:posOffset>
            </wp:positionV>
            <wp:extent cx="267970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9700" cy="34290"/>
                    </a:xfrm>
                    <a:prstGeom prst="rect">
                      <a:avLst/>
                    </a:prstGeom>
                    <a:noFill/>
                  </pic:spPr>
                </pic:pic>
              </a:graphicData>
            </a:graphic>
          </wp:anchor>
        </w:drawing>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740" w:type="dxa"/>
            <w:vAlign w:val="bottom"/>
          </w:tcPr>
          <w:p>
            <w:pPr>
              <w:spacing w:after="0"/>
              <w:rPr>
                <w:sz w:val="20"/>
                <w:szCs w:val="20"/>
                <w:color w:val="auto"/>
              </w:rPr>
            </w:pPr>
            <w:r>
              <w:rPr>
                <w:rFonts w:ascii="Arial" w:cs="Arial" w:eastAsia="Arial" w:hAnsi="Arial"/>
                <w:sz w:val="14"/>
                <w:szCs w:val="14"/>
                <w:i w:val="1"/>
                <w:iCs w:val="1"/>
                <w:color w:val="auto"/>
              </w:rPr>
              <w:t>(In U.S.$ millions)</w:t>
            </w:r>
          </w:p>
        </w:tc>
        <w:tc>
          <w:tcPr>
            <w:tcW w:w="3680" w:type="dxa"/>
            <w:vAlign w:val="bottom"/>
          </w:tcPr>
          <w:p>
            <w:pPr>
              <w:jc w:val="right"/>
              <w:ind w:right="412"/>
              <w:spacing w:after="0"/>
              <w:rPr>
                <w:sz w:val="20"/>
                <w:szCs w:val="20"/>
                <w:color w:val="auto"/>
              </w:rPr>
            </w:pPr>
            <w:r>
              <w:rPr>
                <w:rFonts w:ascii="Arial" w:cs="Arial" w:eastAsia="Arial" w:hAnsi="Arial"/>
                <w:sz w:val="14"/>
                <w:szCs w:val="14"/>
                <w:b w:val="1"/>
                <w:bCs w:val="1"/>
                <w:color w:val="auto"/>
              </w:rPr>
              <w:t>31.03.04</w:t>
            </w:r>
          </w:p>
        </w:tc>
        <w:tc>
          <w:tcPr>
            <w:tcW w:w="1440" w:type="dxa"/>
            <w:vAlign w:val="bottom"/>
          </w:tcPr>
          <w:p>
            <w:pPr>
              <w:jc w:val="right"/>
              <w:ind w:right="412"/>
              <w:spacing w:after="0"/>
              <w:rPr>
                <w:sz w:val="20"/>
                <w:szCs w:val="20"/>
                <w:color w:val="auto"/>
              </w:rPr>
            </w:pPr>
            <w:r>
              <w:rPr>
                <w:rFonts w:ascii="Arial" w:cs="Arial" w:eastAsia="Arial" w:hAnsi="Arial"/>
                <w:sz w:val="14"/>
                <w:szCs w:val="14"/>
                <w:b w:val="1"/>
                <w:bCs w:val="1"/>
                <w:color w:val="auto"/>
              </w:rPr>
              <w:t>31.12.04</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31.03.05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64770</wp:posOffset>
            </wp:positionV>
            <wp:extent cx="65303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0340" cy="342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p>
      <w:pPr>
        <w:spacing w:after="0" w:line="3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Net interest income</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Less: Provisions for possible loan losses, net(1)</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Other income</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Claims on insurance activities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Other expenses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Merger costs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Translation result</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Income before income tax</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Income Tax</w:t>
      </w:r>
    </w:p>
    <w:p>
      <w:pPr>
        <w:spacing w:after="0" w:line="80" w:lineRule="exact"/>
        <w:rPr>
          <w:sz w:val="20"/>
          <w:szCs w:val="20"/>
          <w:color w:val="auto"/>
        </w:rPr>
      </w:pPr>
    </w:p>
    <w:p>
      <w:pPr>
        <w:jc w:val="right"/>
        <w:ind w:right="3340"/>
        <w:spacing w:after="0"/>
        <w:rPr>
          <w:sz w:val="20"/>
          <w:szCs w:val="20"/>
          <w:color w:val="auto"/>
        </w:rPr>
      </w:pPr>
      <w:r>
        <w:rPr>
          <w:rFonts w:ascii="Arial" w:cs="Arial" w:eastAsia="Arial" w:hAnsi="Arial"/>
          <w:sz w:val="14"/>
          <w:szCs w:val="14"/>
          <w:b w:val="1"/>
          <w:bCs w:val="1"/>
          <w:color w:val="auto"/>
        </w:rPr>
        <w:t>Net Income</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Net Income due to shareholders</w:t>
      </w:r>
    </w:p>
    <w:p>
      <w:pPr>
        <w:spacing w:after="0" w:line="8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Minority Interest</w:t>
      </w:r>
    </w:p>
    <w:p>
      <w:pPr>
        <w:spacing w:after="0" w:line="80" w:lineRule="exact"/>
        <w:rPr>
          <w:sz w:val="20"/>
          <w:szCs w:val="20"/>
          <w:color w:val="auto"/>
        </w:rPr>
      </w:pPr>
    </w:p>
    <w:p>
      <w:pPr>
        <w:jc w:val="right"/>
        <w:ind w:right="3340"/>
        <w:spacing w:after="0"/>
        <w:rPr>
          <w:sz w:val="20"/>
          <w:szCs w:val="20"/>
          <w:color w:val="auto"/>
        </w:rPr>
      </w:pPr>
      <w:r>
        <w:rPr>
          <w:rFonts w:ascii="Arial" w:cs="Arial" w:eastAsia="Arial" w:hAnsi="Arial"/>
          <w:sz w:val="14"/>
          <w:szCs w:val="14"/>
          <w:b w:val="1"/>
          <w:bCs w:val="1"/>
          <w:color w:val="auto"/>
        </w:rPr>
        <w:t>Net Income</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Net Income per share (US$) (2)</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90.0</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105.8</w:t>
            </w:r>
          </w:p>
        </w:tc>
        <w:tc>
          <w:tcPr>
            <w:tcW w:w="88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10.1</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5.3</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99.9</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127.4</w:t>
            </w:r>
          </w:p>
        </w:tc>
        <w:tc>
          <w:tcPr>
            <w:tcW w:w="88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28.7</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44.0</w:t>
            </w:r>
          </w:p>
        </w:tc>
        <w:tc>
          <w:tcPr>
            <w:tcW w:w="88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w w:val="84"/>
              </w:rPr>
              <w:t>108.2</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137.9</w:t>
            </w:r>
          </w:p>
        </w:tc>
        <w:tc>
          <w:tcPr>
            <w:tcW w:w="88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1.8</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0.0</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3.3</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2.5</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rPr>
              <w:t>44.5</w:t>
            </w: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color w:val="auto"/>
              </w:rPr>
              <w:t>48.4</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69.3</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w w:val="80"/>
              </w:rPr>
              <w:t>(11.6)</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(10.4)</w:t>
            </w: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rPr>
              <w:t>32.8</w:t>
            </w: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color w:val="auto"/>
              </w:rPr>
              <w:t>38.0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46.5</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30.1</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34.9</w:t>
            </w: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(2.8)</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rPr>
              <w:t>32.8</w:t>
            </w: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color w:val="auto"/>
              </w:rPr>
              <w:t>38.0</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46.5</w:t>
            </w:r>
          </w:p>
        </w:tc>
      </w:tr>
      <w:tr>
        <w:trPr>
          <w:trHeight w:val="243"/>
        </w:trPr>
        <w:tc>
          <w:tcPr>
            <w:tcW w:w="960" w:type="dxa"/>
            <w:vAlign w:val="bottom"/>
          </w:tcPr>
          <w:p>
            <w:pPr>
              <w:jc w:val="right"/>
              <w:ind w:right="472"/>
              <w:spacing w:after="0"/>
              <w:rPr>
                <w:sz w:val="20"/>
                <w:szCs w:val="20"/>
                <w:color w:val="auto"/>
              </w:rPr>
            </w:pPr>
            <w:r>
              <w:rPr>
                <w:rFonts w:ascii="Arial" w:cs="Arial" w:eastAsia="Arial" w:hAnsi="Arial"/>
                <w:sz w:val="18"/>
                <w:szCs w:val="18"/>
                <w:color w:val="auto"/>
              </w:rPr>
              <w:t>0.38</w:t>
            </w:r>
          </w:p>
        </w:tc>
        <w:tc>
          <w:tcPr>
            <w:tcW w:w="1440" w:type="dxa"/>
            <w:vAlign w:val="bottom"/>
          </w:tcPr>
          <w:p>
            <w:pPr>
              <w:jc w:val="right"/>
              <w:ind w:right="372"/>
              <w:spacing w:after="0"/>
              <w:rPr>
                <w:sz w:val="20"/>
                <w:szCs w:val="20"/>
                <w:color w:val="auto"/>
              </w:rPr>
            </w:pPr>
            <w:r>
              <w:rPr>
                <w:rFonts w:ascii="Arial" w:cs="Arial" w:eastAsia="Arial" w:hAnsi="Arial"/>
                <w:sz w:val="18"/>
                <w:szCs w:val="18"/>
                <w:color w:val="auto"/>
              </w:rPr>
              <w:t>0.44</w:t>
            </w:r>
          </w:p>
        </w:tc>
        <w:tc>
          <w:tcPr>
            <w:tcW w:w="880" w:type="dxa"/>
            <w:vAlign w:val="bottom"/>
          </w:tcPr>
          <w:p>
            <w:pPr>
              <w:jc w:val="right"/>
              <w:spacing w:after="0"/>
              <w:rPr>
                <w:sz w:val="20"/>
                <w:szCs w:val="20"/>
                <w:color w:val="auto"/>
              </w:rPr>
            </w:pPr>
            <w:r>
              <w:rPr>
                <w:rFonts w:ascii="Arial" w:cs="Arial" w:eastAsia="Arial" w:hAnsi="Arial"/>
                <w:sz w:val="18"/>
                <w:szCs w:val="18"/>
                <w:color w:val="auto"/>
              </w:rPr>
              <w:t>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57150</wp:posOffset>
            </wp:positionV>
            <wp:extent cx="653034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034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900"/>
          </w:cols>
          <w:pgMar w:left="240" w:top="1440" w:right="239" w:bottom="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Net of income from recoveries of charged-off loans.</w:t>
      </w:r>
    </w:p>
    <w:p>
      <w:pPr>
        <w:spacing w:after="0" w:line="82" w:lineRule="exact"/>
        <w:rPr>
          <w:rFonts w:ascii="Arial" w:cs="Arial" w:eastAsia="Arial" w:hAnsi="Arial"/>
          <w:sz w:val="14"/>
          <w:szCs w:val="14"/>
          <w:i w:val="1"/>
          <w:iCs w:val="1"/>
          <w:color w:val="auto"/>
        </w:rPr>
      </w:pPr>
    </w:p>
    <w:p>
      <w:pPr>
        <w:ind w:left="220" w:hanging="212"/>
        <w:spacing w:after="0"/>
        <w:tabs>
          <w:tab w:leader="none" w:pos="220" w:val="left"/>
        </w:tabs>
        <w:numPr>
          <w:ilvl w:val="0"/>
          <w:numId w:val="1"/>
        </w:numPr>
        <w:rPr>
          <w:rFonts w:ascii="Arial" w:cs="Arial" w:eastAsia="Arial" w:hAnsi="Arial"/>
          <w:sz w:val="14"/>
          <w:szCs w:val="14"/>
          <w:i w:val="1"/>
          <w:iCs w:val="1"/>
          <w:color w:val="auto"/>
        </w:rPr>
      </w:pPr>
      <w:r>
        <w:rPr>
          <w:rFonts w:ascii="Arial" w:cs="Arial" w:eastAsia="Arial" w:hAnsi="Arial"/>
          <w:sz w:val="14"/>
          <w:szCs w:val="14"/>
          <w:i w:val="1"/>
          <w:iCs w:val="1"/>
          <w:color w:val="auto"/>
        </w:rPr>
        <w:t>Based on Net Income due to shareholders. Applies 79.8 million net outstanding</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shares in all periods. Treasury shares amount to 14.6 million,</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which are netted from 94.4 million total outstanding shares.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Changes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purchase of the loan portfolio from the Peruvian branch of Bank Boston, announced at the beginning of this year, was effected in stages during the months of January and February. Total loans bought amounted to approximately US$360 million.</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sale of Credicorp’s subsidiary, Banco Tequendama, was finalized in March 2005. Since the beginning of fourth quarter 2004 this subsidiary did not contribute to consolidated net income given that its sale price was fixed. Nevertheless, Credicorp’s consolidated balance sheets as of March 2005 are affected by Tequendama’s exit compared to December 2004, in which US$306.7 million of loans and US$290.5 million of deposits were included from this subsidiary.</w:t>
      </w:r>
    </w:p>
    <w:p>
      <w:pPr>
        <w:sectPr>
          <w:pgSz w:w="11900" w:h="16838" w:orient="portrait"/>
          <w:cols w:equalWidth="0" w:num="1">
            <w:col w:w="11420"/>
          </w:cols>
          <w:pgMar w:left="240" w:top="1440" w:right="239" w:bottom="0" w:gutter="0" w:footer="0" w:header="0"/>
          <w:type w:val="continuous"/>
        </w:sectPr>
      </w:pPr>
    </w:p>
    <w:bookmarkStart w:id="2" w:name="page3"/>
    <w:bookmarkEnd w:id="2"/>
    <w:p>
      <w:pPr>
        <w:ind w:right="20"/>
        <w:spacing w:after="0" w:line="268" w:lineRule="auto"/>
        <w:rPr>
          <w:sz w:val="20"/>
          <w:szCs w:val="20"/>
          <w:color w:val="auto"/>
        </w:rPr>
      </w:pPr>
      <w:r>
        <w:rPr>
          <w:rFonts w:ascii="Arial" w:cs="Arial" w:eastAsia="Arial" w:hAnsi="Arial"/>
          <w:sz w:val="18"/>
          <w:szCs w:val="18"/>
          <w:color w:val="auto"/>
        </w:rPr>
        <w:t>In February 2005, Credicorp was authorized to set up Prima AFP, in which it is the main shareholder. It is expected that this new AFP will begin operating in the second semester of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from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principal subsidiaries contributed to consolidated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204470</wp:posOffset>
            </wp:positionV>
            <wp:extent cx="556958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Arial" w:cs="Arial" w:eastAsia="Arial" w:hAnsi="Arial"/>
                <w:sz w:val="18"/>
                <w:szCs w:val="18"/>
                <w:i w:val="1"/>
                <w:iCs w:val="1"/>
                <w:color w:val="auto"/>
              </w:rPr>
              <w:t>(US$Mn)</w:t>
            </w:r>
          </w:p>
        </w:tc>
        <w:tc>
          <w:tcPr>
            <w:tcW w:w="2480" w:type="dxa"/>
            <w:vAlign w:val="bottom"/>
          </w:tcPr>
          <w:p>
            <w:pPr>
              <w:jc w:val="right"/>
              <w:ind w:right="592"/>
              <w:spacing w:after="0"/>
              <w:rPr>
                <w:sz w:val="20"/>
                <w:szCs w:val="20"/>
                <w:color w:val="auto"/>
              </w:rPr>
            </w:pPr>
            <w:r>
              <w:rPr>
                <w:rFonts w:ascii="Arial" w:cs="Arial" w:eastAsia="Arial" w:hAnsi="Arial"/>
                <w:sz w:val="18"/>
                <w:szCs w:val="18"/>
                <w:b w:val="1"/>
                <w:bCs w:val="1"/>
                <w:color w:val="auto"/>
              </w:rPr>
              <w:t>1Q04</w:t>
            </w:r>
          </w:p>
        </w:tc>
        <w:tc>
          <w:tcPr>
            <w:tcW w:w="1300" w:type="dxa"/>
            <w:vAlign w:val="bottom"/>
          </w:tcPr>
          <w:p>
            <w:pPr>
              <w:jc w:val="right"/>
              <w:ind w:right="572"/>
              <w:spacing w:after="0"/>
              <w:rPr>
                <w:sz w:val="20"/>
                <w:szCs w:val="20"/>
                <w:color w:val="auto"/>
              </w:rPr>
            </w:pPr>
            <w:r>
              <w:rPr>
                <w:rFonts w:ascii="Arial" w:cs="Arial" w:eastAsia="Arial" w:hAnsi="Arial"/>
                <w:sz w:val="18"/>
                <w:szCs w:val="18"/>
                <w:b w:val="1"/>
                <w:bCs w:val="1"/>
                <w:color w:val="auto"/>
              </w:rPr>
              <w:t>4Q04</w:t>
            </w:r>
          </w:p>
        </w:tc>
        <w:tc>
          <w:tcPr>
            <w:tcW w:w="1140" w:type="dxa"/>
            <w:vAlign w:val="bottom"/>
          </w:tcPr>
          <w:p>
            <w:pPr>
              <w:jc w:val="right"/>
              <w:ind w:right="412"/>
              <w:spacing w:after="0"/>
              <w:rPr>
                <w:sz w:val="20"/>
                <w:szCs w:val="20"/>
                <w:color w:val="auto"/>
              </w:rPr>
            </w:pPr>
            <w:r>
              <w:rPr>
                <w:rFonts w:ascii="Arial" w:cs="Arial" w:eastAsia="Arial" w:hAnsi="Arial"/>
                <w:sz w:val="18"/>
                <w:szCs w:val="18"/>
                <w:b w:val="1"/>
                <w:bCs w:val="1"/>
                <w:color w:val="auto"/>
              </w:rPr>
              <w:t>1Q05</w:t>
            </w:r>
          </w:p>
        </w:tc>
      </w:tr>
      <w:tr>
        <w:trPr>
          <w:trHeight w:val="110"/>
        </w:trPr>
        <w:tc>
          <w:tcPr>
            <w:tcW w:w="384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r>
        <w:trPr>
          <w:trHeight w:val="343"/>
        </w:trPr>
        <w:tc>
          <w:tcPr>
            <w:tcW w:w="3840" w:type="dxa"/>
            <w:vAlign w:val="bottom"/>
          </w:tcPr>
          <w:p>
            <w:pPr>
              <w:spacing w:after="0"/>
              <w:rPr>
                <w:sz w:val="20"/>
                <w:szCs w:val="20"/>
                <w:color w:val="auto"/>
              </w:rPr>
            </w:pPr>
            <w:r>
              <w:rPr>
                <w:rFonts w:ascii="Arial" w:cs="Arial" w:eastAsia="Arial" w:hAnsi="Arial"/>
                <w:sz w:val="18"/>
                <w:szCs w:val="18"/>
                <w:color w:val="auto"/>
              </w:rPr>
              <w:t>Banco de Crédito BCP(1)</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US$25.9</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US$28.1</w:t>
            </w:r>
          </w:p>
        </w:tc>
        <w:tc>
          <w:tcPr>
            <w:tcW w:w="1140" w:type="dxa"/>
            <w:vAlign w:val="bottom"/>
          </w:tcPr>
          <w:p>
            <w:pPr>
              <w:jc w:val="right"/>
              <w:spacing w:after="0"/>
              <w:rPr>
                <w:sz w:val="20"/>
                <w:szCs w:val="20"/>
                <w:color w:val="auto"/>
              </w:rPr>
            </w:pPr>
            <w:r>
              <w:rPr>
                <w:rFonts w:ascii="Arial" w:cs="Arial" w:eastAsia="Arial" w:hAnsi="Arial"/>
                <w:sz w:val="18"/>
                <w:szCs w:val="18"/>
                <w:color w:val="auto"/>
              </w:rPr>
              <w:t>US$43.7</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Atlantic</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2.9</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PPS</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Banco Tequendama</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Credicorp and others(2)</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0.9</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86"/>
        </w:trPr>
        <w:tc>
          <w:tcPr>
            <w:tcW w:w="3840" w:type="dxa"/>
            <w:vAlign w:val="bottom"/>
          </w:tcPr>
          <w:p>
            <w:pPr>
              <w:spacing w:after="0"/>
              <w:rPr>
                <w:sz w:val="20"/>
                <w:szCs w:val="20"/>
                <w:color w:val="auto"/>
              </w:rPr>
            </w:pPr>
            <w:r>
              <w:rPr>
                <w:rFonts w:ascii="Arial" w:cs="Arial" w:eastAsia="Arial" w:hAnsi="Arial"/>
                <w:sz w:val="18"/>
                <w:szCs w:val="18"/>
                <w:color w:val="auto"/>
              </w:rPr>
              <w:t>Net Income due to shareholders</w:t>
            </w: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US$30.1</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US$34.9</w:t>
            </w:r>
          </w:p>
        </w:tc>
        <w:tc>
          <w:tcPr>
            <w:tcW w:w="1140" w:type="dxa"/>
            <w:vAlign w:val="bottom"/>
          </w:tcPr>
          <w:p>
            <w:pPr>
              <w:jc w:val="right"/>
              <w:spacing w:after="0"/>
              <w:rPr>
                <w:sz w:val="20"/>
                <w:szCs w:val="20"/>
                <w:color w:val="auto"/>
              </w:rPr>
            </w:pPr>
            <w:r>
              <w:rPr>
                <w:rFonts w:ascii="Arial" w:cs="Arial" w:eastAsia="Arial" w:hAnsi="Arial"/>
                <w:sz w:val="18"/>
                <w:szCs w:val="18"/>
                <w:color w:val="auto"/>
              </w:rPr>
              <w:t>US$43.6</w:t>
            </w:r>
          </w:p>
        </w:tc>
      </w:tr>
      <w:tr>
        <w:trPr>
          <w:trHeight w:val="110"/>
        </w:trPr>
        <w:tc>
          <w:tcPr>
            <w:tcW w:w="384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r>
        <w:trPr>
          <w:trHeight w:val="343"/>
        </w:trPr>
        <w:tc>
          <w:tcPr>
            <w:tcW w:w="3840" w:type="dxa"/>
            <w:vAlign w:val="bottom"/>
          </w:tcPr>
          <w:p>
            <w:pPr>
              <w:ind w:left="1560"/>
              <w:spacing w:after="0"/>
              <w:rPr>
                <w:sz w:val="20"/>
                <w:szCs w:val="20"/>
                <w:color w:val="auto"/>
              </w:rPr>
            </w:pPr>
            <w:r>
              <w:rPr>
                <w:rFonts w:ascii="Arial" w:cs="Arial" w:eastAsia="Arial" w:hAnsi="Arial"/>
                <w:sz w:val="18"/>
                <w:szCs w:val="18"/>
                <w:b w:val="1"/>
                <w:bCs w:val="1"/>
                <w:color w:val="auto"/>
              </w:rPr>
              <w:t>Net Income</w:t>
            </w:r>
          </w:p>
        </w:tc>
        <w:tc>
          <w:tcPr>
            <w:tcW w:w="2480" w:type="dxa"/>
            <w:vAlign w:val="bottom"/>
          </w:tcPr>
          <w:p>
            <w:pPr>
              <w:jc w:val="right"/>
              <w:ind w:right="152"/>
              <w:spacing w:after="0"/>
              <w:rPr>
                <w:sz w:val="20"/>
                <w:szCs w:val="20"/>
                <w:color w:val="auto"/>
              </w:rPr>
            </w:pPr>
            <w:r>
              <w:rPr>
                <w:rFonts w:ascii="Arial" w:cs="Arial" w:eastAsia="Arial" w:hAnsi="Arial"/>
                <w:sz w:val="18"/>
                <w:szCs w:val="18"/>
                <w:b w:val="1"/>
                <w:bCs w:val="1"/>
                <w:color w:val="auto"/>
              </w:rPr>
              <w:t>US$32.8</w:t>
            </w:r>
          </w:p>
        </w:tc>
        <w:tc>
          <w:tcPr>
            <w:tcW w:w="1300" w:type="dxa"/>
            <w:vAlign w:val="bottom"/>
          </w:tcPr>
          <w:p>
            <w:pPr>
              <w:jc w:val="right"/>
              <w:ind w:right="152"/>
              <w:spacing w:after="0"/>
              <w:rPr>
                <w:sz w:val="20"/>
                <w:szCs w:val="20"/>
                <w:color w:val="auto"/>
              </w:rPr>
            </w:pPr>
            <w:r>
              <w:rPr>
                <w:rFonts w:ascii="Arial" w:cs="Arial" w:eastAsia="Arial" w:hAnsi="Arial"/>
                <w:sz w:val="18"/>
                <w:szCs w:val="18"/>
                <w:b w:val="1"/>
                <w:bCs w:val="1"/>
                <w:color w:val="auto"/>
              </w:rPr>
              <w:t>US$38.0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US$46.5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-1468755</wp:posOffset>
            </wp:positionV>
            <wp:extent cx="342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-1468755</wp:posOffset>
            </wp:positionV>
            <wp:extent cx="342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-1468755</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-1468755</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-242570</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-242570</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-242570</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-242570</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57150</wp:posOffset>
            </wp:positionV>
            <wp:extent cx="556958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17" w:lineRule="exact"/>
        <w:rPr>
          <w:sz w:val="20"/>
          <w:szCs w:val="20"/>
          <w:color w:val="auto"/>
        </w:rPr>
      </w:pPr>
    </w:p>
    <w:p>
      <w:pPr>
        <w:ind w:left="3100" w:hanging="229"/>
        <w:spacing w:after="0"/>
        <w:tabs>
          <w:tab w:leader="none" w:pos="31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w:t>
      </w:r>
    </w:p>
    <w:p>
      <w:pPr>
        <w:spacing w:after="0" w:line="36" w:lineRule="exact"/>
        <w:rPr>
          <w:rFonts w:ascii="Arial" w:cs="Arial" w:eastAsia="Arial" w:hAnsi="Arial"/>
          <w:sz w:val="18"/>
          <w:szCs w:val="18"/>
          <w:i w:val="1"/>
          <w:iCs w:val="1"/>
          <w:color w:val="auto"/>
        </w:rPr>
      </w:pPr>
    </w:p>
    <w:p>
      <w:pPr>
        <w:ind w:left="3100" w:hanging="229"/>
        <w:spacing w:after="0"/>
        <w:tabs>
          <w:tab w:leader="none" w:pos="31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Inversiones Crédito, Credicorp Securities and others.</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the first quarter of 2005, the </w:t>
      </w:r>
      <w:r>
        <w:rPr>
          <w:rFonts w:ascii="Arial" w:cs="Arial" w:eastAsia="Arial" w:hAnsi="Arial"/>
          <w:sz w:val="18"/>
          <w:szCs w:val="18"/>
          <w:b w:val="1"/>
          <w:bCs w:val="1"/>
          <w:color w:val="auto"/>
        </w:rPr>
        <w:t>Credicorp and others</w:t>
      </w:r>
      <w:r>
        <w:rPr>
          <w:rFonts w:ascii="Arial" w:cs="Arial" w:eastAsia="Arial" w:hAnsi="Arial"/>
          <w:sz w:val="18"/>
          <w:szCs w:val="18"/>
          <w:color w:val="auto"/>
        </w:rPr>
        <w:t xml:space="preserve"> concept contributed a net loss of US$5.7 million, mainly due to US$2.5 million of market value provisions of certain long term investments, and to US$4.5 million of taxes on dividends received from Peruvian subsidiaries, partly offset by US$1.8 million non-recurrent gains on investments. The net income contribution of US$0.9 million in the last quarter of 2004 included a gain of US$3.0 million from the sale of long term investments on equity securities.</w:t>
      </w:r>
    </w:p>
    <w:p>
      <w:pPr>
        <w:spacing w:after="0" w:line="1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the current quarter, the contributions to Credicorp’s net income due to shareholders from </w:t>
      </w:r>
      <w:r>
        <w:rPr>
          <w:rFonts w:ascii="Arial" w:cs="Arial" w:eastAsia="Arial" w:hAnsi="Arial"/>
          <w:sz w:val="16"/>
          <w:szCs w:val="16"/>
          <w:b w:val="1"/>
          <w:bCs w:val="1"/>
          <w:color w:val="auto"/>
        </w:rPr>
        <w:t>Banco de Crédito BCP</w:t>
      </w:r>
      <w:r>
        <w:rPr>
          <w:rFonts w:ascii="Arial" w:cs="Arial" w:eastAsia="Arial" w:hAnsi="Arial"/>
          <w:sz w:val="16"/>
          <w:szCs w:val="16"/>
          <w:color w:val="auto"/>
        </w:rPr>
        <w:t xml:space="preserve"> and from </w:t>
      </w:r>
      <w:r>
        <w:rPr>
          <w:rFonts w:ascii="Arial" w:cs="Arial" w:eastAsia="Arial" w:hAnsi="Arial"/>
          <w:sz w:val="16"/>
          <w:szCs w:val="16"/>
          <w:b w:val="1"/>
          <w:bCs w:val="1"/>
          <w:color w:val="auto"/>
        </w:rPr>
        <w:t>Pacífico Peruano Suiza</w:t>
      </w:r>
      <w:r>
        <w:rPr>
          <w:rFonts w:ascii="Arial" w:cs="Arial" w:eastAsia="Arial" w:hAnsi="Arial"/>
          <w:sz w:val="16"/>
          <w:szCs w:val="16"/>
          <w:color w:val="auto"/>
        </w:rPr>
        <w:t xml:space="preserve">, are directly the results obtained under IFRS rules in U.S. Dollars, net of minority interests. In Section II, BCP reports net income of US$45.4 million, which net of US$1.7 million of minority interest results in its US$43.7 million contribution. In case of PPS (Section IV), its net income according to IFRS is US$2.9 million, of which US$0.7 million of minority interest is deducted. (See below: </w:t>
      </w:r>
      <w:r>
        <w:rPr>
          <w:rFonts w:ascii="Arial" w:cs="Arial" w:eastAsia="Arial" w:hAnsi="Arial"/>
          <w:sz w:val="16"/>
          <w:szCs w:val="16"/>
          <w:i w:val="1"/>
          <w:iCs w:val="1"/>
          <w:color w:val="auto"/>
        </w:rPr>
        <w:t>Note on Inflation Adjusted Accounting</w:t>
      </w:r>
      <w:r>
        <w:rPr>
          <w:rFonts w:ascii="Arial" w:cs="Arial" w:eastAsia="Arial" w:hAnsi="Arial"/>
          <w:sz w:val="16"/>
          <w:szCs w:val="16"/>
          <w:color w:val="auto"/>
        </w:rPr>
        <w:t>.)</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contribution of </w:t>
      </w:r>
      <w:r>
        <w:rPr>
          <w:rFonts w:ascii="Arial" w:cs="Arial" w:eastAsia="Arial" w:hAnsi="Arial"/>
          <w:sz w:val="18"/>
          <w:szCs w:val="18"/>
          <w:b w:val="1"/>
          <w:bCs w:val="1"/>
          <w:color w:val="auto"/>
        </w:rPr>
        <w:t>Atlantic Security Holding Corporation</w:t>
      </w:r>
      <w:r>
        <w:rPr>
          <w:rFonts w:ascii="Arial" w:cs="Arial" w:eastAsia="Arial" w:hAnsi="Arial"/>
          <w:sz w:val="18"/>
          <w:szCs w:val="18"/>
          <w:color w:val="auto"/>
        </w:rPr>
        <w:t xml:space="preserve"> of US$3.4 million in the current quarter is below US$15.1 million net income shown in its books (see Section III) because of the elimination of US$11.7 million of dividends received from Credicorp. Atlantic’s US$2.9 million contribution in first quarter 2004, results from the elimination of US$4.8 million dividends from US$7.7 million net income in its records.</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Banco Tequendama</w:t>
      </w:r>
      <w:r>
        <w:rPr>
          <w:rFonts w:ascii="Arial" w:cs="Arial" w:eastAsia="Arial" w:hAnsi="Arial"/>
          <w:sz w:val="18"/>
          <w:szCs w:val="18"/>
          <w:color w:val="auto"/>
        </w:rPr>
        <w:t>, which was finally sold last March 2005, was not contributing to Credicorp’s net income since the fourth quarter of 2004 because, as was</w:t>
      </w:r>
      <w:r>
        <w:rPr>
          <w:rFonts w:ascii="Arial" w:cs="Arial" w:eastAsia="Arial" w:hAnsi="Arial"/>
          <w:sz w:val="18"/>
          <w:szCs w:val="18"/>
          <w:b w:val="1"/>
          <w:bCs w:val="1"/>
          <w:color w:val="auto"/>
        </w:rPr>
        <w:t xml:space="preserve"> </w:t>
      </w:r>
      <w:r>
        <w:rPr>
          <w:rFonts w:ascii="Arial" w:cs="Arial" w:eastAsia="Arial" w:hAnsi="Arial"/>
          <w:sz w:val="18"/>
          <w:szCs w:val="18"/>
          <w:color w:val="auto"/>
        </w:rPr>
        <w:t>mentioned above, of its fixed sale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Inflation Adjusted Accounting</w:t>
      </w:r>
    </w:p>
    <w:p>
      <w:pPr>
        <w:spacing w:after="0" w:line="22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Inflation adjustment accounting rules were required by Peruvian GAAP until December 31, 2004. Starting January 1</w:t>
      </w:r>
      <w:r>
        <w:rPr>
          <w:rFonts w:ascii="Arial" w:cs="Arial" w:eastAsia="Arial" w:hAnsi="Arial"/>
          <w:sz w:val="35"/>
          <w:szCs w:val="35"/>
          <w:color w:val="auto"/>
          <w:vertAlign w:val="superscript"/>
        </w:rPr>
        <w:t>st</w:t>
      </w:r>
      <w:r>
        <w:rPr>
          <w:rFonts w:ascii="Arial" w:cs="Arial" w:eastAsia="Arial" w:hAnsi="Arial"/>
          <w:sz w:val="18"/>
          <w:szCs w:val="18"/>
          <w:color w:val="auto"/>
        </w:rPr>
        <w:t>, 2005, Peruvian authorities decreed the suspension, with legal and tax effects, of further inflation adjustments, which is a consequence of international guidelines for low inflation countries as experienced recently in Perú.</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the elimination of inflation adjusted accounting, starting with first quarter 2005 Credicorp and its subsidiaries report their financial statements prepared in accordance with IFRS and in U. S. Dollars.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inflation adjustment index, based on the wholesale price inflation, and the exchange rate, are shown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204470</wp:posOffset>
            </wp:positionV>
            <wp:extent cx="556958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3700" w:type="dxa"/>
            <w:vAlign w:val="bottom"/>
          </w:tcPr>
          <w:p>
            <w:pPr>
              <w:spacing w:after="0"/>
              <w:rPr>
                <w:sz w:val="19"/>
                <w:szCs w:val="19"/>
                <w:color w:val="auto"/>
              </w:rPr>
            </w:pPr>
          </w:p>
        </w:tc>
        <w:tc>
          <w:tcPr>
            <w:tcW w:w="2560" w:type="dxa"/>
            <w:vAlign w:val="bottom"/>
          </w:tcPr>
          <w:p>
            <w:pPr>
              <w:jc w:val="right"/>
              <w:ind w:right="412"/>
              <w:spacing w:after="0"/>
              <w:rPr>
                <w:sz w:val="20"/>
                <w:szCs w:val="20"/>
                <w:color w:val="auto"/>
              </w:rPr>
            </w:pPr>
            <w:r>
              <w:rPr>
                <w:rFonts w:ascii="Arial" w:cs="Arial" w:eastAsia="Arial" w:hAnsi="Arial"/>
                <w:sz w:val="18"/>
                <w:szCs w:val="18"/>
                <w:b w:val="1"/>
                <w:bCs w:val="1"/>
                <w:color w:val="auto"/>
              </w:rPr>
              <w:t>31.03.04</w:t>
            </w:r>
          </w:p>
        </w:tc>
        <w:tc>
          <w:tcPr>
            <w:tcW w:w="1320" w:type="dxa"/>
            <w:vAlign w:val="bottom"/>
          </w:tcPr>
          <w:p>
            <w:pPr>
              <w:jc w:val="right"/>
              <w:ind w:right="432"/>
              <w:spacing w:after="0"/>
              <w:rPr>
                <w:sz w:val="20"/>
                <w:szCs w:val="20"/>
                <w:color w:val="auto"/>
              </w:rPr>
            </w:pPr>
            <w:r>
              <w:rPr>
                <w:rFonts w:ascii="Arial" w:cs="Arial" w:eastAsia="Arial" w:hAnsi="Arial"/>
                <w:sz w:val="18"/>
                <w:szCs w:val="18"/>
                <w:b w:val="1"/>
                <w:bCs w:val="1"/>
                <w:color w:val="auto"/>
              </w:rPr>
              <w:t>31.12.04</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31.03.05</w:t>
            </w:r>
          </w:p>
        </w:tc>
      </w:tr>
      <w:tr>
        <w:trPr>
          <w:trHeight w:val="110"/>
        </w:trPr>
        <w:tc>
          <w:tcPr>
            <w:tcW w:w="37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43"/>
        </w:trPr>
        <w:tc>
          <w:tcPr>
            <w:tcW w:w="3700" w:type="dxa"/>
            <w:vAlign w:val="bottom"/>
          </w:tcPr>
          <w:p>
            <w:pPr>
              <w:spacing w:after="0"/>
              <w:rPr>
                <w:sz w:val="20"/>
                <w:szCs w:val="20"/>
                <w:color w:val="auto"/>
              </w:rPr>
            </w:pPr>
            <w:r>
              <w:rPr>
                <w:rFonts w:ascii="Arial" w:cs="Arial" w:eastAsia="Arial" w:hAnsi="Arial"/>
                <w:sz w:val="18"/>
                <w:szCs w:val="18"/>
                <w:color w:val="auto"/>
              </w:rPr>
              <w:t>Inflation – wholesale prices</w:t>
            </w:r>
          </w:p>
        </w:tc>
        <w:tc>
          <w:tcPr>
            <w:tcW w:w="2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3700" w:type="dxa"/>
            <w:vAlign w:val="bottom"/>
          </w:tcPr>
          <w:p>
            <w:pPr>
              <w:ind w:left="600"/>
              <w:spacing w:after="0"/>
              <w:rPr>
                <w:sz w:val="20"/>
                <w:szCs w:val="20"/>
                <w:color w:val="auto"/>
              </w:rPr>
            </w:pPr>
            <w:r>
              <w:rPr>
                <w:rFonts w:ascii="Arial" w:cs="Arial" w:eastAsia="Arial" w:hAnsi="Arial"/>
                <w:sz w:val="18"/>
                <w:szCs w:val="18"/>
                <w:color w:val="auto"/>
              </w:rPr>
              <w:t>(last twelve months)</w:t>
            </w:r>
          </w:p>
        </w:tc>
        <w:tc>
          <w:tcPr>
            <w:tcW w:w="256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Inflation adjustment index</w:t>
            </w:r>
          </w:p>
        </w:tc>
        <w:tc>
          <w:tcPr>
            <w:tcW w:w="2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3700" w:type="dxa"/>
            <w:vAlign w:val="bottom"/>
          </w:tcPr>
          <w:p>
            <w:pPr>
              <w:ind w:left="600"/>
              <w:spacing w:after="0"/>
              <w:rPr>
                <w:sz w:val="20"/>
                <w:szCs w:val="20"/>
                <w:color w:val="auto"/>
              </w:rPr>
            </w:pPr>
            <w:r>
              <w:rPr>
                <w:rFonts w:ascii="Arial" w:cs="Arial" w:eastAsia="Arial" w:hAnsi="Arial"/>
                <w:sz w:val="18"/>
                <w:szCs w:val="18"/>
                <w:color w:val="auto"/>
              </w:rPr>
              <w:t>(at December 31, 2004)</w:t>
            </w:r>
          </w:p>
        </w:tc>
        <w:tc>
          <w:tcPr>
            <w:tcW w:w="2560" w:type="dxa"/>
            <w:vAlign w:val="bottom"/>
          </w:tcPr>
          <w:p>
            <w:pPr>
              <w:jc w:val="right"/>
              <w:ind w:right="92"/>
              <w:spacing w:after="0"/>
              <w:rPr>
                <w:sz w:val="20"/>
                <w:szCs w:val="20"/>
                <w:color w:val="auto"/>
              </w:rPr>
            </w:pPr>
            <w:r>
              <w:rPr>
                <w:rFonts w:ascii="Arial" w:cs="Arial" w:eastAsia="Arial" w:hAnsi="Arial"/>
                <w:sz w:val="18"/>
                <w:szCs w:val="18"/>
                <w:color w:val="auto"/>
              </w:rPr>
              <w:t>1.020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486"/>
        </w:trPr>
        <w:tc>
          <w:tcPr>
            <w:tcW w:w="3700" w:type="dxa"/>
            <w:vAlign w:val="bottom"/>
          </w:tcPr>
          <w:p>
            <w:pPr>
              <w:spacing w:after="0"/>
              <w:rPr>
                <w:sz w:val="20"/>
                <w:szCs w:val="20"/>
                <w:color w:val="auto"/>
              </w:rPr>
            </w:pPr>
            <w:r>
              <w:rPr>
                <w:rFonts w:ascii="Arial" w:cs="Arial" w:eastAsia="Arial" w:hAnsi="Arial"/>
                <w:sz w:val="18"/>
                <w:szCs w:val="18"/>
                <w:color w:val="auto"/>
              </w:rPr>
              <w:t>Exchange rate (Soles per US$1)</w:t>
            </w:r>
          </w:p>
        </w:tc>
        <w:tc>
          <w:tcPr>
            <w:tcW w:w="2560" w:type="dxa"/>
            <w:vAlign w:val="bottom"/>
          </w:tcPr>
          <w:p>
            <w:pPr>
              <w:jc w:val="right"/>
              <w:ind w:right="92"/>
              <w:spacing w:after="0"/>
              <w:rPr>
                <w:sz w:val="20"/>
                <w:szCs w:val="20"/>
                <w:color w:val="auto"/>
              </w:rPr>
            </w:pPr>
            <w:r>
              <w:rPr>
                <w:rFonts w:ascii="Arial" w:cs="Arial" w:eastAsia="Arial" w:hAnsi="Arial"/>
                <w:sz w:val="18"/>
                <w:szCs w:val="18"/>
                <w:color w:val="auto"/>
              </w:rPr>
              <w:t>S/.3.460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S/.3.282</w:t>
            </w:r>
          </w:p>
        </w:tc>
        <w:tc>
          <w:tcPr>
            <w:tcW w:w="1180" w:type="dxa"/>
            <w:vAlign w:val="bottom"/>
          </w:tcPr>
          <w:p>
            <w:pPr>
              <w:jc w:val="right"/>
              <w:spacing w:after="0"/>
              <w:rPr>
                <w:sz w:val="20"/>
                <w:szCs w:val="20"/>
                <w:color w:val="auto"/>
              </w:rPr>
            </w:pPr>
            <w:r>
              <w:rPr>
                <w:rFonts w:ascii="Arial" w:cs="Arial" w:eastAsia="Arial" w:hAnsi="Arial"/>
                <w:sz w:val="18"/>
                <w:szCs w:val="18"/>
                <w:color w:val="auto"/>
              </w:rPr>
              <w:t>S/.3.261</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Devaluation / (revaluation)</w:t>
            </w:r>
          </w:p>
        </w:tc>
        <w:tc>
          <w:tcPr>
            <w:tcW w:w="2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3700" w:type="dxa"/>
            <w:vAlign w:val="bottom"/>
          </w:tcPr>
          <w:p>
            <w:pPr>
              <w:ind w:left="600"/>
              <w:spacing w:after="0"/>
              <w:rPr>
                <w:sz w:val="20"/>
                <w:szCs w:val="20"/>
                <w:color w:val="auto"/>
              </w:rPr>
            </w:pPr>
            <w:r>
              <w:rPr>
                <w:rFonts w:ascii="Arial" w:cs="Arial" w:eastAsia="Arial" w:hAnsi="Arial"/>
                <w:sz w:val="18"/>
                <w:szCs w:val="18"/>
                <w:color w:val="auto"/>
              </w:rPr>
              <w:t>(last twelve months)</w:t>
            </w:r>
          </w:p>
        </w:tc>
        <w:tc>
          <w:tcPr>
            <w:tcW w:w="2560" w:type="dxa"/>
            <w:vAlign w:val="bottom"/>
          </w:tcPr>
          <w:p>
            <w:pPr>
              <w:jc w:val="right"/>
              <w:ind w:right="92"/>
              <w:spacing w:after="0"/>
              <w:rPr>
                <w:sz w:val="20"/>
                <w:szCs w:val="20"/>
                <w:color w:val="auto"/>
              </w:rPr>
            </w:pPr>
            <w:r>
              <w:rPr>
                <w:rFonts w:ascii="Arial" w:cs="Arial" w:eastAsia="Arial" w:hAnsi="Arial"/>
                <w:sz w:val="18"/>
                <w:szCs w:val="18"/>
                <w:color w:val="auto"/>
              </w:rPr>
              <w:t>(0.40)%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(5.23)%</w:t>
            </w:r>
          </w:p>
        </w:tc>
        <w:tc>
          <w:tcPr>
            <w:tcW w:w="118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110"/>
        </w:trPr>
        <w:tc>
          <w:tcPr>
            <w:tcW w:w="370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-1401445</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-1401445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-1401445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-1401445</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-20955</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-20955</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-20955</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I.1 INTEREST INCOME AND OTHER INCOME</w:t>
      </w:r>
    </w:p>
    <w:p>
      <w:pPr>
        <w:spacing w:after="0" w:line="2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For comparison purposes, in periods prior to 2005, income from recoveries of previously charged-off loans, which were reported in the </w:t>
      </w:r>
      <w:r>
        <w:rPr>
          <w:rFonts w:ascii="Arial" w:cs="Arial" w:eastAsia="Arial" w:hAnsi="Arial"/>
          <w:sz w:val="18"/>
          <w:szCs w:val="18"/>
          <w:i w:val="1"/>
          <w:iCs w:val="1"/>
          <w:u w:val="single" w:color="auto"/>
          <w:color w:val="auto"/>
        </w:rPr>
        <w:t>Other non-interest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income</w:t>
      </w:r>
      <w:r>
        <w:rPr>
          <w:rFonts w:ascii="Arial" w:cs="Arial" w:eastAsia="Arial" w:hAnsi="Arial"/>
          <w:sz w:val="18"/>
          <w:szCs w:val="18"/>
          <w:i w:val="1"/>
          <w:iCs w:val="1"/>
          <w:color w:val="auto"/>
        </w:rPr>
        <w:t xml:space="preserve"> </w:t>
      </w:r>
      <w:r>
        <w:rPr>
          <w:rFonts w:ascii="Arial" w:cs="Arial" w:eastAsia="Arial" w:hAnsi="Arial"/>
          <w:sz w:val="18"/>
          <w:szCs w:val="18"/>
          <w:color w:val="auto"/>
        </w:rPr>
        <w:t>concept, have been reclassified into the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Provision for possible loan losses</w:t>
      </w:r>
      <w:r>
        <w:rPr>
          <w:rFonts w:ascii="Arial" w:cs="Arial" w:eastAsia="Arial" w:hAnsi="Arial"/>
          <w:sz w:val="18"/>
          <w:szCs w:val="18"/>
          <w:i w:val="1"/>
          <w:iCs w:val="1"/>
          <w:color w:val="auto"/>
        </w:rPr>
        <w:t xml:space="preserve"> </w:t>
      </w:r>
      <w:r>
        <w:rPr>
          <w:rFonts w:ascii="Arial" w:cs="Arial" w:eastAsia="Arial" w:hAnsi="Arial"/>
          <w:sz w:val="18"/>
          <w:szCs w:val="18"/>
          <w:color w:val="auto"/>
        </w:rPr>
        <w:t>concept, with no effect on net income.</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interest income in the first quarter of 2005 was US$103.8 million, increasing over US$90.0 million earned in the first quarter of 2004, mostly due to higher interest earning assets, compounded by a slight increase in interest margins.</w:t>
      </w:r>
    </w:p>
    <w:p>
      <w:pPr>
        <w:sectPr>
          <w:pgSz w:w="11900" w:h="16838" w:orient="portrait"/>
          <w:cols w:equalWidth="0" w:num="1">
            <w:col w:w="11420"/>
          </w:cols>
          <w:pgMar w:left="240" w:top="131" w:right="239" w:bottom="27"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During first quarter 2005, the net interest margin (net interest income over average interest earning assets), on an annualized basis, was 5.45%, above 5.26% in the year-ago quarter, but was lower than 5.70% in the preceding fourth quarter of 2004. During the current quarter loan rates continued their positive trend and increased slightly, within a continuing overall excess of liquid funds.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volume of interest earning assets, as an average of quarter-end balances, reached US$7.6 billion at first quarter 2005, increasing 2.8% compared to US$7.4 billion in the last quarter of 2004, mainly due to higher available for sale investments. As mentioned previously, loan volumes were affected by the sale of Banco Tequendama during first quarter 2005.</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Non-interest income was US$115.2 million in the first quarter of 2005, 15.3% higher than US$99.9 million in the same period of 2004. This significant increase is mainly due to the merger, in third quarter 2004, of Novasalud EPS with PPS, with the effect of increasing both revenue and cost items. Due to this effect, </w:t>
      </w:r>
      <w:r>
        <w:rPr>
          <w:rFonts w:ascii="Arial" w:cs="Arial" w:eastAsia="Arial" w:hAnsi="Arial"/>
          <w:sz w:val="18"/>
          <w:szCs w:val="18"/>
          <w:b w:val="1"/>
          <w:bCs w:val="1"/>
          <w:i w:val="1"/>
          <w:iCs w:val="1"/>
          <w:color w:val="auto"/>
        </w:rPr>
        <w:t xml:space="preserve">Premiums and health fees </w:t>
      </w:r>
      <w:r>
        <w:rPr>
          <w:rFonts w:ascii="Arial" w:cs="Arial" w:eastAsia="Arial" w:hAnsi="Arial"/>
          <w:sz w:val="18"/>
          <w:szCs w:val="18"/>
          <w:color w:val="auto"/>
        </w:rPr>
        <w:t>reached US$50.6 million in this quarter, 33.1% over first quarter 2004. Likewise,</w:t>
      </w:r>
      <w:r>
        <w:rPr>
          <w:rFonts w:ascii="Arial" w:cs="Arial" w:eastAsia="Arial" w:hAnsi="Arial"/>
          <w:sz w:val="18"/>
          <w:szCs w:val="18"/>
          <w:b w:val="1"/>
          <w:bCs w:val="1"/>
          <w:i w:val="1"/>
          <w:iCs w:val="1"/>
          <w:color w:val="auto"/>
        </w:rPr>
        <w:t xml:space="preserve"> Claims and health costs </w:t>
      </w:r>
      <w:r>
        <w:rPr>
          <w:rFonts w:ascii="Arial" w:cs="Arial" w:eastAsia="Arial" w:hAnsi="Arial"/>
          <w:sz w:val="18"/>
          <w:szCs w:val="18"/>
          <w:color w:val="auto"/>
        </w:rPr>
        <w:t>grew to US$40.6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41.7% higher compared to the 2004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 components and Claims and health costs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204470</wp:posOffset>
            </wp:positionV>
            <wp:extent cx="556958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3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1Q05 vs.</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1Q05 vs.</w:t>
            </w:r>
          </w:p>
        </w:tc>
      </w:tr>
      <w:tr>
        <w:trPr>
          <w:trHeight w:val="243"/>
        </w:trPr>
        <w:tc>
          <w:tcPr>
            <w:tcW w:w="320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1640" w:type="dxa"/>
            <w:vAlign w:val="bottom"/>
          </w:tcPr>
          <w:p>
            <w:pPr>
              <w:jc w:val="right"/>
              <w:ind w:right="372"/>
              <w:spacing w:after="0"/>
              <w:rPr>
                <w:sz w:val="20"/>
                <w:szCs w:val="20"/>
                <w:color w:val="auto"/>
              </w:rPr>
            </w:pPr>
            <w:r>
              <w:rPr>
                <w:rFonts w:ascii="Arial" w:cs="Arial" w:eastAsia="Arial" w:hAnsi="Arial"/>
                <w:sz w:val="18"/>
                <w:szCs w:val="18"/>
                <w:b w:val="1"/>
                <w:bCs w:val="1"/>
                <w:color w:val="auto"/>
              </w:rPr>
              <w:t>1Q04</w:t>
            </w: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rPr>
              <w:t>4Q04</w:t>
            </w: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1Q05</w:t>
            </w:r>
          </w:p>
        </w:tc>
        <w:tc>
          <w:tcPr>
            <w:tcW w:w="1040" w:type="dxa"/>
            <w:vAlign w:val="bottom"/>
          </w:tcPr>
          <w:p>
            <w:pPr>
              <w:jc w:val="right"/>
              <w:ind w:right="312"/>
              <w:spacing w:after="0"/>
              <w:rPr>
                <w:sz w:val="20"/>
                <w:szCs w:val="20"/>
                <w:color w:val="auto"/>
              </w:rPr>
            </w:pPr>
            <w:r>
              <w:rPr>
                <w:rFonts w:ascii="Arial" w:cs="Arial" w:eastAsia="Arial" w:hAnsi="Arial"/>
                <w:sz w:val="18"/>
                <w:szCs w:val="18"/>
                <w:b w:val="1"/>
                <w:bCs w:val="1"/>
                <w:color w:val="auto"/>
              </w:rPr>
              <w:t>4Q04</w:t>
            </w:r>
          </w:p>
        </w:tc>
        <w:tc>
          <w:tcPr>
            <w:tcW w:w="1000" w:type="dxa"/>
            <w:vAlign w:val="bottom"/>
          </w:tcPr>
          <w:p>
            <w:pPr>
              <w:jc w:val="right"/>
              <w:ind w:right="272"/>
              <w:spacing w:after="0"/>
              <w:rPr>
                <w:sz w:val="20"/>
                <w:szCs w:val="20"/>
                <w:color w:val="auto"/>
              </w:rPr>
            </w:pPr>
            <w:r>
              <w:rPr>
                <w:rFonts w:ascii="Arial" w:cs="Arial" w:eastAsia="Arial" w:hAnsi="Arial"/>
                <w:sz w:val="18"/>
                <w:szCs w:val="18"/>
                <w:b w:val="1"/>
                <w:bCs w:val="1"/>
                <w:color w:val="auto"/>
              </w:rPr>
              <w:t>1Q04</w:t>
            </w:r>
          </w:p>
        </w:tc>
      </w:tr>
      <w:tr>
        <w:trPr>
          <w:trHeight w:val="110"/>
        </w:trPr>
        <w:tc>
          <w:tcPr>
            <w:tcW w:w="32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r>
        <w:trPr>
          <w:trHeight w:val="343"/>
        </w:trPr>
        <w:tc>
          <w:tcPr>
            <w:tcW w:w="320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47.1</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52.9</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Net premiums and health fees</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38.0</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57.2</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50.6</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00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-92.9%</w:t>
            </w:r>
          </w:p>
        </w:tc>
        <w:tc>
          <w:tcPr>
            <w:tcW w:w="100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5.5</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7.0</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164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60.5%</w:t>
            </w:r>
          </w:p>
        </w:tc>
        <w:tc>
          <w:tcPr>
            <w:tcW w:w="100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3200" w:type="dxa"/>
            <w:vAlign w:val="bottom"/>
          </w:tcPr>
          <w:p>
            <w:pPr>
              <w:spacing w:after="0"/>
              <w:rPr>
                <w:sz w:val="20"/>
                <w:szCs w:val="20"/>
                <w:color w:val="auto"/>
              </w:rPr>
            </w:pPr>
            <w:r>
              <w:rPr>
                <w:rFonts w:ascii="Arial" w:cs="Arial" w:eastAsia="Arial" w:hAnsi="Arial"/>
                <w:sz w:val="18"/>
                <w:szCs w:val="18"/>
                <w:b w:val="1"/>
                <w:bCs w:val="1"/>
                <w:color w:val="auto"/>
              </w:rPr>
              <w:t>Total Non-Interest Income</w:t>
            </w:r>
          </w:p>
        </w:tc>
        <w:tc>
          <w:tcPr>
            <w:tcW w:w="1640" w:type="dxa"/>
            <w:vAlign w:val="bottom"/>
          </w:tcPr>
          <w:p>
            <w:pPr>
              <w:jc w:val="right"/>
              <w:ind w:right="72"/>
              <w:spacing w:after="0"/>
              <w:rPr>
                <w:sz w:val="20"/>
                <w:szCs w:val="20"/>
                <w:color w:val="auto"/>
              </w:rPr>
            </w:pPr>
            <w:r>
              <w:rPr>
                <w:rFonts w:ascii="Arial" w:cs="Arial" w:eastAsia="Arial" w:hAnsi="Arial"/>
                <w:sz w:val="18"/>
                <w:szCs w:val="18"/>
                <w:b w:val="1"/>
                <w:bCs w:val="1"/>
                <w:color w:val="auto"/>
              </w:rPr>
              <w:t>99.9</w:t>
            </w: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127.4</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115.2</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-9.6%</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r>
      <w:tr>
        <w:trPr>
          <w:trHeight w:val="486"/>
        </w:trPr>
        <w:tc>
          <w:tcPr>
            <w:tcW w:w="3200" w:type="dxa"/>
            <w:vAlign w:val="bottom"/>
          </w:tcPr>
          <w:p>
            <w:pPr>
              <w:spacing w:after="0"/>
              <w:rPr>
                <w:sz w:val="20"/>
                <w:szCs w:val="20"/>
                <w:color w:val="auto"/>
              </w:rPr>
            </w:pPr>
            <w:r>
              <w:rPr>
                <w:rFonts w:ascii="Arial" w:cs="Arial" w:eastAsia="Arial" w:hAnsi="Arial"/>
                <w:sz w:val="18"/>
                <w:szCs w:val="18"/>
                <w:b w:val="1"/>
                <w:bCs w:val="1"/>
                <w:color w:val="auto"/>
              </w:rPr>
              <w:t>Claims and health costs</w:t>
            </w:r>
          </w:p>
        </w:tc>
        <w:tc>
          <w:tcPr>
            <w:tcW w:w="1640" w:type="dxa"/>
            <w:vAlign w:val="bottom"/>
          </w:tcPr>
          <w:p>
            <w:pPr>
              <w:jc w:val="right"/>
              <w:ind w:right="72"/>
              <w:spacing w:after="0"/>
              <w:rPr>
                <w:sz w:val="20"/>
                <w:szCs w:val="20"/>
                <w:color w:val="auto"/>
              </w:rPr>
            </w:pPr>
            <w:r>
              <w:rPr>
                <w:rFonts w:ascii="Arial" w:cs="Arial" w:eastAsia="Arial" w:hAnsi="Arial"/>
                <w:sz w:val="18"/>
                <w:szCs w:val="18"/>
                <w:b w:val="1"/>
                <w:bCs w:val="1"/>
                <w:color w:val="auto"/>
              </w:rPr>
              <w:t>28.7</w:t>
            </w: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44.0</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40.6</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-7.8%</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41.7%</w:t>
            </w:r>
          </w:p>
        </w:tc>
      </w:tr>
      <w:tr>
        <w:trPr>
          <w:trHeight w:val="110"/>
        </w:trPr>
        <w:tc>
          <w:tcPr>
            <w:tcW w:w="32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-1401445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-1401445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-1401445</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-1401445</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-1401445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-1401445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-20955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-20955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-20955</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-20955</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-20955</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I.2 OTHER NON-INTEREST EXPENSES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non-interest expenses amounted to US$113.1 million in first quarter 2005, 2.8% over expenses in the same period of the previous year, but decrease 18.0% with respect to the preceding fourth quarter 2004, where certain non-recurring provisions were registered for lower value of foreclosed assets and investments, and to reverse Banco Tequendama’s results.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163195</wp:posOffset>
            </wp:positionV>
            <wp:extent cx="556958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391"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1Q04 vs.</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1Q05 vs.</w:t>
            </w:r>
          </w:p>
        </w:tc>
      </w:tr>
      <w:tr>
        <w:trPr>
          <w:trHeight w:val="243"/>
        </w:trPr>
        <w:tc>
          <w:tcPr>
            <w:tcW w:w="3100" w:type="dxa"/>
            <w:vAlign w:val="bottom"/>
          </w:tcPr>
          <w:p>
            <w:pPr>
              <w:spacing w:after="0"/>
              <w:rPr>
                <w:sz w:val="20"/>
                <w:szCs w:val="20"/>
                <w:color w:val="auto"/>
              </w:rPr>
            </w:pPr>
            <w:r>
              <w:rPr>
                <w:rFonts w:ascii="Arial" w:cs="Arial" w:eastAsia="Arial" w:hAnsi="Arial"/>
                <w:sz w:val="18"/>
                <w:szCs w:val="18"/>
                <w:i w:val="1"/>
                <w:iCs w:val="1"/>
                <w:color w:val="auto"/>
              </w:rPr>
              <w:t>(% change and US$Mn)</w:t>
            </w:r>
          </w:p>
        </w:tc>
        <w:tc>
          <w:tcPr>
            <w:tcW w:w="1580" w:type="dxa"/>
            <w:vAlign w:val="bottom"/>
          </w:tcPr>
          <w:p>
            <w:pPr>
              <w:jc w:val="right"/>
              <w:ind w:right="392"/>
              <w:spacing w:after="0"/>
              <w:rPr>
                <w:sz w:val="20"/>
                <w:szCs w:val="20"/>
                <w:color w:val="auto"/>
              </w:rPr>
            </w:pPr>
            <w:r>
              <w:rPr>
                <w:rFonts w:ascii="Arial" w:cs="Arial" w:eastAsia="Arial" w:hAnsi="Arial"/>
                <w:sz w:val="18"/>
                <w:szCs w:val="18"/>
                <w:b w:val="1"/>
                <w:bCs w:val="1"/>
                <w:color w:val="auto"/>
              </w:rPr>
              <w:t>1Q04</w:t>
            </w:r>
          </w:p>
        </w:tc>
        <w:tc>
          <w:tcPr>
            <w:tcW w:w="1060" w:type="dxa"/>
            <w:vAlign w:val="bottom"/>
          </w:tcPr>
          <w:p>
            <w:pPr>
              <w:jc w:val="right"/>
              <w:ind w:right="392"/>
              <w:spacing w:after="0"/>
              <w:rPr>
                <w:sz w:val="20"/>
                <w:szCs w:val="20"/>
                <w:color w:val="auto"/>
              </w:rPr>
            </w:pPr>
            <w:r>
              <w:rPr>
                <w:rFonts w:ascii="Arial" w:cs="Arial" w:eastAsia="Arial" w:hAnsi="Arial"/>
                <w:sz w:val="18"/>
                <w:szCs w:val="18"/>
                <w:b w:val="1"/>
                <w:bCs w:val="1"/>
                <w:color w:val="auto"/>
              </w:rPr>
              <w:t>4Q04</w:t>
            </w: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1Q05</w:t>
            </w:r>
          </w:p>
        </w:tc>
        <w:tc>
          <w:tcPr>
            <w:tcW w:w="1040" w:type="dxa"/>
            <w:vAlign w:val="bottom"/>
          </w:tcPr>
          <w:p>
            <w:pPr>
              <w:jc w:val="right"/>
              <w:ind w:right="312"/>
              <w:spacing w:after="0"/>
              <w:rPr>
                <w:sz w:val="20"/>
                <w:szCs w:val="20"/>
                <w:color w:val="auto"/>
              </w:rPr>
            </w:pPr>
            <w:r>
              <w:rPr>
                <w:rFonts w:ascii="Arial" w:cs="Arial" w:eastAsia="Arial" w:hAnsi="Arial"/>
                <w:sz w:val="18"/>
                <w:szCs w:val="18"/>
                <w:b w:val="1"/>
                <w:bCs w:val="1"/>
                <w:color w:val="auto"/>
              </w:rPr>
              <w:t>4Q04</w:t>
            </w:r>
          </w:p>
        </w:tc>
        <w:tc>
          <w:tcPr>
            <w:tcW w:w="1000" w:type="dxa"/>
            <w:vAlign w:val="bottom"/>
          </w:tcPr>
          <w:p>
            <w:pPr>
              <w:jc w:val="right"/>
              <w:ind w:right="272"/>
              <w:spacing w:after="0"/>
              <w:rPr>
                <w:sz w:val="20"/>
                <w:szCs w:val="20"/>
                <w:color w:val="auto"/>
              </w:rPr>
            </w:pPr>
            <w:r>
              <w:rPr>
                <w:rFonts w:ascii="Arial" w:cs="Arial" w:eastAsia="Arial" w:hAnsi="Arial"/>
                <w:sz w:val="18"/>
                <w:szCs w:val="18"/>
                <w:b w:val="1"/>
                <w:bCs w:val="1"/>
                <w:color w:val="auto"/>
              </w:rPr>
              <w:t>1Q04</w:t>
            </w:r>
          </w:p>
        </w:tc>
      </w:tr>
      <w:tr>
        <w:trPr>
          <w:trHeight w:val="110"/>
        </w:trPr>
        <w:tc>
          <w:tcPr>
            <w:tcW w:w="31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r>
        <w:trPr>
          <w:trHeight w:val="343"/>
        </w:trPr>
        <w:tc>
          <w:tcPr>
            <w:tcW w:w="310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44.4</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54.3</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50.8</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37.5</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44.2</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34.5</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11.6</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11.6</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14.7</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27.8</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Merger costs</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10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1580" w:type="dxa"/>
            <w:vAlign w:val="bottom"/>
          </w:tcPr>
          <w:p>
            <w:pPr>
              <w:jc w:val="right"/>
              <w:ind w:right="92"/>
              <w:spacing w:after="0"/>
              <w:rPr>
                <w:sz w:val="20"/>
                <w:szCs w:val="20"/>
                <w:color w:val="auto"/>
              </w:rPr>
            </w:pPr>
            <w:r>
              <w:rPr>
                <w:rFonts w:ascii="Arial" w:cs="Arial" w:eastAsia="Arial" w:hAnsi="Arial"/>
                <w:sz w:val="18"/>
                <w:szCs w:val="18"/>
                <w:b w:val="1"/>
                <w:bCs w:val="1"/>
                <w:color w:val="auto"/>
              </w:rPr>
              <w:t>110.0</w:t>
            </w: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rPr>
              <w:t>137.9</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113.1</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-18.0%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110"/>
        </w:trPr>
        <w:tc>
          <w:tcPr>
            <w:tcW w:w="31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-1092835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-1092835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-1092835</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-1092835</wp:posOffset>
            </wp:positionV>
            <wp:extent cx="3429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-1092835</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-1092835</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-20955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-20955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-20955</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-20955</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-20955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In the Merger costs concept, we have a US$1.8 million expense in the year-ago first quarter, which was related with the Solución Financiera de Crédito merger.</w:t>
      </w:r>
    </w:p>
    <w:p>
      <w:pPr>
        <w:spacing w:after="0" w:line="24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Starting with this report, the determination of the </w:t>
      </w:r>
      <w:r>
        <w:rPr>
          <w:rFonts w:ascii="Arial" w:cs="Arial" w:eastAsia="Arial" w:hAnsi="Arial"/>
          <w:sz w:val="18"/>
          <w:szCs w:val="18"/>
          <w:b w:val="1"/>
          <w:bCs w:val="1"/>
          <w:color w:val="auto"/>
        </w:rPr>
        <w:t>efficiency ratio</w:t>
      </w:r>
      <w:r>
        <w:rPr>
          <w:rFonts w:ascii="Arial" w:cs="Arial" w:eastAsia="Arial" w:hAnsi="Arial"/>
          <w:sz w:val="18"/>
          <w:szCs w:val="18"/>
          <w:color w:val="auto"/>
        </w:rPr>
        <w:t xml:space="preserve"> has been simplified by using only concepts that are shown in the income statement. The efficiency ratio will be determined based on the following concepts:</w:t>
      </w:r>
    </w:p>
    <w:p>
      <w:pPr>
        <w:spacing w:after="0" w:line="180"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numerator or “operating expenses”: i) salaries and personnel expenses, ii) general expenses, and iii) depreciation and amortization.</w:t>
      </w:r>
    </w:p>
    <w:p>
      <w:pPr>
        <w:spacing w:after="0" w:line="225" w:lineRule="exact"/>
        <w:rPr>
          <w:rFonts w:ascii="Arial" w:cs="Arial" w:eastAsia="Arial" w:hAnsi="Arial"/>
          <w:sz w:val="18"/>
          <w:szCs w:val="18"/>
          <w:color w:val="auto"/>
        </w:rPr>
      </w:pPr>
    </w:p>
    <w:p>
      <w:pPr>
        <w:ind w:firstLine="8"/>
        <w:spacing w:after="0" w:line="268" w:lineRule="auto"/>
        <w:tabs>
          <w:tab w:leader="none" w:pos="12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denominator: i) net interest income, ii) fees and commissions on banking services, iii) gains on foreign exchange transactions, and iv) net premiums earned.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this way, the efficiency ratio improved from 52.8% to 45.1% comparing the first quarters of 2004 and 2005,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as a percentage of average total assets also improved from 4.6% in first quarter 2004, to 4.1% in the current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I.3 ASSETS AND LIABILITIES</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Credicorp’s totals assets reached US$9.4 billion at March 31, 2005, increasing 2.6% since the end of December 2004, and are 12.6% higher than the balance at March 2004, mainly due to increased investments. Total loans decrease slightly since the beginning of the year, in spite of loans acquired from Bank Boston, mainly due to the sale of Banco Tequendama, which as of year-end 2004 had total loans amounting to US$306.7 million.</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loan portfolio as of March 31, 2005 reached US$4.6 billion, increasing 3.6% compared to US$4.4 billion in March 2004, but are lower by 0.6% compared to the balance in December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 quality indicators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204470</wp:posOffset>
            </wp:positionV>
            <wp:extent cx="5569585"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 w:name="page5"/>
    <w:bookmarkEnd w:id="4"/>
    <w:p>
      <w:pPr>
        <w:spacing w:after="0" w:line="25"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332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2940" w:type="dxa"/>
            <w:vAlign w:val="bottom"/>
          </w:tcPr>
          <w:p>
            <w:pPr>
              <w:jc w:val="right"/>
              <w:ind w:right="412"/>
              <w:spacing w:after="0"/>
              <w:rPr>
                <w:sz w:val="20"/>
                <w:szCs w:val="20"/>
                <w:color w:val="auto"/>
              </w:rPr>
            </w:pPr>
            <w:r>
              <w:rPr>
                <w:rFonts w:ascii="Arial" w:cs="Arial" w:eastAsia="Arial" w:hAnsi="Arial"/>
                <w:sz w:val="18"/>
                <w:szCs w:val="18"/>
                <w:b w:val="1"/>
                <w:bCs w:val="1"/>
                <w:color w:val="auto"/>
              </w:rPr>
              <w:t>31.03.04</w:t>
            </w:r>
          </w:p>
        </w:tc>
        <w:tc>
          <w:tcPr>
            <w:tcW w:w="1320" w:type="dxa"/>
            <w:vAlign w:val="bottom"/>
          </w:tcPr>
          <w:p>
            <w:pPr>
              <w:jc w:val="right"/>
              <w:ind w:right="432"/>
              <w:spacing w:after="0"/>
              <w:rPr>
                <w:sz w:val="20"/>
                <w:szCs w:val="20"/>
                <w:color w:val="auto"/>
              </w:rPr>
            </w:pPr>
            <w:r>
              <w:rPr>
                <w:rFonts w:ascii="Arial" w:cs="Arial" w:eastAsia="Arial" w:hAnsi="Arial"/>
                <w:sz w:val="18"/>
                <w:szCs w:val="18"/>
                <w:b w:val="1"/>
                <w:bCs w:val="1"/>
                <w:color w:val="auto"/>
              </w:rPr>
              <w:t>31.12.04</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31.03.05</w:t>
            </w:r>
          </w:p>
        </w:tc>
      </w:tr>
      <w:tr>
        <w:trPr>
          <w:trHeight w:val="110"/>
        </w:trPr>
        <w:tc>
          <w:tcPr>
            <w:tcW w:w="33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43"/>
        </w:trPr>
        <w:tc>
          <w:tcPr>
            <w:tcW w:w="3320" w:type="dxa"/>
            <w:vAlign w:val="bottom"/>
          </w:tcPr>
          <w:p>
            <w:pPr>
              <w:spacing w:after="0"/>
              <w:rPr>
                <w:sz w:val="20"/>
                <w:szCs w:val="20"/>
                <w:color w:val="auto"/>
              </w:rPr>
            </w:pPr>
            <w:r>
              <w:rPr>
                <w:rFonts w:ascii="Arial" w:cs="Arial" w:eastAsia="Arial" w:hAnsi="Arial"/>
                <w:sz w:val="18"/>
                <w:szCs w:val="18"/>
                <w:color w:val="auto"/>
              </w:rPr>
              <w:t>Total loans</w:t>
            </w:r>
          </w:p>
        </w:tc>
        <w:tc>
          <w:tcPr>
            <w:tcW w:w="2940" w:type="dxa"/>
            <w:vAlign w:val="bottom"/>
          </w:tcPr>
          <w:p>
            <w:pPr>
              <w:jc w:val="right"/>
              <w:ind w:right="92"/>
              <w:spacing w:after="0"/>
              <w:rPr>
                <w:sz w:val="20"/>
                <w:szCs w:val="20"/>
                <w:color w:val="auto"/>
              </w:rPr>
            </w:pPr>
            <w:r>
              <w:rPr>
                <w:rFonts w:ascii="Arial" w:cs="Arial" w:eastAsia="Arial" w:hAnsi="Arial"/>
                <w:sz w:val="18"/>
                <w:szCs w:val="18"/>
                <w:color w:val="auto"/>
              </w:rPr>
              <w:t>4,401.7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4,588.0</w:t>
            </w:r>
          </w:p>
        </w:tc>
        <w:tc>
          <w:tcPr>
            <w:tcW w:w="1180" w:type="dxa"/>
            <w:vAlign w:val="bottom"/>
          </w:tcPr>
          <w:p>
            <w:pPr>
              <w:jc w:val="right"/>
              <w:spacing w:after="0"/>
              <w:rPr>
                <w:sz w:val="20"/>
                <w:szCs w:val="20"/>
                <w:color w:val="auto"/>
              </w:rPr>
            </w:pPr>
            <w:r>
              <w:rPr>
                <w:rFonts w:ascii="Arial" w:cs="Arial" w:eastAsia="Arial" w:hAnsi="Arial"/>
                <w:sz w:val="18"/>
                <w:szCs w:val="18"/>
                <w:color w:val="auto"/>
              </w:rPr>
              <w:t>4,559.0</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Past due loans</w:t>
            </w:r>
          </w:p>
        </w:tc>
        <w:tc>
          <w:tcPr>
            <w:tcW w:w="2940" w:type="dxa"/>
            <w:vAlign w:val="bottom"/>
          </w:tcPr>
          <w:p>
            <w:pPr>
              <w:jc w:val="right"/>
              <w:ind w:right="92"/>
              <w:spacing w:after="0"/>
              <w:rPr>
                <w:sz w:val="20"/>
                <w:szCs w:val="20"/>
                <w:color w:val="auto"/>
              </w:rPr>
            </w:pPr>
            <w:r>
              <w:rPr>
                <w:rFonts w:ascii="Arial" w:cs="Arial" w:eastAsia="Arial" w:hAnsi="Arial"/>
                <w:sz w:val="18"/>
                <w:szCs w:val="18"/>
                <w:color w:val="auto"/>
              </w:rPr>
              <w:t>249.8</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160.4</w:t>
            </w:r>
          </w:p>
        </w:tc>
        <w:tc>
          <w:tcPr>
            <w:tcW w:w="118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Loan loss reserves(1)</w:t>
            </w:r>
          </w:p>
        </w:tc>
        <w:tc>
          <w:tcPr>
            <w:tcW w:w="2940" w:type="dxa"/>
            <w:vAlign w:val="bottom"/>
          </w:tcPr>
          <w:p>
            <w:pPr>
              <w:jc w:val="right"/>
              <w:ind w:right="92"/>
              <w:spacing w:after="0"/>
              <w:rPr>
                <w:sz w:val="20"/>
                <w:szCs w:val="20"/>
                <w:color w:val="auto"/>
              </w:rPr>
            </w:pPr>
            <w:r>
              <w:rPr>
                <w:rFonts w:ascii="Arial" w:cs="Arial" w:eastAsia="Arial" w:hAnsi="Arial"/>
                <w:sz w:val="18"/>
                <w:szCs w:val="18"/>
                <w:color w:val="auto"/>
              </w:rPr>
              <w:t>294.1</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253.4</w:t>
            </w:r>
          </w:p>
        </w:tc>
        <w:tc>
          <w:tcPr>
            <w:tcW w:w="1180" w:type="dxa"/>
            <w:vAlign w:val="bottom"/>
          </w:tcPr>
          <w:p>
            <w:pPr>
              <w:jc w:val="right"/>
              <w:spacing w:after="0"/>
              <w:rPr>
                <w:sz w:val="20"/>
                <w:szCs w:val="20"/>
                <w:color w:val="auto"/>
              </w:rPr>
            </w:pPr>
            <w:r>
              <w:rPr>
                <w:rFonts w:ascii="Arial" w:cs="Arial" w:eastAsia="Arial" w:hAnsi="Arial"/>
                <w:sz w:val="18"/>
                <w:szCs w:val="18"/>
                <w:color w:val="auto"/>
              </w:rPr>
              <w:t>245.2</w:t>
            </w:r>
          </w:p>
        </w:tc>
      </w:tr>
      <w:tr>
        <w:trPr>
          <w:trHeight w:val="486"/>
        </w:trPr>
        <w:tc>
          <w:tcPr>
            <w:tcW w:w="3320" w:type="dxa"/>
            <w:vAlign w:val="bottom"/>
          </w:tcPr>
          <w:p>
            <w:pPr>
              <w:spacing w:after="0"/>
              <w:rPr>
                <w:sz w:val="20"/>
                <w:szCs w:val="20"/>
                <w:color w:val="auto"/>
              </w:rPr>
            </w:pPr>
            <w:r>
              <w:rPr>
                <w:rFonts w:ascii="Arial" w:cs="Arial" w:eastAsia="Arial" w:hAnsi="Arial"/>
                <w:sz w:val="18"/>
                <w:szCs w:val="18"/>
                <w:color w:val="auto"/>
              </w:rPr>
              <w:t>Past due / Total loans</w:t>
            </w:r>
          </w:p>
        </w:tc>
        <w:tc>
          <w:tcPr>
            <w:tcW w:w="294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3.5%</w:t>
            </w: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Reserves / Past due</w:t>
            </w:r>
          </w:p>
        </w:tc>
        <w:tc>
          <w:tcPr>
            <w:tcW w:w="2940" w:type="dxa"/>
            <w:vAlign w:val="bottom"/>
          </w:tcPr>
          <w:p>
            <w:pPr>
              <w:jc w:val="right"/>
              <w:ind w:right="92"/>
              <w:spacing w:after="0"/>
              <w:rPr>
                <w:sz w:val="20"/>
                <w:szCs w:val="20"/>
                <w:color w:val="auto"/>
              </w:rPr>
            </w:pPr>
            <w:r>
              <w:rPr>
                <w:rFonts w:ascii="Arial" w:cs="Arial" w:eastAsia="Arial" w:hAnsi="Arial"/>
                <w:sz w:val="18"/>
                <w:szCs w:val="18"/>
                <w:color w:val="auto"/>
              </w:rPr>
              <w:t>117.7%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158.1%</w:t>
            </w:r>
          </w:p>
        </w:tc>
        <w:tc>
          <w:tcPr>
            <w:tcW w:w="1180" w:type="dxa"/>
            <w:vAlign w:val="bottom"/>
          </w:tcPr>
          <w:p>
            <w:pPr>
              <w:jc w:val="right"/>
              <w:spacing w:after="0"/>
              <w:rPr>
                <w:sz w:val="20"/>
                <w:szCs w:val="20"/>
                <w:color w:val="auto"/>
              </w:rPr>
            </w:pPr>
            <w:r>
              <w:rPr>
                <w:rFonts w:ascii="Arial" w:cs="Arial" w:eastAsia="Arial" w:hAnsi="Arial"/>
                <w:sz w:val="18"/>
                <w:szCs w:val="18"/>
                <w:color w:val="auto"/>
              </w:rPr>
              <w:t>161.6%</w:t>
            </w:r>
          </w:p>
        </w:tc>
      </w:tr>
      <w:tr>
        <w:trPr>
          <w:trHeight w:val="110"/>
        </w:trPr>
        <w:tc>
          <w:tcPr>
            <w:tcW w:w="332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-1092835</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-1092835</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-1092835</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-1092835</wp:posOffset>
            </wp:positionV>
            <wp:extent cx="3429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-20955</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-20955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-20955</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balance of past due loans decreased from US$160.4 million to US$151.7 million during the current quarter partly due to charge-offs amounting to US$11.5 million and since US$5.9 million of past due loans of Banco Tequendama are no longer considered.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Deposits and other obligations reached US$6.5 billion at March 31, 2005, increasing 2.1% over US$6.4 billion of last December 2004, and are 11.0% higher than the March 2004 balance. Due to banks and correspondents grew 6.0% in this quarter, closing at US$416.0 million, and are 63.1% higher than the balance at March 2004.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Credicorp’s net equity amounted to US$1.0 billion at March 31, 2005, decreasing 1.6% compared to equity at December 2004, due to the recently paid liquid dividend.</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Third party funds </w:t>
      </w:r>
      <w:r>
        <w:rPr>
          <w:rFonts w:ascii="Arial" w:cs="Arial" w:eastAsia="Arial" w:hAnsi="Arial"/>
          <w:sz w:val="18"/>
          <w:szCs w:val="18"/>
          <w:color w:val="auto"/>
        </w:rPr>
        <w:t>under management, which amounted to US$1.7 billion at the end of March 2005, decreased 1.3% during the current quarter, but remain 7.7%</w:t>
      </w:r>
      <w:r>
        <w:rPr>
          <w:rFonts w:ascii="Arial" w:cs="Arial" w:eastAsia="Arial" w:hAnsi="Arial"/>
          <w:sz w:val="18"/>
          <w:szCs w:val="18"/>
          <w:b w:val="1"/>
          <w:bCs w:val="1"/>
          <w:color w:val="auto"/>
        </w:rPr>
        <w:t xml:space="preserve"> </w:t>
      </w:r>
      <w:r>
        <w:rPr>
          <w:rFonts w:ascii="Arial" w:cs="Arial" w:eastAsia="Arial" w:hAnsi="Arial"/>
          <w:sz w:val="18"/>
          <w:szCs w:val="18"/>
          <w:color w:val="auto"/>
        </w:rPr>
        <w:t>higher than funds at March 2004.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I.4 PERUVIAN ECONOMIC SITUATION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Activity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first quarter 2005 the Peruvian GDP continued a relatively high growth rate that began in the final months of 2004. It is important to note the improved growth prospects of sectors related to domestic demand, like construction, retail and services. GDP performance was driven by higher activity in non-primary manufacturing (mainly textiles, intermediate and durable goods), oil and natural gas, and the agriculture sub-sector.</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GDP grew 6.8% in February and 5.3% in January 2005, reaching in the first two months of 2005 a cumulative growth of 6.0% . GDP grew 5.0% and 6.8% in the third and fourth quarters of 2004, respectively, reaching a 5.1% growth in total 2004. Official estimates expect growth continuing above 4.5% during 2005.</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Cumulative through February 2005 all GDP sectors grow except Mining. Highest performance is noted in the Oil and Gas sub-sector which grew 33.0%; non-primary manufacturing, up by 7.3%; the agriculture sub-sector, which grew 3.8% due to improved weather conditions; in fishing, which grew 3.3%, in spite of an anchovie ban in the North and Center of the coast; services, up by 6.7%; commerce with 7.2% growth, and, the construction sector, that grew 4.4% . On the other hand, metals mining production declined 2.5%, due to lower gold and iron output and a poor performance of copper.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Finance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fourth quarter 2004, the Public Sector budget had a deficit of 4.0% (of GDP), following a 2.1% deficit in the third quarter, but after a 0.9% surplus in first half 2004. Given that the total 2004 target was to run a deficit of 1.5%, a substantial increase in public expenditure was expected in second half 2004. Nevertheless, total 2004 deficit was below target at only 1.1% . The 2005 fiscal year target deficit was set at 1.0% .</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deficit in fourth quarter 2004 was mainly due to increased Central Government expenditures which, after being 14.5% of GDP in first half 2004, grew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19.3% of GDP in this period, where current expenses amounted to 14.4% of GDP, and capital expenditures to 3.0% . Central Government tax revenue reached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13.3% of GDP in fourth quarter 2004, compared with 13.5% in the same year-ago period.</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February 2005, Central Government tax collections increased 9.2%, in nominal terms, noting a 14% increase of Income Tax revenue from corporations and the 22% growth in case of tax on imports and the related value-added tax (IGV). Through February 2005, non-financial expenses increased 20% (nominal), while capital expenses declined 6.6%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Prices and Devaluation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first quarter of 2005, the consumer price index in Peru increased 0.5%, higher than 0.3% in the preceding quarter. Inflation was 1.9% in the twelve months prior to March 2005, remaining by the bottom of the range of 1.5% to 3.5%, targeted by the Central Bank for total 2005. In the current quarter, inflation suffered seasonal increases in education costs and food prices, but benefited from the lower exchange rate.</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wholesale price index increased 0.3% in first quarter 2005, and reached 2.3% in the year ended in March 2005. In the first quarter these prices increased mostly due to the cost of imported intermediate goods, in spite of the decline in the exchange rate.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average bank market Nuevos Soles exchange rate in Peru was S/.3.261 at March 31, 2005, decreasing 0.6% from S/.3.282 at the end of December 2004. To avoid the strengthening of the currency, the Central Bank increased the purchase of foreign exchange in the currency market, acquiring US$1,150 million in the first quarter, compared to US$2,340 million purchased during total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Reserves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International reserves of the Central Bank continued to increase during first quarter 2005, due in part to the above mentioned foreign currency purchases.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Reserves reached US$13,555 million at March 31, 2005, up from US$12,631 million at December 31, 2004.</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Trade Balance had a US$634 million cumulative surplus in January and February 2005, increasing compared to a US$389 million surplus in the same first two months of 2004. Cumulative through February 2005, exports grew 35% versus a 26% increase in imports. Exports, which reached US$2,346 million as of February 2005, grew on increased volume and prices, especially of copper, and non-traditional textiles, agricultural and fishing exports. Imports through February</w:t>
      </w:r>
    </w:p>
    <w:p>
      <w:pPr>
        <w:sectPr>
          <w:pgSz w:w="11900" w:h="16864" w:orient="portrait"/>
          <w:cols w:equalWidth="0" w:num="1">
            <w:col w:w="11420"/>
          </w:cols>
          <w:pgMar w:left="240" w:top="179" w:right="239" w:bottom="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8"/>
          <w:szCs w:val="18"/>
          <w:color w:val="auto"/>
        </w:rPr>
        <w:t>2005 amounted to US$1,712 million, increasing mainly due to higher imports of raw materials, while durable goods and consumer goods also increased significantly.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System</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Commercial bank’s loan and deposit volumes continued their mild positive trend during first quarter 2005, based on U. S. Dollar figures translated at historical exchange rates. This avoids the negative effect of the strengthening of the Nuevo Sol on records carried in local currency. Deposits at March 31, 2005 in the thirteen operating commercial banks in the system reached US$15.2 billion, according to the Asociación de Bancos del Peru (ASBANC), higher by 2.6% compared to deposits at December 31, 2004, in Dollar terms, and grew by 5.0% compared to the balance at March 31, 2004.</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2005, total loans in the banking system were US$11.0 billion, 0.6% higher than loans at December 31, 2004, and grow 2.6% over March 31, 2004 loan balances. In the current quarter, local currency loans, that were 24.9% of total loans (23.8% at March 2004), grew 2.6% since last December to reach US$2.7 billion, while foreign currency loans increased 0.6% to US$8.2 billion.</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March 31, 2005, the Peruvian bank's past due ratio was 3.6%, improving from the 3.8% rate in December 2004 and from 5.8% in March 31, 2004. Commercial banks’ past due loans decreased 1.9% since last December to US$398 million, and are lower by 32.0% compared to bad loans at March 31, 2004. At March 31, 2005, loan loss provisions were US$707 million, decreasing 1.8% during this quarter. The system-wide past due loan coverage ratio was 177.6% at March 31, 2005, remaining unchanged since December 31, 2004, but is also higher than the ratio of 143.5% at March 31, 2004.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2005 commercial banks’ loans and deposits interest rates had a slight increase. Local currency average loan rates (TAMN) were 26.2% in first quarter 2005, increasing from 25.0% in the fourth quarter of 2004, while deposits rates (TIPMN) remained at 2.5% . In the first quarter of 2004, TAMN was 24.1% and TIPMN was 2.4% . During first quarter 2005 foreign currency loan rates (TAMEX) increased to 9.5%, from 9.3% in the preceding fourth quarter, while deposit rates (TIPMEX) increased to 1.3% from 1.2% .</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Pension Funds and Mutual Funds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Managed assets in private pension funds continued increasing and grew 5.3% in the first quarter of 2005 reaching US$8.2 billion as of March 31, 2005, after increasing 7.5% in the last quarter of 2004, and are 21.8% higher than funds at March 2004. In the twelve months prior to March 2005, the funds had a return of 8.3% in real terms.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Mutual funds suffered declines due to volatility of prices and valuations in capital markets and to the increase in interest rates. Total mutual funds amounted to US$1.7 billion at the end of the first quarter 2005, decreasing 1.1% in the quarter, and by 15.8% from the balance at March 2004. Total funds had a return in Dollar terms of 0.9% in the quarter, and of 3.2% during the year since March 2004.</w:t>
      </w:r>
    </w:p>
    <w:p>
      <w:pPr>
        <w:sectPr>
          <w:pgSz w:w="11900" w:h="16838" w:orient="portrait"/>
          <w:cols w:equalWidth="0" w:num="1">
            <w:col w:w="11420"/>
          </w:cols>
          <w:pgMar w:left="240" w:top="13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5560060</wp:posOffset>
            </wp:positionH>
            <wp:positionV relativeFrom="page">
              <wp:posOffset>226060</wp:posOffset>
            </wp:positionV>
            <wp:extent cx="1844040"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60045"/>
                    </a:xfrm>
                    <a:prstGeom prst="rect">
                      <a:avLst/>
                    </a:prstGeom>
                    <a:noFill/>
                  </pic:spPr>
                </pic:pic>
              </a:graphicData>
            </a:graphic>
          </wp:anchor>
        </w:drawing>
        <w:t>II.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II.1 NET INCOME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financial statements prepared according to IFRS rules and in U.S. Dollars, consolidated net income in the first quarter 2005 was US$45.4 million, increasing 68.6% compared with net income of US$26.9 million in the same quarter in 2004, and also grows 54.3% compared to US$29.4 million in the preceding fourth quarter 2004.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First quarter 2005 net income increase compared to the same prior year period mainly due to higher net interest income, which is mostly from higher interest earning assets, and lower loan loss provisions.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current quarter, loan loss provision had a net positive effect on results, due to recoveries exceeding required reserve additions. Loan quality continued to improve, with the past due ratio declining to 3.4% in March 2005, and past due coverage increasing to 177%.</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the current quarter a translation gain of US$0.3 million is reported, due to the decline of the exchange rate, which has to be distinguished from the </w:t>
      </w:r>
      <w:r>
        <w:rPr>
          <w:rFonts w:ascii="Arial" w:cs="Arial" w:eastAsia="Arial" w:hAnsi="Arial"/>
          <w:sz w:val="18"/>
          <w:szCs w:val="18"/>
          <w:i w:val="1"/>
          <w:iCs w:val="1"/>
          <w:color w:val="auto"/>
        </w:rPr>
        <w:t>Result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inflation exposure </w:t>
      </w:r>
      <w:r>
        <w:rPr>
          <w:rFonts w:ascii="Arial" w:cs="Arial" w:eastAsia="Arial" w:hAnsi="Arial"/>
          <w:sz w:val="18"/>
          <w:szCs w:val="18"/>
          <w:color w:val="auto"/>
        </w:rPr>
        <w:t>shown in prior reports based on Peruvian GAAP. See I. --</w:t>
      </w:r>
      <w:r>
        <w:rPr>
          <w:rFonts w:ascii="Arial" w:cs="Arial" w:eastAsia="Arial" w:hAnsi="Arial"/>
          <w:sz w:val="18"/>
          <w:szCs w:val="18"/>
          <w:i w:val="1"/>
          <w:iCs w:val="1"/>
          <w:color w:val="auto"/>
        </w:rPr>
        <w:t>Note on Inflation Adjusted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RESULTS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186690</wp:posOffset>
            </wp:positionV>
            <wp:extent cx="5569585"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73025</wp:posOffset>
            </wp:positionV>
            <wp:extent cx="25082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08250" cy="34290"/>
                    </a:xfrm>
                    <a:prstGeom prst="rect">
                      <a:avLst/>
                    </a:prstGeom>
                    <a:noFill/>
                  </pic:spPr>
                </pic:pic>
              </a:graphicData>
            </a:graphic>
          </wp:anchor>
        </w:drawing>
      </w:r>
    </w:p>
    <w:p>
      <w:pPr>
        <w:spacing w:after="0" w:line="292"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5720" w:type="dxa"/>
            <w:vAlign w:val="bottom"/>
          </w:tcPr>
          <w:p>
            <w:pPr>
              <w:ind w:left="5220"/>
              <w:spacing w:after="0"/>
              <w:rPr>
                <w:sz w:val="20"/>
                <w:szCs w:val="20"/>
                <w:color w:val="auto"/>
              </w:rPr>
            </w:pPr>
            <w:r>
              <w:rPr>
                <w:rFonts w:ascii="Arial" w:cs="Arial" w:eastAsia="Arial" w:hAnsi="Arial"/>
                <w:sz w:val="14"/>
                <w:szCs w:val="14"/>
                <w:b w:val="1"/>
                <w:bCs w:val="1"/>
                <w:color w:val="auto"/>
                <w:w w:val="88"/>
              </w:rPr>
              <w:t>31.03.04</w:t>
            </w:r>
          </w:p>
        </w:tc>
        <w:tc>
          <w:tcPr>
            <w:tcW w:w="580" w:type="dxa"/>
            <w:vAlign w:val="bottom"/>
          </w:tcPr>
          <w:p>
            <w:pPr>
              <w:spacing w:after="0"/>
              <w:rPr>
                <w:sz w:val="15"/>
                <w:szCs w:val="15"/>
                <w:color w:val="auto"/>
              </w:rPr>
            </w:pPr>
          </w:p>
        </w:tc>
        <w:tc>
          <w:tcPr>
            <w:tcW w:w="1300" w:type="dxa"/>
            <w:vAlign w:val="bottom"/>
          </w:tcPr>
          <w:p>
            <w:pPr>
              <w:jc w:val="right"/>
              <w:ind w:right="514"/>
              <w:spacing w:after="0"/>
              <w:rPr>
                <w:sz w:val="20"/>
                <w:szCs w:val="20"/>
                <w:color w:val="auto"/>
              </w:rPr>
            </w:pPr>
            <w:r>
              <w:rPr>
                <w:rFonts w:ascii="Arial" w:cs="Arial" w:eastAsia="Arial" w:hAnsi="Arial"/>
                <w:sz w:val="14"/>
                <w:szCs w:val="14"/>
                <w:b w:val="1"/>
                <w:bCs w:val="1"/>
                <w:color w:val="auto"/>
              </w:rPr>
              <w:t>31.12.04</w:t>
            </w: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31.03.05</w:t>
            </w:r>
          </w:p>
        </w:tc>
      </w:tr>
      <w:tr>
        <w:trPr>
          <w:trHeight w:val="122"/>
        </w:trPr>
        <w:tc>
          <w:tcPr>
            <w:tcW w:w="5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586"/>
        </w:trPr>
        <w:tc>
          <w:tcPr>
            <w:tcW w:w="5720" w:type="dxa"/>
            <w:vAlign w:val="bottom"/>
          </w:tcPr>
          <w:p>
            <w:pPr>
              <w:spacing w:after="0"/>
              <w:rPr>
                <w:sz w:val="20"/>
                <w:szCs w:val="20"/>
                <w:color w:val="auto"/>
              </w:rPr>
            </w:pPr>
            <w:r>
              <w:rPr>
                <w:rFonts w:ascii="Arial" w:cs="Arial" w:eastAsia="Arial" w:hAnsi="Arial"/>
                <w:sz w:val="18"/>
                <w:szCs w:val="18"/>
                <w:color w:val="auto"/>
              </w:rPr>
              <w:t>Net interest income</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74.8</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97.0</w:t>
            </w:r>
          </w:p>
        </w:tc>
        <w:tc>
          <w:tcPr>
            <w:tcW w:w="116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Less: Provisions for loan losses, net</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9.9</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4.0</w:t>
            </w: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Other income</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55.6</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55.0</w:t>
            </w:r>
          </w:p>
        </w:tc>
        <w:tc>
          <w:tcPr>
            <w:tcW w:w="116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Other expenses</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85.5</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107.1</w:t>
            </w:r>
          </w:p>
        </w:tc>
        <w:tc>
          <w:tcPr>
            <w:tcW w:w="116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Merger costs</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0.0</w:t>
            </w: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Translation result</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(0.6)</w:t>
            </w: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486"/>
        </w:trPr>
        <w:tc>
          <w:tcPr>
            <w:tcW w:w="5720" w:type="dxa"/>
            <w:vAlign w:val="bottom"/>
          </w:tcPr>
          <w:p>
            <w:pPr>
              <w:ind w:left="1460"/>
              <w:spacing w:after="0"/>
              <w:rPr>
                <w:sz w:val="20"/>
                <w:szCs w:val="20"/>
                <w:color w:val="auto"/>
              </w:rPr>
            </w:pPr>
            <w:r>
              <w:rPr>
                <w:rFonts w:ascii="Arial" w:cs="Arial" w:eastAsia="Arial" w:hAnsi="Arial"/>
                <w:sz w:val="18"/>
                <w:szCs w:val="18"/>
                <w:color w:val="auto"/>
              </w:rPr>
              <w:t>Income before income tax</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34.8</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40.3</w:t>
            </w: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Income Tax</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10.8</w:t>
            </w: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486"/>
        </w:trPr>
        <w:tc>
          <w:tcPr>
            <w:tcW w:w="5720" w:type="dxa"/>
            <w:vAlign w:val="bottom"/>
          </w:tcPr>
          <w:p>
            <w:pPr>
              <w:ind w:left="1960"/>
              <w:spacing w:after="0"/>
              <w:rPr>
                <w:sz w:val="20"/>
                <w:szCs w:val="20"/>
                <w:color w:val="auto"/>
              </w:rPr>
            </w:pPr>
            <w:r>
              <w:rPr>
                <w:rFonts w:ascii="Arial" w:cs="Arial" w:eastAsia="Arial" w:hAnsi="Arial"/>
                <w:sz w:val="18"/>
                <w:szCs w:val="18"/>
                <w:b w:val="1"/>
                <w:bCs w:val="1"/>
                <w:color w:val="auto"/>
              </w:rPr>
              <w:t>Net Income</w:t>
            </w:r>
          </w:p>
        </w:tc>
        <w:tc>
          <w:tcPr>
            <w:tcW w:w="58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26.9</w:t>
            </w:r>
          </w:p>
        </w:tc>
        <w:tc>
          <w:tcPr>
            <w:tcW w:w="1300" w:type="dxa"/>
            <w:vAlign w:val="bottom"/>
          </w:tcPr>
          <w:p>
            <w:pPr>
              <w:jc w:val="right"/>
              <w:ind w:right="134"/>
              <w:spacing w:after="0"/>
              <w:rPr>
                <w:sz w:val="20"/>
                <w:szCs w:val="20"/>
                <w:color w:val="auto"/>
              </w:rPr>
            </w:pPr>
            <w:r>
              <w:rPr>
                <w:rFonts w:ascii="Arial" w:cs="Arial" w:eastAsia="Arial" w:hAnsi="Arial"/>
                <w:sz w:val="18"/>
                <w:szCs w:val="18"/>
                <w:b w:val="1"/>
                <w:bCs w:val="1"/>
                <w:color w:val="auto"/>
              </w:rPr>
              <w:t>29.4</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45.4</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Net Income per share (US$) (2)</w:t>
            </w:r>
          </w:p>
        </w:tc>
        <w:tc>
          <w:tcPr>
            <w:tcW w:w="580" w:type="dxa"/>
            <w:vAlign w:val="bottom"/>
          </w:tcPr>
          <w:p>
            <w:pPr>
              <w:jc w:val="right"/>
              <w:ind w:right="132"/>
              <w:spacing w:after="0"/>
              <w:rPr>
                <w:sz w:val="20"/>
                <w:szCs w:val="20"/>
                <w:color w:val="auto"/>
              </w:rPr>
            </w:pPr>
            <w:r>
              <w:rPr>
                <w:rFonts w:ascii="Arial" w:cs="Arial" w:eastAsia="Arial" w:hAnsi="Arial"/>
                <w:sz w:val="18"/>
                <w:szCs w:val="18"/>
                <w:color w:val="auto"/>
                <w:w w:val="96"/>
              </w:rPr>
              <w:t>0.02</w:t>
            </w:r>
          </w:p>
        </w:tc>
        <w:tc>
          <w:tcPr>
            <w:tcW w:w="1300" w:type="dxa"/>
            <w:vAlign w:val="bottom"/>
          </w:tcPr>
          <w:p>
            <w:pPr>
              <w:jc w:val="right"/>
              <w:ind w:right="134"/>
              <w:spacing w:after="0"/>
              <w:rPr>
                <w:sz w:val="20"/>
                <w:szCs w:val="20"/>
                <w:color w:val="auto"/>
              </w:rPr>
            </w:pPr>
            <w:r>
              <w:rPr>
                <w:rFonts w:ascii="Arial" w:cs="Arial" w:eastAsia="Arial" w:hAnsi="Arial"/>
                <w:sz w:val="18"/>
                <w:szCs w:val="18"/>
                <w:color w:val="auto"/>
              </w:rPr>
              <w:t>0.02</w:t>
            </w: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110"/>
        </w:trPr>
        <w:tc>
          <w:tcPr>
            <w:tcW w:w="57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-2172970</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-2172970</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-2172970</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-2172970</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ind w:left="1780" w:hanging="442"/>
        <w:spacing w:after="0"/>
        <w:tabs>
          <w:tab w:leader="none" w:pos="1780" w:val="left"/>
        </w:tabs>
        <w:numPr>
          <w:ilvl w:val="0"/>
          <w:numId w:val="4"/>
        </w:numPr>
        <w:rPr>
          <w:rFonts w:ascii="Arial" w:cs="Arial" w:eastAsia="Arial" w:hAnsi="Arial"/>
          <w:sz w:val="27"/>
          <w:szCs w:val="27"/>
          <w:i w:val="1"/>
          <w:iCs w:val="1"/>
          <w:color w:val="auto"/>
          <w:vertAlign w:val="subscript"/>
        </w:rPr>
      </w:pPr>
      <w:r>
        <w:rPr>
          <w:rFonts w:ascii="Arial" w:cs="Arial" w:eastAsia="Arial" w:hAnsi="Arial"/>
          <w:sz w:val="14"/>
          <w:szCs w:val="14"/>
          <w:i w:val="1"/>
          <w:iCs w:val="1"/>
          <w:color w:val="auto"/>
        </w:rPr>
        <w:t>Financial statements prepared according to IFRS, in U.S. Dollars.</w:t>
      </w:r>
    </w:p>
    <w:p>
      <w:pPr>
        <w:spacing w:after="0" w:line="26" w:lineRule="exact"/>
        <w:rPr>
          <w:rFonts w:ascii="Arial" w:cs="Arial" w:eastAsia="Arial" w:hAnsi="Arial"/>
          <w:sz w:val="27"/>
          <w:szCs w:val="27"/>
          <w:i w:val="1"/>
          <w:iCs w:val="1"/>
          <w:color w:val="auto"/>
          <w:vertAlign w:val="subscript"/>
        </w:rPr>
      </w:pPr>
    </w:p>
    <w:p>
      <w:pPr>
        <w:ind w:left="1780" w:hanging="442"/>
        <w:spacing w:after="0" w:line="180" w:lineRule="auto"/>
        <w:tabs>
          <w:tab w:leader="none" w:pos="1780" w:val="left"/>
        </w:tabs>
        <w:numPr>
          <w:ilvl w:val="0"/>
          <w:numId w:val="4"/>
        </w:numPr>
        <w:rPr>
          <w:rFonts w:ascii="Arial" w:cs="Arial" w:eastAsia="Arial" w:hAnsi="Arial"/>
          <w:sz w:val="25"/>
          <w:szCs w:val="25"/>
          <w:i w:val="1"/>
          <w:iCs w:val="1"/>
          <w:color w:val="auto"/>
          <w:vertAlign w:val="subscript"/>
        </w:rPr>
      </w:pPr>
      <w:r>
        <w:rPr>
          <w:rFonts w:ascii="Arial" w:cs="Arial" w:eastAsia="Arial" w:hAnsi="Arial"/>
          <w:sz w:val="13"/>
          <w:szCs w:val="13"/>
          <w:i w:val="1"/>
          <w:iCs w:val="1"/>
          <w:color w:val="auto"/>
        </w:rPr>
        <w:t>Based on 1,226 million outstanding shares in all periods.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II.2 NET INTEREST INCOME</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Interest income, net of interest payments, in the first quarter of 2005 reached US$91.0 million, increasing compared to US$74.8 million net interest income in the same period of last year, but decreased compared to net interest income of US$97.0 million in the preceding fourth quarter of 2004.</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Increased net interest income, compared to the first quarter of 2004, is mostly due higher average interest earning assets, while net interest margins also had a slight growth. Average interest earning assets reached US$6.6 billion during first quarter 2005, a 11.1% growth comparing with the first quarter of last year, while they are 5.7% higher than average assets in fourth quarter 2004. The increase is mainly due to the inclusion of the loan portfolio acquired from Bank Boston and to higher deposits. In the current quarter BCP continued its persistent excess liquidity environment in both local and foreign currencies.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2005, the net interest margin was 5.51%, lower than 6.21% in the preceding fourth quarter, but increases from 5.03% during the first quarter of 2004. During the current quarter the net interest margin remained at a high level mostly due to higher local and foreign currency loan rates, following international trends, while deposit rates grew at a slower pace.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II.3 NON-INTEREST INCOME</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xml:space="preserve"> For comparison purposes, in periods prior to 2005, income from recoveries of previously charged-off loans, which were reported in the </w:t>
      </w:r>
      <w:r>
        <w:rPr>
          <w:rFonts w:ascii="Arial" w:cs="Arial" w:eastAsia="Arial" w:hAnsi="Arial"/>
          <w:sz w:val="18"/>
          <w:szCs w:val="18"/>
          <w:i w:val="1"/>
          <w:iCs w:val="1"/>
          <w:u w:val="single" w:color="auto"/>
          <w:color w:val="auto"/>
        </w:rPr>
        <w:t>Other non-interest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income</w:t>
      </w:r>
      <w:r>
        <w:rPr>
          <w:rFonts w:ascii="Arial" w:cs="Arial" w:eastAsia="Arial" w:hAnsi="Arial"/>
          <w:sz w:val="18"/>
          <w:szCs w:val="18"/>
          <w:i w:val="1"/>
          <w:iCs w:val="1"/>
          <w:color w:val="auto"/>
        </w:rPr>
        <w:t xml:space="preserve"> </w:t>
      </w:r>
      <w:r>
        <w:rPr>
          <w:rFonts w:ascii="Arial" w:cs="Arial" w:eastAsia="Arial" w:hAnsi="Arial"/>
          <w:sz w:val="18"/>
          <w:szCs w:val="18"/>
          <w:color w:val="auto"/>
        </w:rPr>
        <w:t>concept, have been reclassified into the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Provision for possible loan losses</w:t>
      </w:r>
      <w:r>
        <w:rPr>
          <w:rFonts w:ascii="Arial" w:cs="Arial" w:eastAsia="Arial" w:hAnsi="Arial"/>
          <w:sz w:val="18"/>
          <w:szCs w:val="18"/>
          <w:i w:val="1"/>
          <w:iCs w:val="1"/>
          <w:color w:val="auto"/>
        </w:rPr>
        <w:t xml:space="preserve"> </w:t>
      </w:r>
      <w:r>
        <w:rPr>
          <w:rFonts w:ascii="Arial" w:cs="Arial" w:eastAsia="Arial" w:hAnsi="Arial"/>
          <w:sz w:val="18"/>
          <w:szCs w:val="18"/>
          <w:color w:val="auto"/>
        </w:rPr>
        <w:t>concept, with no effect on net income.</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Non-interest income, which include fee revenue and other non-interest items, in the first quarter of 2005 amounted to US$59.4 million, higher than US$55.6 million earned during the first quarter of 2004, mostly due to higher banking services fees and gains on foreign exchange transactions.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2005, fees from banking services amounted to US$48.7 million, 7.5% higher than fees in the same period of 2004, due to increased revenue in concepts related to credit cards and loans, partly offset by declining revenue on fees related to accounts’ transaction volume due to the tax on financial transactions. In the quarter, fees on the most important banking services had the following growth rates:</w:t>
      </w:r>
    </w:p>
    <w:p>
      <w:pPr>
        <w:sectPr>
          <w:pgSz w:w="11900" w:h="16838" w:orient="portrait"/>
          <w:cols w:equalWidth="0" w:num="1">
            <w:col w:w="11420"/>
          </w:cols>
          <w:pgMar w:left="240" w:top="1125" w:right="239" w:bottom="0" w:gutter="0" w:footer="0" w:header="0"/>
        </w:sectPr>
      </w:pPr>
    </w:p>
    <w:bookmarkStart w:id="7" w:name="page8"/>
    <w:bookmarkEnd w:id="7"/>
    <w:tbl>
      <w:tblPr>
        <w:tblLayout w:type="fixed"/>
        <w:tblInd w:w="1340" w:type="dxa"/>
        <w:tblCellMar>
          <w:top w:w="0" w:type="dxa"/>
          <w:left w:w="0" w:type="dxa"/>
          <w:bottom w:w="0" w:type="dxa"/>
          <w:right w:w="0" w:type="dxa"/>
        </w:tblCellMar>
      </w:tblPr>
      <w:tr>
        <w:trPr>
          <w:trHeight w:val="228"/>
        </w:trPr>
        <w:tc>
          <w:tcPr>
            <w:tcW w:w="3920" w:type="dxa"/>
            <w:vAlign w:val="bottom"/>
          </w:tcPr>
          <w:p>
            <w:pPr>
              <w:spacing w:after="0"/>
              <w:rPr>
                <w:sz w:val="20"/>
                <w:szCs w:val="20"/>
                <w:color w:val="auto"/>
              </w:rPr>
            </w:pPr>
            <w:r>
              <w:rPr>
                <w:rFonts w:ascii="Arial" w:cs="Arial" w:eastAsia="Arial" w:hAnsi="Arial"/>
                <w:sz w:val="18"/>
                <w:szCs w:val="18"/>
                <w:i w:val="1"/>
                <w:iCs w:val="1"/>
                <w:color w:val="auto"/>
              </w:rPr>
              <w:t>(In US$ Mn.)</w:t>
            </w:r>
          </w:p>
        </w:tc>
        <w:tc>
          <w:tcPr>
            <w:tcW w:w="2400" w:type="dxa"/>
            <w:vAlign w:val="bottom"/>
          </w:tcPr>
          <w:p>
            <w:pPr>
              <w:jc w:val="right"/>
              <w:ind w:right="592"/>
              <w:spacing w:after="0"/>
              <w:rPr>
                <w:sz w:val="20"/>
                <w:szCs w:val="20"/>
                <w:color w:val="auto"/>
              </w:rPr>
            </w:pPr>
            <w:r>
              <w:rPr>
                <w:rFonts w:ascii="Arial" w:cs="Arial" w:eastAsia="Arial" w:hAnsi="Arial"/>
                <w:sz w:val="18"/>
                <w:szCs w:val="18"/>
                <w:b w:val="1"/>
                <w:bCs w:val="1"/>
                <w:color w:val="auto"/>
              </w:rPr>
              <w:t>1Q04</w:t>
            </w:r>
          </w:p>
        </w:tc>
        <w:tc>
          <w:tcPr>
            <w:tcW w:w="1260" w:type="dxa"/>
            <w:vAlign w:val="bottom"/>
          </w:tcPr>
          <w:p>
            <w:pPr>
              <w:jc w:val="right"/>
              <w:ind w:right="532"/>
              <w:spacing w:after="0"/>
              <w:rPr>
                <w:sz w:val="20"/>
                <w:szCs w:val="20"/>
                <w:color w:val="auto"/>
              </w:rPr>
            </w:pPr>
            <w:r>
              <w:rPr>
                <w:rFonts w:ascii="Arial" w:cs="Arial" w:eastAsia="Arial" w:hAnsi="Arial"/>
                <w:sz w:val="18"/>
                <w:szCs w:val="18"/>
                <w:b w:val="1"/>
                <w:bCs w:val="1"/>
                <w:color w:val="auto"/>
              </w:rPr>
              <w:t>1Q05</w:t>
            </w:r>
          </w:p>
        </w:tc>
        <w:tc>
          <w:tcPr>
            <w:tcW w:w="1180" w:type="dxa"/>
            <w:vAlign w:val="bottom"/>
          </w:tcPr>
          <w:p>
            <w:pPr>
              <w:jc w:val="right"/>
              <w:ind w:right="312"/>
              <w:spacing w:after="0"/>
              <w:rPr>
                <w:sz w:val="20"/>
                <w:szCs w:val="20"/>
                <w:color w:val="auto"/>
              </w:rPr>
            </w:pPr>
            <w:r>
              <w:rPr>
                <w:rFonts w:ascii="Arial" w:cs="Arial" w:eastAsia="Arial" w:hAnsi="Arial"/>
                <w:sz w:val="18"/>
                <w:szCs w:val="18"/>
                <w:b w:val="1"/>
                <w:bCs w:val="1"/>
                <w:color w:val="auto"/>
              </w:rPr>
              <w:t>Growth</w:t>
            </w:r>
          </w:p>
        </w:tc>
      </w:tr>
      <w:tr>
        <w:trPr>
          <w:trHeight w:val="110"/>
        </w:trPr>
        <w:tc>
          <w:tcPr>
            <w:tcW w:w="39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43"/>
        </w:trPr>
        <w:tc>
          <w:tcPr>
            <w:tcW w:w="3920" w:type="dxa"/>
            <w:vAlign w:val="bottom"/>
          </w:tcPr>
          <w:p>
            <w:pPr>
              <w:spacing w:after="0"/>
              <w:rPr>
                <w:sz w:val="20"/>
                <w:szCs w:val="20"/>
                <w:color w:val="auto"/>
              </w:rPr>
            </w:pPr>
            <w:r>
              <w:rPr>
                <w:rFonts w:ascii="Arial" w:cs="Arial" w:eastAsia="Arial" w:hAnsi="Arial"/>
                <w:sz w:val="18"/>
                <w:szCs w:val="18"/>
                <w:color w:val="auto"/>
              </w:rPr>
              <w:t>Savings accounts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6.0</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5.9</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Demand deposits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5.7</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Credit cards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Fund transfer services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4.6</w:t>
            </w: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Collections fees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3.6</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Billings and payments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Contingent and foreign trade</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Contingent credits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Debit cards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Corporate Finance</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Brokerage</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2.9</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Commercial loans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Mortgage loans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0.7</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Channels and services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Master account</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0.5</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Personal loans</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0.9</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118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Micro-business credit</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Other</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3920" w:type="dxa"/>
            <w:vAlign w:val="bottom"/>
          </w:tcPr>
          <w:p>
            <w:pPr>
              <w:ind w:left="2200"/>
              <w:spacing w:after="0"/>
              <w:rPr>
                <w:sz w:val="20"/>
                <w:szCs w:val="20"/>
                <w:color w:val="auto"/>
              </w:rPr>
            </w:pPr>
            <w:r>
              <w:rPr>
                <w:rFonts w:ascii="Arial" w:cs="Arial" w:eastAsia="Arial" w:hAnsi="Arial"/>
                <w:sz w:val="18"/>
                <w:szCs w:val="18"/>
                <w:b w:val="1"/>
                <w:bCs w:val="1"/>
                <w:color w:val="auto"/>
              </w:rPr>
              <w:t>Total</w:t>
            </w:r>
          </w:p>
        </w:tc>
        <w:tc>
          <w:tcPr>
            <w:tcW w:w="2400" w:type="dxa"/>
            <w:vAlign w:val="bottom"/>
          </w:tcPr>
          <w:p>
            <w:pPr>
              <w:jc w:val="right"/>
              <w:ind w:right="152"/>
              <w:spacing w:after="0"/>
              <w:rPr>
                <w:sz w:val="20"/>
                <w:szCs w:val="20"/>
                <w:color w:val="auto"/>
              </w:rPr>
            </w:pPr>
            <w:r>
              <w:rPr>
                <w:rFonts w:ascii="Arial" w:cs="Arial" w:eastAsia="Arial" w:hAnsi="Arial"/>
                <w:sz w:val="18"/>
                <w:szCs w:val="18"/>
                <w:b w:val="1"/>
                <w:bCs w:val="1"/>
                <w:color w:val="auto"/>
              </w:rPr>
              <w:t>45.3</w:t>
            </w:r>
          </w:p>
        </w:tc>
        <w:tc>
          <w:tcPr>
            <w:tcW w:w="1260" w:type="dxa"/>
            <w:vAlign w:val="bottom"/>
          </w:tcPr>
          <w:p>
            <w:pPr>
              <w:jc w:val="right"/>
              <w:ind w:right="112"/>
              <w:spacing w:after="0"/>
              <w:rPr>
                <w:sz w:val="20"/>
                <w:szCs w:val="20"/>
                <w:color w:val="auto"/>
              </w:rPr>
            </w:pPr>
            <w:r>
              <w:rPr>
                <w:rFonts w:ascii="Arial" w:cs="Arial" w:eastAsia="Arial" w:hAnsi="Arial"/>
                <w:sz w:val="18"/>
                <w:szCs w:val="18"/>
                <w:b w:val="1"/>
                <w:bCs w:val="1"/>
                <w:color w:val="auto"/>
              </w:rPr>
              <w:t>48.7</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110"/>
        </w:trPr>
        <w:tc>
          <w:tcPr>
            <w:tcW w:w="39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6958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69585" cy="215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-3253740</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-3253740</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-3253740</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-3253740</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-20955</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-20955</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-20955</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first quarter of 2005, securities transactions resulted in a gain of US$1.1 million, compared to a gain in the year-ago quarter of US$2.5 million. The general index of the Lima Stock Exchange increased 12.1% in the first quarter of 2005, and by 24.7% in the same year-ago period.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Gains from foreign exchange operations, which are the result of the foreign exchange buy-sell margin, were US$6.2 million in the first quarter of 2005, 16.2% higher than revenue in the same quarter of 2004, mainly due to increased transactions volume, which offset a slight decrease in the buy-sell margins.</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Other Income caption, that mainly registers reversals of prior year expenses and provisions and recoveries of certain operating costs, increased 33.3%, from US$2.5 million in the first quarter of 2004 to US$3.3 million in the current period, mainly due to lower recoveries of excess provisions.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II.4 OTHER NON-INTEREST EXPENSES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Non-interest expenses during the first quarter of 2005 were US$91.4 million, 4.7% above those of the same period in 2004, mainly because of increased personnel expenses.</w:t>
      </w:r>
    </w:p>
    <w:p>
      <w:pPr>
        <w:spacing w:after="0" w:line="18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this quarter, approximately 46% of non-interest expenses were attributable to employee salaries and other expenses related to personnel. This concept increased 16.3% to US$41.7 million when compared to the first quarter of 2004. At the end of March 2005 the number of employees stood at 7,632, decreasing from 7,694 employees as of December 2004, and also compared to 7,652 employees at March 2004, mainly due to lower positions at Banco de Crédito de Bolivia.</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which represented 31% of non-interest expenses, reached US$28.5 million in the first quarter of 2005, decreasing 0.8% compared to expenses in the year-ago period. In the current quarter, lower expenses related to systems were mostly offset by higher marketing charges. In this quarter, the most significant general and administrative expenses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184785</wp:posOffset>
            </wp:positionV>
            <wp:extent cx="5569585"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4020" w:type="dxa"/>
            <w:vAlign w:val="bottom"/>
          </w:tcPr>
          <w:p>
            <w:pPr>
              <w:spacing w:after="0"/>
              <w:rPr>
                <w:sz w:val="20"/>
                <w:szCs w:val="20"/>
                <w:color w:val="auto"/>
              </w:rPr>
            </w:pPr>
            <w:r>
              <w:rPr>
                <w:rFonts w:ascii="Arial" w:cs="Arial" w:eastAsia="Arial" w:hAnsi="Arial"/>
                <w:sz w:val="18"/>
                <w:szCs w:val="18"/>
                <w:i w:val="1"/>
                <w:iCs w:val="1"/>
                <w:color w:val="auto"/>
              </w:rPr>
              <w:t>(In US$ Mn.)</w:t>
            </w:r>
          </w:p>
        </w:tc>
        <w:tc>
          <w:tcPr>
            <w:tcW w:w="2300" w:type="dxa"/>
            <w:vAlign w:val="bottom"/>
          </w:tcPr>
          <w:p>
            <w:pPr>
              <w:jc w:val="right"/>
              <w:ind w:right="592"/>
              <w:spacing w:after="0"/>
              <w:rPr>
                <w:sz w:val="20"/>
                <w:szCs w:val="20"/>
                <w:color w:val="auto"/>
              </w:rPr>
            </w:pPr>
            <w:r>
              <w:rPr>
                <w:rFonts w:ascii="Arial" w:cs="Arial" w:eastAsia="Arial" w:hAnsi="Arial"/>
                <w:sz w:val="18"/>
                <w:szCs w:val="18"/>
                <w:b w:val="1"/>
                <w:bCs w:val="1"/>
                <w:color w:val="auto"/>
              </w:rPr>
              <w:t>1Q04</w:t>
            </w:r>
          </w:p>
        </w:tc>
        <w:tc>
          <w:tcPr>
            <w:tcW w:w="1280" w:type="dxa"/>
            <w:vAlign w:val="bottom"/>
          </w:tcPr>
          <w:p>
            <w:pPr>
              <w:jc w:val="right"/>
              <w:ind w:right="552"/>
              <w:spacing w:after="0"/>
              <w:rPr>
                <w:sz w:val="20"/>
                <w:szCs w:val="20"/>
                <w:color w:val="auto"/>
              </w:rPr>
            </w:pPr>
            <w:r>
              <w:rPr>
                <w:rFonts w:ascii="Arial" w:cs="Arial" w:eastAsia="Arial" w:hAnsi="Arial"/>
                <w:sz w:val="18"/>
                <w:szCs w:val="18"/>
                <w:b w:val="1"/>
                <w:bCs w:val="1"/>
                <w:color w:val="auto"/>
              </w:rPr>
              <w:t>1Q05</w:t>
            </w:r>
          </w:p>
        </w:tc>
        <w:tc>
          <w:tcPr>
            <w:tcW w:w="1160" w:type="dxa"/>
            <w:vAlign w:val="bottom"/>
          </w:tcPr>
          <w:p>
            <w:pPr>
              <w:jc w:val="right"/>
              <w:ind w:right="332"/>
              <w:spacing w:after="0"/>
              <w:rPr>
                <w:sz w:val="20"/>
                <w:szCs w:val="20"/>
                <w:color w:val="auto"/>
              </w:rPr>
            </w:pPr>
            <w:r>
              <w:rPr>
                <w:rFonts w:ascii="Arial" w:cs="Arial" w:eastAsia="Arial" w:hAnsi="Arial"/>
                <w:sz w:val="18"/>
                <w:szCs w:val="18"/>
                <w:b w:val="1"/>
                <w:bCs w:val="1"/>
                <w:color w:val="auto"/>
              </w:rPr>
              <w:t>Chnge.</w:t>
            </w:r>
          </w:p>
        </w:tc>
      </w:tr>
      <w:tr>
        <w:trPr>
          <w:trHeight w:val="110"/>
        </w:trPr>
        <w:tc>
          <w:tcPr>
            <w:tcW w:w="40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343"/>
        </w:trPr>
        <w:tc>
          <w:tcPr>
            <w:tcW w:w="402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Communications</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Third party fees</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Insurance and security</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7.5</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6.4</w:t>
            </w: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Other G&amp;A</w:t>
            </w:r>
          </w:p>
        </w:tc>
        <w:tc>
          <w:tcPr>
            <w:tcW w:w="230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4020" w:type="dxa"/>
            <w:vAlign w:val="bottom"/>
          </w:tcPr>
          <w:p>
            <w:pPr>
              <w:ind w:left="1960"/>
              <w:spacing w:after="0"/>
              <w:rPr>
                <w:sz w:val="20"/>
                <w:szCs w:val="20"/>
                <w:color w:val="auto"/>
              </w:rPr>
            </w:pPr>
            <w:r>
              <w:rPr>
                <w:rFonts w:ascii="Arial" w:cs="Arial" w:eastAsia="Arial" w:hAnsi="Arial"/>
                <w:sz w:val="18"/>
                <w:szCs w:val="18"/>
                <w:b w:val="1"/>
                <w:bCs w:val="1"/>
                <w:color w:val="auto"/>
              </w:rPr>
              <w:t>Total G&amp;A</w:t>
            </w:r>
          </w:p>
        </w:tc>
        <w:tc>
          <w:tcPr>
            <w:tcW w:w="2300" w:type="dxa"/>
            <w:vAlign w:val="bottom"/>
          </w:tcPr>
          <w:p>
            <w:pPr>
              <w:jc w:val="right"/>
              <w:ind w:right="152"/>
              <w:spacing w:after="0"/>
              <w:rPr>
                <w:sz w:val="20"/>
                <w:szCs w:val="20"/>
                <w:color w:val="auto"/>
              </w:rPr>
            </w:pPr>
            <w:r>
              <w:rPr>
                <w:rFonts w:ascii="Arial" w:cs="Arial" w:eastAsia="Arial" w:hAnsi="Arial"/>
                <w:sz w:val="18"/>
                <w:szCs w:val="18"/>
                <w:b w:val="1"/>
                <w:bCs w:val="1"/>
                <w:color w:val="auto"/>
              </w:rPr>
              <w:t>28.7</w:t>
            </w:r>
          </w:p>
        </w:tc>
        <w:tc>
          <w:tcPr>
            <w:tcW w:w="1280" w:type="dxa"/>
            <w:vAlign w:val="bottom"/>
          </w:tcPr>
          <w:p>
            <w:pPr>
              <w:jc w:val="right"/>
              <w:ind w:right="132"/>
              <w:spacing w:after="0"/>
              <w:rPr>
                <w:sz w:val="20"/>
                <w:szCs w:val="20"/>
                <w:color w:val="auto"/>
              </w:rPr>
            </w:pPr>
            <w:r>
              <w:rPr>
                <w:rFonts w:ascii="Arial" w:cs="Arial" w:eastAsia="Arial" w:hAnsi="Arial"/>
                <w:sz w:val="18"/>
                <w:szCs w:val="18"/>
                <w:b w:val="1"/>
                <w:bCs w:val="1"/>
                <w:color w:val="auto"/>
              </w:rPr>
              <w:t>28.5</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-0.8%</w:t>
            </w:r>
          </w:p>
        </w:tc>
      </w:tr>
      <w:tr>
        <w:trPr>
          <w:trHeight w:val="110"/>
        </w:trPr>
        <w:tc>
          <w:tcPr>
            <w:tcW w:w="40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-1555750</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-1555750</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-1555750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-1555750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-20955</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-20955</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-20955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Other</w:t>
      </w:r>
      <w:r>
        <w:rPr>
          <w:rFonts w:ascii="Arial" w:cs="Arial" w:eastAsia="Arial" w:hAnsi="Arial"/>
          <w:sz w:val="16"/>
          <w:szCs w:val="16"/>
          <w:color w:val="auto"/>
        </w:rPr>
        <w:t xml:space="preserve"> caption within Other Non-Interest Expenses, increased from US$7.3 million in the first quarter of 2004 to US$8.4 million in the current quarter, mainly due to lower revenue from the sale of foreclosed assets, which were not fully offset by decreased provisions for foreclosed assets and contingencies.</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Starting with this report, the determination of the </w:t>
      </w:r>
      <w:r>
        <w:rPr>
          <w:rFonts w:ascii="Arial" w:cs="Arial" w:eastAsia="Arial" w:hAnsi="Arial"/>
          <w:sz w:val="18"/>
          <w:szCs w:val="18"/>
          <w:b w:val="1"/>
          <w:bCs w:val="1"/>
          <w:color w:val="auto"/>
        </w:rPr>
        <w:t>efficiency ratio</w:t>
      </w:r>
      <w:r>
        <w:rPr>
          <w:rFonts w:ascii="Arial" w:cs="Arial" w:eastAsia="Arial" w:hAnsi="Arial"/>
          <w:sz w:val="18"/>
          <w:szCs w:val="18"/>
          <w:color w:val="auto"/>
        </w:rPr>
        <w:t xml:space="preserve"> has been simplified by using only concepts that are shown in the income statement. The efficiency ratio will be determined from the following concepts:</w:t>
      </w:r>
    </w:p>
    <w:p>
      <w:pPr>
        <w:spacing w:after="0" w:line="180" w:lineRule="exact"/>
        <w:rPr>
          <w:sz w:val="20"/>
          <w:szCs w:val="20"/>
          <w:color w:val="auto"/>
        </w:rPr>
      </w:pPr>
    </w:p>
    <w:p>
      <w:pPr>
        <w:ind w:firstLine="8"/>
        <w:spacing w:after="0" w:line="268" w:lineRule="auto"/>
        <w:tabs>
          <w:tab w:leader="none" w:pos="11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numerator or “operating expenses”: i) salaries and personnel expenses, ii) general expenses, iii) depreciation and amortization, and iv) taxes other than income taxes.</w:t>
      </w:r>
    </w:p>
    <w:p>
      <w:pPr>
        <w:spacing w:after="0" w:line="185"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denominator: i) net interest income, ii) fees and commissions on banking services, and iii) gains on foreign exchange transactions.</w:t>
      </w:r>
    </w:p>
    <w:p>
      <w:pPr>
        <w:sectPr>
          <w:pgSz w:w="11900" w:h="16838" w:orient="portrait"/>
          <w:cols w:equalWidth="0" w:num="1">
            <w:col w:w="11420"/>
          </w:cols>
          <w:pgMar w:left="240" w:top="274"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Efficiency ratio improved from 63.8% to 56.8% comparing the first quarters of 2004 and 2005,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ratio of “operating expenses” as a percentage of average total assets, also improved from 4.8% in the first quarter of 2004 to 4.4% in the current period.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II.5 ASSETS AND LIABILITIES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8"/>
          <w:szCs w:val="18"/>
          <w:color w:val="auto"/>
        </w:rPr>
        <w:t>of BCP reached US$7.9 billion at the end of March 2005, growing 8.4% with respect to December 2004, and by 19.1% compared to assets at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2004, mainly due to higher investments and increased performing loans.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Consolidated total loans </w:t>
      </w:r>
      <w:r>
        <w:rPr>
          <w:rFonts w:ascii="Arial" w:cs="Arial" w:eastAsia="Arial" w:hAnsi="Arial"/>
          <w:sz w:val="18"/>
          <w:szCs w:val="18"/>
          <w:color w:val="auto"/>
        </w:rPr>
        <w:t>were US$4.4 billion at the end of March 2005, increasing 6.6% in the quarter, and are 9.3% above loans at March 2004. During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2005, current loans grew 6.9% to US$4.2 billion, and are 12.4% higher than those in March 2004.</w:t>
      </w:r>
    </w:p>
    <w:p>
      <w:pPr>
        <w:spacing w:after="0" w:line="18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At March 31, 2005, the loan portfolio, net of provisions, represented 51.8% of total assets, lower than 52.8% at the preceding quarter. At the end of the first quarter of 2005, the Nuevos Soles portion of the loan portfolio was 16.9%, higher than 16.5% in December 2004, but is below 17.5% at March 2004.</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As of March 31, 2005 </w:t>
      </w:r>
      <w:r>
        <w:rPr>
          <w:rFonts w:ascii="Arial" w:cs="Arial" w:eastAsia="Arial" w:hAnsi="Arial"/>
          <w:sz w:val="18"/>
          <w:szCs w:val="18"/>
          <w:b w:val="1"/>
          <w:bCs w:val="1"/>
          <w:color w:val="auto"/>
        </w:rPr>
        <w:t>total deposits</w:t>
      </w:r>
      <w:r>
        <w:rPr>
          <w:rFonts w:ascii="Arial" w:cs="Arial" w:eastAsia="Arial" w:hAnsi="Arial"/>
          <w:sz w:val="18"/>
          <w:szCs w:val="18"/>
          <w:color w:val="auto"/>
        </w:rPr>
        <w:t>, which do not include bonds and subordinated debt (see Table No. 6), were US$6.0 billion, increasing 8.6% compared to fourth quarter 2004 deposits, and are 15.5% over deposits in the year-ago quarter.</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2005, demand deposits grew by 20.6%, while time deposits increased by 4.0% and savings deposits increased 2.6% . Deposits denominated in Nuevos Soles were 28.4% of total deposits, increasing during the current quarter from 25.2% at December 2004, and also compared to 24.7% at the end of March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BCP's subsidiaries had the following loan, net of provisions, and deposit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204470</wp:posOffset>
            </wp:positionV>
            <wp:extent cx="5569585"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w w:val="93"/>
              </w:rPr>
              <w:t>Loans, net</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b w:val="1"/>
                <w:bCs w:val="1"/>
                <w:color w:val="auto"/>
                <w:w w:val="85"/>
              </w:rPr>
              <w:t>Total Deposits</w:t>
            </w:r>
          </w:p>
        </w:tc>
        <w:tc>
          <w:tcPr>
            <w:tcW w:w="960" w:type="dxa"/>
            <w:vAlign w:val="bottom"/>
          </w:tcPr>
          <w:p>
            <w:pPr>
              <w:spacing w:after="0"/>
              <w:rPr>
                <w:sz w:val="19"/>
                <w:szCs w:val="19"/>
                <w:color w:val="auto"/>
              </w:rPr>
            </w:pPr>
          </w:p>
        </w:tc>
      </w:tr>
      <w:tr>
        <w:trPr>
          <w:trHeight w:val="110"/>
        </w:trPr>
        <w:tc>
          <w:tcPr>
            <w:tcW w:w="2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r>
        <w:trPr>
          <w:trHeight w:val="343"/>
        </w:trPr>
        <w:tc>
          <w:tcPr>
            <w:tcW w:w="2360" w:type="dxa"/>
            <w:vAlign w:val="bottom"/>
          </w:tcPr>
          <w:p>
            <w:pPr>
              <w:spacing w:after="0"/>
              <w:rPr>
                <w:sz w:val="20"/>
                <w:szCs w:val="20"/>
                <w:color w:val="auto"/>
              </w:rPr>
            </w:pPr>
            <w:r>
              <w:rPr>
                <w:rFonts w:ascii="Arial" w:cs="Arial" w:eastAsia="Arial" w:hAnsi="Arial"/>
                <w:sz w:val="18"/>
                <w:szCs w:val="18"/>
                <w:i w:val="1"/>
                <w:iCs w:val="1"/>
                <w:color w:val="auto"/>
              </w:rPr>
              <w:t>(In % and US$ Mn.)</w:t>
            </w:r>
          </w:p>
        </w:tc>
        <w:tc>
          <w:tcPr>
            <w:tcW w:w="1220" w:type="dxa"/>
            <w:vAlign w:val="bottom"/>
          </w:tcPr>
          <w:p>
            <w:pPr>
              <w:jc w:val="right"/>
              <w:ind w:right="172"/>
              <w:spacing w:after="0"/>
              <w:rPr>
                <w:sz w:val="20"/>
                <w:szCs w:val="20"/>
                <w:color w:val="auto"/>
              </w:rPr>
            </w:pPr>
            <w:r>
              <w:rPr>
                <w:rFonts w:ascii="Arial" w:cs="Arial" w:eastAsia="Arial" w:hAnsi="Arial"/>
                <w:sz w:val="18"/>
                <w:szCs w:val="18"/>
                <w:b w:val="1"/>
                <w:bCs w:val="1"/>
                <w:color w:val="auto"/>
              </w:rPr>
              <w:t>31.03.04</w:t>
            </w:r>
          </w:p>
        </w:tc>
        <w:tc>
          <w:tcPr>
            <w:tcW w:w="1080" w:type="dxa"/>
            <w:vAlign w:val="bottom"/>
          </w:tcPr>
          <w:p>
            <w:pPr>
              <w:jc w:val="right"/>
              <w:ind w:right="212"/>
              <w:spacing w:after="0"/>
              <w:rPr>
                <w:sz w:val="20"/>
                <w:szCs w:val="20"/>
                <w:color w:val="auto"/>
              </w:rPr>
            </w:pPr>
            <w:r>
              <w:rPr>
                <w:rFonts w:ascii="Arial" w:cs="Arial" w:eastAsia="Arial" w:hAnsi="Arial"/>
                <w:sz w:val="18"/>
                <w:szCs w:val="18"/>
                <w:b w:val="1"/>
                <w:bCs w:val="1"/>
                <w:color w:val="auto"/>
              </w:rPr>
              <w:t>31.12.04</w:t>
            </w:r>
          </w:p>
        </w:tc>
        <w:tc>
          <w:tcPr>
            <w:tcW w:w="1040" w:type="dxa"/>
            <w:vAlign w:val="bottom"/>
          </w:tcPr>
          <w:p>
            <w:pPr>
              <w:jc w:val="right"/>
              <w:ind w:right="212"/>
              <w:spacing w:after="0"/>
              <w:rPr>
                <w:sz w:val="20"/>
                <w:szCs w:val="20"/>
                <w:color w:val="auto"/>
              </w:rPr>
            </w:pPr>
            <w:r>
              <w:rPr>
                <w:rFonts w:ascii="Arial" w:cs="Arial" w:eastAsia="Arial" w:hAnsi="Arial"/>
                <w:sz w:val="18"/>
                <w:szCs w:val="18"/>
                <w:b w:val="1"/>
                <w:bCs w:val="1"/>
                <w:color w:val="auto"/>
              </w:rPr>
              <w:t>31.03.05</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31.03.04</w:t>
            </w:r>
          </w:p>
        </w:tc>
        <w:tc>
          <w:tcPr>
            <w:tcW w:w="1180" w:type="dxa"/>
            <w:vAlign w:val="bottom"/>
          </w:tcPr>
          <w:p>
            <w:pPr>
              <w:jc w:val="right"/>
              <w:ind w:right="232"/>
              <w:spacing w:after="0"/>
              <w:rPr>
                <w:sz w:val="20"/>
                <w:szCs w:val="20"/>
                <w:color w:val="auto"/>
              </w:rPr>
            </w:pPr>
            <w:r>
              <w:rPr>
                <w:rFonts w:ascii="Arial" w:cs="Arial" w:eastAsia="Arial" w:hAnsi="Arial"/>
                <w:sz w:val="18"/>
                <w:szCs w:val="18"/>
                <w:b w:val="1"/>
                <w:bCs w:val="1"/>
                <w:color w:val="auto"/>
              </w:rPr>
              <w:t>31.12.04</w:t>
            </w: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31.03.05</w:t>
            </w:r>
          </w:p>
        </w:tc>
      </w:tr>
      <w:tr>
        <w:trPr>
          <w:trHeight w:val="110"/>
        </w:trPr>
        <w:tc>
          <w:tcPr>
            <w:tcW w:w="2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r>
        <w:trPr>
          <w:trHeight w:val="343"/>
        </w:trPr>
        <w:tc>
          <w:tcPr>
            <w:tcW w:w="236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1220" w:type="dxa"/>
            <w:vAlign w:val="bottom"/>
          </w:tcPr>
          <w:p>
            <w:pPr>
              <w:jc w:val="right"/>
              <w:spacing w:after="0"/>
              <w:rPr>
                <w:sz w:val="20"/>
                <w:szCs w:val="20"/>
                <w:color w:val="auto"/>
              </w:rPr>
            </w:pPr>
            <w:r>
              <w:rPr>
                <w:rFonts w:ascii="Arial" w:cs="Arial" w:eastAsia="Arial" w:hAnsi="Arial"/>
                <w:sz w:val="18"/>
                <w:szCs w:val="18"/>
                <w:color w:val="auto"/>
              </w:rPr>
              <w:t>87.7%</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87.7%</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88.0%</w:t>
            </w:r>
          </w:p>
        </w:tc>
        <w:tc>
          <w:tcPr>
            <w:tcW w:w="920" w:type="dxa"/>
            <w:vAlign w:val="bottom"/>
          </w:tcPr>
          <w:p>
            <w:pPr>
              <w:jc w:val="right"/>
              <w:spacing w:after="0"/>
              <w:rPr>
                <w:sz w:val="20"/>
                <w:szCs w:val="20"/>
                <w:color w:val="auto"/>
              </w:rPr>
            </w:pPr>
            <w:r>
              <w:rPr>
                <w:rFonts w:ascii="Arial" w:cs="Arial" w:eastAsia="Arial" w:hAnsi="Arial"/>
                <w:sz w:val="18"/>
                <w:szCs w:val="18"/>
                <w:color w:val="auto"/>
              </w:rPr>
              <w:t>91.3%</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91.4%</w:t>
            </w: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2360" w:type="dxa"/>
            <w:vAlign w:val="bottom"/>
          </w:tcPr>
          <w:p>
            <w:pPr>
              <w:spacing w:after="0"/>
              <w:rPr>
                <w:sz w:val="20"/>
                <w:szCs w:val="20"/>
                <w:color w:val="auto"/>
              </w:rPr>
            </w:pPr>
            <w:r>
              <w:rPr>
                <w:rFonts w:ascii="Arial" w:cs="Arial" w:eastAsia="Arial" w:hAnsi="Arial"/>
                <w:sz w:val="18"/>
                <w:szCs w:val="18"/>
                <w:color w:val="auto"/>
              </w:rPr>
              <w:t>Crédito Leasing</w:t>
            </w: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86"/>
        </w:trPr>
        <w:tc>
          <w:tcPr>
            <w:tcW w:w="236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100.0%</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110"/>
        </w:trPr>
        <w:tc>
          <w:tcPr>
            <w:tcW w:w="2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r>
        <w:trPr>
          <w:trHeight w:val="343"/>
        </w:trPr>
        <w:tc>
          <w:tcPr>
            <w:tcW w:w="2360" w:type="dxa"/>
            <w:vAlign w:val="bottom"/>
          </w:tcPr>
          <w:p>
            <w:pPr>
              <w:ind w:left="1240"/>
              <w:spacing w:after="0"/>
              <w:rPr>
                <w:sz w:val="20"/>
                <w:szCs w:val="20"/>
                <w:color w:val="auto"/>
              </w:rPr>
            </w:pPr>
            <w:r>
              <w:rPr>
                <w:rFonts w:ascii="Arial" w:cs="Arial" w:eastAsia="Arial" w:hAnsi="Arial"/>
                <w:sz w:val="18"/>
                <w:szCs w:val="18"/>
                <w:b w:val="1"/>
                <w:bCs w:val="1"/>
                <w:color w:val="auto"/>
              </w:rPr>
              <w:t>Total BCP</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US$3,683</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US$3,857</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US$4,106</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US$5,221</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US$5,553</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US$6,029</w:t>
            </w:r>
          </w:p>
        </w:tc>
      </w:tr>
      <w:tr>
        <w:trPr>
          <w:trHeight w:val="110"/>
        </w:trPr>
        <w:tc>
          <w:tcPr>
            <w:tcW w:w="2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-1538605</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-1538605</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-1538605</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-1238250</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-1238250</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-1238250</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-1238250</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-1238250</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-1238250</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-1238250</wp:posOffset>
            </wp:positionV>
            <wp:extent cx="342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-320675</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-320675</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-320675</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-320675</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-320675</wp:posOffset>
            </wp:positionV>
            <wp:extent cx="342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-320675</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-320675</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50" w:lineRule="exact"/>
        <w:rPr>
          <w:sz w:val="20"/>
          <w:szCs w:val="20"/>
          <w:color w:val="auto"/>
        </w:rPr>
      </w:pPr>
    </w:p>
    <w:p>
      <w:pPr>
        <w:ind w:left="1400"/>
        <w:spacing w:after="0"/>
        <w:rPr>
          <w:sz w:val="20"/>
          <w:szCs w:val="20"/>
          <w:color w:val="auto"/>
        </w:rPr>
      </w:pPr>
      <w:r>
        <w:rPr>
          <w:rFonts w:ascii="Arial" w:cs="Arial" w:eastAsia="Arial" w:hAnsi="Arial"/>
          <w:sz w:val="18"/>
          <w:szCs w:val="18"/>
          <w:b w:val="1"/>
          <w:bCs w:val="1"/>
          <w:i w:val="1"/>
          <w:iCs w:val="1"/>
          <w:color w:val="auto"/>
        </w:rPr>
        <w:t>Loan Portfolio</w:t>
      </w:r>
    </w:p>
    <w:p>
      <w:pPr>
        <w:spacing w:after="0" w:line="27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Loan portfolio composition by business segment developed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67310</wp:posOffset>
            </wp:positionV>
            <wp:extent cx="4909185"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09185" cy="34290"/>
                    </a:xfrm>
                    <a:prstGeom prst="rect">
                      <a:avLst/>
                    </a:prstGeom>
                    <a:noFill/>
                  </pic:spPr>
                </pic:pic>
              </a:graphicData>
            </a:graphic>
          </wp:anchor>
        </w:drawing>
      </w:r>
    </w:p>
    <w:p>
      <w:pPr>
        <w:spacing w:after="0" w:line="240"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520" w:type="dxa"/>
            <w:vAlign w:val="bottom"/>
            <w:gridSpan w:val="2"/>
          </w:tcPr>
          <w:p>
            <w:pPr>
              <w:spacing w:after="0"/>
              <w:rPr>
                <w:sz w:val="20"/>
                <w:szCs w:val="20"/>
                <w:color w:val="auto"/>
              </w:rPr>
            </w:pPr>
            <w:r>
              <w:rPr>
                <w:rFonts w:ascii="Arial" w:cs="Arial" w:eastAsia="Arial" w:hAnsi="Arial"/>
                <w:sz w:val="18"/>
                <w:szCs w:val="18"/>
                <w:i w:val="1"/>
                <w:iCs w:val="1"/>
                <w:color w:val="auto"/>
              </w:rPr>
              <w:t>(In % of total and US$ Mn)</w:t>
            </w:r>
          </w:p>
        </w:tc>
        <w:tc>
          <w:tcPr>
            <w:tcW w:w="30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31.03.04</w:t>
            </w:r>
          </w:p>
        </w:tc>
        <w:tc>
          <w:tcPr>
            <w:tcW w:w="1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31.12.04</w:t>
            </w:r>
          </w:p>
        </w:tc>
        <w:tc>
          <w:tcPr>
            <w:tcW w:w="1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31.03.05</w:t>
            </w:r>
          </w:p>
        </w:tc>
        <w:tc>
          <w:tcPr>
            <w:tcW w:w="60" w:type="dxa"/>
            <w:vAlign w:val="bottom"/>
          </w:tcPr>
          <w:p>
            <w:pPr>
              <w:spacing w:after="0"/>
              <w:rPr>
                <w:sz w:val="19"/>
                <w:szCs w:val="19"/>
                <w:color w:val="auto"/>
              </w:rPr>
            </w:pPr>
          </w:p>
        </w:tc>
      </w:tr>
      <w:tr>
        <w:trPr>
          <w:trHeight w:val="110"/>
        </w:trPr>
        <w:tc>
          <w:tcPr>
            <w:tcW w:w="36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r>
        <w:trPr>
          <w:trHeight w:val="343"/>
        </w:trPr>
        <w:tc>
          <w:tcPr>
            <w:tcW w:w="25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180" w:type="dxa"/>
            <w:vAlign w:val="bottom"/>
            <w:gridSpan w:val="5"/>
          </w:tcPr>
          <w:p>
            <w:pPr>
              <w:jc w:val="right"/>
              <w:ind w:right="120"/>
              <w:spacing w:after="0"/>
              <w:rPr>
                <w:sz w:val="20"/>
                <w:szCs w:val="20"/>
                <w:color w:val="auto"/>
              </w:rPr>
            </w:pPr>
            <w:r>
              <w:rPr>
                <w:rFonts w:ascii="Arial" w:cs="Arial" w:eastAsia="Arial" w:hAnsi="Arial"/>
                <w:sz w:val="18"/>
                <w:szCs w:val="18"/>
                <w:color w:val="auto"/>
              </w:rPr>
              <w:t>41.6%</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4"/>
                <w:szCs w:val="24"/>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40.8%</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Middle market</w:t>
            </w:r>
          </w:p>
        </w:tc>
        <w:tc>
          <w:tcPr>
            <w:tcW w:w="3180" w:type="dxa"/>
            <w:vAlign w:val="bottom"/>
            <w:gridSpan w:val="5"/>
          </w:tcPr>
          <w:p>
            <w:pPr>
              <w:jc w:val="right"/>
              <w:ind w:right="120"/>
              <w:spacing w:after="0"/>
              <w:rPr>
                <w:sz w:val="20"/>
                <w:szCs w:val="20"/>
                <w:color w:val="auto"/>
              </w:rPr>
            </w:pPr>
            <w:r>
              <w:rPr>
                <w:rFonts w:ascii="Arial" w:cs="Arial" w:eastAsia="Arial" w:hAnsi="Arial"/>
                <w:sz w:val="18"/>
                <w:szCs w:val="18"/>
                <w:color w:val="auto"/>
              </w:rPr>
              <w:t>26.2%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25.5%</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180" w:type="dxa"/>
            <w:vAlign w:val="bottom"/>
            <w:gridSpan w:val="5"/>
          </w:tcPr>
          <w:p>
            <w:pPr>
              <w:jc w:val="right"/>
              <w:ind w:right="120"/>
              <w:spacing w:after="0"/>
              <w:rPr>
                <w:sz w:val="20"/>
                <w:szCs w:val="20"/>
                <w:color w:val="auto"/>
              </w:rPr>
            </w:pPr>
            <w:r>
              <w:rPr>
                <w:rFonts w:ascii="Arial" w:cs="Arial" w:eastAsia="Arial" w:hAnsi="Arial"/>
                <w:sz w:val="18"/>
                <w:szCs w:val="18"/>
                <w:color w:val="auto"/>
              </w:rPr>
              <w:t>32.2%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33.7%</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 small business</w:t>
            </w:r>
          </w:p>
        </w:tc>
        <w:tc>
          <w:tcPr>
            <w:tcW w:w="3180" w:type="dxa"/>
            <w:vAlign w:val="bottom"/>
            <w:gridSpan w:val="5"/>
          </w:tcPr>
          <w:p>
            <w:pPr>
              <w:jc w:val="right"/>
              <w:ind w:right="120"/>
              <w:spacing w:after="0"/>
              <w:rPr>
                <w:sz w:val="20"/>
                <w:szCs w:val="20"/>
                <w:color w:val="auto"/>
              </w:rPr>
            </w:pPr>
            <w:r>
              <w:rPr>
                <w:rFonts w:ascii="Arial" w:cs="Arial" w:eastAsia="Arial" w:hAnsi="Arial"/>
                <w:sz w:val="18"/>
                <w:szCs w:val="18"/>
                <w:color w:val="auto"/>
              </w:rPr>
              <w:t>10.3%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9.0%</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 home mortgage</w:t>
            </w:r>
          </w:p>
        </w:tc>
        <w:tc>
          <w:tcPr>
            <w:tcW w:w="3180" w:type="dxa"/>
            <w:vAlign w:val="bottom"/>
            <w:gridSpan w:val="5"/>
          </w:tcPr>
          <w:p>
            <w:pPr>
              <w:jc w:val="right"/>
              <w:ind w:right="120"/>
              <w:spacing w:after="0"/>
              <w:rPr>
                <w:sz w:val="20"/>
                <w:szCs w:val="20"/>
                <w:color w:val="auto"/>
              </w:rPr>
            </w:pPr>
            <w:r>
              <w:rPr>
                <w:rFonts w:ascii="Arial" w:cs="Arial" w:eastAsia="Arial" w:hAnsi="Arial"/>
                <w:sz w:val="18"/>
                <w:szCs w:val="18"/>
                <w:color w:val="auto"/>
              </w:rPr>
              <w:t>15.2%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17.6%</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 consumer</w:t>
            </w:r>
          </w:p>
        </w:tc>
        <w:tc>
          <w:tcPr>
            <w:tcW w:w="3180" w:type="dxa"/>
            <w:vAlign w:val="bottom"/>
            <w:gridSpan w:val="5"/>
          </w:tcPr>
          <w:p>
            <w:pPr>
              <w:jc w:val="right"/>
              <w:ind w:right="120"/>
              <w:spacing w:after="0"/>
              <w:rPr>
                <w:sz w:val="20"/>
                <w:szCs w:val="20"/>
                <w:color w:val="auto"/>
              </w:rPr>
            </w:pPr>
            <w:r>
              <w:rPr>
                <w:rFonts w:ascii="Arial" w:cs="Arial" w:eastAsia="Arial" w:hAnsi="Arial"/>
                <w:sz w:val="18"/>
                <w:szCs w:val="18"/>
                <w:color w:val="auto"/>
              </w:rPr>
              <w:t>3.2%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3.5%</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 credit cards</w:t>
            </w:r>
          </w:p>
        </w:tc>
        <w:tc>
          <w:tcPr>
            <w:tcW w:w="3180" w:type="dxa"/>
            <w:vAlign w:val="bottom"/>
            <w:gridSpan w:val="5"/>
          </w:tcPr>
          <w:p>
            <w:pPr>
              <w:jc w:val="right"/>
              <w:ind w:right="120"/>
              <w:spacing w:after="0"/>
              <w:rPr>
                <w:sz w:val="20"/>
                <w:szCs w:val="20"/>
                <w:color w:val="auto"/>
              </w:rPr>
            </w:pPr>
            <w:r>
              <w:rPr>
                <w:rFonts w:ascii="Arial" w:cs="Arial" w:eastAsia="Arial" w:hAnsi="Arial"/>
                <w:sz w:val="18"/>
                <w:szCs w:val="18"/>
                <w:color w:val="auto"/>
              </w:rPr>
              <w:t>3.5%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3.6%</w:t>
            </w:r>
          </w:p>
        </w:tc>
      </w:tr>
      <w:tr>
        <w:trPr>
          <w:trHeight w:val="205"/>
        </w:trPr>
        <w:tc>
          <w:tcPr>
            <w:tcW w:w="2520" w:type="dxa"/>
            <w:vAlign w:val="bottom"/>
            <w:gridSpan w:val="2"/>
          </w:tcPr>
          <w:p>
            <w:pPr>
              <w:spacing w:after="0" w:line="205" w:lineRule="exact"/>
              <w:rPr>
                <w:sz w:val="20"/>
                <w:szCs w:val="20"/>
                <w:color w:val="auto"/>
              </w:rPr>
            </w:pPr>
            <w:r>
              <w:rPr>
                <w:rFonts w:ascii="Arial" w:cs="Arial" w:eastAsia="Arial" w:hAnsi="Arial"/>
                <w:sz w:val="18"/>
                <w:szCs w:val="18"/>
                <w:color w:val="auto"/>
              </w:rPr>
              <w:t>Total</w:t>
            </w:r>
          </w:p>
        </w:tc>
        <w:tc>
          <w:tcPr>
            <w:tcW w:w="3180" w:type="dxa"/>
            <w:vAlign w:val="bottom"/>
            <w:gridSpan w:val="5"/>
          </w:tcPr>
          <w:p>
            <w:pPr>
              <w:jc w:val="right"/>
              <w:ind w:right="120"/>
              <w:spacing w:after="0" w:line="205"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92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20" w:type="dxa"/>
            <w:vAlign w:val="bottom"/>
          </w:tcPr>
          <w:p>
            <w:pPr>
              <w:spacing w:after="0"/>
              <w:rPr>
                <w:sz w:val="17"/>
                <w:szCs w:val="17"/>
                <w:color w:val="auto"/>
              </w:rPr>
            </w:pPr>
          </w:p>
        </w:tc>
        <w:tc>
          <w:tcPr>
            <w:tcW w:w="98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129"/>
        </w:trPr>
        <w:tc>
          <w:tcPr>
            <w:tcW w:w="360" w:type="dxa"/>
            <w:vAlign w:val="bottom"/>
            <w:tcBorders>
              <w:top w:val="single" w:sz="8" w:color="auto"/>
              <w:bottom w:val="single" w:sz="8" w:color="9A9A9A"/>
            </w:tcBorders>
          </w:tcPr>
          <w:p>
            <w:pPr>
              <w:spacing w:after="0"/>
              <w:rPr>
                <w:sz w:val="11"/>
                <w:szCs w:val="11"/>
                <w:color w:val="auto"/>
              </w:rPr>
            </w:pPr>
          </w:p>
        </w:tc>
        <w:tc>
          <w:tcPr>
            <w:tcW w:w="2160" w:type="dxa"/>
            <w:vAlign w:val="bottom"/>
            <w:tcBorders>
              <w:bottom w:val="single" w:sz="8" w:color="9A9A9A"/>
            </w:tcBorders>
          </w:tcPr>
          <w:p>
            <w:pPr>
              <w:spacing w:after="0"/>
              <w:rPr>
                <w:sz w:val="11"/>
                <w:szCs w:val="11"/>
                <w:color w:val="auto"/>
              </w:rPr>
            </w:pPr>
          </w:p>
        </w:tc>
        <w:tc>
          <w:tcPr>
            <w:tcW w:w="2080" w:type="dxa"/>
            <w:vAlign w:val="bottom"/>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r>
      <w:tr>
        <w:trPr>
          <w:trHeight w:val="318"/>
        </w:trPr>
        <w:tc>
          <w:tcPr>
            <w:tcW w:w="360" w:type="dxa"/>
            <w:vAlign w:val="bottom"/>
          </w:tcPr>
          <w:p>
            <w:pPr>
              <w:spacing w:after="0"/>
              <w:rPr>
                <w:sz w:val="24"/>
                <w:szCs w:val="24"/>
                <w:color w:val="auto"/>
              </w:rPr>
            </w:pPr>
          </w:p>
        </w:tc>
        <w:tc>
          <w:tcPr>
            <w:tcW w:w="2160" w:type="dxa"/>
            <w:vAlign w:val="bottom"/>
          </w:tcPr>
          <w:p>
            <w:pPr>
              <w:ind w:left="420"/>
              <w:spacing w:after="0"/>
              <w:rPr>
                <w:sz w:val="20"/>
                <w:szCs w:val="20"/>
                <w:color w:val="auto"/>
              </w:rPr>
            </w:pPr>
            <w:r>
              <w:rPr>
                <w:rFonts w:ascii="Arial" w:cs="Arial" w:eastAsia="Arial" w:hAnsi="Arial"/>
                <w:sz w:val="18"/>
                <w:szCs w:val="18"/>
                <w:b w:val="1"/>
                <w:bCs w:val="1"/>
                <w:color w:val="auto"/>
              </w:rPr>
              <w:t>Total Loans</w:t>
            </w:r>
          </w:p>
        </w:tc>
        <w:tc>
          <w:tcPr>
            <w:tcW w:w="2080" w:type="dxa"/>
            <w:vAlign w:val="bottom"/>
          </w:tcPr>
          <w:p>
            <w:pPr>
              <w:spacing w:after="0"/>
              <w:rPr>
                <w:sz w:val="24"/>
                <w:szCs w:val="24"/>
                <w:color w:val="auto"/>
              </w:rPr>
            </w:pPr>
          </w:p>
        </w:tc>
        <w:tc>
          <w:tcPr>
            <w:tcW w:w="1100" w:type="dxa"/>
            <w:vAlign w:val="bottom"/>
            <w:gridSpan w:val="4"/>
          </w:tcPr>
          <w:p>
            <w:pPr>
              <w:ind w:left="260"/>
              <w:spacing w:after="0"/>
              <w:rPr>
                <w:sz w:val="20"/>
                <w:szCs w:val="20"/>
                <w:color w:val="auto"/>
              </w:rPr>
            </w:pP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3,995</w:t>
            </w:r>
          </w:p>
        </w:tc>
        <w:tc>
          <w:tcPr>
            <w:tcW w:w="20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4,098</w:t>
            </w:r>
          </w:p>
        </w:tc>
        <w:tc>
          <w:tcPr>
            <w:tcW w:w="980" w:type="dxa"/>
            <w:vAlign w:val="bottom"/>
            <w:gridSpan w:val="4"/>
          </w:tcPr>
          <w:p>
            <w:pPr>
              <w:ind w:left="200"/>
              <w:spacing w:after="0"/>
              <w:rPr>
                <w:sz w:val="20"/>
                <w:szCs w:val="20"/>
                <w:color w:val="auto"/>
              </w:rPr>
            </w:pPr>
            <w:r>
              <w:rPr>
                <w:rFonts w:ascii="Arial" w:cs="Arial" w:eastAsia="Arial" w:hAnsi="Arial"/>
                <w:sz w:val="18"/>
                <w:szCs w:val="18"/>
                <w:b w:val="1"/>
                <w:bCs w:val="1"/>
                <w:u w:val="single" w:color="auto"/>
                <w:color w:val="auto"/>
                <w:w w:val="94"/>
              </w:rPr>
              <w:t>US$</w:t>
            </w:r>
            <w:r>
              <w:rPr>
                <w:rFonts w:ascii="Arial" w:cs="Arial" w:eastAsia="Arial" w:hAnsi="Arial"/>
                <w:sz w:val="18"/>
                <w:szCs w:val="18"/>
                <w:b w:val="1"/>
                <w:bCs w:val="1"/>
                <w:color w:val="auto"/>
                <w:w w:val="94"/>
              </w:rPr>
              <w:t>4,367</w:t>
            </w:r>
          </w:p>
        </w:tc>
      </w:tr>
      <w:tr>
        <w:trPr>
          <w:trHeight w:val="129"/>
        </w:trPr>
        <w:tc>
          <w:tcPr>
            <w:tcW w:w="360" w:type="dxa"/>
            <w:vAlign w:val="bottom"/>
            <w:tcBorders>
              <w:bottom w:val="single" w:sz="8" w:color="9A9A9A"/>
            </w:tcBorders>
          </w:tcPr>
          <w:p>
            <w:pPr>
              <w:spacing w:after="0"/>
              <w:rPr>
                <w:sz w:val="11"/>
                <w:szCs w:val="11"/>
                <w:color w:val="auto"/>
              </w:rPr>
            </w:pPr>
          </w:p>
        </w:tc>
        <w:tc>
          <w:tcPr>
            <w:tcW w:w="2160" w:type="dxa"/>
            <w:vAlign w:val="bottom"/>
            <w:tcBorders>
              <w:bottom w:val="single" w:sz="8" w:color="9A9A9A"/>
            </w:tcBorders>
          </w:tcPr>
          <w:p>
            <w:pPr>
              <w:spacing w:after="0"/>
              <w:rPr>
                <w:sz w:val="11"/>
                <w:szCs w:val="11"/>
                <w:color w:val="auto"/>
              </w:rPr>
            </w:pPr>
          </w:p>
        </w:tc>
        <w:tc>
          <w:tcPr>
            <w:tcW w:w="20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80" w:type="dxa"/>
            <w:vAlign w:val="bottom"/>
            <w:tcBorders>
              <w:top w:val="single" w:sz="8" w:color="auto"/>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top w:val="single" w:sz="8" w:color="auto"/>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top w:val="single" w:sz="8" w:color="auto"/>
              <w:bottom w:val="single" w:sz="8" w:color="9A9A9A"/>
            </w:tcBorders>
          </w:tcPr>
          <w:p>
            <w:pPr>
              <w:spacing w:after="0"/>
              <w:rPr>
                <w:sz w:val="11"/>
                <w:szCs w:val="11"/>
                <w:color w:val="auto"/>
              </w:rPr>
            </w:pPr>
          </w:p>
        </w:tc>
        <w:tc>
          <w:tcPr>
            <w:tcW w:w="540" w:type="dxa"/>
            <w:vAlign w:val="bottom"/>
            <w:tcBorders>
              <w:top w:val="single" w:sz="8" w:color="auto"/>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-1710055</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-1710055</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-1710055</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-1710055</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-1710055</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-329565</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-329565</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-329565</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-329565</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-20955</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During the current quarter, loan balances increased 6.6%, with corporate loans growing by 10.2% to US$1,782 million, while retail loans grew by 7.5%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US$1,471 million, and middle market loans increased by 0.2% to US$1,115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200025</wp:posOffset>
            </wp:positionV>
            <wp:extent cx="5569585"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w w:val="92"/>
              </w:rPr>
              <w:t>31.03.05 vs</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w w:val="92"/>
              </w:rPr>
              <w:t>31.03.05 vs</w:t>
            </w:r>
          </w:p>
        </w:tc>
      </w:tr>
      <w:tr>
        <w:trPr>
          <w:trHeight w:val="243"/>
        </w:trPr>
        <w:tc>
          <w:tcPr>
            <w:tcW w:w="3040" w:type="dxa"/>
            <w:vAlign w:val="bottom"/>
          </w:tcPr>
          <w:p>
            <w:pPr>
              <w:spacing w:after="0"/>
              <w:rPr>
                <w:sz w:val="20"/>
                <w:szCs w:val="20"/>
                <w:color w:val="auto"/>
              </w:rPr>
            </w:pPr>
            <w:r>
              <w:rPr>
                <w:rFonts w:ascii="Arial" w:cs="Arial" w:eastAsia="Arial" w:hAnsi="Arial"/>
                <w:sz w:val="18"/>
                <w:szCs w:val="18"/>
                <w:i w:val="1"/>
                <w:iCs w:val="1"/>
                <w:color w:val="auto"/>
              </w:rPr>
              <w:t>(% change and US$ Mn)</w:t>
            </w:r>
          </w:p>
        </w:tc>
        <w:tc>
          <w:tcPr>
            <w:tcW w:w="1620" w:type="dxa"/>
            <w:vAlign w:val="bottom"/>
          </w:tcPr>
          <w:p>
            <w:pPr>
              <w:jc w:val="right"/>
              <w:ind w:right="212"/>
              <w:spacing w:after="0"/>
              <w:rPr>
                <w:sz w:val="20"/>
                <w:szCs w:val="20"/>
                <w:color w:val="auto"/>
              </w:rPr>
            </w:pPr>
            <w:r>
              <w:rPr>
                <w:rFonts w:ascii="Arial" w:cs="Arial" w:eastAsia="Arial" w:hAnsi="Arial"/>
                <w:sz w:val="18"/>
                <w:szCs w:val="18"/>
                <w:b w:val="1"/>
                <w:bCs w:val="1"/>
                <w:color w:val="auto"/>
              </w:rPr>
              <w:t>31.03.04</w:t>
            </w:r>
          </w:p>
        </w:tc>
        <w:tc>
          <w:tcPr>
            <w:tcW w:w="1040" w:type="dxa"/>
            <w:vAlign w:val="bottom"/>
          </w:tcPr>
          <w:p>
            <w:pPr>
              <w:jc w:val="right"/>
              <w:ind w:right="212"/>
              <w:spacing w:after="0"/>
              <w:rPr>
                <w:sz w:val="20"/>
                <w:szCs w:val="20"/>
                <w:color w:val="auto"/>
              </w:rPr>
            </w:pPr>
            <w:r>
              <w:rPr>
                <w:rFonts w:ascii="Arial" w:cs="Arial" w:eastAsia="Arial" w:hAnsi="Arial"/>
                <w:sz w:val="18"/>
                <w:szCs w:val="18"/>
                <w:b w:val="1"/>
                <w:bCs w:val="1"/>
                <w:color w:val="auto"/>
              </w:rPr>
              <w:t>31.12.04</w:t>
            </w: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31.03.05</w:t>
            </w: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31.12.04</w:t>
            </w: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31.03.04</w:t>
            </w:r>
          </w:p>
        </w:tc>
      </w:tr>
      <w:tr>
        <w:trPr>
          <w:trHeight w:val="110"/>
        </w:trPr>
        <w:tc>
          <w:tcPr>
            <w:tcW w:w="30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r>
        <w:trPr>
          <w:trHeight w:val="343"/>
        </w:trPr>
        <w:tc>
          <w:tcPr>
            <w:tcW w:w="3040" w:type="dxa"/>
            <w:vAlign w:val="bottom"/>
          </w:tcPr>
          <w:p>
            <w:pPr>
              <w:spacing w:after="0"/>
              <w:rPr>
                <w:sz w:val="20"/>
                <w:szCs w:val="20"/>
                <w:color w:val="auto"/>
              </w:rPr>
            </w:pPr>
            <w:r>
              <w:rPr>
                <w:rFonts w:ascii="Arial" w:cs="Arial" w:eastAsia="Arial" w:hAnsi="Arial"/>
                <w:sz w:val="18"/>
                <w:szCs w:val="18"/>
                <w:color w:val="auto"/>
              </w:rPr>
              <w:t>Small business loans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980" w:type="dxa"/>
            <w:vAlign w:val="bottom"/>
          </w:tcPr>
          <w:p>
            <w:pPr>
              <w:jc w:val="right"/>
              <w:spacing w:after="0"/>
              <w:rPr>
                <w:sz w:val="20"/>
                <w:szCs w:val="20"/>
                <w:color w:val="auto"/>
              </w:rPr>
            </w:pPr>
            <w:r>
              <w:rPr>
                <w:rFonts w:ascii="Arial" w:cs="Arial" w:eastAsia="Arial" w:hAnsi="Arial"/>
                <w:sz w:val="18"/>
                <w:szCs w:val="18"/>
                <w:color w:val="auto"/>
              </w:rPr>
              <w:t>394</w:t>
            </w: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Mortgage loans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696</w:t>
            </w:r>
          </w:p>
        </w:tc>
        <w:tc>
          <w:tcPr>
            <w:tcW w:w="980" w:type="dxa"/>
            <w:vAlign w:val="bottom"/>
          </w:tcPr>
          <w:p>
            <w:pPr>
              <w:jc w:val="right"/>
              <w:spacing w:after="0"/>
              <w:rPr>
                <w:sz w:val="20"/>
                <w:szCs w:val="20"/>
                <w:color w:val="auto"/>
              </w:rPr>
            </w:pPr>
            <w:r>
              <w:rPr>
                <w:rFonts w:ascii="Arial" w:cs="Arial" w:eastAsia="Arial" w:hAnsi="Arial"/>
                <w:sz w:val="18"/>
                <w:szCs w:val="18"/>
                <w:color w:val="auto"/>
              </w:rPr>
              <w:t>770</w:t>
            </w: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Consumer loans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Credit card loans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3040" w:type="dxa"/>
            <w:vAlign w:val="bottom"/>
          </w:tcPr>
          <w:p>
            <w:pPr>
              <w:ind w:left="1460"/>
              <w:spacing w:after="0"/>
              <w:rPr>
                <w:sz w:val="20"/>
                <w:szCs w:val="20"/>
                <w:color w:val="auto"/>
              </w:rPr>
            </w:pPr>
            <w:r>
              <w:rPr>
                <w:rFonts w:ascii="Arial" w:cs="Arial" w:eastAsia="Arial" w:hAnsi="Arial"/>
                <w:sz w:val="18"/>
                <w:szCs w:val="18"/>
                <w:b w:val="1"/>
                <w:bCs w:val="1"/>
                <w:color w:val="auto"/>
              </w:rPr>
              <w:t>Total Retail</w:t>
            </w: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auto"/>
              </w:rPr>
              <w:t>1,289</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1,368</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r>
      <w:tr>
        <w:trPr>
          <w:trHeight w:val="110"/>
        </w:trPr>
        <w:tc>
          <w:tcPr>
            <w:tcW w:w="30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-938530</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-938530</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-938530</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-938530</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-938530</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-938530</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13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Contingent Credits and Managed Funds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March 31, 2005 </w:t>
      </w:r>
      <w:r>
        <w:rPr>
          <w:rFonts w:ascii="Arial" w:cs="Arial" w:eastAsia="Arial" w:hAnsi="Arial"/>
          <w:sz w:val="18"/>
          <w:szCs w:val="18"/>
          <w:b w:val="1"/>
          <w:bCs w:val="1"/>
          <w:color w:val="auto"/>
        </w:rPr>
        <w:t>contingent credits</w:t>
      </w:r>
      <w:r>
        <w:rPr>
          <w:rFonts w:ascii="Arial" w:cs="Arial" w:eastAsia="Arial" w:hAnsi="Arial"/>
          <w:sz w:val="18"/>
          <w:szCs w:val="18"/>
          <w:color w:val="auto"/>
        </w:rPr>
        <w:t xml:space="preserve"> were US$1,893 million, 3.3% above the December 2004 figure, as shown in the next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208280</wp:posOffset>
            </wp:positionV>
            <wp:extent cx="5569585"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w w:val="92"/>
              </w:rPr>
              <w:t>31.03.05 vs</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w w:val="92"/>
              </w:rPr>
              <w:t>31.03.05 vs</w:t>
            </w:r>
          </w:p>
        </w:tc>
      </w:tr>
      <w:tr>
        <w:trPr>
          <w:trHeight w:val="243"/>
        </w:trPr>
        <w:tc>
          <w:tcPr>
            <w:tcW w:w="2960" w:type="dxa"/>
            <w:vAlign w:val="bottom"/>
          </w:tcPr>
          <w:p>
            <w:pPr>
              <w:spacing w:after="0"/>
              <w:rPr>
                <w:sz w:val="20"/>
                <w:szCs w:val="20"/>
                <w:color w:val="auto"/>
              </w:rPr>
            </w:pPr>
            <w:r>
              <w:rPr>
                <w:rFonts w:ascii="Arial" w:cs="Arial" w:eastAsia="Arial" w:hAnsi="Arial"/>
                <w:sz w:val="18"/>
                <w:szCs w:val="18"/>
                <w:i w:val="1"/>
                <w:iCs w:val="1"/>
                <w:color w:val="auto"/>
              </w:rPr>
              <w:t>(% change and US$ Mn)</w:t>
            </w:r>
          </w:p>
        </w:tc>
        <w:tc>
          <w:tcPr>
            <w:tcW w:w="1700" w:type="dxa"/>
            <w:vAlign w:val="bottom"/>
          </w:tcPr>
          <w:p>
            <w:pPr>
              <w:jc w:val="right"/>
              <w:ind w:right="212"/>
              <w:spacing w:after="0"/>
              <w:rPr>
                <w:sz w:val="20"/>
                <w:szCs w:val="20"/>
                <w:color w:val="auto"/>
              </w:rPr>
            </w:pPr>
            <w:r>
              <w:rPr>
                <w:rFonts w:ascii="Arial" w:cs="Arial" w:eastAsia="Arial" w:hAnsi="Arial"/>
                <w:sz w:val="18"/>
                <w:szCs w:val="18"/>
                <w:b w:val="1"/>
                <w:bCs w:val="1"/>
                <w:color w:val="auto"/>
              </w:rPr>
              <w:t>31.03.04</w:t>
            </w:r>
          </w:p>
        </w:tc>
        <w:tc>
          <w:tcPr>
            <w:tcW w:w="1040" w:type="dxa"/>
            <w:vAlign w:val="bottom"/>
          </w:tcPr>
          <w:p>
            <w:pPr>
              <w:jc w:val="right"/>
              <w:ind w:right="212"/>
              <w:spacing w:after="0"/>
              <w:rPr>
                <w:sz w:val="20"/>
                <w:szCs w:val="20"/>
                <w:color w:val="auto"/>
              </w:rPr>
            </w:pPr>
            <w:r>
              <w:rPr>
                <w:rFonts w:ascii="Arial" w:cs="Arial" w:eastAsia="Arial" w:hAnsi="Arial"/>
                <w:sz w:val="18"/>
                <w:szCs w:val="18"/>
                <w:b w:val="1"/>
                <w:bCs w:val="1"/>
                <w:color w:val="auto"/>
              </w:rPr>
              <w:t>31.12.04</w:t>
            </w: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31.03.05</w:t>
            </w: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31.12.04</w:t>
            </w: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31.03.04</w:t>
            </w:r>
          </w:p>
        </w:tc>
      </w:tr>
      <w:tr>
        <w:trPr>
          <w:trHeight w:val="110"/>
        </w:trPr>
        <w:tc>
          <w:tcPr>
            <w:tcW w:w="29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r>
        <w:trPr>
          <w:trHeight w:val="343"/>
        </w:trPr>
        <w:tc>
          <w:tcPr>
            <w:tcW w:w="296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637</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598</w:t>
            </w:r>
          </w:p>
        </w:tc>
        <w:tc>
          <w:tcPr>
            <w:tcW w:w="980" w:type="dxa"/>
            <w:vAlign w:val="bottom"/>
          </w:tcPr>
          <w:p>
            <w:pPr>
              <w:jc w:val="right"/>
              <w:spacing w:after="0"/>
              <w:rPr>
                <w:sz w:val="20"/>
                <w:szCs w:val="20"/>
                <w:color w:val="auto"/>
              </w:rPr>
            </w:pPr>
            <w:r>
              <w:rPr>
                <w:rFonts w:ascii="Arial" w:cs="Arial" w:eastAsia="Arial" w:hAnsi="Arial"/>
                <w:sz w:val="18"/>
                <w:szCs w:val="18"/>
                <w:color w:val="auto"/>
              </w:rPr>
              <w:t>659</w:t>
            </w: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 Letters of Credit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 Acceptances</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458</w:t>
            </w:r>
          </w:p>
        </w:tc>
        <w:tc>
          <w:tcPr>
            <w:tcW w:w="980" w:type="dxa"/>
            <w:vAlign w:val="bottom"/>
          </w:tcPr>
          <w:p>
            <w:pPr>
              <w:jc w:val="right"/>
              <w:spacing w:after="0"/>
              <w:rPr>
                <w:sz w:val="20"/>
                <w:szCs w:val="20"/>
                <w:color w:val="auto"/>
              </w:rPr>
            </w:pPr>
            <w:r>
              <w:rPr>
                <w:rFonts w:ascii="Arial" w:cs="Arial" w:eastAsia="Arial" w:hAnsi="Arial"/>
                <w:sz w:val="18"/>
                <w:szCs w:val="18"/>
                <w:color w:val="auto"/>
              </w:rPr>
              <w:t>466</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0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296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485</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980" w:type="dxa"/>
            <w:vAlign w:val="bottom"/>
          </w:tcPr>
          <w:p>
            <w:pPr>
              <w:jc w:val="right"/>
              <w:spacing w:after="0"/>
              <w:rPr>
                <w:sz w:val="20"/>
                <w:szCs w:val="20"/>
                <w:color w:val="auto"/>
              </w:rPr>
            </w:pPr>
            <w:r>
              <w:rPr>
                <w:rFonts w:ascii="Arial" w:cs="Arial" w:eastAsia="Arial" w:hAnsi="Arial"/>
                <w:sz w:val="18"/>
                <w:szCs w:val="18"/>
                <w:color w:val="auto"/>
              </w:rPr>
              <w:t>502</w:t>
            </w: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2960" w:type="dxa"/>
            <w:vAlign w:val="bottom"/>
          </w:tcPr>
          <w:p>
            <w:pPr>
              <w:spacing w:after="0"/>
              <w:rPr>
                <w:sz w:val="20"/>
                <w:szCs w:val="20"/>
                <w:color w:val="auto"/>
              </w:rPr>
            </w:pPr>
            <w:r>
              <w:rPr>
                <w:rFonts w:ascii="Arial" w:cs="Arial" w:eastAsia="Arial" w:hAnsi="Arial"/>
                <w:sz w:val="18"/>
                <w:szCs w:val="18"/>
                <w:b w:val="1"/>
                <w:bCs w:val="1"/>
                <w:color w:val="auto"/>
              </w:rPr>
              <w:t>Total Contingent Credits</w:t>
            </w:r>
          </w:p>
        </w:tc>
        <w:tc>
          <w:tcPr>
            <w:tcW w:w="1700" w:type="dxa"/>
            <w:vAlign w:val="bottom"/>
          </w:tcPr>
          <w:p>
            <w:pPr>
              <w:jc w:val="right"/>
              <w:ind w:right="32"/>
              <w:spacing w:after="0"/>
              <w:rPr>
                <w:sz w:val="20"/>
                <w:szCs w:val="20"/>
                <w:color w:val="auto"/>
              </w:rPr>
            </w:pPr>
            <w:r>
              <w:rPr>
                <w:rFonts w:ascii="Arial" w:cs="Arial" w:eastAsia="Arial" w:hAnsi="Arial"/>
                <w:sz w:val="18"/>
                <w:szCs w:val="18"/>
                <w:b w:val="1"/>
                <w:bCs w:val="1"/>
                <w:color w:val="auto"/>
              </w:rPr>
              <w:t>1,652</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1,833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1,893</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14.6%</w:t>
            </w:r>
          </w:p>
        </w:tc>
      </w:tr>
      <w:tr>
        <w:trPr>
          <w:trHeight w:val="110"/>
        </w:trPr>
        <w:tc>
          <w:tcPr>
            <w:tcW w:w="29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-1092835</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3748405</wp:posOffset>
            </wp:positionH>
            <wp:positionV relativeFrom="paragraph">
              <wp:posOffset>-1092835</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-1092835</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-1092835</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-1092835</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-1092835</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Third party funds </w:t>
      </w:r>
      <w:r>
        <w:rPr>
          <w:rFonts w:ascii="Arial" w:cs="Arial" w:eastAsia="Arial" w:hAnsi="Arial"/>
          <w:sz w:val="18"/>
          <w:szCs w:val="18"/>
          <w:color w:val="auto"/>
        </w:rPr>
        <w:t>managed by several subsidiaries of BCP amounted to US$945.2 million as of March 31, 2005, decreasing 0.9% compared to funds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preliminary statistics from the Peruvian Banking Association (ASBANC) for Peruvian commercial banks as of March 31, 2005, Banco de Crédito del Perú had a total loan market share of 34.9% (33.0% at December 31, 2004 and 34.6% at March 31, 2004), and 37.6% of deposits (35.7% at December 31, 2004 and 36.6% at March 31, 2004).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BCP’s market share in Peruvian mutual funds, through its subsidiary Credifondo, was 51.6% as of March 31, 2005 (51.6% at December 31, 2004 and 49.4% at March 31,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II.6 LOAN QUALITY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past due loans as a percentage of total loans improved to 3.4% at March 31, 2005, from 3.7% at December 2004, and also compared to the ratio of 6.0% at March 2004. The ratio of past due, refinanced and restructured loans as a percentage of total loans declined to 8.5% during first quarter 2005 from 9.4% in December 2004, and also compared to 11.6% at March 2004.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past due loans amounted to US$148.1 million at March 31, 2005, decreasing 1.9% from the balance of US$150.9 million at year-end 2004, and are also 38.3% below US$240.1 million past due loans at March 2004.</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March 2005, refinanced loans amounted to US$222.2 million, lower than the balance at December 2004 that was US$233.2 million, but are similar to the balance of US$222.7 million in first quarter 2004.</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the first quarter 2005, outstanding balances of loan loss provisions totaled US$261.4 million, increasing 8.4% compared to the balance at the beginning of the year, but decreases 16.1% with respect to March 2004 mainly due to charge-offs.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coverage ratio of loan provisions to past due loans increased to 176.5% at the end of first quarter 2005, from 159.8% at December 2004, and also compared to 121.6% in the year-ago period. The coverage ratio of provisions over the sum of past due loans and refinanced loans was 70.6% in March 2005, improving from 62.8% last December and from 63.1% in March 2004.</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Of total provisions outstanding at the end of the current quarter, US$59.6 million correspond to generic provisions assigned to loans in the Normal (A) risk category, increasing from the balance at March 31, 2004 of US$49.9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believed to be unrecoverable, fully provisioned in prior periods, were written-off during the first quarter 2005 amounting to US$11.5 million, of which approximately 44% were related to consumer and mortgage loans. This compares to charge-offs in the fourth quarter of 2004 of US$20.1 million, and US$32.3 million in the year-ago first quarter.</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Loans classified as Substandard (i.e., Deficient, Doubtful and Loss) were 9.5% of the loan portfolio in March 2005, decreasing from 11.5% in December 2004 and from 14.6% in March 2004.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179070</wp:posOffset>
            </wp:positionV>
            <wp:extent cx="5569585"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 of Total loans and US$Mn)</w:t>
            </w:r>
          </w:p>
        </w:tc>
        <w:tc>
          <w:tcPr>
            <w:tcW w:w="2160" w:type="dxa"/>
            <w:vAlign w:val="bottom"/>
          </w:tcPr>
          <w:p>
            <w:pPr>
              <w:jc w:val="right"/>
              <w:ind w:right="232"/>
              <w:spacing w:after="0"/>
              <w:rPr>
                <w:sz w:val="20"/>
                <w:szCs w:val="20"/>
                <w:color w:val="auto"/>
              </w:rPr>
            </w:pPr>
            <w:r>
              <w:rPr>
                <w:rFonts w:ascii="Arial" w:cs="Arial" w:eastAsia="Arial" w:hAnsi="Arial"/>
                <w:sz w:val="18"/>
                <w:szCs w:val="18"/>
                <w:b w:val="1"/>
                <w:bCs w:val="1"/>
                <w:color w:val="auto"/>
              </w:rPr>
              <w:t>31.03.04</w:t>
            </w:r>
          </w:p>
        </w:tc>
        <w:tc>
          <w:tcPr>
            <w:tcW w:w="1080" w:type="dxa"/>
            <w:vAlign w:val="bottom"/>
          </w:tcPr>
          <w:p>
            <w:pPr>
              <w:jc w:val="right"/>
              <w:ind w:right="252"/>
              <w:spacing w:after="0"/>
              <w:rPr>
                <w:sz w:val="20"/>
                <w:szCs w:val="20"/>
                <w:color w:val="auto"/>
              </w:rPr>
            </w:pPr>
            <w:r>
              <w:rPr>
                <w:rFonts w:ascii="Arial" w:cs="Arial" w:eastAsia="Arial" w:hAnsi="Arial"/>
                <w:sz w:val="18"/>
                <w:szCs w:val="18"/>
                <w:b w:val="1"/>
                <w:bCs w:val="1"/>
                <w:color w:val="auto"/>
              </w:rPr>
              <w:t>31.12.04</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31.03.05</w:t>
            </w:r>
          </w:p>
        </w:tc>
      </w:tr>
      <w:tr>
        <w:trPr>
          <w:trHeight w:val="110"/>
        </w:trPr>
        <w:tc>
          <w:tcPr>
            <w:tcW w:w="28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r>
        <w:trPr>
          <w:trHeight w:val="343"/>
        </w:trPr>
        <w:tc>
          <w:tcPr>
            <w:tcW w:w="4580" w:type="dxa"/>
            <w:vAlign w:val="bottom"/>
            <w:gridSpan w:val="2"/>
          </w:tcPr>
          <w:p>
            <w:pPr>
              <w:spacing w:after="0"/>
              <w:rPr>
                <w:sz w:val="20"/>
                <w:szCs w:val="20"/>
                <w:color w:val="auto"/>
              </w:rPr>
            </w:pPr>
            <w:r>
              <w:rPr>
                <w:rFonts w:ascii="Arial" w:cs="Arial" w:eastAsia="Arial" w:hAnsi="Arial"/>
                <w:sz w:val="18"/>
                <w:szCs w:val="18"/>
                <w:color w:val="auto"/>
              </w:rPr>
              <w:t>A: Normal</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76.8%</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81.1%</w:t>
            </w:r>
          </w:p>
        </w:tc>
        <w:tc>
          <w:tcPr>
            <w:tcW w:w="94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B: Potential Problem</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7.4%</w:t>
            </w: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C: Deficient</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D: Doubtful</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E:  Loss</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280" w:type="dxa"/>
            <w:vAlign w:val="bottom"/>
          </w:tcPr>
          <w:p>
            <w:pPr>
              <w:spacing w:after="0"/>
              <w:rPr>
                <w:sz w:val="21"/>
                <w:szCs w:val="21"/>
                <w:color w:val="auto"/>
              </w:rPr>
            </w:pPr>
          </w:p>
        </w:tc>
        <w:tc>
          <w:tcPr>
            <w:tcW w:w="4300" w:type="dxa"/>
            <w:vAlign w:val="bottom"/>
          </w:tcPr>
          <w:p>
            <w:pPr>
              <w:jc w:val="center"/>
              <w:ind w:left="892"/>
              <w:spacing w:after="0"/>
              <w:rPr>
                <w:sz w:val="20"/>
                <w:szCs w:val="20"/>
                <w:color w:val="auto"/>
              </w:rPr>
            </w:pPr>
            <w:r>
              <w:rPr>
                <w:rFonts w:ascii="Arial" w:cs="Arial" w:eastAsia="Arial" w:hAnsi="Arial"/>
                <w:sz w:val="18"/>
                <w:szCs w:val="18"/>
                <w:color w:val="auto"/>
                <w:w w:val="89"/>
              </w:rPr>
              <w:t>Total</w:t>
            </w:r>
          </w:p>
        </w:tc>
        <w:tc>
          <w:tcPr>
            <w:tcW w:w="21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110"/>
        </w:trPr>
        <w:tc>
          <w:tcPr>
            <w:tcW w:w="280" w:type="dxa"/>
            <w:vAlign w:val="bottom"/>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r>
        <w:trPr>
          <w:trHeight w:val="356"/>
        </w:trPr>
        <w:tc>
          <w:tcPr>
            <w:tcW w:w="280" w:type="dxa"/>
            <w:vAlign w:val="bottom"/>
          </w:tcPr>
          <w:p>
            <w:pPr>
              <w:spacing w:after="0"/>
              <w:rPr>
                <w:sz w:val="24"/>
                <w:szCs w:val="24"/>
                <w:color w:val="auto"/>
              </w:rPr>
            </w:pPr>
          </w:p>
        </w:tc>
        <w:tc>
          <w:tcPr>
            <w:tcW w:w="4300" w:type="dxa"/>
            <w:vAlign w:val="bottom"/>
          </w:tcPr>
          <w:p>
            <w:pPr>
              <w:jc w:val="center"/>
              <w:ind w:left="892"/>
              <w:spacing w:after="0"/>
              <w:rPr>
                <w:sz w:val="20"/>
                <w:szCs w:val="20"/>
                <w:color w:val="auto"/>
              </w:rPr>
            </w:pPr>
            <w:r>
              <w:rPr>
                <w:rFonts w:ascii="Arial" w:cs="Arial" w:eastAsia="Arial" w:hAnsi="Arial"/>
                <w:sz w:val="18"/>
                <w:szCs w:val="18"/>
                <w:b w:val="1"/>
                <w:bCs w:val="1"/>
                <w:color w:val="auto"/>
                <w:w w:val="87"/>
              </w:rPr>
              <w:t>Total Loans</w:t>
            </w:r>
          </w:p>
        </w:tc>
        <w:tc>
          <w:tcPr>
            <w:tcW w:w="2160" w:type="dxa"/>
            <w:vAlign w:val="bottom"/>
          </w:tcPr>
          <w:p>
            <w:pPr>
              <w:jc w:val="right"/>
              <w:ind w:right="32"/>
              <w:spacing w:after="0"/>
              <w:rPr>
                <w:sz w:val="20"/>
                <w:szCs w:val="20"/>
                <w:color w:val="auto"/>
              </w:rPr>
            </w:pPr>
            <w:r>
              <w:rPr>
                <w:rFonts w:ascii="Arial" w:cs="Arial" w:eastAsia="Arial" w:hAnsi="Arial"/>
                <w:sz w:val="18"/>
                <w:szCs w:val="18"/>
                <w:b w:val="1"/>
                <w:bCs w:val="1"/>
                <w:color w:val="auto"/>
              </w:rPr>
              <w:t>US$3,995</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US$4,098</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US$4,367</w:t>
            </w:r>
          </w:p>
        </w:tc>
      </w:tr>
      <w:tr>
        <w:trPr>
          <w:trHeight w:val="110"/>
        </w:trPr>
        <w:tc>
          <w:tcPr>
            <w:tcW w:w="28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1004570</wp:posOffset>
            </wp:positionH>
            <wp:positionV relativeFrom="paragraph">
              <wp:posOffset>-1401445</wp:posOffset>
            </wp:positionV>
            <wp:extent cx="3429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-1401445</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-1401445</wp:posOffset>
            </wp:positionV>
            <wp:extent cx="3429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-1401445</wp:posOffset>
            </wp:positionV>
            <wp:extent cx="342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-1401445</wp:posOffset>
            </wp:positionV>
            <wp:extent cx="3429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-329565</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-329565</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-329565</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-329565</wp:posOffset>
            </wp:positionV>
            <wp:extent cx="3429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Loan loss provisions, net of recoveries, had a positive effect on first quarter 2005 results amounting to US$3.1 million, since recoveries of previously charged-off loans exceeded provision requirements, due to improved loan quality. Provision expense in the first quarter of 2004 was US$9.9 million, and US$6.0 million in</w:t>
      </w:r>
    </w:p>
    <w:p>
      <w:pPr>
        <w:sectPr>
          <w:pgSz w:w="11900" w:h="16838" w:orient="portrait"/>
          <w:cols w:equalWidth="0" w:num="1">
            <w:col w:w="11420"/>
          </w:cols>
          <w:pgMar w:left="240" w:top="131" w:right="239" w:bottom="0" w:gutter="0" w:footer="0" w:header="0"/>
        </w:sectPr>
      </w:pPr>
    </w:p>
    <w:bookmarkStart w:id="10" w:name="page11"/>
    <w:bookmarkEnd w:id="10"/>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II.7 CAPITAL ADEQUACY</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At the end of the first quarter of 2005, BCP’s unconsolidated ratio of risk-weighted assets to regulatory capital was 7.9 to 1.0 (12.6%), while the corresponding consolidated ratio was 7.1 to 1.0 (14.0%) . Peruvian regulations limit risk-weighted assets, including market-risk exposure, to a ratio of 11.0 to 1.0 (9.1%) .</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2005, BCP’s consolidated “regulatory capital” was US$713.7 million, 2.6% over the December 2004 regulatory capital. Regulatory capital included $41.3 million of subordinated debt in the current period, remaining almost unchanged since December 2004, but decreases from US$54.6 million at March 2004.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2004, risk-weighted assets include US$236.4 million of market-risk exposure (US$362.4 million at March 2004) whose coverage required US$21.5 million of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179070</wp:posOffset>
            </wp:positionV>
            <wp:extent cx="5569585"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2240" w:type="dxa"/>
            <w:vAlign w:val="bottom"/>
          </w:tcPr>
          <w:p>
            <w:pPr>
              <w:jc w:val="right"/>
              <w:ind w:right="12"/>
              <w:spacing w:after="0"/>
              <w:rPr>
                <w:sz w:val="20"/>
                <w:szCs w:val="20"/>
                <w:color w:val="auto"/>
              </w:rPr>
            </w:pPr>
            <w:r>
              <w:rPr>
                <w:rFonts w:ascii="Arial" w:cs="Arial" w:eastAsia="Arial" w:hAnsi="Arial"/>
                <w:sz w:val="18"/>
                <w:szCs w:val="18"/>
                <w:b w:val="1"/>
                <w:bCs w:val="1"/>
                <w:color w:val="auto"/>
              </w:rPr>
              <w:t>BCP</w:t>
            </w: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2820" w:type="dxa"/>
            <w:vAlign w:val="bottom"/>
          </w:tcPr>
          <w:p>
            <w:pPr>
              <w:spacing w:after="0"/>
              <w:rPr>
                <w:sz w:val="21"/>
                <w:szCs w:val="21"/>
                <w:color w:val="auto"/>
              </w:rPr>
            </w:pPr>
          </w:p>
        </w:tc>
        <w:tc>
          <w:tcPr>
            <w:tcW w:w="3440" w:type="dxa"/>
            <w:vAlign w:val="bottom"/>
            <w:gridSpan w:val="2"/>
          </w:tcPr>
          <w:p>
            <w:pPr>
              <w:jc w:val="right"/>
              <w:ind w:right="812"/>
              <w:spacing w:after="0"/>
              <w:rPr>
                <w:sz w:val="20"/>
                <w:szCs w:val="20"/>
                <w:color w:val="auto"/>
              </w:rPr>
            </w:pPr>
            <w:r>
              <w:rPr>
                <w:rFonts w:ascii="Arial" w:cs="Arial" w:eastAsia="Arial" w:hAnsi="Arial"/>
                <w:sz w:val="18"/>
                <w:szCs w:val="18"/>
                <w:b w:val="1"/>
                <w:bCs w:val="1"/>
                <w:color w:val="auto"/>
              </w:rPr>
              <w:t>unconsolidated</w:t>
            </w:r>
          </w:p>
        </w:tc>
        <w:tc>
          <w:tcPr>
            <w:tcW w:w="2500" w:type="dxa"/>
            <w:vAlign w:val="bottom"/>
            <w:gridSpan w:val="2"/>
          </w:tcPr>
          <w:p>
            <w:pPr>
              <w:jc w:val="right"/>
              <w:ind w:right="592"/>
              <w:spacing w:after="0"/>
              <w:rPr>
                <w:sz w:val="20"/>
                <w:szCs w:val="20"/>
                <w:color w:val="auto"/>
              </w:rPr>
            </w:pPr>
            <w:r>
              <w:rPr>
                <w:rFonts w:ascii="Arial" w:cs="Arial" w:eastAsia="Arial" w:hAnsi="Arial"/>
                <w:sz w:val="18"/>
                <w:szCs w:val="18"/>
                <w:b w:val="1"/>
                <w:bCs w:val="1"/>
                <w:color w:val="auto"/>
              </w:rPr>
              <w:t>BCP consolidated</w:t>
            </w:r>
          </w:p>
        </w:tc>
      </w:tr>
      <w:tr>
        <w:trPr>
          <w:trHeight w:val="110"/>
        </w:trPr>
        <w:tc>
          <w:tcPr>
            <w:tcW w:w="28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43"/>
        </w:trPr>
        <w:tc>
          <w:tcPr>
            <w:tcW w:w="282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2240" w:type="dxa"/>
            <w:vAlign w:val="bottom"/>
          </w:tcPr>
          <w:p>
            <w:pPr>
              <w:jc w:val="right"/>
              <w:ind w:right="532"/>
              <w:spacing w:after="0"/>
              <w:rPr>
                <w:sz w:val="20"/>
                <w:szCs w:val="20"/>
                <w:color w:val="auto"/>
              </w:rPr>
            </w:pPr>
            <w:r>
              <w:rPr>
                <w:rFonts w:ascii="Arial" w:cs="Arial" w:eastAsia="Arial" w:hAnsi="Arial"/>
                <w:sz w:val="18"/>
                <w:szCs w:val="18"/>
                <w:b w:val="1"/>
                <w:bCs w:val="1"/>
                <w:color w:val="auto"/>
              </w:rPr>
              <w:t>31.03.04</w:t>
            </w:r>
          </w:p>
        </w:tc>
        <w:tc>
          <w:tcPr>
            <w:tcW w:w="1200" w:type="dxa"/>
            <w:vAlign w:val="bottom"/>
          </w:tcPr>
          <w:p>
            <w:pPr>
              <w:jc w:val="right"/>
              <w:ind w:right="412"/>
              <w:spacing w:after="0"/>
              <w:rPr>
                <w:sz w:val="20"/>
                <w:szCs w:val="20"/>
                <w:color w:val="auto"/>
              </w:rPr>
            </w:pPr>
            <w:r>
              <w:rPr>
                <w:rFonts w:ascii="Arial" w:cs="Arial" w:eastAsia="Arial" w:hAnsi="Arial"/>
                <w:sz w:val="18"/>
                <w:szCs w:val="18"/>
                <w:b w:val="1"/>
                <w:bCs w:val="1"/>
                <w:color w:val="auto"/>
                <w:w w:val="96"/>
              </w:rPr>
              <w:t>31.03.05</w:t>
            </w:r>
          </w:p>
        </w:tc>
        <w:tc>
          <w:tcPr>
            <w:tcW w:w="1320" w:type="dxa"/>
            <w:vAlign w:val="bottom"/>
          </w:tcPr>
          <w:p>
            <w:pPr>
              <w:jc w:val="right"/>
              <w:ind w:right="432"/>
              <w:spacing w:after="0"/>
              <w:rPr>
                <w:sz w:val="20"/>
                <w:szCs w:val="20"/>
                <w:color w:val="auto"/>
              </w:rPr>
            </w:pPr>
            <w:r>
              <w:rPr>
                <w:rFonts w:ascii="Arial" w:cs="Arial" w:eastAsia="Arial" w:hAnsi="Arial"/>
                <w:sz w:val="18"/>
                <w:szCs w:val="18"/>
                <w:b w:val="1"/>
                <w:bCs w:val="1"/>
                <w:color w:val="auto"/>
              </w:rPr>
              <w:t>31.03.04</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31.03.05</w:t>
            </w:r>
          </w:p>
        </w:tc>
      </w:tr>
      <w:tr>
        <w:trPr>
          <w:trHeight w:val="110"/>
        </w:trPr>
        <w:tc>
          <w:tcPr>
            <w:tcW w:w="28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43"/>
        </w:trPr>
        <w:tc>
          <w:tcPr>
            <w:tcW w:w="2820" w:type="dxa"/>
            <w:vAlign w:val="bottom"/>
          </w:tcPr>
          <w:p>
            <w:pPr>
              <w:spacing w:after="0"/>
              <w:rPr>
                <w:sz w:val="20"/>
                <w:szCs w:val="20"/>
                <w:color w:val="auto"/>
              </w:rPr>
            </w:pPr>
            <w:r>
              <w:rPr>
                <w:rFonts w:ascii="Arial" w:cs="Arial" w:eastAsia="Arial" w:hAnsi="Arial"/>
                <w:sz w:val="18"/>
                <w:szCs w:val="18"/>
                <w:color w:val="auto"/>
              </w:rPr>
              <w:t>Regulatory capital</w:t>
            </w:r>
          </w:p>
        </w:tc>
        <w:tc>
          <w:tcPr>
            <w:tcW w:w="2240" w:type="dxa"/>
            <w:vAlign w:val="bottom"/>
          </w:tcPr>
          <w:p>
            <w:pPr>
              <w:jc w:val="right"/>
              <w:ind w:right="212"/>
              <w:spacing w:after="0"/>
              <w:rPr>
                <w:sz w:val="20"/>
                <w:szCs w:val="20"/>
                <w:color w:val="auto"/>
              </w:rPr>
            </w:pPr>
            <w:r>
              <w:rPr>
                <w:rFonts w:ascii="Arial" w:cs="Arial" w:eastAsia="Arial" w:hAnsi="Arial"/>
                <w:sz w:val="18"/>
                <w:szCs w:val="18"/>
                <w:color w:val="auto"/>
              </w:rPr>
              <w:t>540.7</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579.9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671.6</w:t>
            </w:r>
          </w:p>
        </w:tc>
        <w:tc>
          <w:tcPr>
            <w:tcW w:w="1180" w:type="dxa"/>
            <w:vAlign w:val="bottom"/>
          </w:tcPr>
          <w:p>
            <w:pPr>
              <w:jc w:val="right"/>
              <w:spacing w:after="0"/>
              <w:rPr>
                <w:sz w:val="20"/>
                <w:szCs w:val="20"/>
                <w:color w:val="auto"/>
              </w:rPr>
            </w:pPr>
            <w:r>
              <w:rPr>
                <w:rFonts w:ascii="Arial" w:cs="Arial" w:eastAsia="Arial" w:hAnsi="Arial"/>
                <w:sz w:val="18"/>
                <w:szCs w:val="18"/>
                <w:color w:val="auto"/>
              </w:rPr>
              <w:t>713.7</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Risk weighted assets</w:t>
            </w:r>
          </w:p>
        </w:tc>
        <w:tc>
          <w:tcPr>
            <w:tcW w:w="2240" w:type="dxa"/>
            <w:vAlign w:val="bottom"/>
          </w:tcPr>
          <w:p>
            <w:pPr>
              <w:jc w:val="right"/>
              <w:ind w:right="212"/>
              <w:spacing w:after="0"/>
              <w:rPr>
                <w:sz w:val="20"/>
                <w:szCs w:val="20"/>
                <w:color w:val="auto"/>
              </w:rPr>
            </w:pPr>
            <w:r>
              <w:rPr>
                <w:rFonts w:ascii="Arial" w:cs="Arial" w:eastAsia="Arial" w:hAnsi="Arial"/>
                <w:sz w:val="18"/>
                <w:szCs w:val="18"/>
                <w:color w:val="auto"/>
              </w:rPr>
              <w:t>4,385.0</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4,606.4</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4,860.7</w:t>
            </w:r>
          </w:p>
        </w:tc>
        <w:tc>
          <w:tcPr>
            <w:tcW w:w="1180" w:type="dxa"/>
            <w:vAlign w:val="bottom"/>
          </w:tcPr>
          <w:p>
            <w:pPr>
              <w:jc w:val="right"/>
              <w:spacing w:after="0"/>
              <w:rPr>
                <w:sz w:val="20"/>
                <w:szCs w:val="20"/>
                <w:color w:val="auto"/>
              </w:rPr>
            </w:pPr>
            <w:r>
              <w:rPr>
                <w:rFonts w:ascii="Arial" w:cs="Arial" w:eastAsia="Arial" w:hAnsi="Arial"/>
                <w:sz w:val="18"/>
                <w:szCs w:val="18"/>
                <w:color w:val="auto"/>
              </w:rPr>
              <w:t>5,086.1</w:t>
            </w:r>
          </w:p>
        </w:tc>
      </w:tr>
      <w:tr>
        <w:trPr>
          <w:trHeight w:val="486"/>
        </w:trPr>
        <w:tc>
          <w:tcPr>
            <w:tcW w:w="282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2240" w:type="dxa"/>
            <w:vAlign w:val="bottom"/>
          </w:tcPr>
          <w:p>
            <w:pPr>
              <w:jc w:val="right"/>
              <w:ind w:right="212"/>
              <w:spacing w:after="0"/>
              <w:rPr>
                <w:sz w:val="20"/>
                <w:szCs w:val="20"/>
                <w:color w:val="auto"/>
              </w:rPr>
            </w:pPr>
            <w:r>
              <w:rPr>
                <w:rFonts w:ascii="Arial" w:cs="Arial" w:eastAsia="Arial" w:hAnsi="Arial"/>
                <w:sz w:val="18"/>
                <w:szCs w:val="18"/>
                <w:color w:val="auto"/>
              </w:rPr>
              <w:t>8.1</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7.9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7.2</w:t>
            </w: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2240" w:type="dxa"/>
            <w:vAlign w:val="bottom"/>
          </w:tcPr>
          <w:p>
            <w:pPr>
              <w:jc w:val="right"/>
              <w:ind w:right="212"/>
              <w:spacing w:after="0"/>
              <w:rPr>
                <w:sz w:val="20"/>
                <w:szCs w:val="20"/>
                <w:color w:val="auto"/>
              </w:rPr>
            </w:pPr>
            <w:r>
              <w:rPr>
                <w:rFonts w:ascii="Arial" w:cs="Arial" w:eastAsia="Arial" w:hAnsi="Arial"/>
                <w:sz w:val="18"/>
                <w:szCs w:val="18"/>
                <w:color w:val="auto"/>
              </w:rPr>
              <w:t>12.3%</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13.8%</w:t>
            </w: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110"/>
        </w:trPr>
        <w:tc>
          <w:tcPr>
            <w:tcW w:w="28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-1238250</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-1238250</wp:posOffset>
            </wp:positionV>
            <wp:extent cx="3429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-1238250</wp:posOffset>
            </wp:positionV>
            <wp:extent cx="3429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-938530</wp:posOffset>
            </wp:positionV>
            <wp:extent cx="342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-938530</wp:posOffset>
            </wp:positionV>
            <wp:extent cx="3429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-938530</wp:posOffset>
            </wp:positionV>
            <wp:extent cx="3429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-938530</wp:posOffset>
            </wp:positionV>
            <wp:extent cx="3429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-938530</wp:posOffset>
            </wp:positionV>
            <wp:extent cx="3429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II.8 BANCO DE CREDITO DE BOLIVIA (BCB)</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the Bolivian subsidiary, which is consolidated within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economic activity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Bolivian economic activity had a moderate recovery during 2004. GDP growth improved from 2.5% in 2003, to 3.6% in 2004, and should continue its recovery during 2005. GDP grew 3.6% in fourth quarter 2004, after growing 3.5% in the third quarter.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Higher growth is mainly due to increased exports of minerals, oil and gas, and of agricultural products, while domestic demand and consumption remained stagnant. In total year 2004, exports amounted to approximately US$2.1 billion, growing 37%, after an already high growth of 20% in total 2003. The trade surplus is expected to reach US$400 million, compared to a US$34 million deficit in 2003.</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first quarter 2005 inflation was 1.6%, lower than 2.0% in the preceding fourth quarter, and reached 5.7% in the year ended in March 2005. Nevertheless, devaluation continued at a slower pace with a 0.5% exchange rate increase in the current quarter and 2.4% in the twelve prior months, reaching 8.09 Bolivianos per Dollar at March 31,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banking system</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Deposits in the banking system continued a slow recovery, and grew to US$2,576 million at March 2005, from US$2,510 million in December 2004. Deposits still remain below balances of US$2,639 million at December 2003 mostly due to the application of the financial transactions tax since July 2004.</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volume in the banking system increased slightly during the current quarter to US$2,486 million as of March 2005, and are 3.7% over loans of US$2,398 million at December 2004. The past due loan ratio was 15.5% in March 2005, higher than 14.0% in December 2004. The coverage of past-due loans with provisions decreased to 73.6% at March 2005, from coverage of 84.3% in the preceding fourth quarter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BCB highlights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BCB’s market share in deposits at March 2005 was 12.9%, increasing from 12.4% at the end of December 2004. In terms of loans, BCB had a 12.4% market share at March 2005, below 13.1% it had last December 2004. In this way, BCB remained in the fourth position in terms of deposits and loans, out of twelve banks in the system.</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2005, BCB had total loans of US$319.3 million remaining almost unchanged since December 2004. Loan quality continued to improve. At the end of the first quarter 2005, BCB’s past due loans reached US$33.3 million, or 10.4% of total loans, lower than 11.0% at December 2004. Coverage of past due loans with loan loss provisions was 102.1% as of March 2005, increasing from 100.6% in December 2004. Net equity at the Bolivian subsidiary amounted to US$60.3 million as of March 2005.</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March 2005, net loan loss provisions resulted in a positive effect in net income of US$0.3 million, compared to US$0.7 million charged against results during first quarter 2004. In BCB´s own records, cumulative net income in first quarter 2005 was US$0.9 million, compared to US$0.4 million in the year-ago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BCB’s main financial figures are shown in the following chart.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Crédito de Bolivia (“BCB”)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Financial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71120</wp:posOffset>
            </wp:positionV>
            <wp:extent cx="5569585"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46"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88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3040" w:type="dxa"/>
            <w:vAlign w:val="bottom"/>
          </w:tcPr>
          <w:p>
            <w:pPr>
              <w:jc w:val="right"/>
              <w:ind w:right="292"/>
              <w:spacing w:after="0"/>
              <w:rPr>
                <w:sz w:val="20"/>
                <w:szCs w:val="20"/>
                <w:color w:val="auto"/>
              </w:rPr>
            </w:pPr>
            <w:r>
              <w:rPr>
                <w:rFonts w:ascii="Arial" w:cs="Arial" w:eastAsia="Arial" w:hAnsi="Arial"/>
                <w:sz w:val="18"/>
                <w:szCs w:val="18"/>
                <w:b w:val="1"/>
                <w:bCs w:val="1"/>
                <w:color w:val="auto"/>
              </w:rPr>
              <w:t>31.03.04</w:t>
            </w:r>
          </w:p>
        </w:tc>
        <w:tc>
          <w:tcPr>
            <w:tcW w:w="1400" w:type="dxa"/>
            <w:vAlign w:val="bottom"/>
          </w:tcPr>
          <w:p>
            <w:pPr>
              <w:jc w:val="right"/>
              <w:ind w:right="292"/>
              <w:spacing w:after="0"/>
              <w:rPr>
                <w:sz w:val="20"/>
                <w:szCs w:val="20"/>
                <w:color w:val="auto"/>
              </w:rPr>
            </w:pPr>
            <w:r>
              <w:rPr>
                <w:rFonts w:ascii="Arial" w:cs="Arial" w:eastAsia="Arial" w:hAnsi="Arial"/>
                <w:sz w:val="18"/>
                <w:szCs w:val="18"/>
                <w:b w:val="1"/>
                <w:bCs w:val="1"/>
                <w:color w:val="auto"/>
              </w:rPr>
              <w:t>31.12.04</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31.03.05</w:t>
            </w:r>
          </w:p>
        </w:tc>
      </w:tr>
    </w:tbl>
    <w:p>
      <w:pPr>
        <w:sectPr>
          <w:pgSz w:w="11900" w:h="16882" w:orient="portrait"/>
          <w:cols w:equalWidth="0" w:num="1">
            <w:col w:w="11420"/>
          </w:cols>
          <w:pgMar w:left="240" w:top="131" w:right="239" w:bottom="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6958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69585" cy="2095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Total Loans</w:t>
            </w:r>
          </w:p>
        </w:tc>
        <w:tc>
          <w:tcPr>
            <w:tcW w:w="2560" w:type="dxa"/>
            <w:vAlign w:val="bottom"/>
          </w:tcPr>
          <w:p>
            <w:pPr>
              <w:jc w:val="right"/>
              <w:ind w:right="352"/>
              <w:spacing w:after="0"/>
              <w:rPr>
                <w:sz w:val="20"/>
                <w:szCs w:val="20"/>
                <w:color w:val="auto"/>
              </w:rPr>
            </w:pPr>
            <w:r>
              <w:rPr>
                <w:rFonts w:ascii="Arial" w:cs="Arial" w:eastAsia="Arial" w:hAnsi="Arial"/>
                <w:sz w:val="18"/>
                <w:szCs w:val="18"/>
                <w:color w:val="auto"/>
              </w:rPr>
              <w:t>309.9</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320.8</w:t>
            </w:r>
          </w:p>
        </w:tc>
        <w:tc>
          <w:tcPr>
            <w:tcW w:w="1040" w:type="dxa"/>
            <w:vAlign w:val="bottom"/>
          </w:tcPr>
          <w:p>
            <w:pPr>
              <w:jc w:val="right"/>
              <w:spacing w:after="0"/>
              <w:rPr>
                <w:sz w:val="20"/>
                <w:szCs w:val="20"/>
                <w:color w:val="auto"/>
              </w:rPr>
            </w:pPr>
            <w:r>
              <w:rPr>
                <w:rFonts w:ascii="Arial" w:cs="Arial" w:eastAsia="Arial" w:hAnsi="Arial"/>
                <w:sz w:val="18"/>
                <w:szCs w:val="18"/>
                <w:color w:val="auto"/>
              </w:rPr>
              <w:t>319.3</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Past-due loans</w:t>
            </w:r>
          </w:p>
        </w:tc>
        <w:tc>
          <w:tcPr>
            <w:tcW w:w="2560" w:type="dxa"/>
            <w:vAlign w:val="bottom"/>
          </w:tcPr>
          <w:p>
            <w:pPr>
              <w:jc w:val="right"/>
              <w:ind w:right="352"/>
              <w:spacing w:after="0"/>
              <w:rPr>
                <w:sz w:val="20"/>
                <w:szCs w:val="20"/>
                <w:color w:val="auto"/>
              </w:rPr>
            </w:pPr>
            <w:r>
              <w:rPr>
                <w:rFonts w:ascii="Arial" w:cs="Arial" w:eastAsia="Arial" w:hAnsi="Arial"/>
                <w:sz w:val="18"/>
                <w:szCs w:val="18"/>
                <w:color w:val="auto"/>
              </w:rPr>
              <w:t>64.2</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35.4</w:t>
            </w: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Loan loss reserves</w:t>
            </w:r>
          </w:p>
        </w:tc>
        <w:tc>
          <w:tcPr>
            <w:tcW w:w="2560" w:type="dxa"/>
            <w:vAlign w:val="bottom"/>
          </w:tcPr>
          <w:p>
            <w:pPr>
              <w:jc w:val="right"/>
              <w:ind w:right="352"/>
              <w:spacing w:after="0"/>
              <w:rPr>
                <w:sz w:val="20"/>
                <w:szCs w:val="20"/>
                <w:color w:val="auto"/>
              </w:rPr>
            </w:pPr>
            <w:r>
              <w:rPr>
                <w:rFonts w:ascii="Arial" w:cs="Arial" w:eastAsia="Arial" w:hAnsi="Arial"/>
                <w:sz w:val="18"/>
                <w:szCs w:val="18"/>
                <w:color w:val="auto"/>
              </w:rPr>
              <w:t>49.3</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35.6</w:t>
            </w: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2560" w:type="dxa"/>
            <w:vAlign w:val="bottom"/>
          </w:tcPr>
          <w:p>
            <w:pPr>
              <w:jc w:val="right"/>
              <w:ind w:right="352"/>
              <w:spacing w:after="0"/>
              <w:rPr>
                <w:sz w:val="20"/>
                <w:szCs w:val="20"/>
                <w:color w:val="auto"/>
              </w:rPr>
            </w:pPr>
            <w:r>
              <w:rPr>
                <w:rFonts w:ascii="Arial" w:cs="Arial" w:eastAsia="Arial" w:hAnsi="Arial"/>
                <w:sz w:val="18"/>
                <w:szCs w:val="18"/>
                <w:color w:val="auto"/>
              </w:rPr>
              <w:t>446.2</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457.4</w:t>
            </w:r>
          </w:p>
        </w:tc>
        <w:tc>
          <w:tcPr>
            <w:tcW w:w="1040" w:type="dxa"/>
            <w:vAlign w:val="bottom"/>
          </w:tcPr>
          <w:p>
            <w:pPr>
              <w:jc w:val="right"/>
              <w:spacing w:after="0"/>
              <w:rPr>
                <w:sz w:val="20"/>
                <w:szCs w:val="20"/>
                <w:color w:val="auto"/>
              </w:rPr>
            </w:pPr>
            <w:r>
              <w:rPr>
                <w:rFonts w:ascii="Arial" w:cs="Arial" w:eastAsia="Arial" w:hAnsi="Arial"/>
                <w:sz w:val="18"/>
                <w:szCs w:val="18"/>
                <w:color w:val="auto"/>
              </w:rPr>
              <w:t>453.9</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Deposits</w:t>
            </w:r>
          </w:p>
        </w:tc>
        <w:tc>
          <w:tcPr>
            <w:tcW w:w="2560" w:type="dxa"/>
            <w:vAlign w:val="bottom"/>
          </w:tcPr>
          <w:p>
            <w:pPr>
              <w:jc w:val="right"/>
              <w:ind w:right="352"/>
              <w:spacing w:after="0"/>
              <w:rPr>
                <w:sz w:val="20"/>
                <w:szCs w:val="20"/>
                <w:color w:val="auto"/>
              </w:rPr>
            </w:pPr>
            <w:r>
              <w:rPr>
                <w:rFonts w:ascii="Arial" w:cs="Arial" w:eastAsia="Arial" w:hAnsi="Arial"/>
                <w:sz w:val="18"/>
                <w:szCs w:val="18"/>
                <w:color w:val="auto"/>
              </w:rPr>
              <w:t>337.9</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333.1</w:t>
            </w:r>
          </w:p>
        </w:tc>
        <w:tc>
          <w:tcPr>
            <w:tcW w:w="1040" w:type="dxa"/>
            <w:vAlign w:val="bottom"/>
          </w:tcPr>
          <w:p>
            <w:pPr>
              <w:jc w:val="right"/>
              <w:spacing w:after="0"/>
              <w:rPr>
                <w:sz w:val="20"/>
                <w:szCs w:val="20"/>
                <w:color w:val="auto"/>
              </w:rPr>
            </w:pPr>
            <w:r>
              <w:rPr>
                <w:rFonts w:ascii="Arial" w:cs="Arial" w:eastAsia="Arial" w:hAnsi="Arial"/>
                <w:sz w:val="18"/>
                <w:szCs w:val="18"/>
                <w:color w:val="auto"/>
              </w:rPr>
              <w:t>350.3</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Net equity</w:t>
            </w:r>
          </w:p>
        </w:tc>
        <w:tc>
          <w:tcPr>
            <w:tcW w:w="2560" w:type="dxa"/>
            <w:vAlign w:val="bottom"/>
          </w:tcPr>
          <w:p>
            <w:pPr>
              <w:jc w:val="right"/>
              <w:ind w:right="352"/>
              <w:spacing w:after="0"/>
              <w:rPr>
                <w:sz w:val="20"/>
                <w:szCs w:val="20"/>
                <w:color w:val="auto"/>
              </w:rPr>
            </w:pPr>
            <w:r>
              <w:rPr>
                <w:rFonts w:ascii="Arial" w:cs="Arial" w:eastAsia="Arial" w:hAnsi="Arial"/>
                <w:sz w:val="18"/>
                <w:szCs w:val="18"/>
                <w:color w:val="auto"/>
              </w:rPr>
              <w:t>56.3</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59.8</w:t>
            </w:r>
          </w:p>
        </w:tc>
        <w:tc>
          <w:tcPr>
            <w:tcW w:w="104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Net income, cumulative</w:t>
            </w:r>
          </w:p>
        </w:tc>
        <w:tc>
          <w:tcPr>
            <w:tcW w:w="2560" w:type="dxa"/>
            <w:vAlign w:val="bottom"/>
          </w:tcPr>
          <w:p>
            <w:pPr>
              <w:jc w:val="right"/>
              <w:ind w:right="352"/>
              <w:spacing w:after="0"/>
              <w:rPr>
                <w:sz w:val="20"/>
                <w:szCs w:val="20"/>
                <w:color w:val="auto"/>
              </w:rPr>
            </w:pPr>
            <w:r>
              <w:rPr>
                <w:rFonts w:ascii="Arial" w:cs="Arial" w:eastAsia="Arial" w:hAnsi="Arial"/>
                <w:sz w:val="18"/>
                <w:szCs w:val="18"/>
                <w:color w:val="auto"/>
              </w:rPr>
              <w:t>1.5</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4.8</w:t>
            </w: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Past-due loans / Total loans</w:t>
            </w:r>
          </w:p>
        </w:tc>
        <w:tc>
          <w:tcPr>
            <w:tcW w:w="2560" w:type="dxa"/>
            <w:vAlign w:val="bottom"/>
          </w:tcPr>
          <w:p>
            <w:pPr>
              <w:jc w:val="right"/>
              <w:ind w:right="352"/>
              <w:spacing w:after="0"/>
              <w:rPr>
                <w:sz w:val="20"/>
                <w:szCs w:val="20"/>
                <w:color w:val="auto"/>
              </w:rPr>
            </w:pPr>
            <w:r>
              <w:rPr>
                <w:rFonts w:ascii="Arial" w:cs="Arial" w:eastAsia="Arial" w:hAnsi="Arial"/>
                <w:sz w:val="18"/>
                <w:szCs w:val="18"/>
                <w:color w:val="auto"/>
              </w:rPr>
              <w:t>20.7%</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11.0%</w:t>
            </w: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3780" w:type="dxa"/>
            <w:vAlign w:val="bottom"/>
          </w:tcPr>
          <w:p>
            <w:pPr>
              <w:spacing w:after="0"/>
              <w:rPr>
                <w:sz w:val="20"/>
                <w:szCs w:val="20"/>
                <w:color w:val="auto"/>
              </w:rPr>
            </w:pPr>
            <w:r>
              <w:rPr>
                <w:rFonts w:ascii="Arial" w:cs="Arial" w:eastAsia="Arial" w:hAnsi="Arial"/>
                <w:sz w:val="18"/>
                <w:szCs w:val="18"/>
                <w:color w:val="auto"/>
              </w:rPr>
              <w:t>Loss reserves / Past-due loans</w:t>
            </w:r>
          </w:p>
        </w:tc>
        <w:tc>
          <w:tcPr>
            <w:tcW w:w="2560" w:type="dxa"/>
            <w:vAlign w:val="bottom"/>
          </w:tcPr>
          <w:p>
            <w:pPr>
              <w:jc w:val="right"/>
              <w:ind w:right="352"/>
              <w:spacing w:after="0"/>
              <w:rPr>
                <w:sz w:val="20"/>
                <w:szCs w:val="20"/>
                <w:color w:val="auto"/>
              </w:rPr>
            </w:pPr>
            <w:r>
              <w:rPr>
                <w:rFonts w:ascii="Arial" w:cs="Arial" w:eastAsia="Arial" w:hAnsi="Arial"/>
                <w:sz w:val="18"/>
                <w:szCs w:val="18"/>
                <w:color w:val="auto"/>
              </w:rPr>
              <w:t>76.7%</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100.6%</w:t>
            </w:r>
          </w:p>
        </w:tc>
        <w:tc>
          <w:tcPr>
            <w:tcW w:w="104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110"/>
        </w:trPr>
        <w:tc>
          <w:tcPr>
            <w:tcW w:w="378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5628005</wp:posOffset>
            </wp:positionH>
            <wp:positionV relativeFrom="paragraph">
              <wp:posOffset>-20955</wp:posOffset>
            </wp:positionV>
            <wp:extent cx="3429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III. ATLANTIC SECURITY HOLDING CORPORATION AND SUBSIDIARIES (“ASHC”)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quarter ended March 31, 2005, Atlantic contributed US$3.4 million to Credicorp’s consolidated net income, 17.0% above US$2.9 million contributed in first quarter 2004. Due to the elimination of dividends received from Credicorp, ASHC’s records show net income of US$15.1 million and US$7.7 million, respectively.</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contribution in the first quarter of 2005 increase compared to the same period of 2004, mainly due to higher gains on securities and other non-financial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non-financial income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interest income, before risk provisions and not including dividend income, was US$3.2 million in the first quarter of 2005, slightly below US$3.4 million in the same quarter of last year. Net interest margin as a percentage of interest earning assets, without considering dividends, was 1.6% during first quarter 2005, lower than the 1.9% margin in the first quarter 2004, and also decreases compared to 1.8% in the last quarter of 2004. Compared with the year-ago quarter, the margin decreased mainly because in 2004 the investment portfolio grew its lower risk and lower return segments.</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the first quarter of 2005 charges against income for market risk provisions amounted to US$1.1 million, compared to US$0.5 million in the year-ago period. In the current quarter no credit risk provisions were made, compared to a US$0.5 million provision expense in first quarter of 2004.</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which includes fee income, realized gains on securities transactions before risk provisions and others, amounted to US$3.3 million in the first quarter of 2005, over US$2.4 million in the year-ago quarter. Fee income was US$1.4 million in the current period, increasing from US$1.1 million in the year-ago quarter.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operating expenses over average assets was 0.9%, annualized, in the first quarter of 2005 similar to the ratio of the same period in 2004. This ratio declines to 0.6% in first quarter of 2005, when funds under management are included within total assets, remaining almost unchanged compared to the prior year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w:t>
      </w:r>
    </w:p>
    <w:p>
      <w:pPr>
        <w:spacing w:after="0" w:line="21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loan portfolio</w:t>
      </w:r>
      <w:r>
        <w:rPr>
          <w:rFonts w:ascii="Arial" w:cs="Arial" w:eastAsia="Arial" w:hAnsi="Arial"/>
          <w:sz w:val="18"/>
          <w:szCs w:val="18"/>
          <w:color w:val="auto"/>
        </w:rPr>
        <w:t>, net of provisions, was US$153.4 million as of March 31, 2005, decreasing slightly compared to US$154.2 million at the end of March 2004, but grows when compared to loan balances of US$149.1 million at December 2004. As of March 31, 2004, the loan portfolio had no past dues, improving from a 2.4% past due ratio at March 2004.</w:t>
      </w:r>
    </w:p>
    <w:p>
      <w:pPr>
        <w:spacing w:after="0" w:line="186"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securities portfolio</w:t>
      </w:r>
      <w:r>
        <w:rPr>
          <w:rFonts w:ascii="Arial" w:cs="Arial" w:eastAsia="Arial" w:hAnsi="Arial"/>
          <w:sz w:val="16"/>
          <w:szCs w:val="16"/>
          <w:color w:val="auto"/>
        </w:rPr>
        <w:t xml:space="preserve"> decrease to US$514.4 million at March 2005, from US$518.7 million last December 2004, but grow compared to US$452.7 million at the end of March 2004, following the increase of available funds and the additional Credicorp shares purchased in second quarter 2004.</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Deposits </w:t>
      </w:r>
      <w:r>
        <w:rPr>
          <w:rFonts w:ascii="Arial" w:cs="Arial" w:eastAsia="Arial" w:hAnsi="Arial"/>
          <w:sz w:val="18"/>
          <w:szCs w:val="18"/>
          <w:color w:val="auto"/>
        </w:rPr>
        <w:t>amounted to US$720.4 million at March 31, 2004, increasing from the balance of US$686.1 million at the end of the preceding fourth quarter 2004, and</w:t>
      </w:r>
      <w:r>
        <w:rPr>
          <w:rFonts w:ascii="Arial" w:cs="Arial" w:eastAsia="Arial" w:hAnsi="Arial"/>
          <w:sz w:val="18"/>
          <w:szCs w:val="18"/>
          <w:b w:val="1"/>
          <w:bCs w:val="1"/>
          <w:color w:val="auto"/>
        </w:rPr>
        <w:t xml:space="preserve"> </w:t>
      </w:r>
      <w:r>
        <w:rPr>
          <w:rFonts w:ascii="Arial" w:cs="Arial" w:eastAsia="Arial" w:hAnsi="Arial"/>
          <w:sz w:val="18"/>
          <w:szCs w:val="18"/>
          <w:color w:val="auto"/>
        </w:rPr>
        <w:t>also compared to US$638.1 million at the end of March 2004.</w:t>
      </w:r>
    </w:p>
    <w:p>
      <w:pPr>
        <w:spacing w:after="0" w:line="17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Funds under management </w:t>
      </w:r>
      <w:r>
        <w:rPr>
          <w:rFonts w:ascii="Arial" w:cs="Arial" w:eastAsia="Arial" w:hAnsi="Arial"/>
          <w:sz w:val="16"/>
          <w:szCs w:val="16"/>
          <w:color w:val="auto"/>
        </w:rPr>
        <w:t>were US$774.3 million at March 31, 2005, 3.7% higher than US$746.6 million at December 2004, and grow 12.0%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US$691.2 million at March 2004, growth mainly due to a combination of increased managed funds and higher market prices of the securities held.</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Net equity </w:t>
      </w:r>
      <w:r>
        <w:rPr>
          <w:rFonts w:ascii="Arial" w:cs="Arial" w:eastAsia="Arial" w:hAnsi="Arial"/>
          <w:sz w:val="18"/>
          <w:szCs w:val="18"/>
          <w:color w:val="auto"/>
        </w:rPr>
        <w:t>reached US$153.9 million at the end of March 2005, increasing over US$151.0 million at December 2004, due to current period’s earnings and net of</w:t>
      </w:r>
      <w:r>
        <w:rPr>
          <w:rFonts w:ascii="Arial" w:cs="Arial" w:eastAsia="Arial" w:hAnsi="Arial"/>
          <w:sz w:val="18"/>
          <w:szCs w:val="18"/>
          <w:b w:val="1"/>
          <w:bCs w:val="1"/>
          <w:color w:val="auto"/>
        </w:rPr>
        <w:t xml:space="preserve"> </w:t>
      </w:r>
      <w:r>
        <w:rPr>
          <w:rFonts w:ascii="Arial" w:cs="Arial" w:eastAsia="Arial" w:hAnsi="Arial"/>
          <w:sz w:val="18"/>
          <w:szCs w:val="18"/>
          <w:color w:val="auto"/>
        </w:rPr>
        <w:t>US$10.0 million dividends paid to Credicorp. The equity account of reserves for market value of investments, decreased from a balance of unrealized gains of US$9.9 million at the end of December 2004, to unrealized gains of US$7.7 million at March 31, 2005.</w:t>
      </w:r>
    </w:p>
    <w:p>
      <w:pPr>
        <w:sectPr>
          <w:pgSz w:w="11900" w:h="16838" w:orient="portrait"/>
          <w:cols w:equalWidth="0" w:num="1">
            <w:col w:w="11420"/>
          </w:cols>
          <w:pgMar w:left="240" w:top="34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IV. EL PACIFICO-PERUANO SUIZA AND SUBSIDIARIES (“PPS”)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PPS obtained in the quarter ended March 31, 2005, a net income of US$2.9 million, compared to US$3.6 million in the same year-ago quarter.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current quarter, net income decreased mainly due to higher operating expenses partly offset by higher returns in Pacífico Vida which had lower claims.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significant increases in Premiums and health fees, as well as in Claims and health costs, compared to the year-ago quarter are mainly due to transactions added from the Novasalud EPS merger, which was acquired in March 2004, and merged with Pacífico Salud in August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operating expense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premiums and Pacífico Salud health fees in the first quarter of 2005 were US$84.0 million, 21.2% higher than premiums of US$69.3 million in the year-ago quarter, due mainly to growth of US$12.2 million in Pacífico Salud after the Novasalud acquisition.</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Retained premiums increase 23.4% to US$72.4 million in this quarter from US$58.7 million in fourth quarter 2004. Net premiums earned and health fees, net of reinsured premiums and reserves, were US$54.2 million in first quarter 2005, 32.7% above premiums in the prior year quarter. These increases are mostly due to transactions registered with the above mentioned merger.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Additions to technical reserves for premiums grew by US$18.2 million in the first quarter of 2005, 39.4% higher than additions in the preceding fourth quarter 2004, and also are 2.1% greater than reserve additions in the first quarter of last year. Most of reserves in the first quarter of 2005 were established by Pacífico Vida, for its life annuities and life insurance lines.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consolidated underwriting results was US$7.3 million in the first quarter of 2005, increasing 26.2% from US$5.8 million in the same prior year quarter.</w:t>
      </w:r>
    </w:p>
    <w:p>
      <w:pPr>
        <w:spacing w:after="0" w:line="24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ratio of net underwriting results (net premiums and health fees less reserves and claims as a percentage of total premiums) was 8.7% in the first quarter of 2005, lower than 10.6% in the preceding quarter last quarter 2004, but increases compared to the 8.3% ratio in the year-ago first quarter.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reached US$8.7 million in first quarter 2005, slightly over US$8.2 million in first quarter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difference resulted in a gain of US$0.4 million in first quarter 2005, similar to a gain of US$0.3 million in the same period of 2004.</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over net premiums earned, decreased from 21.5% to 19.9% comparing the first quarters of 2004 and 2005, respectively. The ratio of operating expenses over average assets increased from 6.1% to 6.4%, in these same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Comparing cumulative results through March 2005 and 2004, consolidated total premiums and fees consisted of:</w:t>
      </w:r>
    </w:p>
    <w:p>
      <w:pPr>
        <w:spacing w:after="0" w:line="239"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insurance lines, amounting to 46.3% of total premiums and grew 4.0%;</w:t>
      </w:r>
    </w:p>
    <w:p>
      <w:pPr>
        <w:spacing w:after="0" w:line="279" w:lineRule="exact"/>
        <w:rPr>
          <w:rFonts w:ascii="Arial" w:cs="Arial" w:eastAsia="Arial" w:hAnsi="Arial"/>
          <w:sz w:val="18"/>
          <w:szCs w:val="18"/>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at Pacífico Salud, were 23.9% of total premiums and increased 170.0%; and,</w:t>
      </w:r>
    </w:p>
    <w:p>
      <w:pPr>
        <w:spacing w:after="0" w:line="265" w:lineRule="exact"/>
        <w:rPr>
          <w:rFonts w:ascii="Arial" w:cs="Arial" w:eastAsia="Arial" w:hAnsi="Arial"/>
          <w:sz w:val="18"/>
          <w:szCs w:val="18"/>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Pacífico Vida, which amounted to 29.8% of the total and increased 3.5% .</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March 31, 2005, growth of Pacífico Salud and the health and medical assistance insurance line (33.3% of total premiums) was 89.4%; fire insurance lines (12.1% of total premiums) increased 2.1%; while the automobile insurance line (6.1% of total premiums) grew 2.1% compared to the prior year period.</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Through March 2005, group life insurance and individual life insurance policies (11.7% of total premiums) grew 16.0%; life annuities (10.7% of total premiums) decreased 22.2%; while pension fund benefits insurance (6.3% of total premiums) increased 54.0%, compared to the prior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insurance claims and health services costs incurred in the first quarter of 2005 were US$39.7 million, increasing over claims of US$28.9 million in the same quarter of 2004, mainly due to increased operating volume at Pacífico Salud after the inclusion of Novasalud’s transactions.</w:t>
      </w:r>
    </w:p>
    <w:p>
      <w:pPr>
        <w:spacing w:after="0" w:line="18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net loss ratio</w:t>
      </w:r>
      <w:r>
        <w:rPr>
          <w:rFonts w:ascii="Arial" w:cs="Arial" w:eastAsia="Arial" w:hAnsi="Arial"/>
          <w:sz w:val="16"/>
          <w:szCs w:val="16"/>
          <w:color w:val="auto"/>
        </w:rPr>
        <w:t xml:space="preserve"> (net claims to net premiums) increases to 73.3% in the current quarter from 70.8% in first quarter 2004. Increased net loss ratio is mostly explained by the higher Pacífico Salud portfolio which had a high loss ratio of 87.1% . Cumulative through March 2005, the net loss ratio continues high in engineering policies (151.9%), pension fund insurance (92.0%), dishonesty (81.6%), health (74.4%) and in Pacífico Salud (83.6%) .</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combined ratio</w:t>
      </w:r>
      <w:r>
        <w:rPr>
          <w:rFonts w:ascii="Arial" w:cs="Arial" w:eastAsia="Arial" w:hAnsi="Arial"/>
          <w:sz w:val="18"/>
          <w:szCs w:val="18"/>
          <w:color w:val="auto"/>
        </w:rPr>
        <w:t xml:space="preserve"> (the sum of net claims and health services, general expenses and commissions, as a percentage of net earned premiums and health fees, without including Pacifico Vida) increased from 92.3% in the first quarter of 2004 to 98.6% in the current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and financial assets were US$507.4 million at the end of March 2005, increasing 24.3% from the year-ago balance.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2005, total assets were US$707.2 million increasing 18.6% compared to the year-ago balance. At the end of the current period net equity amounted to US$169.8 million, 27.3% above net equity at March 2004.</w:t>
      </w:r>
    </w:p>
    <w:p>
      <w:pPr>
        <w:sectPr>
          <w:pgSz w:w="11900" w:h="16838" w:orient="portrait"/>
          <w:cols w:equalWidth="0" w:num="1">
            <w:col w:w="11420"/>
          </w:cols>
          <w:pgMar w:left="240" w:top="341" w:right="239" w:bottom="88"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 share</w:t>
      </w:r>
    </w:p>
    <w:p>
      <w:pPr>
        <w:sectPr>
          <w:pgSz w:w="11900" w:h="16838" w:orient="portrait"/>
          <w:cols w:equalWidth="0" w:num="1">
            <w:col w:w="11420"/>
          </w:cols>
          <w:pgMar w:left="240" w:top="341" w:right="239" w:bottom="88" w:gutter="0" w:footer="0" w:header="0"/>
          <w:type w:val="continuous"/>
        </w:sectPr>
      </w:pPr>
    </w:p>
    <w:bookmarkStart w:id="14" w:name="page15"/>
    <w:bookmarkEnd w:id="14"/>
    <w:p>
      <w:pPr>
        <w:jc w:val="both"/>
        <w:spacing w:after="0" w:line="256" w:lineRule="auto"/>
        <w:rPr>
          <w:sz w:val="20"/>
          <w:szCs w:val="20"/>
          <w:color w:val="auto"/>
        </w:rPr>
      </w:pPr>
      <w:r>
        <w:rPr>
          <w:rFonts w:ascii="Arial" w:cs="Arial" w:eastAsia="Arial" w:hAnsi="Arial"/>
          <w:sz w:val="18"/>
          <w:szCs w:val="18"/>
          <w:color w:val="auto"/>
        </w:rPr>
        <w:t>The Peruvian insurance market through February 28, 2005, had total premiums of US$169.4 million, increasing 16.3% compared to premiums in the same two month period in 2004. For the first two months of 2005, PPS's market share in total premiums was 26.3% (27.9% in the same year-ago period), with the share in general risks and health lines being 28.7% (29.6% in the same period of 2004) and in life insurance and pension fund benefits lines of 22.7% (25.0% in the same period of 2004).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Tables To Follow ***</w:t>
      </w:r>
    </w:p>
    <w:p>
      <w:pPr>
        <w:sectPr>
          <w:pgSz w:w="11900" w:h="16838" w:orient="portrait"/>
          <w:cols w:equalWidth="0" w:num="1">
            <w:col w:w="11420"/>
          </w:cols>
          <w:pgMar w:left="240" w:top="1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49530</wp:posOffset>
            </wp:positionV>
            <wp:extent cx="5569585"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140" w:type="dxa"/>
        <w:tblCellMar>
          <w:top w:w="0" w:type="dxa"/>
          <w:left w:w="0" w:type="dxa"/>
          <w:bottom w:w="0" w:type="dxa"/>
          <w:right w:w="0" w:type="dxa"/>
        </w:tblCellMar>
      </w:tblPr>
      <w:tr>
        <w:trPr>
          <w:trHeight w:val="174"/>
        </w:trPr>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9"/>
              </w:rPr>
              <w:t>ASSETS</w:t>
            </w:r>
          </w:p>
        </w:tc>
        <w:tc>
          <w:tcPr>
            <w:tcW w:w="1400" w:type="dxa"/>
            <w:vAlign w:val="bottom"/>
          </w:tcPr>
          <w:p>
            <w:pPr>
              <w:jc w:val="right"/>
              <w:ind w:right="313"/>
              <w:spacing w:after="0"/>
              <w:rPr>
                <w:sz w:val="20"/>
                <w:szCs w:val="20"/>
                <w:color w:val="auto"/>
              </w:rPr>
            </w:pPr>
            <w:r>
              <w:rPr>
                <w:rFonts w:ascii="Arial" w:cs="Arial" w:eastAsia="Arial" w:hAnsi="Arial"/>
                <w:sz w:val="14"/>
                <w:szCs w:val="14"/>
                <w:b w:val="1"/>
                <w:bCs w:val="1"/>
                <w:color w:val="auto"/>
              </w:rPr>
              <w:t>Dec. 31, 2003</w:t>
            </w:r>
          </w:p>
        </w:tc>
        <w:tc>
          <w:tcPr>
            <w:tcW w:w="1400" w:type="dxa"/>
            <w:vAlign w:val="bottom"/>
          </w:tcPr>
          <w:p>
            <w:pPr>
              <w:jc w:val="right"/>
              <w:ind w:right="393"/>
              <w:spacing w:after="0"/>
              <w:rPr>
                <w:sz w:val="20"/>
                <w:szCs w:val="20"/>
                <w:color w:val="auto"/>
              </w:rPr>
            </w:pPr>
            <w:r>
              <w:rPr>
                <w:rFonts w:ascii="Arial" w:cs="Arial" w:eastAsia="Arial" w:hAnsi="Arial"/>
                <w:sz w:val="14"/>
                <w:szCs w:val="14"/>
                <w:b w:val="1"/>
                <w:bCs w:val="1"/>
                <w:color w:val="auto"/>
              </w:rPr>
              <w:t>Mar. 31, 2004</w:t>
            </w:r>
          </w:p>
        </w:tc>
        <w:tc>
          <w:tcPr>
            <w:tcW w:w="1220" w:type="dxa"/>
            <w:vAlign w:val="bottom"/>
          </w:tcPr>
          <w:p>
            <w:pPr>
              <w:jc w:val="right"/>
              <w:ind w:right="313"/>
              <w:spacing w:after="0"/>
              <w:rPr>
                <w:sz w:val="20"/>
                <w:szCs w:val="20"/>
                <w:color w:val="auto"/>
              </w:rPr>
            </w:pPr>
            <w:r>
              <w:rPr>
                <w:rFonts w:ascii="Arial" w:cs="Arial" w:eastAsia="Arial" w:hAnsi="Arial"/>
                <w:sz w:val="14"/>
                <w:szCs w:val="14"/>
                <w:b w:val="1"/>
                <w:bCs w:val="1"/>
                <w:color w:val="auto"/>
                <w:w w:val="90"/>
              </w:rPr>
              <w:t>Dec. 31, 2004</w:t>
            </w: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Mar. 31, 2005</w:t>
            </w:r>
          </w:p>
        </w:tc>
        <w:tc>
          <w:tcPr>
            <w:tcW w:w="0" w:type="dxa"/>
            <w:vAlign w:val="bottom"/>
          </w:tcPr>
          <w:p>
            <w:pPr>
              <w:spacing w:after="0"/>
              <w:rPr>
                <w:sz w:val="1"/>
                <w:szCs w:val="1"/>
                <w:color w:val="auto"/>
              </w:rPr>
            </w:pPr>
          </w:p>
        </w:tc>
      </w:tr>
      <w:tr>
        <w:trPr>
          <w:trHeight w:val="122"/>
        </w:trPr>
        <w:tc>
          <w:tcPr>
            <w:tcW w:w="35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352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520" w:type="dxa"/>
            <w:vAlign w:val="bottom"/>
            <w:tcBorders>
              <w:bottom w:val="single" w:sz="8" w:color="9A9A9A"/>
            </w:tcBorders>
          </w:tcPr>
          <w:p>
            <w:pPr>
              <w:spacing w:after="0"/>
              <w:rPr>
                <w:sz w:val="11"/>
                <w:szCs w:val="11"/>
                <w:color w:val="auto"/>
              </w:rPr>
            </w:pPr>
          </w:p>
        </w:tc>
        <w:tc>
          <w:tcPr>
            <w:tcW w:w="1400" w:type="dxa"/>
            <w:vAlign w:val="bottom"/>
            <w:vMerge w:val="restart"/>
          </w:tcPr>
          <w:p>
            <w:pPr>
              <w:jc w:val="right"/>
              <w:ind w:right="73"/>
              <w:spacing w:after="0"/>
              <w:rPr>
                <w:sz w:val="20"/>
                <w:szCs w:val="20"/>
                <w:color w:val="auto"/>
              </w:rPr>
            </w:pPr>
            <w:r>
              <w:rPr>
                <w:rFonts w:ascii="Arial" w:cs="Arial" w:eastAsia="Arial" w:hAnsi="Arial"/>
                <w:sz w:val="18"/>
                <w:szCs w:val="18"/>
                <w:color w:val="auto"/>
              </w:rPr>
              <w:t>240,294</w:t>
            </w:r>
          </w:p>
        </w:tc>
        <w:tc>
          <w:tcPr>
            <w:tcW w:w="1400" w:type="dxa"/>
            <w:vAlign w:val="bottom"/>
            <w:vMerge w:val="restart"/>
          </w:tcPr>
          <w:p>
            <w:pPr>
              <w:jc w:val="right"/>
              <w:ind w:right="153"/>
              <w:spacing w:after="0"/>
              <w:rPr>
                <w:sz w:val="20"/>
                <w:szCs w:val="20"/>
                <w:color w:val="auto"/>
              </w:rPr>
            </w:pPr>
            <w:r>
              <w:rPr>
                <w:rFonts w:ascii="Arial" w:cs="Arial" w:eastAsia="Arial" w:hAnsi="Arial"/>
                <w:sz w:val="18"/>
                <w:szCs w:val="18"/>
                <w:color w:val="auto"/>
              </w:rPr>
              <w:t>255,941</w:t>
            </w:r>
          </w:p>
        </w:tc>
        <w:tc>
          <w:tcPr>
            <w:tcW w:w="1220" w:type="dxa"/>
            <w:vAlign w:val="bottom"/>
            <w:vMerge w:val="restart"/>
          </w:tcPr>
          <w:p>
            <w:pPr>
              <w:jc w:val="right"/>
              <w:ind w:right="73"/>
              <w:spacing w:after="0"/>
              <w:rPr>
                <w:sz w:val="20"/>
                <w:szCs w:val="20"/>
                <w:color w:val="auto"/>
              </w:rPr>
            </w:pPr>
            <w:r>
              <w:rPr>
                <w:rFonts w:ascii="Arial" w:cs="Arial" w:eastAsia="Arial" w:hAnsi="Arial"/>
                <w:sz w:val="18"/>
                <w:szCs w:val="18"/>
                <w:color w:val="auto"/>
              </w:rPr>
              <w:t>264,218</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338,349</w:t>
            </w:r>
          </w:p>
        </w:tc>
        <w:tc>
          <w:tcPr>
            <w:tcW w:w="0" w:type="dxa"/>
            <w:vAlign w:val="bottom"/>
          </w:tcPr>
          <w:p>
            <w:pPr>
              <w:spacing w:after="0"/>
              <w:rPr>
                <w:sz w:val="1"/>
                <w:szCs w:val="1"/>
                <w:color w:val="auto"/>
              </w:rPr>
            </w:pPr>
          </w:p>
        </w:tc>
      </w:tr>
      <w:tr>
        <w:trPr>
          <w:trHeight w:val="343"/>
        </w:trPr>
        <w:tc>
          <w:tcPr>
            <w:tcW w:w="3520" w:type="dxa"/>
            <w:vAlign w:val="bottom"/>
          </w:tcPr>
          <w:p>
            <w:pPr>
              <w:ind w:left="60"/>
              <w:spacing w:after="0"/>
              <w:rPr>
                <w:sz w:val="20"/>
                <w:szCs w:val="20"/>
                <w:color w:val="auto"/>
              </w:rPr>
            </w:pPr>
            <w:r>
              <w:rPr>
                <w:rFonts w:ascii="Arial" w:cs="Arial" w:eastAsia="Arial" w:hAnsi="Arial"/>
                <w:sz w:val="14"/>
                <w:szCs w:val="14"/>
                <w:color w:val="auto"/>
              </w:rPr>
              <w:t>Cash and non interest bearing deposits in banks</w:t>
            </w:r>
          </w:p>
        </w:tc>
        <w:tc>
          <w:tcPr>
            <w:tcW w:w="140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2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3520" w:type="dxa"/>
            <w:vAlign w:val="bottom"/>
          </w:tcPr>
          <w:p>
            <w:pPr>
              <w:ind w:left="60"/>
              <w:spacing w:after="0"/>
              <w:rPr>
                <w:sz w:val="20"/>
                <w:szCs w:val="20"/>
                <w:color w:val="auto"/>
              </w:rPr>
            </w:pPr>
            <w:r>
              <w:rPr>
                <w:rFonts w:ascii="Arial" w:cs="Arial" w:eastAsia="Arial" w:hAnsi="Arial"/>
                <w:sz w:val="14"/>
                <w:szCs w:val="14"/>
                <w:color w:val="auto"/>
              </w:rPr>
              <w:t>Interest bearing deposits in banks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1,372,436</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1,298,914</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1,575,241</w:t>
            </w:r>
          </w:p>
        </w:tc>
        <w:tc>
          <w:tcPr>
            <w:tcW w:w="1220" w:type="dxa"/>
            <w:vAlign w:val="bottom"/>
          </w:tcPr>
          <w:p>
            <w:pPr>
              <w:jc w:val="right"/>
              <w:spacing w:after="0"/>
              <w:rPr>
                <w:sz w:val="20"/>
                <w:szCs w:val="20"/>
                <w:color w:val="auto"/>
              </w:rPr>
            </w:pPr>
            <w:r>
              <w:rPr>
                <w:rFonts w:ascii="Arial" w:cs="Arial" w:eastAsia="Arial" w:hAnsi="Arial"/>
                <w:sz w:val="18"/>
                <w:szCs w:val="18"/>
                <w:color w:val="auto"/>
              </w:rPr>
              <w:t>1,423,978</w:t>
            </w:r>
          </w:p>
        </w:tc>
        <w:tc>
          <w:tcPr>
            <w:tcW w:w="0" w:type="dxa"/>
            <w:vAlign w:val="bottom"/>
          </w:tcPr>
          <w:p>
            <w:pPr>
              <w:spacing w:after="0"/>
              <w:rPr>
                <w:sz w:val="1"/>
                <w:szCs w:val="1"/>
                <w:color w:val="auto"/>
              </w:rPr>
            </w:pPr>
          </w:p>
        </w:tc>
      </w:tr>
      <w:tr>
        <w:trPr>
          <w:trHeight w:val="110"/>
        </w:trPr>
        <w:tc>
          <w:tcPr>
            <w:tcW w:w="352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3520" w:type="dxa"/>
            <w:vAlign w:val="bottom"/>
          </w:tcPr>
          <w:p>
            <w:pPr>
              <w:spacing w:after="0"/>
              <w:rPr>
                <w:sz w:val="24"/>
                <w:szCs w:val="24"/>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1,612,730</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1,554,855</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1,839,459</w:t>
            </w:r>
          </w:p>
        </w:tc>
        <w:tc>
          <w:tcPr>
            <w:tcW w:w="1220" w:type="dxa"/>
            <w:vAlign w:val="bottom"/>
          </w:tcPr>
          <w:p>
            <w:pPr>
              <w:jc w:val="right"/>
              <w:spacing w:after="0"/>
              <w:rPr>
                <w:sz w:val="20"/>
                <w:szCs w:val="20"/>
                <w:color w:val="auto"/>
              </w:rPr>
            </w:pPr>
            <w:r>
              <w:rPr>
                <w:rFonts w:ascii="Arial" w:cs="Arial" w:eastAsia="Arial" w:hAnsi="Arial"/>
                <w:sz w:val="18"/>
                <w:szCs w:val="18"/>
                <w:color w:val="auto"/>
              </w:rPr>
              <w:t>1,762,326</w:t>
            </w: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MARKETABLE SECURITIES, net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127,365</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100,991</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82,513</w:t>
            </w:r>
          </w:p>
        </w:tc>
        <w:tc>
          <w:tcPr>
            <w:tcW w:w="1220" w:type="dxa"/>
            <w:vAlign w:val="bottom"/>
          </w:tcPr>
          <w:p>
            <w:pPr>
              <w:jc w:val="right"/>
              <w:spacing w:after="0"/>
              <w:rPr>
                <w:sz w:val="20"/>
                <w:szCs w:val="20"/>
                <w:color w:val="auto"/>
              </w:rPr>
            </w:pPr>
            <w:r>
              <w:rPr>
                <w:rFonts w:ascii="Arial" w:cs="Arial" w:eastAsia="Arial" w:hAnsi="Arial"/>
                <w:sz w:val="18"/>
                <w:szCs w:val="18"/>
                <w:color w:val="auto"/>
              </w:rPr>
              <w:t>32,307</w:t>
            </w: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LOANS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4,481,496</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4,401,684</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4,587,997</w:t>
            </w:r>
          </w:p>
        </w:tc>
        <w:tc>
          <w:tcPr>
            <w:tcW w:w="1220" w:type="dxa"/>
            <w:vAlign w:val="bottom"/>
          </w:tcPr>
          <w:p>
            <w:pPr>
              <w:jc w:val="right"/>
              <w:spacing w:after="0"/>
              <w:rPr>
                <w:sz w:val="20"/>
                <w:szCs w:val="20"/>
                <w:color w:val="auto"/>
              </w:rPr>
            </w:pPr>
            <w:r>
              <w:rPr>
                <w:rFonts w:ascii="Arial" w:cs="Arial" w:eastAsia="Arial" w:hAnsi="Arial"/>
                <w:sz w:val="18"/>
                <w:szCs w:val="18"/>
                <w:color w:val="auto"/>
              </w:rPr>
              <w:t>4,559,045</w:t>
            </w:r>
          </w:p>
        </w:tc>
        <w:tc>
          <w:tcPr>
            <w:tcW w:w="0" w:type="dxa"/>
            <w:vAlign w:val="bottom"/>
          </w:tcPr>
          <w:p>
            <w:pPr>
              <w:spacing w:after="0"/>
              <w:rPr>
                <w:sz w:val="1"/>
                <w:szCs w:val="1"/>
                <w:color w:val="auto"/>
              </w:rPr>
            </w:pPr>
          </w:p>
        </w:tc>
      </w:tr>
      <w:tr>
        <w:trPr>
          <w:trHeight w:val="243"/>
        </w:trPr>
        <w:tc>
          <w:tcPr>
            <w:tcW w:w="3520" w:type="dxa"/>
            <w:vAlign w:val="bottom"/>
          </w:tcPr>
          <w:p>
            <w:pPr>
              <w:ind w:left="60"/>
              <w:spacing w:after="0"/>
              <w:rPr>
                <w:sz w:val="20"/>
                <w:szCs w:val="20"/>
                <w:color w:val="auto"/>
              </w:rPr>
            </w:pPr>
            <w:r>
              <w:rPr>
                <w:rFonts w:ascii="Arial" w:cs="Arial" w:eastAsia="Arial" w:hAnsi="Arial"/>
                <w:sz w:val="14"/>
                <w:szCs w:val="14"/>
                <w:color w:val="auto"/>
              </w:rPr>
              <w:t>Current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4,225,001</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4,151,861</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4,427,626</w:t>
            </w:r>
          </w:p>
        </w:tc>
        <w:tc>
          <w:tcPr>
            <w:tcW w:w="1220" w:type="dxa"/>
            <w:vAlign w:val="bottom"/>
          </w:tcPr>
          <w:p>
            <w:pPr>
              <w:jc w:val="right"/>
              <w:spacing w:after="0"/>
              <w:rPr>
                <w:sz w:val="20"/>
                <w:szCs w:val="20"/>
                <w:color w:val="auto"/>
              </w:rPr>
            </w:pPr>
            <w:r>
              <w:rPr>
                <w:rFonts w:ascii="Arial" w:cs="Arial" w:eastAsia="Arial" w:hAnsi="Arial"/>
                <w:sz w:val="18"/>
                <w:szCs w:val="18"/>
                <w:color w:val="auto"/>
              </w:rPr>
              <w:t>4,407,324</w:t>
            </w:r>
          </w:p>
        </w:tc>
        <w:tc>
          <w:tcPr>
            <w:tcW w:w="0" w:type="dxa"/>
            <w:vAlign w:val="bottom"/>
          </w:tcPr>
          <w:p>
            <w:pPr>
              <w:spacing w:after="0"/>
              <w:rPr>
                <w:sz w:val="1"/>
                <w:szCs w:val="1"/>
                <w:color w:val="auto"/>
              </w:rPr>
            </w:pPr>
          </w:p>
        </w:tc>
      </w:tr>
      <w:tr>
        <w:trPr>
          <w:trHeight w:val="243"/>
        </w:trPr>
        <w:tc>
          <w:tcPr>
            <w:tcW w:w="3520" w:type="dxa"/>
            <w:vAlign w:val="bottom"/>
          </w:tcPr>
          <w:p>
            <w:pPr>
              <w:ind w:left="60"/>
              <w:spacing w:after="0"/>
              <w:rPr>
                <w:sz w:val="20"/>
                <w:szCs w:val="20"/>
                <w:color w:val="auto"/>
              </w:rPr>
            </w:pPr>
            <w:r>
              <w:rPr>
                <w:rFonts w:ascii="Arial" w:cs="Arial" w:eastAsia="Arial" w:hAnsi="Arial"/>
                <w:sz w:val="14"/>
                <w:szCs w:val="14"/>
                <w:color w:val="auto"/>
              </w:rPr>
              <w:t>Past Due</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256,495</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249,823</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160,371</w:t>
            </w:r>
          </w:p>
        </w:tc>
        <w:tc>
          <w:tcPr>
            <w:tcW w:w="1220" w:type="dxa"/>
            <w:vAlign w:val="bottom"/>
          </w:tcPr>
          <w:p>
            <w:pPr>
              <w:jc w:val="right"/>
              <w:spacing w:after="0"/>
              <w:rPr>
                <w:sz w:val="20"/>
                <w:szCs w:val="20"/>
                <w:color w:val="auto"/>
              </w:rPr>
            </w:pPr>
            <w:r>
              <w:rPr>
                <w:rFonts w:ascii="Arial" w:cs="Arial" w:eastAsia="Arial" w:hAnsi="Arial"/>
                <w:sz w:val="18"/>
                <w:szCs w:val="18"/>
                <w:color w:val="auto"/>
              </w:rPr>
              <w:t>151,721</w:t>
            </w:r>
          </w:p>
        </w:tc>
        <w:tc>
          <w:tcPr>
            <w:tcW w:w="0" w:type="dxa"/>
            <w:vAlign w:val="bottom"/>
          </w:tcPr>
          <w:p>
            <w:pPr>
              <w:spacing w:after="0"/>
              <w:rPr>
                <w:sz w:val="1"/>
                <w:szCs w:val="1"/>
                <w:color w:val="auto"/>
              </w:rPr>
            </w:pPr>
          </w:p>
        </w:tc>
      </w:tr>
      <w:tr>
        <w:trPr>
          <w:trHeight w:val="243"/>
        </w:trPr>
        <w:tc>
          <w:tcPr>
            <w:tcW w:w="3520" w:type="dxa"/>
            <w:vAlign w:val="bottom"/>
          </w:tcPr>
          <w:p>
            <w:pPr>
              <w:ind w:left="60"/>
              <w:spacing w:after="0"/>
              <w:rPr>
                <w:sz w:val="20"/>
                <w:szCs w:val="20"/>
                <w:color w:val="auto"/>
              </w:rPr>
            </w:pPr>
            <w:r>
              <w:rPr>
                <w:rFonts w:ascii="Arial" w:cs="Arial" w:eastAsia="Arial" w:hAnsi="Arial"/>
                <w:sz w:val="14"/>
                <w:szCs w:val="14"/>
                <w:color w:val="auto"/>
              </w:rPr>
              <w:t>Less - Reserve for possible loan losses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(306,758)</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(294,051)</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(253,408)</w:t>
            </w:r>
          </w:p>
        </w:tc>
        <w:tc>
          <w:tcPr>
            <w:tcW w:w="1220" w:type="dxa"/>
            <w:vAlign w:val="bottom"/>
          </w:tcPr>
          <w:p>
            <w:pPr>
              <w:jc w:val="right"/>
              <w:spacing w:after="0"/>
              <w:rPr>
                <w:sz w:val="20"/>
                <w:szCs w:val="20"/>
                <w:color w:val="auto"/>
              </w:rPr>
            </w:pPr>
            <w:r>
              <w:rPr>
                <w:rFonts w:ascii="Arial" w:cs="Arial" w:eastAsia="Arial" w:hAnsi="Arial"/>
                <w:sz w:val="18"/>
                <w:szCs w:val="18"/>
                <w:color w:val="auto"/>
              </w:rPr>
              <w:t>(245,209)</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LOANS NET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4,174,738</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4,107,633</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4,334,589</w:t>
            </w:r>
          </w:p>
        </w:tc>
        <w:tc>
          <w:tcPr>
            <w:tcW w:w="1220" w:type="dxa"/>
            <w:vAlign w:val="bottom"/>
          </w:tcPr>
          <w:p>
            <w:pPr>
              <w:jc w:val="right"/>
              <w:spacing w:after="0"/>
              <w:rPr>
                <w:sz w:val="20"/>
                <w:szCs w:val="20"/>
                <w:color w:val="auto"/>
              </w:rPr>
            </w:pPr>
            <w:r>
              <w:rPr>
                <w:rFonts w:ascii="Arial" w:cs="Arial" w:eastAsia="Arial" w:hAnsi="Arial"/>
                <w:sz w:val="18"/>
                <w:szCs w:val="18"/>
                <w:color w:val="auto"/>
              </w:rPr>
              <w:t>4,313,836</w:t>
            </w:r>
          </w:p>
        </w:tc>
        <w:tc>
          <w:tcPr>
            <w:tcW w:w="0" w:type="dxa"/>
            <w:vAlign w:val="bottom"/>
          </w:tcPr>
          <w:p>
            <w:pPr>
              <w:spacing w:after="0"/>
              <w:rPr>
                <w:sz w:val="1"/>
                <w:szCs w:val="1"/>
                <w:color w:val="auto"/>
              </w:rPr>
            </w:pPr>
          </w:p>
        </w:tc>
      </w:tr>
      <w:tr>
        <w:trPr>
          <w:trHeight w:val="110"/>
        </w:trPr>
        <w:tc>
          <w:tcPr>
            <w:tcW w:w="35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86"/>
        </w:trPr>
        <w:tc>
          <w:tcPr>
            <w:tcW w:w="3520" w:type="dxa"/>
            <w:vAlign w:val="bottom"/>
          </w:tcPr>
          <w:p>
            <w:pPr>
              <w:spacing w:after="0"/>
              <w:rPr>
                <w:sz w:val="20"/>
                <w:szCs w:val="20"/>
                <w:color w:val="auto"/>
              </w:rPr>
            </w:pPr>
            <w:r>
              <w:rPr>
                <w:rFonts w:ascii="Arial" w:cs="Arial" w:eastAsia="Arial" w:hAnsi="Arial"/>
                <w:sz w:val="14"/>
                <w:szCs w:val="14"/>
                <w:color w:val="auto"/>
              </w:rPr>
              <w:t>INVESTMENT SECURITIES AVAILABLE FOR SALE</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1,612,887</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1,812,966</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2,118,690</w:t>
            </w:r>
          </w:p>
        </w:tc>
        <w:tc>
          <w:tcPr>
            <w:tcW w:w="1220" w:type="dxa"/>
            <w:vAlign w:val="bottom"/>
          </w:tcPr>
          <w:p>
            <w:pPr>
              <w:jc w:val="right"/>
              <w:spacing w:after="0"/>
              <w:rPr>
                <w:sz w:val="20"/>
                <w:szCs w:val="20"/>
                <w:color w:val="auto"/>
              </w:rPr>
            </w:pPr>
            <w:r>
              <w:rPr>
                <w:rFonts w:ascii="Arial" w:cs="Arial" w:eastAsia="Arial" w:hAnsi="Arial"/>
                <w:sz w:val="18"/>
                <w:szCs w:val="18"/>
                <w:color w:val="auto"/>
              </w:rPr>
              <w:t>2,593,653</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Arial" w:cs="Arial" w:eastAsia="Arial" w:hAnsi="Arial"/>
                <w:sz w:val="14"/>
                <w:szCs w:val="14"/>
                <w:color w:val="auto"/>
              </w:rPr>
              <w:t>REINSURANCE ASSETS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45,904</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49,519</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35,453</w:t>
            </w:r>
          </w:p>
        </w:tc>
        <w:tc>
          <w:tcPr>
            <w:tcW w:w="1220" w:type="dxa"/>
            <w:vAlign w:val="bottom"/>
          </w:tcPr>
          <w:p>
            <w:pPr>
              <w:jc w:val="right"/>
              <w:spacing w:after="0"/>
              <w:rPr>
                <w:sz w:val="20"/>
                <w:szCs w:val="20"/>
                <w:color w:val="auto"/>
              </w:rPr>
            </w:pPr>
            <w:r>
              <w:rPr>
                <w:rFonts w:ascii="Arial" w:cs="Arial" w:eastAsia="Arial" w:hAnsi="Arial"/>
                <w:sz w:val="18"/>
                <w:szCs w:val="18"/>
                <w:color w:val="auto"/>
              </w:rPr>
              <w:t>31,123</w:t>
            </w:r>
          </w:p>
        </w:tc>
        <w:tc>
          <w:tcPr>
            <w:tcW w:w="0" w:type="dxa"/>
            <w:vAlign w:val="bottom"/>
          </w:tcPr>
          <w:p>
            <w:pPr>
              <w:spacing w:after="0"/>
              <w:rPr>
                <w:sz w:val="1"/>
                <w:szCs w:val="1"/>
                <w:color w:val="auto"/>
              </w:rPr>
            </w:pPr>
          </w:p>
        </w:tc>
      </w:tr>
      <w:tr>
        <w:trPr>
          <w:trHeight w:val="172"/>
        </w:trPr>
        <w:tc>
          <w:tcPr>
            <w:tcW w:w="3520" w:type="dxa"/>
            <w:vAlign w:val="bottom"/>
          </w:tcPr>
          <w:p>
            <w:pPr>
              <w:spacing w:after="0"/>
              <w:rPr>
                <w:sz w:val="20"/>
                <w:szCs w:val="20"/>
                <w:color w:val="auto"/>
              </w:rPr>
            </w:pPr>
            <w:r>
              <w:rPr>
                <w:rFonts w:ascii="Arial" w:cs="Arial" w:eastAsia="Arial" w:hAnsi="Arial"/>
                <w:sz w:val="14"/>
                <w:szCs w:val="14"/>
                <w:color w:val="auto"/>
              </w:rPr>
              <w:t>PREMIUMS AND OTHER POLICYHOLDER</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520" w:type="dxa"/>
            <w:vAlign w:val="bottom"/>
          </w:tcPr>
          <w:p>
            <w:pPr>
              <w:spacing w:after="0"/>
              <w:rPr>
                <w:sz w:val="20"/>
                <w:szCs w:val="20"/>
                <w:color w:val="auto"/>
              </w:rPr>
            </w:pPr>
            <w:r>
              <w:rPr>
                <w:rFonts w:ascii="Arial" w:cs="Arial" w:eastAsia="Arial" w:hAnsi="Arial"/>
                <w:sz w:val="14"/>
                <w:szCs w:val="14"/>
                <w:color w:val="auto"/>
              </w:rPr>
              <w:t>RECEIVABLES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60,057</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52,026</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60,665</w:t>
            </w:r>
          </w:p>
        </w:tc>
        <w:tc>
          <w:tcPr>
            <w:tcW w:w="1220" w:type="dxa"/>
            <w:vAlign w:val="bottom"/>
          </w:tcPr>
          <w:p>
            <w:pPr>
              <w:jc w:val="right"/>
              <w:spacing w:after="0"/>
              <w:rPr>
                <w:sz w:val="20"/>
                <w:szCs w:val="20"/>
                <w:color w:val="auto"/>
              </w:rPr>
            </w:pPr>
            <w:r>
              <w:rPr>
                <w:rFonts w:ascii="Arial" w:cs="Arial" w:eastAsia="Arial" w:hAnsi="Arial"/>
                <w:sz w:val="18"/>
                <w:szCs w:val="18"/>
                <w:color w:val="auto"/>
              </w:rPr>
              <w:t>51,948</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264,533</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255,290</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249,083</w:t>
            </w:r>
          </w:p>
        </w:tc>
        <w:tc>
          <w:tcPr>
            <w:tcW w:w="1220" w:type="dxa"/>
            <w:vAlign w:val="bottom"/>
          </w:tcPr>
          <w:p>
            <w:pPr>
              <w:jc w:val="right"/>
              <w:spacing w:after="0"/>
              <w:rPr>
                <w:sz w:val="20"/>
                <w:szCs w:val="20"/>
                <w:color w:val="auto"/>
              </w:rPr>
            </w:pPr>
            <w:r>
              <w:rPr>
                <w:rFonts w:ascii="Arial" w:cs="Arial" w:eastAsia="Arial" w:hAnsi="Arial"/>
                <w:sz w:val="18"/>
                <w:szCs w:val="18"/>
                <w:color w:val="auto"/>
              </w:rPr>
              <w:t>237,681</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DUE FROM CUSTOMERS ON ACCEPTANCES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50,178</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41,024</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47,635</w:t>
            </w:r>
          </w:p>
        </w:tc>
        <w:tc>
          <w:tcPr>
            <w:tcW w:w="1220" w:type="dxa"/>
            <w:vAlign w:val="bottom"/>
          </w:tcPr>
          <w:p>
            <w:pPr>
              <w:jc w:val="right"/>
              <w:spacing w:after="0"/>
              <w:rPr>
                <w:sz w:val="20"/>
                <w:szCs w:val="20"/>
                <w:color w:val="auto"/>
              </w:rPr>
            </w:pPr>
            <w:r>
              <w:rPr>
                <w:rFonts w:ascii="Arial" w:cs="Arial" w:eastAsia="Arial" w:hAnsi="Arial"/>
                <w:sz w:val="18"/>
                <w:szCs w:val="18"/>
                <w:color w:val="auto"/>
              </w:rPr>
              <w:t>47,158</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OTHER ASSETS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370,672</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338,631</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352,501</w:t>
            </w:r>
          </w:p>
        </w:tc>
        <w:tc>
          <w:tcPr>
            <w:tcW w:w="1220" w:type="dxa"/>
            <w:vAlign w:val="bottom"/>
          </w:tcPr>
          <w:p>
            <w:pPr>
              <w:jc w:val="right"/>
              <w:spacing w:after="0"/>
              <w:rPr>
                <w:sz w:val="20"/>
                <w:szCs w:val="20"/>
                <w:color w:val="auto"/>
              </w:rPr>
            </w:pPr>
            <w:r>
              <w:rPr>
                <w:rFonts w:ascii="Arial" w:cs="Arial" w:eastAsia="Arial" w:hAnsi="Arial"/>
                <w:sz w:val="18"/>
                <w:szCs w:val="18"/>
                <w:color w:val="auto"/>
              </w:rPr>
              <w:t>290,898</w:t>
            </w:r>
          </w:p>
        </w:tc>
        <w:tc>
          <w:tcPr>
            <w:tcW w:w="0" w:type="dxa"/>
            <w:vAlign w:val="bottom"/>
          </w:tcPr>
          <w:p>
            <w:pPr>
              <w:spacing w:after="0"/>
              <w:rPr>
                <w:sz w:val="1"/>
                <w:szCs w:val="1"/>
                <w:color w:val="auto"/>
              </w:rPr>
            </w:pPr>
          </w:p>
        </w:tc>
      </w:tr>
      <w:tr>
        <w:trPr>
          <w:trHeight w:val="486"/>
        </w:trPr>
        <w:tc>
          <w:tcPr>
            <w:tcW w:w="35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TOTAL ASSETS</w:t>
            </w:r>
          </w:p>
        </w:tc>
        <w:tc>
          <w:tcPr>
            <w:tcW w:w="1400" w:type="dxa"/>
            <w:vAlign w:val="bottom"/>
          </w:tcPr>
          <w:p>
            <w:pPr>
              <w:jc w:val="right"/>
              <w:ind w:right="73"/>
              <w:spacing w:after="0"/>
              <w:rPr>
                <w:sz w:val="20"/>
                <w:szCs w:val="20"/>
                <w:color w:val="auto"/>
              </w:rPr>
            </w:pPr>
            <w:r>
              <w:rPr>
                <w:rFonts w:ascii="Arial" w:cs="Arial" w:eastAsia="Arial" w:hAnsi="Arial"/>
                <w:sz w:val="18"/>
                <w:szCs w:val="18"/>
                <w:b w:val="1"/>
                <w:bCs w:val="1"/>
                <w:color w:val="auto"/>
              </w:rPr>
              <w:t>8,319,064</w:t>
            </w:r>
          </w:p>
        </w:tc>
        <w:tc>
          <w:tcPr>
            <w:tcW w:w="1400" w:type="dxa"/>
            <w:vAlign w:val="bottom"/>
          </w:tcPr>
          <w:p>
            <w:pPr>
              <w:jc w:val="right"/>
              <w:ind w:right="153"/>
              <w:spacing w:after="0"/>
              <w:rPr>
                <w:sz w:val="20"/>
                <w:szCs w:val="20"/>
                <w:color w:val="auto"/>
              </w:rPr>
            </w:pPr>
            <w:r>
              <w:rPr>
                <w:rFonts w:ascii="Arial" w:cs="Arial" w:eastAsia="Arial" w:hAnsi="Arial"/>
                <w:sz w:val="18"/>
                <w:szCs w:val="18"/>
                <w:b w:val="1"/>
                <w:bCs w:val="1"/>
                <w:color w:val="auto"/>
              </w:rPr>
              <w:t>8,312,935</w:t>
            </w:r>
          </w:p>
        </w:tc>
        <w:tc>
          <w:tcPr>
            <w:tcW w:w="1220" w:type="dxa"/>
            <w:vAlign w:val="bottom"/>
          </w:tcPr>
          <w:p>
            <w:pPr>
              <w:jc w:val="right"/>
              <w:ind w:right="73"/>
              <w:spacing w:after="0"/>
              <w:rPr>
                <w:sz w:val="20"/>
                <w:szCs w:val="20"/>
                <w:color w:val="auto"/>
              </w:rPr>
            </w:pPr>
            <w:r>
              <w:rPr>
                <w:rFonts w:ascii="Arial" w:cs="Arial" w:eastAsia="Arial" w:hAnsi="Arial"/>
                <w:sz w:val="18"/>
                <w:szCs w:val="18"/>
                <w:b w:val="1"/>
                <w:bCs w:val="1"/>
                <w:color w:val="auto"/>
              </w:rPr>
              <w:t>9,120,588</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9,360,931</w:t>
            </w:r>
          </w:p>
        </w:tc>
        <w:tc>
          <w:tcPr>
            <w:tcW w:w="0" w:type="dxa"/>
            <w:vAlign w:val="bottom"/>
          </w:tcPr>
          <w:p>
            <w:pPr>
              <w:spacing w:after="0"/>
              <w:rPr>
                <w:sz w:val="1"/>
                <w:szCs w:val="1"/>
                <w:color w:val="auto"/>
              </w:rPr>
            </w:pPr>
          </w:p>
        </w:tc>
      </w:tr>
      <w:tr>
        <w:trPr>
          <w:trHeight w:val="110"/>
        </w:trPr>
        <w:tc>
          <w:tcPr>
            <w:tcW w:w="35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3520" w:type="dxa"/>
            <w:vAlign w:val="bottom"/>
          </w:tcPr>
          <w:p>
            <w:pPr>
              <w:jc w:val="center"/>
              <w:ind w:right="12"/>
              <w:spacing w:after="0"/>
              <w:rPr>
                <w:sz w:val="20"/>
                <w:szCs w:val="20"/>
                <w:color w:val="auto"/>
              </w:rPr>
            </w:pPr>
            <w:r>
              <w:rPr>
                <w:rFonts w:ascii="Arial" w:cs="Arial" w:eastAsia="Arial" w:hAnsi="Arial"/>
                <w:sz w:val="14"/>
                <w:szCs w:val="14"/>
                <w:b w:val="1"/>
                <w:bCs w:val="1"/>
                <w:color w:val="auto"/>
                <w:w w:val="98"/>
              </w:rPr>
              <w:t>LIABILITIES AND SHAREHOLDERS' EQUITY</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DEPOSITS AND OBLIGATIONS:</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520" w:type="dxa"/>
            <w:vAlign w:val="bottom"/>
            <w:tcBorders>
              <w:bottom w:val="single" w:sz="8" w:color="9A9A9A"/>
            </w:tcBorders>
          </w:tcPr>
          <w:p>
            <w:pPr>
              <w:spacing w:after="0"/>
              <w:rPr>
                <w:sz w:val="11"/>
                <w:szCs w:val="11"/>
                <w:color w:val="auto"/>
              </w:rPr>
            </w:pPr>
          </w:p>
        </w:tc>
        <w:tc>
          <w:tcPr>
            <w:tcW w:w="1400" w:type="dxa"/>
            <w:vAlign w:val="bottom"/>
            <w:vMerge w:val="restart"/>
          </w:tcPr>
          <w:p>
            <w:pPr>
              <w:jc w:val="right"/>
              <w:ind w:right="73"/>
              <w:spacing w:after="0"/>
              <w:rPr>
                <w:sz w:val="20"/>
                <w:szCs w:val="20"/>
                <w:color w:val="auto"/>
              </w:rPr>
            </w:pPr>
            <w:r>
              <w:rPr>
                <w:rFonts w:ascii="Arial" w:cs="Arial" w:eastAsia="Arial" w:hAnsi="Arial"/>
                <w:sz w:val="18"/>
                <w:szCs w:val="18"/>
                <w:color w:val="auto"/>
              </w:rPr>
              <w:t>860,585</w:t>
            </w:r>
          </w:p>
        </w:tc>
        <w:tc>
          <w:tcPr>
            <w:tcW w:w="1400" w:type="dxa"/>
            <w:vAlign w:val="bottom"/>
            <w:vMerge w:val="restart"/>
          </w:tcPr>
          <w:p>
            <w:pPr>
              <w:jc w:val="right"/>
              <w:ind w:right="153"/>
              <w:spacing w:after="0"/>
              <w:rPr>
                <w:sz w:val="20"/>
                <w:szCs w:val="20"/>
                <w:color w:val="auto"/>
              </w:rPr>
            </w:pPr>
            <w:r>
              <w:rPr>
                <w:rFonts w:ascii="Arial" w:cs="Arial" w:eastAsia="Arial" w:hAnsi="Arial"/>
                <w:sz w:val="18"/>
                <w:szCs w:val="18"/>
                <w:color w:val="auto"/>
              </w:rPr>
              <w:t>905,355</w:t>
            </w:r>
          </w:p>
        </w:tc>
        <w:tc>
          <w:tcPr>
            <w:tcW w:w="1220" w:type="dxa"/>
            <w:vAlign w:val="bottom"/>
            <w:vMerge w:val="restart"/>
          </w:tcPr>
          <w:p>
            <w:pPr>
              <w:jc w:val="right"/>
              <w:ind w:right="73"/>
              <w:spacing w:after="0"/>
              <w:rPr>
                <w:sz w:val="20"/>
                <w:szCs w:val="20"/>
                <w:color w:val="auto"/>
              </w:rPr>
            </w:pPr>
            <w:r>
              <w:rPr>
                <w:rFonts w:ascii="Arial" w:cs="Arial" w:eastAsia="Arial" w:hAnsi="Arial"/>
                <w:sz w:val="18"/>
                <w:szCs w:val="18"/>
                <w:color w:val="auto"/>
              </w:rPr>
              <w:t>1,406,846</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1,432,730</w:t>
            </w:r>
          </w:p>
        </w:tc>
        <w:tc>
          <w:tcPr>
            <w:tcW w:w="0" w:type="dxa"/>
            <w:vAlign w:val="bottom"/>
          </w:tcPr>
          <w:p>
            <w:pPr>
              <w:spacing w:after="0"/>
              <w:rPr>
                <w:sz w:val="1"/>
                <w:szCs w:val="1"/>
                <w:color w:val="auto"/>
              </w:rPr>
            </w:pPr>
          </w:p>
        </w:tc>
      </w:tr>
      <w:tr>
        <w:trPr>
          <w:trHeight w:val="343"/>
        </w:trPr>
        <w:tc>
          <w:tcPr>
            <w:tcW w:w="3520" w:type="dxa"/>
            <w:vAlign w:val="bottom"/>
          </w:tcPr>
          <w:p>
            <w:pPr>
              <w:ind w:left="60"/>
              <w:spacing w:after="0"/>
              <w:rPr>
                <w:sz w:val="20"/>
                <w:szCs w:val="20"/>
                <w:color w:val="auto"/>
              </w:rPr>
            </w:pPr>
            <w:r>
              <w:rPr>
                <w:rFonts w:ascii="Arial" w:cs="Arial" w:eastAsia="Arial" w:hAnsi="Arial"/>
                <w:sz w:val="14"/>
                <w:szCs w:val="14"/>
                <w:color w:val="auto"/>
              </w:rPr>
              <w:t>Non-interest bearing</w:t>
            </w:r>
          </w:p>
        </w:tc>
        <w:tc>
          <w:tcPr>
            <w:tcW w:w="140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2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3520" w:type="dxa"/>
            <w:vAlign w:val="bottom"/>
          </w:tcPr>
          <w:p>
            <w:pPr>
              <w:ind w:left="60"/>
              <w:spacing w:after="0"/>
              <w:rPr>
                <w:sz w:val="20"/>
                <w:szCs w:val="20"/>
                <w:color w:val="auto"/>
              </w:rPr>
            </w:pPr>
            <w:r>
              <w:rPr>
                <w:rFonts w:ascii="Arial" w:cs="Arial" w:eastAsia="Arial" w:hAnsi="Arial"/>
                <w:sz w:val="14"/>
                <w:szCs w:val="14"/>
                <w:color w:val="auto"/>
              </w:rPr>
              <w:t>Interest bearing</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5,125,645</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4,974,205</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4,983,883</w:t>
            </w:r>
          </w:p>
        </w:tc>
        <w:tc>
          <w:tcPr>
            <w:tcW w:w="1220" w:type="dxa"/>
            <w:vAlign w:val="bottom"/>
          </w:tcPr>
          <w:p>
            <w:pPr>
              <w:jc w:val="right"/>
              <w:spacing w:after="0"/>
              <w:rPr>
                <w:sz w:val="20"/>
                <w:szCs w:val="20"/>
                <w:color w:val="auto"/>
              </w:rPr>
            </w:pPr>
            <w:r>
              <w:rPr>
                <w:rFonts w:ascii="Arial" w:cs="Arial" w:eastAsia="Arial" w:hAnsi="Arial"/>
                <w:sz w:val="18"/>
                <w:szCs w:val="18"/>
                <w:color w:val="auto"/>
              </w:rPr>
              <w:t>5,093,637</w:t>
            </w:r>
          </w:p>
        </w:tc>
        <w:tc>
          <w:tcPr>
            <w:tcW w:w="0" w:type="dxa"/>
            <w:vAlign w:val="bottom"/>
          </w:tcPr>
          <w:p>
            <w:pPr>
              <w:spacing w:after="0"/>
              <w:rPr>
                <w:sz w:val="1"/>
                <w:szCs w:val="1"/>
                <w:color w:val="auto"/>
              </w:rPr>
            </w:pPr>
          </w:p>
        </w:tc>
      </w:tr>
      <w:tr>
        <w:trPr>
          <w:trHeight w:val="110"/>
        </w:trPr>
        <w:tc>
          <w:tcPr>
            <w:tcW w:w="352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3520" w:type="dxa"/>
            <w:vAlign w:val="bottom"/>
          </w:tcPr>
          <w:p>
            <w:pPr>
              <w:spacing w:after="0"/>
              <w:rPr>
                <w:sz w:val="24"/>
                <w:szCs w:val="24"/>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5,986,230</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5,879,560</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6,390,729</w:t>
            </w:r>
          </w:p>
        </w:tc>
        <w:tc>
          <w:tcPr>
            <w:tcW w:w="1220" w:type="dxa"/>
            <w:vAlign w:val="bottom"/>
          </w:tcPr>
          <w:p>
            <w:pPr>
              <w:jc w:val="right"/>
              <w:spacing w:after="0"/>
              <w:rPr>
                <w:sz w:val="20"/>
                <w:szCs w:val="20"/>
                <w:color w:val="auto"/>
              </w:rPr>
            </w:pPr>
            <w:r>
              <w:rPr>
                <w:rFonts w:ascii="Arial" w:cs="Arial" w:eastAsia="Arial" w:hAnsi="Arial"/>
                <w:sz w:val="18"/>
                <w:szCs w:val="18"/>
                <w:color w:val="auto"/>
              </w:rPr>
              <w:t>6,526,367</w:t>
            </w: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color w:val="auto"/>
              </w:rPr>
              <w:t>DUE TO BANKS AND CORRESPONDENTS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273,234</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255,077</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392,511</w:t>
            </w:r>
          </w:p>
        </w:tc>
        <w:tc>
          <w:tcPr>
            <w:tcW w:w="1220" w:type="dxa"/>
            <w:vAlign w:val="bottom"/>
          </w:tcPr>
          <w:p>
            <w:pPr>
              <w:jc w:val="right"/>
              <w:spacing w:after="0"/>
              <w:rPr>
                <w:sz w:val="20"/>
                <w:szCs w:val="20"/>
                <w:color w:val="auto"/>
              </w:rPr>
            </w:pPr>
            <w:r>
              <w:rPr>
                <w:rFonts w:ascii="Arial" w:cs="Arial" w:eastAsia="Arial" w:hAnsi="Arial"/>
                <w:sz w:val="18"/>
                <w:szCs w:val="18"/>
                <w:color w:val="auto"/>
              </w:rPr>
              <w:t>415,966</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ACCEPTANCES OUTSTANDING</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50,178</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41,024</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47,635</w:t>
            </w:r>
          </w:p>
        </w:tc>
        <w:tc>
          <w:tcPr>
            <w:tcW w:w="1220" w:type="dxa"/>
            <w:vAlign w:val="bottom"/>
          </w:tcPr>
          <w:p>
            <w:pPr>
              <w:jc w:val="right"/>
              <w:spacing w:after="0"/>
              <w:rPr>
                <w:sz w:val="20"/>
                <w:szCs w:val="20"/>
                <w:color w:val="auto"/>
              </w:rPr>
            </w:pPr>
            <w:r>
              <w:rPr>
                <w:rFonts w:ascii="Arial" w:cs="Arial" w:eastAsia="Arial" w:hAnsi="Arial"/>
                <w:sz w:val="18"/>
                <w:szCs w:val="18"/>
                <w:color w:val="auto"/>
              </w:rPr>
              <w:t>47,158</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RESERVE FOR PROPERTY AND CASUALTY CLAIMS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303,587</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324,987</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398,439</w:t>
            </w:r>
          </w:p>
        </w:tc>
        <w:tc>
          <w:tcPr>
            <w:tcW w:w="1220" w:type="dxa"/>
            <w:vAlign w:val="bottom"/>
          </w:tcPr>
          <w:p>
            <w:pPr>
              <w:jc w:val="right"/>
              <w:spacing w:after="0"/>
              <w:rPr>
                <w:sz w:val="20"/>
                <w:szCs w:val="20"/>
                <w:color w:val="auto"/>
              </w:rPr>
            </w:pPr>
            <w:r>
              <w:rPr>
                <w:rFonts w:ascii="Arial" w:cs="Arial" w:eastAsia="Arial" w:hAnsi="Arial"/>
                <w:sz w:val="18"/>
                <w:szCs w:val="18"/>
                <w:color w:val="auto"/>
              </w:rPr>
              <w:t>417,036</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RESERVE FOR UNEARNED PREMIUMS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66,084</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66,563</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66,678</w:t>
            </w:r>
          </w:p>
        </w:tc>
        <w:tc>
          <w:tcPr>
            <w:tcW w:w="1220" w:type="dxa"/>
            <w:vAlign w:val="bottom"/>
          </w:tcPr>
          <w:p>
            <w:pPr>
              <w:jc w:val="right"/>
              <w:spacing w:after="0"/>
              <w:rPr>
                <w:sz w:val="20"/>
                <w:szCs w:val="20"/>
                <w:color w:val="auto"/>
              </w:rPr>
            </w:pPr>
            <w:r>
              <w:rPr>
                <w:rFonts w:ascii="Arial" w:cs="Arial" w:eastAsia="Arial" w:hAnsi="Arial"/>
                <w:sz w:val="18"/>
                <w:szCs w:val="18"/>
                <w:color w:val="auto"/>
              </w:rPr>
              <w:t>70,133</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REINSURANCE PAYABLE</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33,043</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22,811</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23,612</w:t>
            </w:r>
          </w:p>
        </w:tc>
        <w:tc>
          <w:tcPr>
            <w:tcW w:w="1220" w:type="dxa"/>
            <w:vAlign w:val="bottom"/>
          </w:tcPr>
          <w:p>
            <w:pPr>
              <w:jc w:val="right"/>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BONDS AND SUBORDINATED DEBT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419,461</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405,742</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424,227</w:t>
            </w:r>
          </w:p>
        </w:tc>
        <w:tc>
          <w:tcPr>
            <w:tcW w:w="1220" w:type="dxa"/>
            <w:vAlign w:val="bottom"/>
          </w:tcPr>
          <w:p>
            <w:pPr>
              <w:jc w:val="right"/>
              <w:spacing w:after="0"/>
              <w:rPr>
                <w:sz w:val="20"/>
                <w:szCs w:val="20"/>
                <w:color w:val="auto"/>
              </w:rPr>
            </w:pPr>
            <w:r>
              <w:rPr>
                <w:rFonts w:ascii="Arial" w:cs="Arial" w:eastAsia="Arial" w:hAnsi="Arial"/>
                <w:sz w:val="18"/>
                <w:szCs w:val="18"/>
                <w:color w:val="auto"/>
              </w:rPr>
              <w:t>421,831</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OTHER LIABILITIES</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203,673</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328,639</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226,307</w:t>
            </w:r>
          </w:p>
        </w:tc>
        <w:tc>
          <w:tcPr>
            <w:tcW w:w="1220" w:type="dxa"/>
            <w:vAlign w:val="bottom"/>
          </w:tcPr>
          <w:p>
            <w:pPr>
              <w:jc w:val="right"/>
              <w:spacing w:after="0"/>
              <w:rPr>
                <w:sz w:val="20"/>
                <w:szCs w:val="20"/>
                <w:color w:val="auto"/>
              </w:rPr>
            </w:pPr>
            <w:r>
              <w:rPr>
                <w:rFonts w:ascii="Arial" w:cs="Arial" w:eastAsia="Arial" w:hAnsi="Arial"/>
                <w:sz w:val="18"/>
                <w:szCs w:val="18"/>
                <w:color w:val="auto"/>
              </w:rPr>
              <w:t>327,438</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MINORITY INTEREST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72,841</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70,372</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85,253</w:t>
            </w:r>
          </w:p>
        </w:tc>
        <w:tc>
          <w:tcPr>
            <w:tcW w:w="1220" w:type="dxa"/>
            <w:vAlign w:val="bottom"/>
          </w:tcPr>
          <w:p>
            <w:pPr>
              <w:jc w:val="right"/>
              <w:spacing w:after="0"/>
              <w:rPr>
                <w:sz w:val="20"/>
                <w:szCs w:val="20"/>
                <w:color w:val="auto"/>
              </w:rPr>
            </w:pPr>
            <w:r>
              <w:rPr>
                <w:rFonts w:ascii="Arial" w:cs="Arial" w:eastAsia="Arial" w:hAnsi="Arial"/>
                <w:sz w:val="18"/>
                <w:szCs w:val="18"/>
                <w:color w:val="auto"/>
              </w:rPr>
              <w:t>76,958</w:t>
            </w:r>
          </w:p>
        </w:tc>
        <w:tc>
          <w:tcPr>
            <w:tcW w:w="0" w:type="dxa"/>
            <w:vAlign w:val="bottom"/>
          </w:tcPr>
          <w:p>
            <w:pPr>
              <w:spacing w:after="0"/>
              <w:rPr>
                <w:sz w:val="1"/>
                <w:szCs w:val="1"/>
                <w:color w:val="auto"/>
              </w:rPr>
            </w:pPr>
          </w:p>
        </w:tc>
      </w:tr>
      <w:tr>
        <w:trPr>
          <w:trHeight w:val="486"/>
        </w:trPr>
        <w:tc>
          <w:tcPr>
            <w:tcW w:w="3520" w:type="dxa"/>
            <w:vAlign w:val="bottom"/>
          </w:tcPr>
          <w:p>
            <w:pPr>
              <w:jc w:val="center"/>
              <w:spacing w:after="0"/>
              <w:rPr>
                <w:sz w:val="20"/>
                <w:szCs w:val="20"/>
                <w:color w:val="auto"/>
              </w:rPr>
            </w:pPr>
            <w:r>
              <w:rPr>
                <w:rFonts w:ascii="Arial" w:cs="Arial" w:eastAsia="Arial" w:hAnsi="Arial"/>
                <w:sz w:val="14"/>
                <w:szCs w:val="14"/>
                <w:b w:val="1"/>
                <w:bCs w:val="1"/>
                <w:color w:val="auto"/>
              </w:rPr>
              <w:t>TOTAL LIABILITIES</w:t>
            </w:r>
          </w:p>
        </w:tc>
        <w:tc>
          <w:tcPr>
            <w:tcW w:w="1400" w:type="dxa"/>
            <w:vAlign w:val="bottom"/>
          </w:tcPr>
          <w:p>
            <w:pPr>
              <w:jc w:val="right"/>
              <w:ind w:right="73"/>
              <w:spacing w:after="0"/>
              <w:rPr>
                <w:sz w:val="20"/>
                <w:szCs w:val="20"/>
                <w:color w:val="auto"/>
              </w:rPr>
            </w:pPr>
            <w:r>
              <w:rPr>
                <w:rFonts w:ascii="Arial" w:cs="Arial" w:eastAsia="Arial" w:hAnsi="Arial"/>
                <w:sz w:val="18"/>
                <w:szCs w:val="18"/>
                <w:b w:val="1"/>
                <w:bCs w:val="1"/>
                <w:color w:val="auto"/>
              </w:rPr>
              <w:t>7,408,331</w:t>
            </w:r>
          </w:p>
        </w:tc>
        <w:tc>
          <w:tcPr>
            <w:tcW w:w="1400" w:type="dxa"/>
            <w:vAlign w:val="bottom"/>
          </w:tcPr>
          <w:p>
            <w:pPr>
              <w:jc w:val="right"/>
              <w:ind w:right="153"/>
              <w:spacing w:after="0"/>
              <w:rPr>
                <w:sz w:val="20"/>
                <w:szCs w:val="20"/>
                <w:color w:val="auto"/>
              </w:rPr>
            </w:pPr>
            <w:r>
              <w:rPr>
                <w:rFonts w:ascii="Arial" w:cs="Arial" w:eastAsia="Arial" w:hAnsi="Arial"/>
                <w:sz w:val="18"/>
                <w:szCs w:val="18"/>
                <w:b w:val="1"/>
                <w:bCs w:val="1"/>
                <w:color w:val="auto"/>
              </w:rPr>
              <w:t>7,394,775</w:t>
            </w:r>
          </w:p>
        </w:tc>
        <w:tc>
          <w:tcPr>
            <w:tcW w:w="1220" w:type="dxa"/>
            <w:vAlign w:val="bottom"/>
          </w:tcPr>
          <w:p>
            <w:pPr>
              <w:jc w:val="right"/>
              <w:ind w:right="73"/>
              <w:spacing w:after="0"/>
              <w:rPr>
                <w:sz w:val="20"/>
                <w:szCs w:val="20"/>
                <w:color w:val="auto"/>
              </w:rPr>
            </w:pPr>
            <w:r>
              <w:rPr>
                <w:rFonts w:ascii="Arial" w:cs="Arial" w:eastAsia="Arial" w:hAnsi="Arial"/>
                <w:sz w:val="18"/>
                <w:szCs w:val="18"/>
                <w:b w:val="1"/>
                <w:bCs w:val="1"/>
                <w:color w:val="auto"/>
              </w:rPr>
              <w:t>8,055,391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8,312,434</w:t>
            </w:r>
          </w:p>
        </w:tc>
        <w:tc>
          <w:tcPr>
            <w:tcW w:w="0" w:type="dxa"/>
            <w:vAlign w:val="bottom"/>
          </w:tcPr>
          <w:p>
            <w:pPr>
              <w:spacing w:after="0"/>
              <w:rPr>
                <w:sz w:val="1"/>
                <w:szCs w:val="1"/>
                <w:color w:val="auto"/>
              </w:rPr>
            </w:pPr>
          </w:p>
        </w:tc>
      </w:tr>
      <w:tr>
        <w:trPr>
          <w:trHeight w:val="110"/>
        </w:trPr>
        <w:tc>
          <w:tcPr>
            <w:tcW w:w="35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86"/>
        </w:trPr>
        <w:tc>
          <w:tcPr>
            <w:tcW w:w="3520" w:type="dxa"/>
            <w:vAlign w:val="bottom"/>
          </w:tcPr>
          <w:p>
            <w:pPr>
              <w:jc w:val="center"/>
              <w:ind w:right="12"/>
              <w:spacing w:after="0"/>
              <w:rPr>
                <w:sz w:val="20"/>
                <w:szCs w:val="20"/>
                <w:color w:val="auto"/>
              </w:rPr>
            </w:pPr>
            <w:r>
              <w:rPr>
                <w:rFonts w:ascii="Arial" w:cs="Arial" w:eastAsia="Arial" w:hAnsi="Arial"/>
                <w:sz w:val="14"/>
                <w:szCs w:val="14"/>
                <w:color w:val="auto"/>
                <w:w w:val="92"/>
              </w:rPr>
              <w:t>NET SHAREHOLDERS' EQUITY</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910,733</w:t>
            </w: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918,160</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1,065,197</w:t>
            </w:r>
          </w:p>
        </w:tc>
        <w:tc>
          <w:tcPr>
            <w:tcW w:w="1220" w:type="dxa"/>
            <w:vAlign w:val="bottom"/>
          </w:tcPr>
          <w:p>
            <w:pPr>
              <w:jc w:val="right"/>
              <w:spacing w:after="0"/>
              <w:rPr>
                <w:sz w:val="20"/>
                <w:szCs w:val="20"/>
                <w:color w:val="auto"/>
              </w:rPr>
            </w:pPr>
            <w:r>
              <w:rPr>
                <w:rFonts w:ascii="Arial" w:cs="Arial" w:eastAsia="Arial" w:hAnsi="Arial"/>
                <w:sz w:val="18"/>
                <w:szCs w:val="18"/>
                <w:color w:val="auto"/>
              </w:rPr>
              <w:t>1,048,497</w:t>
            </w:r>
          </w:p>
        </w:tc>
        <w:tc>
          <w:tcPr>
            <w:tcW w:w="0" w:type="dxa"/>
            <w:vAlign w:val="bottom"/>
          </w:tcPr>
          <w:p>
            <w:pPr>
              <w:spacing w:after="0"/>
              <w:rPr>
                <w:sz w:val="1"/>
                <w:szCs w:val="1"/>
                <w:color w:val="auto"/>
              </w:rPr>
            </w:pPr>
          </w:p>
        </w:tc>
      </w:tr>
      <w:tr>
        <w:trPr>
          <w:trHeight w:val="110"/>
        </w:trPr>
        <w:tc>
          <w:tcPr>
            <w:tcW w:w="35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TOTAL LIABILITIES and NET SHAREHOLDERS'</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520" w:type="dxa"/>
            <w:vAlign w:val="bottom"/>
          </w:tcPr>
          <w:p>
            <w:pPr>
              <w:spacing w:after="0"/>
              <w:rPr>
                <w:sz w:val="20"/>
                <w:szCs w:val="20"/>
                <w:color w:val="auto"/>
              </w:rPr>
            </w:pPr>
            <w:r>
              <w:rPr>
                <w:rFonts w:ascii="Arial" w:cs="Arial" w:eastAsia="Arial" w:hAnsi="Arial"/>
                <w:sz w:val="14"/>
                <w:szCs w:val="14"/>
                <w:b w:val="1"/>
                <w:bCs w:val="1"/>
                <w:color w:val="auto"/>
              </w:rPr>
              <w:t>EQUITY</w:t>
            </w:r>
          </w:p>
        </w:tc>
        <w:tc>
          <w:tcPr>
            <w:tcW w:w="1400" w:type="dxa"/>
            <w:vAlign w:val="bottom"/>
          </w:tcPr>
          <w:p>
            <w:pPr>
              <w:jc w:val="right"/>
              <w:ind w:right="73"/>
              <w:spacing w:after="0"/>
              <w:rPr>
                <w:sz w:val="20"/>
                <w:szCs w:val="20"/>
                <w:color w:val="auto"/>
              </w:rPr>
            </w:pPr>
            <w:r>
              <w:rPr>
                <w:rFonts w:ascii="Arial" w:cs="Arial" w:eastAsia="Arial" w:hAnsi="Arial"/>
                <w:sz w:val="18"/>
                <w:szCs w:val="18"/>
                <w:b w:val="1"/>
                <w:bCs w:val="1"/>
                <w:color w:val="auto"/>
              </w:rPr>
              <w:t>8,319,064</w:t>
            </w:r>
          </w:p>
        </w:tc>
        <w:tc>
          <w:tcPr>
            <w:tcW w:w="1400" w:type="dxa"/>
            <w:vAlign w:val="bottom"/>
          </w:tcPr>
          <w:p>
            <w:pPr>
              <w:jc w:val="right"/>
              <w:ind w:right="153"/>
              <w:spacing w:after="0"/>
              <w:rPr>
                <w:sz w:val="20"/>
                <w:szCs w:val="20"/>
                <w:color w:val="auto"/>
              </w:rPr>
            </w:pPr>
            <w:r>
              <w:rPr>
                <w:rFonts w:ascii="Arial" w:cs="Arial" w:eastAsia="Arial" w:hAnsi="Arial"/>
                <w:sz w:val="18"/>
                <w:szCs w:val="18"/>
                <w:b w:val="1"/>
                <w:bCs w:val="1"/>
                <w:color w:val="auto"/>
              </w:rPr>
              <w:t>8,312,935</w:t>
            </w:r>
          </w:p>
        </w:tc>
        <w:tc>
          <w:tcPr>
            <w:tcW w:w="1220" w:type="dxa"/>
            <w:vAlign w:val="bottom"/>
          </w:tcPr>
          <w:p>
            <w:pPr>
              <w:jc w:val="right"/>
              <w:ind w:right="73"/>
              <w:spacing w:after="0"/>
              <w:rPr>
                <w:sz w:val="20"/>
                <w:szCs w:val="20"/>
                <w:color w:val="auto"/>
              </w:rPr>
            </w:pPr>
            <w:r>
              <w:rPr>
                <w:rFonts w:ascii="Arial" w:cs="Arial" w:eastAsia="Arial" w:hAnsi="Arial"/>
                <w:sz w:val="18"/>
                <w:szCs w:val="18"/>
                <w:b w:val="1"/>
                <w:bCs w:val="1"/>
                <w:color w:val="auto"/>
              </w:rPr>
              <w:t>9,120,588</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9,360,931</w:t>
            </w:r>
          </w:p>
        </w:tc>
        <w:tc>
          <w:tcPr>
            <w:tcW w:w="0" w:type="dxa"/>
            <w:vAlign w:val="bottom"/>
          </w:tcPr>
          <w:p>
            <w:pPr>
              <w:spacing w:after="0"/>
              <w:rPr>
                <w:sz w:val="1"/>
                <w:szCs w:val="1"/>
                <w:color w:val="auto"/>
              </w:rPr>
            </w:pPr>
          </w:p>
        </w:tc>
      </w:tr>
      <w:tr>
        <w:trPr>
          <w:trHeight w:val="486"/>
        </w:trPr>
        <w:tc>
          <w:tcPr>
            <w:tcW w:w="3520" w:type="dxa"/>
            <w:vAlign w:val="bottom"/>
          </w:tcPr>
          <w:p>
            <w:pPr>
              <w:spacing w:after="0"/>
              <w:rPr>
                <w:sz w:val="20"/>
                <w:szCs w:val="20"/>
                <w:color w:val="auto"/>
              </w:rPr>
            </w:pPr>
            <w:r>
              <w:rPr>
                <w:rFonts w:ascii="Arial" w:cs="Arial" w:eastAsia="Arial" w:hAnsi="Arial"/>
                <w:sz w:val="14"/>
                <w:szCs w:val="14"/>
                <w:b w:val="1"/>
                <w:bCs w:val="1"/>
                <w:color w:val="auto"/>
              </w:rPr>
              <w:t>CONTINGENT CREDITS</w:t>
            </w:r>
          </w:p>
        </w:tc>
        <w:tc>
          <w:tcPr>
            <w:tcW w:w="1400" w:type="dxa"/>
            <w:vAlign w:val="bottom"/>
          </w:tcPr>
          <w:p>
            <w:pPr>
              <w:jc w:val="right"/>
              <w:ind w:right="73"/>
              <w:spacing w:after="0"/>
              <w:rPr>
                <w:sz w:val="20"/>
                <w:szCs w:val="20"/>
                <w:color w:val="auto"/>
              </w:rPr>
            </w:pPr>
            <w:r>
              <w:rPr>
                <w:rFonts w:ascii="Arial" w:cs="Arial" w:eastAsia="Arial" w:hAnsi="Arial"/>
                <w:sz w:val="18"/>
                <w:szCs w:val="18"/>
                <w:b w:val="1"/>
                <w:bCs w:val="1"/>
                <w:color w:val="auto"/>
              </w:rPr>
              <w:t>1,768,605</w:t>
            </w:r>
          </w:p>
        </w:tc>
        <w:tc>
          <w:tcPr>
            <w:tcW w:w="1400" w:type="dxa"/>
            <w:vAlign w:val="bottom"/>
          </w:tcPr>
          <w:p>
            <w:pPr>
              <w:jc w:val="right"/>
              <w:ind w:right="153"/>
              <w:spacing w:after="0"/>
              <w:rPr>
                <w:sz w:val="20"/>
                <w:szCs w:val="20"/>
                <w:color w:val="auto"/>
              </w:rPr>
            </w:pPr>
            <w:r>
              <w:rPr>
                <w:rFonts w:ascii="Arial" w:cs="Arial" w:eastAsia="Arial" w:hAnsi="Arial"/>
                <w:sz w:val="18"/>
                <w:szCs w:val="18"/>
                <w:b w:val="1"/>
                <w:bCs w:val="1"/>
                <w:color w:val="auto"/>
              </w:rPr>
              <w:t>1,761,503</w:t>
            </w:r>
          </w:p>
        </w:tc>
        <w:tc>
          <w:tcPr>
            <w:tcW w:w="1220" w:type="dxa"/>
            <w:vAlign w:val="bottom"/>
          </w:tcPr>
          <w:p>
            <w:pPr>
              <w:jc w:val="right"/>
              <w:ind w:right="73"/>
              <w:spacing w:after="0"/>
              <w:rPr>
                <w:sz w:val="20"/>
                <w:szCs w:val="20"/>
                <w:color w:val="auto"/>
              </w:rPr>
            </w:pPr>
            <w:r>
              <w:rPr>
                <w:rFonts w:ascii="Arial" w:cs="Arial" w:eastAsia="Arial" w:hAnsi="Arial"/>
                <w:sz w:val="18"/>
                <w:szCs w:val="18"/>
                <w:b w:val="1"/>
                <w:bCs w:val="1"/>
                <w:color w:val="auto"/>
              </w:rPr>
              <w:t>2,017,731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1,896,442</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b w:val="1"/>
                <w:bCs w:val="1"/>
                <w:color w:val="auto"/>
              </w:rPr>
              <w:t>FUNDS UNDER MANAGEMENT</w:t>
            </w:r>
          </w:p>
        </w:tc>
        <w:tc>
          <w:tcPr>
            <w:tcW w:w="1400" w:type="dxa"/>
            <w:vAlign w:val="bottom"/>
          </w:tcPr>
          <w:p>
            <w:pPr>
              <w:jc w:val="right"/>
              <w:ind w:right="73"/>
              <w:spacing w:after="0"/>
              <w:rPr>
                <w:sz w:val="20"/>
                <w:szCs w:val="20"/>
                <w:color w:val="auto"/>
              </w:rPr>
            </w:pPr>
            <w:r>
              <w:rPr>
                <w:rFonts w:ascii="Arial" w:cs="Arial" w:eastAsia="Arial" w:hAnsi="Arial"/>
                <w:sz w:val="18"/>
                <w:szCs w:val="18"/>
                <w:b w:val="1"/>
                <w:bCs w:val="1"/>
                <w:color w:val="auto"/>
              </w:rPr>
              <w:t>1,724,130</w:t>
            </w:r>
          </w:p>
        </w:tc>
        <w:tc>
          <w:tcPr>
            <w:tcW w:w="1400" w:type="dxa"/>
            <w:vAlign w:val="bottom"/>
          </w:tcPr>
          <w:p>
            <w:pPr>
              <w:jc w:val="right"/>
              <w:ind w:right="153"/>
              <w:spacing w:after="0"/>
              <w:rPr>
                <w:sz w:val="20"/>
                <w:szCs w:val="20"/>
                <w:color w:val="auto"/>
              </w:rPr>
            </w:pPr>
            <w:r>
              <w:rPr>
                <w:rFonts w:ascii="Arial" w:cs="Arial" w:eastAsia="Arial" w:hAnsi="Arial"/>
                <w:sz w:val="18"/>
                <w:szCs w:val="18"/>
                <w:b w:val="1"/>
                <w:bCs w:val="1"/>
                <w:color w:val="auto"/>
              </w:rPr>
              <w:t>1,783,246</w:t>
            </w:r>
          </w:p>
        </w:tc>
        <w:tc>
          <w:tcPr>
            <w:tcW w:w="1220" w:type="dxa"/>
            <w:vAlign w:val="bottom"/>
          </w:tcPr>
          <w:p>
            <w:pPr>
              <w:jc w:val="right"/>
              <w:ind w:right="73"/>
              <w:spacing w:after="0"/>
              <w:rPr>
                <w:sz w:val="20"/>
                <w:szCs w:val="20"/>
                <w:color w:val="auto"/>
              </w:rPr>
            </w:pPr>
            <w:r>
              <w:rPr>
                <w:rFonts w:ascii="Arial" w:cs="Arial" w:eastAsia="Arial" w:hAnsi="Arial"/>
                <w:sz w:val="18"/>
                <w:szCs w:val="18"/>
                <w:b w:val="1"/>
                <w:bCs w:val="1"/>
                <w:color w:val="auto"/>
              </w:rPr>
              <w:t>1,754,352</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1,731,429</w:t>
            </w:r>
          </w:p>
        </w:tc>
        <w:tc>
          <w:tcPr>
            <w:tcW w:w="0" w:type="dxa"/>
            <w:vAlign w:val="bottom"/>
          </w:tcPr>
          <w:p>
            <w:pPr>
              <w:spacing w:after="0"/>
              <w:rPr>
                <w:sz w:val="1"/>
                <w:szCs w:val="1"/>
                <w:color w:val="auto"/>
              </w:rPr>
            </w:pPr>
          </w:p>
        </w:tc>
      </w:tr>
      <w:tr>
        <w:trPr>
          <w:trHeight w:val="110"/>
        </w:trPr>
        <w:tc>
          <w:tcPr>
            <w:tcW w:w="352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-8982075</wp:posOffset>
            </wp:positionV>
            <wp:extent cx="342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-8982075</wp:posOffset>
            </wp:positionV>
            <wp:extent cx="3429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-8982075</wp:posOffset>
            </wp:positionV>
            <wp:extent cx="3429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-8682355</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-8682355</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-8682355</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-8682355</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-8682355</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-8373745</wp:posOffset>
            </wp:positionV>
            <wp:extent cx="3429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-8073390</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-8073390</wp:posOffset>
            </wp:positionV>
            <wp:extent cx="3429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-8073390</wp:posOffset>
            </wp:positionV>
            <wp:extent cx="3429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-8073390</wp:posOffset>
            </wp:positionV>
            <wp:extent cx="342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-7773035</wp:posOffset>
            </wp:positionV>
            <wp:extent cx="3429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-7773035</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-7773035</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-7773035</wp:posOffset>
            </wp:positionV>
            <wp:extent cx="3429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-6238240</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-6238240</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-6238240</wp:posOffset>
            </wp:positionV>
            <wp:extent cx="3429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-6238240</wp:posOffset>
            </wp:positionV>
            <wp:extent cx="3429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-6238240</wp:posOffset>
            </wp:positionV>
            <wp:extent cx="3429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-4608830</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-4608830</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-4608830</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-4608830</wp:posOffset>
            </wp:positionV>
            <wp:extent cx="3429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-4608830</wp:posOffset>
            </wp:positionV>
            <wp:extent cx="3429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-3990975</wp:posOffset>
            </wp:positionV>
            <wp:extent cx="342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-3691255</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-3691255</wp:posOffset>
            </wp:positionV>
            <wp:extent cx="3429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-3691255</wp:posOffset>
            </wp:positionV>
            <wp:extent cx="3429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-3691255</wp:posOffset>
            </wp:positionV>
            <wp:extent cx="3429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-3390900</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-3390900</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-3390900</wp:posOffset>
            </wp:positionV>
            <wp:extent cx="3429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-3390900</wp:posOffset>
            </wp:positionV>
            <wp:extent cx="3429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-1392555</wp:posOffset>
            </wp:positionV>
            <wp:extent cx="3429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-1392555</wp:posOffset>
            </wp:positionV>
            <wp:extent cx="3429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-1392555</wp:posOffset>
            </wp:positionV>
            <wp:extent cx="3429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-1392555</wp:posOffset>
            </wp:positionV>
            <wp:extent cx="3429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-1392555</wp:posOffset>
            </wp:positionV>
            <wp:extent cx="3429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-938530</wp:posOffset>
            </wp:positionV>
            <wp:extent cx="3429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-938530</wp:posOffset>
            </wp:positionV>
            <wp:extent cx="3429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-938530</wp:posOffset>
            </wp:positionV>
            <wp:extent cx="3429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-938530</wp:posOffset>
            </wp:positionV>
            <wp:extent cx="3429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-938530</wp:posOffset>
            </wp:positionV>
            <wp:extent cx="3429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-20955</wp:posOffset>
            </wp:positionV>
            <wp:extent cx="3429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-20955</wp:posOffset>
            </wp:positionV>
            <wp:extent cx="3429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-20955</wp:posOffset>
            </wp:positionV>
            <wp:extent cx="3429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-20955</wp:posOffset>
            </wp:positionV>
            <wp:extent cx="3429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9019"/>
          </w:cols>
          <w:pgMar w:left="1440" w:top="368" w:right="1440" w:bottom="144" w:gutter="0" w:footer="0" w:header="0"/>
        </w:sectPr>
      </w:pPr>
    </w:p>
    <w:bookmarkStart w:id="16" w:name="page17"/>
    <w:bookmarkEnd w:id="16"/>
    <w:tbl>
      <w:tblPr>
        <w:tblLayout w:type="fixed"/>
        <w:tblInd w:w="140" w:type="dxa"/>
        <w:tblCellMar>
          <w:top w:w="0" w:type="dxa"/>
          <w:left w:w="0" w:type="dxa"/>
          <w:bottom w:w="0" w:type="dxa"/>
          <w:right w:w="0" w:type="dxa"/>
        </w:tblCellMar>
      </w:tblPr>
      <w:tr>
        <w:trPr>
          <w:trHeight w:val="228"/>
        </w:trPr>
        <w:tc>
          <w:tcPr>
            <w:tcW w:w="6120" w:type="dxa"/>
            <w:vAlign w:val="bottom"/>
            <w:gridSpan w:val="3"/>
          </w:tcPr>
          <w:p>
            <w:pPr>
              <w:jc w:val="center"/>
              <w:ind w:left="2553"/>
              <w:spacing w:after="0"/>
              <w:rPr>
                <w:sz w:val="20"/>
                <w:szCs w:val="20"/>
                <w:color w:val="auto"/>
              </w:rPr>
            </w:pPr>
            <w:r>
              <w:rPr>
                <w:rFonts w:ascii="Arial" w:cs="Arial" w:eastAsia="Arial" w:hAnsi="Arial"/>
                <w:sz w:val="18"/>
                <w:szCs w:val="18"/>
                <w:b w:val="1"/>
                <w:bCs w:val="1"/>
                <w:color w:val="auto"/>
                <w:w w:val="96"/>
              </w:rPr>
              <w:t>CREDICORP LTD. AND SUBSIDIARIES</w:t>
            </w: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500" w:type="dxa"/>
            <w:vAlign w:val="bottom"/>
          </w:tcPr>
          <w:p>
            <w:pPr>
              <w:ind w:left="4040"/>
              <w:spacing w:after="0"/>
              <w:rPr>
                <w:sz w:val="20"/>
                <w:szCs w:val="20"/>
                <w:color w:val="auto"/>
              </w:rPr>
            </w:pPr>
            <w:r>
              <w:rPr>
                <w:rFonts w:ascii="Arial" w:cs="Arial" w:eastAsia="Arial" w:hAnsi="Arial"/>
                <w:sz w:val="18"/>
                <w:szCs w:val="18"/>
                <w:b w:val="1"/>
                <w:bCs w:val="1"/>
                <w:color w:val="auto"/>
                <w:w w:val="93"/>
              </w:rPr>
              <w:t>Table</w:t>
            </w:r>
          </w:p>
        </w:tc>
        <w:tc>
          <w:tcPr>
            <w:tcW w:w="320" w:type="dxa"/>
            <w:vAlign w:val="bottom"/>
          </w:tcPr>
          <w:p>
            <w:pPr>
              <w:jc w:val="right"/>
              <w:ind w:right="74"/>
              <w:spacing w:after="0"/>
              <w:rPr>
                <w:sz w:val="20"/>
                <w:szCs w:val="20"/>
                <w:color w:val="auto"/>
              </w:rPr>
            </w:pPr>
            <w:r>
              <w:rPr>
                <w:rFonts w:ascii="Arial" w:cs="Arial" w:eastAsia="Arial" w:hAnsi="Arial"/>
                <w:sz w:val="18"/>
                <w:szCs w:val="18"/>
                <w:b w:val="1"/>
                <w:bCs w:val="1"/>
                <w:color w:val="auto"/>
              </w:rPr>
              <w:t>2</w:t>
            </w: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120" w:type="dxa"/>
            <w:vAlign w:val="bottom"/>
            <w:gridSpan w:val="3"/>
          </w:tcPr>
          <w:p>
            <w:pPr>
              <w:jc w:val="center"/>
              <w:ind w:left="2533"/>
              <w:spacing w:after="0"/>
              <w:rPr>
                <w:sz w:val="20"/>
                <w:szCs w:val="20"/>
                <w:color w:val="auto"/>
              </w:rPr>
            </w:pPr>
            <w:r>
              <w:rPr>
                <w:rFonts w:ascii="Arial" w:cs="Arial" w:eastAsia="Arial" w:hAnsi="Arial"/>
                <w:sz w:val="18"/>
                <w:szCs w:val="18"/>
                <w:b w:val="1"/>
                <w:bCs w:val="1"/>
                <w:color w:val="auto"/>
                <w:w w:val="98"/>
              </w:rPr>
              <w:t>CONSOLIDATED INCOME STATEMENTS</w:t>
            </w: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120" w:type="dxa"/>
            <w:vAlign w:val="bottom"/>
            <w:gridSpan w:val="3"/>
          </w:tcPr>
          <w:p>
            <w:pPr>
              <w:jc w:val="center"/>
              <w:ind w:left="2553"/>
              <w:spacing w:after="0"/>
              <w:rPr>
                <w:sz w:val="20"/>
                <w:szCs w:val="20"/>
                <w:color w:val="auto"/>
              </w:rPr>
            </w:pPr>
            <w:r>
              <w:rPr>
                <w:rFonts w:ascii="Arial" w:cs="Arial" w:eastAsia="Arial" w:hAnsi="Arial"/>
                <w:sz w:val="14"/>
                <w:szCs w:val="14"/>
                <w:i w:val="1"/>
                <w:iCs w:val="1"/>
                <w:color w:val="auto"/>
                <w:w w:val="89"/>
              </w:rPr>
              <w:t>(In thousands of U.S. Dollars)</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jc w:val="right"/>
              <w:ind w:right="176"/>
              <w:spacing w:after="0"/>
              <w:rPr>
                <w:sz w:val="20"/>
                <w:szCs w:val="20"/>
                <w:color w:val="auto"/>
              </w:rPr>
            </w:pPr>
            <w:r>
              <w:rPr>
                <w:rFonts w:ascii="Arial" w:cs="Arial" w:eastAsia="Arial" w:hAnsi="Arial"/>
                <w:sz w:val="14"/>
                <w:szCs w:val="14"/>
                <w:b w:val="1"/>
                <w:bCs w:val="1"/>
                <w:color w:val="auto"/>
                <w:w w:val="87"/>
              </w:rPr>
              <w:t>Three months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4500" w:type="dxa"/>
            <w:vAlign w:val="bottom"/>
          </w:tcPr>
          <w:p>
            <w:pPr>
              <w:spacing w:after="0"/>
              <w:rPr>
                <w:sz w:val="24"/>
                <w:szCs w:val="24"/>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31.03.04</w:t>
            </w: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31.12.04</w:t>
            </w: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31.03.05</w:t>
            </w:r>
          </w:p>
        </w:tc>
        <w:tc>
          <w:tcPr>
            <w:tcW w:w="0" w:type="dxa"/>
            <w:vAlign w:val="bottom"/>
          </w:tcPr>
          <w:p>
            <w:pPr>
              <w:spacing w:after="0"/>
              <w:rPr>
                <w:sz w:val="1"/>
                <w:szCs w:val="1"/>
                <w:color w:val="auto"/>
              </w:rPr>
            </w:pPr>
          </w:p>
        </w:tc>
      </w:tr>
      <w:tr>
        <w:trPr>
          <w:trHeight w:val="122"/>
        </w:trPr>
        <w:tc>
          <w:tcPr>
            <w:tcW w:w="4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450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Interest on loans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101,275</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114,001</w:t>
            </w:r>
          </w:p>
        </w:tc>
        <w:tc>
          <w:tcPr>
            <w:tcW w:w="1160" w:type="dxa"/>
            <w:vAlign w:val="bottom"/>
          </w:tcPr>
          <w:p>
            <w:pPr>
              <w:jc w:val="right"/>
              <w:spacing w:after="0"/>
              <w:rPr>
                <w:sz w:val="20"/>
                <w:szCs w:val="20"/>
                <w:color w:val="auto"/>
              </w:rPr>
            </w:pPr>
            <w:r>
              <w:rPr>
                <w:rFonts w:ascii="Arial" w:cs="Arial" w:eastAsia="Arial" w:hAnsi="Arial"/>
                <w:sz w:val="18"/>
                <w:szCs w:val="18"/>
                <w:color w:val="auto"/>
              </w:rPr>
              <w:t>102,881</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Interest and dividends on investments: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2,534</w:t>
            </w: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Interest on deposits with banks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3,423</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7,096</w:t>
            </w:r>
          </w:p>
        </w:tc>
        <w:tc>
          <w:tcPr>
            <w:tcW w:w="1160" w:type="dxa"/>
            <w:vAlign w:val="bottom"/>
          </w:tcPr>
          <w:p>
            <w:pPr>
              <w:jc w:val="right"/>
              <w:spacing w:after="0"/>
              <w:rPr>
                <w:sz w:val="20"/>
                <w:szCs w:val="20"/>
                <w:color w:val="auto"/>
              </w:rPr>
            </w:pPr>
            <w:r>
              <w:rPr>
                <w:rFonts w:ascii="Arial" w:cs="Arial" w:eastAsia="Arial" w:hAnsi="Arial"/>
                <w:sz w:val="18"/>
                <w:szCs w:val="18"/>
                <w:color w:val="auto"/>
              </w:rPr>
              <w:t>8,440</w:t>
            </w:r>
          </w:p>
        </w:tc>
        <w:tc>
          <w:tcPr>
            <w:tcW w:w="0" w:type="dxa"/>
            <w:vAlign w:val="bottom"/>
          </w:tcPr>
          <w:p>
            <w:pPr>
              <w:spacing w:after="0"/>
              <w:rPr>
                <w:sz w:val="1"/>
                <w:szCs w:val="1"/>
                <w:color w:val="auto"/>
              </w:rPr>
            </w:pPr>
          </w:p>
        </w:tc>
      </w:tr>
      <w:tr>
        <w:trPr>
          <w:trHeight w:val="110"/>
        </w:trPr>
        <w:tc>
          <w:tcPr>
            <w:tcW w:w="4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4500" w:type="dxa"/>
            <w:vAlign w:val="bottom"/>
          </w:tcPr>
          <w:p>
            <w:pPr>
              <w:ind w:left="160"/>
              <w:spacing w:after="0"/>
              <w:rPr>
                <w:sz w:val="20"/>
                <w:szCs w:val="20"/>
                <w:color w:val="auto"/>
              </w:rPr>
            </w:pPr>
            <w:r>
              <w:rPr>
                <w:rFonts w:ascii="Arial" w:cs="Arial" w:eastAsia="Arial" w:hAnsi="Arial"/>
                <w:sz w:val="18"/>
                <w:szCs w:val="18"/>
                <w:color w:val="auto"/>
              </w:rPr>
              <w:t>Interest on trading securities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22,259</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23,642</w:t>
            </w:r>
          </w:p>
        </w:tc>
        <w:tc>
          <w:tcPr>
            <w:tcW w:w="1160" w:type="dxa"/>
            <w:vAlign w:val="bottom"/>
          </w:tcPr>
          <w:p>
            <w:pPr>
              <w:jc w:val="right"/>
              <w:spacing w:after="0"/>
              <w:rPr>
                <w:sz w:val="20"/>
                <w:szCs w:val="20"/>
                <w:color w:val="auto"/>
              </w:rPr>
            </w:pPr>
            <w:r>
              <w:rPr>
                <w:rFonts w:ascii="Arial" w:cs="Arial" w:eastAsia="Arial" w:hAnsi="Arial"/>
                <w:sz w:val="18"/>
                <w:szCs w:val="18"/>
                <w:color w:val="auto"/>
              </w:rPr>
              <w:t>29,993</w:t>
            </w:r>
          </w:p>
        </w:tc>
        <w:tc>
          <w:tcPr>
            <w:tcW w:w="0" w:type="dxa"/>
            <w:vAlign w:val="bottom"/>
          </w:tcPr>
          <w:p>
            <w:pPr>
              <w:spacing w:after="0"/>
              <w:rPr>
                <w:sz w:val="1"/>
                <w:szCs w:val="1"/>
                <w:color w:val="auto"/>
              </w:rPr>
            </w:pPr>
          </w:p>
        </w:tc>
      </w:tr>
      <w:tr>
        <w:trPr>
          <w:trHeight w:val="110"/>
        </w:trPr>
        <w:tc>
          <w:tcPr>
            <w:tcW w:w="4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4500" w:type="dxa"/>
            <w:vAlign w:val="bottom"/>
          </w:tcPr>
          <w:p>
            <w:pPr>
              <w:jc w:val="center"/>
              <w:ind w:left="193"/>
              <w:spacing w:after="0"/>
              <w:rPr>
                <w:sz w:val="20"/>
                <w:szCs w:val="20"/>
                <w:color w:val="auto"/>
              </w:rPr>
            </w:pPr>
            <w:r>
              <w:rPr>
                <w:rFonts w:ascii="Arial" w:cs="Arial" w:eastAsia="Arial" w:hAnsi="Arial"/>
                <w:sz w:val="18"/>
                <w:szCs w:val="18"/>
                <w:color w:val="auto"/>
                <w:w w:val="88"/>
              </w:rPr>
              <w:t>Total Interest Income</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126,960</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147,273</w:t>
            </w:r>
          </w:p>
        </w:tc>
        <w:tc>
          <w:tcPr>
            <w:tcW w:w="1160" w:type="dxa"/>
            <w:vAlign w:val="bottom"/>
          </w:tcPr>
          <w:p>
            <w:pPr>
              <w:jc w:val="right"/>
              <w:spacing w:after="0"/>
              <w:rPr>
                <w:sz w:val="20"/>
                <w:szCs w:val="20"/>
                <w:color w:val="auto"/>
              </w:rPr>
            </w:pPr>
            <w:r>
              <w:rPr>
                <w:rFonts w:ascii="Arial" w:cs="Arial" w:eastAsia="Arial" w:hAnsi="Arial"/>
                <w:sz w:val="18"/>
                <w:szCs w:val="18"/>
                <w:color w:val="auto"/>
              </w:rPr>
              <w:t>141,383</w:t>
            </w:r>
          </w:p>
        </w:tc>
        <w:tc>
          <w:tcPr>
            <w:tcW w:w="0" w:type="dxa"/>
            <w:vAlign w:val="bottom"/>
          </w:tcPr>
          <w:p>
            <w:pPr>
              <w:spacing w:after="0"/>
              <w:rPr>
                <w:sz w:val="1"/>
                <w:szCs w:val="1"/>
                <w:color w:val="auto"/>
              </w:rPr>
            </w:pPr>
          </w:p>
        </w:tc>
      </w:tr>
      <w:tr>
        <w:trPr>
          <w:trHeight w:val="110"/>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86"/>
        </w:trPr>
        <w:tc>
          <w:tcPr>
            <w:tcW w:w="4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Interest on deposits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27,055</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27,245</w:t>
            </w:r>
          </w:p>
        </w:tc>
        <w:tc>
          <w:tcPr>
            <w:tcW w:w="1160" w:type="dxa"/>
            <w:vAlign w:val="bottom"/>
          </w:tcPr>
          <w:p>
            <w:pPr>
              <w:jc w:val="right"/>
              <w:spacing w:after="0"/>
              <w:rPr>
                <w:sz w:val="20"/>
                <w:szCs w:val="20"/>
                <w:color w:val="auto"/>
              </w:rPr>
            </w:pPr>
            <w:r>
              <w:rPr>
                <w:rFonts w:ascii="Arial" w:cs="Arial" w:eastAsia="Arial" w:hAnsi="Arial"/>
                <w:sz w:val="18"/>
                <w:szCs w:val="18"/>
                <w:color w:val="auto"/>
              </w:rPr>
              <w:t>25,975</w:t>
            </w:r>
          </w:p>
        </w:tc>
        <w:tc>
          <w:tcPr>
            <w:tcW w:w="0" w:type="dxa"/>
            <w:vAlign w:val="bottom"/>
          </w:tcPr>
          <w:p>
            <w:pPr>
              <w:spacing w:after="0"/>
              <w:rPr>
                <w:sz w:val="1"/>
                <w:szCs w:val="1"/>
                <w:color w:val="auto"/>
              </w:rPr>
            </w:pPr>
          </w:p>
        </w:tc>
      </w:tr>
      <w:tr>
        <w:trPr>
          <w:trHeight w:val="243"/>
        </w:trPr>
        <w:tc>
          <w:tcPr>
            <w:tcW w:w="4500" w:type="dxa"/>
            <w:vAlign w:val="bottom"/>
          </w:tcPr>
          <w:p>
            <w:pPr>
              <w:ind w:left="160"/>
              <w:spacing w:after="0"/>
              <w:rPr>
                <w:sz w:val="20"/>
                <w:szCs w:val="20"/>
                <w:color w:val="auto"/>
              </w:rPr>
            </w:pPr>
            <w:r>
              <w:rPr>
                <w:rFonts w:ascii="Arial" w:cs="Arial" w:eastAsia="Arial" w:hAnsi="Arial"/>
                <w:sz w:val="18"/>
                <w:szCs w:val="18"/>
                <w:color w:val="auto"/>
              </w:rPr>
              <w:t>Interest on borrowed funds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3,368</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4,716</w:t>
            </w:r>
          </w:p>
        </w:tc>
        <w:tc>
          <w:tcPr>
            <w:tcW w:w="1160" w:type="dxa"/>
            <w:vAlign w:val="bottom"/>
          </w:tcPr>
          <w:p>
            <w:pPr>
              <w:jc w:val="right"/>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110"/>
        </w:trPr>
        <w:tc>
          <w:tcPr>
            <w:tcW w:w="4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4500" w:type="dxa"/>
            <w:vAlign w:val="bottom"/>
          </w:tcPr>
          <w:p>
            <w:pPr>
              <w:ind w:left="160"/>
              <w:spacing w:after="0"/>
              <w:rPr>
                <w:sz w:val="20"/>
                <w:szCs w:val="20"/>
                <w:color w:val="auto"/>
              </w:rPr>
            </w:pPr>
            <w:r>
              <w:rPr>
                <w:rFonts w:ascii="Arial" w:cs="Arial" w:eastAsia="Arial" w:hAnsi="Arial"/>
                <w:sz w:val="18"/>
                <w:szCs w:val="18"/>
                <w:color w:val="auto"/>
              </w:rPr>
              <w:t>Other interest expense</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6,548</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9,547</w:t>
            </w:r>
          </w:p>
        </w:tc>
        <w:tc>
          <w:tcPr>
            <w:tcW w:w="1160" w:type="dxa"/>
            <w:vAlign w:val="bottom"/>
          </w:tcPr>
          <w:p>
            <w:pPr>
              <w:jc w:val="right"/>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110"/>
        </w:trPr>
        <w:tc>
          <w:tcPr>
            <w:tcW w:w="4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4500" w:type="dxa"/>
            <w:vAlign w:val="bottom"/>
          </w:tcPr>
          <w:p>
            <w:pPr>
              <w:jc w:val="center"/>
              <w:ind w:left="173"/>
              <w:spacing w:after="0"/>
              <w:rPr>
                <w:sz w:val="20"/>
                <w:szCs w:val="20"/>
                <w:color w:val="auto"/>
              </w:rPr>
            </w:pPr>
            <w:r>
              <w:rPr>
                <w:rFonts w:ascii="Arial" w:cs="Arial" w:eastAsia="Arial" w:hAnsi="Arial"/>
                <w:sz w:val="18"/>
                <w:szCs w:val="18"/>
                <w:color w:val="auto"/>
                <w:w w:val="86"/>
              </w:rPr>
              <w:t>Total Interest Expense</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36,971</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41,508</w:t>
            </w:r>
          </w:p>
        </w:tc>
        <w:tc>
          <w:tcPr>
            <w:tcW w:w="1160" w:type="dxa"/>
            <w:vAlign w:val="bottom"/>
          </w:tcPr>
          <w:p>
            <w:pPr>
              <w:jc w:val="right"/>
              <w:spacing w:after="0"/>
              <w:rPr>
                <w:sz w:val="20"/>
                <w:szCs w:val="20"/>
                <w:color w:val="auto"/>
              </w:rPr>
            </w:pPr>
            <w:r>
              <w:rPr>
                <w:rFonts w:ascii="Arial" w:cs="Arial" w:eastAsia="Arial" w:hAnsi="Arial"/>
                <w:sz w:val="18"/>
                <w:szCs w:val="18"/>
                <w:color w:val="auto"/>
              </w:rPr>
              <w:t>37,565</w:t>
            </w:r>
          </w:p>
        </w:tc>
        <w:tc>
          <w:tcPr>
            <w:tcW w:w="0" w:type="dxa"/>
            <w:vAlign w:val="bottom"/>
          </w:tcPr>
          <w:p>
            <w:pPr>
              <w:spacing w:after="0"/>
              <w:rPr>
                <w:sz w:val="1"/>
                <w:szCs w:val="1"/>
                <w:color w:val="auto"/>
              </w:rPr>
            </w:pPr>
          </w:p>
        </w:tc>
      </w:tr>
      <w:tr>
        <w:trPr>
          <w:trHeight w:val="110"/>
        </w:trPr>
        <w:tc>
          <w:tcPr>
            <w:tcW w:w="4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99"/>
        </w:trPr>
        <w:tc>
          <w:tcPr>
            <w:tcW w:w="4500" w:type="dxa"/>
            <w:vAlign w:val="bottom"/>
          </w:tcPr>
          <w:p>
            <w:pPr>
              <w:jc w:val="center"/>
              <w:ind w:left="173"/>
              <w:spacing w:after="0"/>
              <w:rPr>
                <w:sz w:val="20"/>
                <w:szCs w:val="20"/>
                <w:color w:val="auto"/>
              </w:rPr>
            </w:pPr>
            <w:r>
              <w:rPr>
                <w:rFonts w:ascii="Arial" w:cs="Arial" w:eastAsia="Arial" w:hAnsi="Arial"/>
                <w:sz w:val="18"/>
                <w:szCs w:val="18"/>
                <w:color w:val="auto"/>
                <w:w w:val="89"/>
              </w:rPr>
              <w:t>Net Interest Income</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89,989</w:t>
            </w:r>
          </w:p>
        </w:tc>
        <w:tc>
          <w:tcPr>
            <w:tcW w:w="1480" w:type="dxa"/>
            <w:vAlign w:val="bottom"/>
          </w:tcPr>
          <w:p>
            <w:pPr>
              <w:jc w:val="right"/>
              <w:ind w:right="136"/>
              <w:spacing w:after="0"/>
              <w:rPr>
                <w:sz w:val="20"/>
                <w:szCs w:val="20"/>
                <w:color w:val="auto"/>
              </w:rPr>
            </w:pPr>
            <w:r>
              <w:rPr>
                <w:rFonts w:ascii="Arial" w:cs="Arial" w:eastAsia="Arial" w:hAnsi="Arial"/>
                <w:sz w:val="18"/>
                <w:szCs w:val="18"/>
                <w:color w:val="auto"/>
              </w:rPr>
              <w:t>105,765</w:t>
            </w:r>
          </w:p>
        </w:tc>
        <w:tc>
          <w:tcPr>
            <w:tcW w:w="1160" w:type="dxa"/>
            <w:vAlign w:val="bottom"/>
          </w:tcPr>
          <w:p>
            <w:pPr>
              <w:jc w:val="right"/>
              <w:spacing w:after="0"/>
              <w:rPr>
                <w:sz w:val="20"/>
                <w:szCs w:val="20"/>
                <w:color w:val="auto"/>
              </w:rPr>
            </w:pPr>
            <w:r>
              <w:rPr>
                <w:rFonts w:ascii="Arial" w:cs="Arial" w:eastAsia="Arial" w:hAnsi="Arial"/>
                <w:sz w:val="18"/>
                <w:szCs w:val="18"/>
                <w:color w:val="auto"/>
              </w:rPr>
              <w:t>103,818</w:t>
            </w:r>
          </w:p>
        </w:tc>
        <w:tc>
          <w:tcPr>
            <w:tcW w:w="0" w:type="dxa"/>
            <w:vAlign w:val="bottom"/>
          </w:tcPr>
          <w:p>
            <w:pPr>
              <w:spacing w:after="0"/>
              <w:rPr>
                <w:sz w:val="1"/>
                <w:szCs w:val="1"/>
                <w:color w:val="auto"/>
              </w:rPr>
            </w:pPr>
          </w:p>
        </w:tc>
      </w:tr>
      <w:tr>
        <w:trPr>
          <w:trHeight w:val="110"/>
        </w:trPr>
        <w:tc>
          <w:tcPr>
            <w:tcW w:w="4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5628005</wp:posOffset>
            </wp:positionH>
            <wp:positionV relativeFrom="paragraph">
              <wp:posOffset>-3811270</wp:posOffset>
            </wp:positionV>
            <wp:extent cx="3429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-3510915</wp:posOffset>
            </wp:positionV>
            <wp:extent cx="3429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-3510915</wp:posOffset>
            </wp:positionV>
            <wp:extent cx="3429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-3210560</wp:posOffset>
            </wp:positionV>
            <wp:extent cx="3429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-3210560</wp:posOffset>
            </wp:positionV>
            <wp:extent cx="3429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-3210560</wp:posOffset>
            </wp:positionV>
            <wp:extent cx="3429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-3210560</wp:posOffset>
            </wp:positionV>
            <wp:extent cx="3429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-2447290</wp:posOffset>
            </wp:positionV>
            <wp:extent cx="3429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-2447290</wp:posOffset>
            </wp:positionV>
            <wp:extent cx="3429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-2447290</wp:posOffset>
            </wp:positionV>
            <wp:extent cx="3429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-2147570</wp:posOffset>
            </wp:positionV>
            <wp:extent cx="3429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-2147570</wp:posOffset>
            </wp:positionV>
            <wp:extent cx="3429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-2147570</wp:posOffset>
            </wp:positionV>
            <wp:extent cx="3429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-1847215</wp:posOffset>
            </wp:positionV>
            <wp:extent cx="3429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-1847215</wp:posOffset>
            </wp:positionV>
            <wp:extent cx="3429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-1847215</wp:posOffset>
            </wp:positionV>
            <wp:extent cx="3429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-1083945</wp:posOffset>
            </wp:positionV>
            <wp:extent cx="3429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-1083945</wp:posOffset>
            </wp:positionV>
            <wp:extent cx="3429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-1083945</wp:posOffset>
            </wp:positionV>
            <wp:extent cx="3429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-783590</wp:posOffset>
            </wp:positionV>
            <wp:extent cx="3429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-783590</wp:posOffset>
            </wp:positionV>
            <wp:extent cx="3429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-783590</wp:posOffset>
            </wp:positionV>
            <wp:extent cx="3429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-483870</wp:posOffset>
            </wp:positionV>
            <wp:extent cx="3429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-483870</wp:posOffset>
            </wp:positionV>
            <wp:extent cx="3429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-483870</wp:posOffset>
            </wp:positionV>
            <wp:extent cx="3429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-20955</wp:posOffset>
            </wp:positionV>
            <wp:extent cx="3429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-20955</wp:posOffset>
            </wp:positionV>
            <wp:extent cx="3429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-20955</wp:posOffset>
            </wp:positionV>
            <wp:extent cx="3429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-20955</wp:posOffset>
            </wp:positionV>
            <wp:extent cx="3429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9019"/>
          </w:cols>
          <w:pgMar w:left="1440" w:top="584" w:right="1440" w:bottom="0" w:gutter="0" w:footer="0" w:header="0"/>
        </w:sect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Provision for possible loan losses, net(1)</w:t>
      </w:r>
    </w:p>
    <w:p>
      <w:pPr>
        <w:spacing w:after="0" w:line="30" w:lineRule="exact"/>
        <w:rPr>
          <w:sz w:val="20"/>
          <w:szCs w:val="20"/>
          <w:color w:val="auto"/>
        </w:rPr>
      </w:pPr>
    </w:p>
    <w:p>
      <w:pPr>
        <w:ind w:left="400" w:right="1240" w:hanging="269"/>
        <w:spacing w:after="0" w:line="375" w:lineRule="auto"/>
        <w:rPr>
          <w:sz w:val="20"/>
          <w:szCs w:val="20"/>
          <w:color w:val="auto"/>
        </w:rPr>
      </w:pPr>
      <w:r>
        <w:rPr>
          <w:rFonts w:ascii="Arial" w:cs="Arial" w:eastAsia="Arial" w:hAnsi="Arial"/>
          <w:sz w:val="16"/>
          <w:szCs w:val="16"/>
          <w:b w:val="1"/>
          <w:bCs w:val="1"/>
          <w:color w:val="auto"/>
        </w:rPr>
        <w:t>Net interest income after provision for possible loan losses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INCOME</w:t>
      </w:r>
    </w:p>
    <w:p>
      <w:pPr>
        <w:spacing w:after="0" w:line="42" w:lineRule="exact"/>
        <w:rPr>
          <w:sz w:val="20"/>
          <w:szCs w:val="20"/>
          <w:color w:val="auto"/>
        </w:rPr>
      </w:pPr>
    </w:p>
    <w:p>
      <w:pPr>
        <w:ind w:left="200" w:right="860"/>
        <w:spacing w:after="0" w:line="317" w:lineRule="auto"/>
        <w:rPr>
          <w:sz w:val="20"/>
          <w:szCs w:val="20"/>
          <w:color w:val="auto"/>
        </w:rPr>
      </w:pPr>
      <w:r>
        <w:rPr>
          <w:rFonts w:ascii="Arial" w:cs="Arial" w:eastAsia="Arial" w:hAnsi="Arial"/>
          <w:sz w:val="16"/>
          <w:szCs w:val="16"/>
          <w:color w:val="auto"/>
        </w:rPr>
        <w:t>Fees and commissions from banking services Net gains from sales of securities</w:t>
      </w:r>
    </w:p>
    <w:p>
      <w:pPr>
        <w:ind w:left="200" w:right="1020"/>
        <w:spacing w:after="0" w:line="299" w:lineRule="auto"/>
        <w:rPr>
          <w:sz w:val="20"/>
          <w:szCs w:val="20"/>
          <w:color w:val="auto"/>
        </w:rPr>
      </w:pPr>
      <w:r>
        <w:rPr>
          <w:rFonts w:ascii="Arial" w:cs="Arial" w:eastAsia="Arial" w:hAnsi="Arial"/>
          <w:sz w:val="18"/>
          <w:szCs w:val="18"/>
          <w:color w:val="auto"/>
        </w:rPr>
        <w:t>Net gains on foreign exchange transactions Net premiums earned</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income (1)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right="920" w:hanging="53"/>
        <w:spacing w:after="0" w:line="306" w:lineRule="auto"/>
        <w:rPr>
          <w:sz w:val="20"/>
          <w:szCs w:val="20"/>
          <w:color w:val="auto"/>
        </w:rPr>
      </w:pPr>
      <w:r>
        <w:rPr>
          <w:rFonts w:ascii="Arial" w:cs="Arial" w:eastAsia="Arial" w:hAnsi="Arial"/>
          <w:sz w:val="18"/>
          <w:szCs w:val="18"/>
          <w:b w:val="1"/>
          <w:bCs w:val="1"/>
          <w:color w:val="auto"/>
        </w:rPr>
        <w:t xml:space="preserve">CLAIMS ON INSURANCE ACTIVITIES </w:t>
      </w:r>
      <w:r>
        <w:rPr>
          <w:rFonts w:ascii="Arial" w:cs="Arial" w:eastAsia="Arial" w:hAnsi="Arial"/>
          <w:sz w:val="18"/>
          <w:szCs w:val="18"/>
          <w:color w:val="auto"/>
        </w:rPr>
        <w:t>Net claims incurred</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Increase in future policy benefits for life and health</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EXPENSES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Salaries and employee benefits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General, administrative, and other taxes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 and amortization</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10,070</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5,336</w:t>
            </w:r>
          </w:p>
        </w:tc>
        <w:tc>
          <w:tcPr>
            <w:tcW w:w="1000" w:type="dxa"/>
            <w:vAlign w:val="bottom"/>
          </w:tcPr>
          <w:p>
            <w:pPr>
              <w:jc w:val="right"/>
              <w:spacing w:after="0"/>
              <w:rPr>
                <w:sz w:val="20"/>
                <w:szCs w:val="20"/>
                <w:color w:val="auto"/>
              </w:rPr>
            </w:pPr>
            <w:r>
              <w:rPr>
                <w:rFonts w:ascii="Arial" w:cs="Arial" w:eastAsia="Arial" w:hAnsi="Arial"/>
                <w:sz w:val="18"/>
                <w:szCs w:val="18"/>
                <w:color w:val="auto"/>
              </w:rPr>
              <w:t>(3,125)</w:t>
            </w:r>
          </w:p>
        </w:tc>
      </w:tr>
      <w:tr>
        <w:trPr>
          <w:trHeight w:val="486"/>
        </w:trPr>
        <w:tc>
          <w:tcPr>
            <w:tcW w:w="1620" w:type="dxa"/>
            <w:vAlign w:val="bottom"/>
          </w:tcPr>
          <w:p>
            <w:pPr>
              <w:jc w:val="right"/>
              <w:ind w:right="272"/>
              <w:spacing w:after="0"/>
              <w:rPr>
                <w:sz w:val="20"/>
                <w:szCs w:val="20"/>
                <w:color w:val="auto"/>
              </w:rPr>
            </w:pPr>
            <w:r>
              <w:rPr>
                <w:rFonts w:ascii="Arial" w:cs="Arial" w:eastAsia="Arial" w:hAnsi="Arial"/>
                <w:sz w:val="18"/>
                <w:szCs w:val="18"/>
                <w:b w:val="1"/>
                <w:bCs w:val="1"/>
                <w:color w:val="auto"/>
              </w:rPr>
              <w:t>79,919</w:t>
            </w:r>
          </w:p>
        </w:tc>
        <w:tc>
          <w:tcPr>
            <w:tcW w:w="1320" w:type="dxa"/>
            <w:vAlign w:val="bottom"/>
          </w:tcPr>
          <w:p>
            <w:pPr>
              <w:jc w:val="right"/>
              <w:ind w:right="292"/>
              <w:spacing w:after="0"/>
              <w:rPr>
                <w:sz w:val="20"/>
                <w:szCs w:val="20"/>
                <w:color w:val="auto"/>
              </w:rPr>
            </w:pPr>
            <w:r>
              <w:rPr>
                <w:rFonts w:ascii="Arial" w:cs="Arial" w:eastAsia="Arial" w:hAnsi="Arial"/>
                <w:sz w:val="18"/>
                <w:szCs w:val="18"/>
                <w:b w:val="1"/>
                <w:bCs w:val="1"/>
                <w:color w:val="auto"/>
              </w:rPr>
              <w:t>100,429</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106,943</w:t>
            </w:r>
          </w:p>
        </w:tc>
      </w:tr>
      <w:tr>
        <w:trPr>
          <w:trHeight w:val="729"/>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47,148</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52,945</w:t>
            </w:r>
          </w:p>
        </w:tc>
        <w:tc>
          <w:tcPr>
            <w:tcW w:w="1000" w:type="dxa"/>
            <w:vAlign w:val="bottom"/>
          </w:tcPr>
          <w:p>
            <w:pPr>
              <w:jc w:val="right"/>
              <w:spacing w:after="0"/>
              <w:rPr>
                <w:sz w:val="20"/>
                <w:szCs w:val="20"/>
                <w:color w:val="auto"/>
              </w:rPr>
            </w:pPr>
            <w:r>
              <w:rPr>
                <w:rFonts w:ascii="Arial" w:cs="Arial" w:eastAsia="Arial" w:hAnsi="Arial"/>
                <w:sz w:val="18"/>
                <w:szCs w:val="18"/>
                <w:color w:val="auto"/>
              </w:rPr>
              <w:t>50,983</w:t>
            </w:r>
          </w:p>
        </w:tc>
      </w:tr>
      <w:tr>
        <w:trPr>
          <w:trHeight w:val="2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3,968</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5,915</w:t>
            </w: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5,456</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7,014</w:t>
            </w:r>
          </w:p>
        </w:tc>
        <w:tc>
          <w:tcPr>
            <w:tcW w:w="1000" w:type="dxa"/>
            <w:vAlign w:val="bottom"/>
          </w:tcPr>
          <w:p>
            <w:pPr>
              <w:jc w:val="right"/>
              <w:spacing w:after="0"/>
              <w:rPr>
                <w:sz w:val="20"/>
                <w:szCs w:val="20"/>
                <w:color w:val="auto"/>
              </w:rPr>
            </w:pPr>
            <w:r>
              <w:rPr>
                <w:rFonts w:ascii="Arial" w:cs="Arial" w:eastAsia="Arial" w:hAnsi="Arial"/>
                <w:sz w:val="18"/>
                <w:szCs w:val="18"/>
                <w:color w:val="auto"/>
              </w:rPr>
              <w:t>6,264</w:t>
            </w:r>
          </w:p>
        </w:tc>
      </w:tr>
      <w:tr>
        <w:trPr>
          <w:trHeight w:val="2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38,029</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57,209</w:t>
            </w:r>
          </w:p>
        </w:tc>
        <w:tc>
          <w:tcPr>
            <w:tcW w:w="1000" w:type="dxa"/>
            <w:vAlign w:val="bottom"/>
          </w:tcPr>
          <w:p>
            <w:pPr>
              <w:jc w:val="right"/>
              <w:spacing w:after="0"/>
              <w:rPr>
                <w:sz w:val="20"/>
                <w:szCs w:val="20"/>
                <w:color w:val="auto"/>
              </w:rPr>
            </w:pPr>
            <w:r>
              <w:rPr>
                <w:rFonts w:ascii="Arial" w:cs="Arial" w:eastAsia="Arial" w:hAnsi="Arial"/>
                <w:sz w:val="18"/>
                <w:szCs w:val="18"/>
                <w:color w:val="auto"/>
              </w:rPr>
              <w:t>50,637</w:t>
            </w:r>
          </w:p>
        </w:tc>
      </w:tr>
      <w:tr>
        <w:trPr>
          <w:trHeight w:val="110"/>
        </w:trPr>
        <w:tc>
          <w:tcPr>
            <w:tcW w:w="16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r>
        <w:trPr>
          <w:trHeight w:val="3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5,324</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4,323</w:t>
            </w:r>
          </w:p>
        </w:tc>
        <w:tc>
          <w:tcPr>
            <w:tcW w:w="1000" w:type="dxa"/>
            <w:vAlign w:val="bottom"/>
          </w:tcPr>
          <w:p>
            <w:pPr>
              <w:jc w:val="right"/>
              <w:spacing w:after="0"/>
              <w:rPr>
                <w:sz w:val="20"/>
                <w:szCs w:val="20"/>
                <w:color w:val="auto"/>
              </w:rPr>
            </w:pPr>
            <w:r>
              <w:rPr>
                <w:rFonts w:ascii="Arial" w:cs="Arial" w:eastAsia="Arial" w:hAnsi="Arial"/>
                <w:sz w:val="18"/>
                <w:szCs w:val="18"/>
                <w:color w:val="auto"/>
              </w:rPr>
              <w:t>6,939</w:t>
            </w:r>
          </w:p>
        </w:tc>
      </w:tr>
      <w:tr>
        <w:trPr>
          <w:trHeight w:val="110"/>
        </w:trPr>
        <w:tc>
          <w:tcPr>
            <w:tcW w:w="16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r>
        <w:trPr>
          <w:trHeight w:val="3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99,925</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127,406</w:t>
            </w:r>
          </w:p>
        </w:tc>
        <w:tc>
          <w:tcPr>
            <w:tcW w:w="1000" w:type="dxa"/>
            <w:vAlign w:val="bottom"/>
          </w:tcPr>
          <w:p>
            <w:pPr>
              <w:jc w:val="right"/>
              <w:spacing w:after="0"/>
              <w:rPr>
                <w:sz w:val="20"/>
                <w:szCs w:val="20"/>
                <w:color w:val="auto"/>
              </w:rPr>
            </w:pPr>
            <w:r>
              <w:rPr>
                <w:rFonts w:ascii="Arial" w:cs="Arial" w:eastAsia="Arial" w:hAnsi="Arial"/>
                <w:sz w:val="18"/>
                <w:szCs w:val="18"/>
                <w:color w:val="auto"/>
              </w:rPr>
              <w:t>115,245</w:t>
            </w:r>
          </w:p>
        </w:tc>
      </w:tr>
      <w:tr>
        <w:trPr>
          <w:trHeight w:val="729"/>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7,423</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9,057</w:t>
            </w:r>
          </w:p>
        </w:tc>
        <w:tc>
          <w:tcPr>
            <w:tcW w:w="1000" w:type="dxa"/>
            <w:vAlign w:val="bottom"/>
          </w:tcPr>
          <w:p>
            <w:pPr>
              <w:jc w:val="right"/>
              <w:spacing w:after="0"/>
              <w:rPr>
                <w:sz w:val="20"/>
                <w:szCs w:val="20"/>
                <w:color w:val="auto"/>
              </w:rPr>
            </w:pPr>
            <w:r>
              <w:rPr>
                <w:rFonts w:ascii="Arial" w:cs="Arial" w:eastAsia="Arial" w:hAnsi="Arial"/>
                <w:sz w:val="18"/>
                <w:szCs w:val="18"/>
                <w:color w:val="auto"/>
              </w:rPr>
              <w:t>10,776</w:t>
            </w:r>
          </w:p>
        </w:tc>
      </w:tr>
      <w:tr>
        <w:trPr>
          <w:trHeight w:val="110"/>
        </w:trPr>
        <w:tc>
          <w:tcPr>
            <w:tcW w:w="16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r>
        <w:trPr>
          <w:trHeight w:val="3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21,239</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34,954</w:t>
            </w:r>
          </w:p>
        </w:tc>
        <w:tc>
          <w:tcPr>
            <w:tcW w:w="1000" w:type="dxa"/>
            <w:vAlign w:val="bottom"/>
          </w:tcPr>
          <w:p>
            <w:pPr>
              <w:jc w:val="right"/>
              <w:spacing w:after="0"/>
              <w:rPr>
                <w:sz w:val="20"/>
                <w:szCs w:val="20"/>
                <w:color w:val="auto"/>
              </w:rPr>
            </w:pPr>
            <w:r>
              <w:rPr>
                <w:rFonts w:ascii="Arial" w:cs="Arial" w:eastAsia="Arial" w:hAnsi="Arial"/>
                <w:sz w:val="18"/>
                <w:szCs w:val="18"/>
                <w:color w:val="auto"/>
              </w:rPr>
              <w:t>29,825</w:t>
            </w:r>
          </w:p>
        </w:tc>
      </w:tr>
      <w:tr>
        <w:trPr>
          <w:trHeight w:val="110"/>
        </w:trPr>
        <w:tc>
          <w:tcPr>
            <w:tcW w:w="16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r>
        <w:trPr>
          <w:trHeight w:val="3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28,662</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44,011</w:t>
            </w:r>
          </w:p>
        </w:tc>
        <w:tc>
          <w:tcPr>
            <w:tcW w:w="1000" w:type="dxa"/>
            <w:vAlign w:val="bottom"/>
          </w:tcPr>
          <w:p>
            <w:pPr>
              <w:jc w:val="right"/>
              <w:spacing w:after="0"/>
              <w:rPr>
                <w:sz w:val="20"/>
                <w:szCs w:val="20"/>
                <w:color w:val="auto"/>
              </w:rPr>
            </w:pPr>
            <w:r>
              <w:rPr>
                <w:rFonts w:ascii="Arial" w:cs="Arial" w:eastAsia="Arial" w:hAnsi="Arial"/>
                <w:sz w:val="18"/>
                <w:szCs w:val="18"/>
                <w:color w:val="auto"/>
              </w:rPr>
              <w:t>40,601</w:t>
            </w:r>
          </w:p>
        </w:tc>
      </w:tr>
      <w:tr>
        <w:trPr>
          <w:trHeight w:val="486"/>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44,363</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54,320</w:t>
            </w:r>
          </w:p>
        </w:tc>
        <w:tc>
          <w:tcPr>
            <w:tcW w:w="1000" w:type="dxa"/>
            <w:vAlign w:val="bottom"/>
          </w:tcPr>
          <w:p>
            <w:pPr>
              <w:jc w:val="right"/>
              <w:spacing w:after="0"/>
              <w:rPr>
                <w:sz w:val="20"/>
                <w:szCs w:val="20"/>
                <w:color w:val="auto"/>
              </w:rPr>
            </w:pPr>
            <w:r>
              <w:rPr>
                <w:rFonts w:ascii="Arial" w:cs="Arial" w:eastAsia="Arial" w:hAnsi="Arial"/>
                <w:sz w:val="18"/>
                <w:szCs w:val="18"/>
                <w:color w:val="auto"/>
              </w:rPr>
              <w:t>50,799</w:t>
            </w:r>
          </w:p>
        </w:tc>
      </w:tr>
      <w:tr>
        <w:trPr>
          <w:trHeight w:val="2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37,477</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44,168</w:t>
            </w:r>
          </w:p>
        </w:tc>
        <w:tc>
          <w:tcPr>
            <w:tcW w:w="1000" w:type="dxa"/>
            <w:vAlign w:val="bottom"/>
          </w:tcPr>
          <w:p>
            <w:pPr>
              <w:jc w:val="right"/>
              <w:spacing w:after="0"/>
              <w:rPr>
                <w:sz w:val="20"/>
                <w:szCs w:val="20"/>
                <w:color w:val="auto"/>
              </w:rPr>
            </w:pPr>
            <w:r>
              <w:rPr>
                <w:rFonts w:ascii="Arial" w:cs="Arial" w:eastAsia="Arial" w:hAnsi="Arial"/>
                <w:sz w:val="18"/>
                <w:szCs w:val="18"/>
                <w:color w:val="auto"/>
              </w:rPr>
              <w:t>34,518</w:t>
            </w:r>
          </w:p>
        </w:tc>
      </w:tr>
      <w:tr>
        <w:trPr>
          <w:trHeight w:val="2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11,610</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11,626</w:t>
            </w:r>
          </w:p>
        </w:tc>
        <w:tc>
          <w:tcPr>
            <w:tcW w:w="1000" w:type="dxa"/>
            <w:vAlign w:val="bottom"/>
          </w:tcPr>
          <w:p>
            <w:pPr>
              <w:jc w:val="right"/>
              <w:spacing w:after="0"/>
              <w:rPr>
                <w:sz w:val="20"/>
                <w:szCs w:val="20"/>
                <w:color w:val="auto"/>
              </w:rPr>
            </w:pPr>
            <w:r>
              <w:rPr>
                <w:rFonts w:ascii="Arial" w:cs="Arial" w:eastAsia="Arial" w:hAnsi="Arial"/>
                <w:sz w:val="18"/>
                <w:szCs w:val="18"/>
                <w:color w:val="auto"/>
              </w:rPr>
              <w:t>10,254</w:t>
            </w:r>
          </w:p>
        </w:tc>
      </w:tr>
      <w:tr>
        <w:trPr>
          <w:trHeight w:val="243"/>
        </w:trPr>
        <w:tc>
          <w:tcPr>
            <w:tcW w:w="1620" w:type="dxa"/>
            <w:vAlign w:val="bottom"/>
          </w:tcPr>
          <w:p>
            <w:pPr>
              <w:jc w:val="right"/>
              <w:ind w:right="272"/>
              <w:spacing w:after="0"/>
              <w:rPr>
                <w:sz w:val="20"/>
                <w:szCs w:val="20"/>
                <w:color w:val="auto"/>
              </w:rPr>
            </w:pPr>
            <w:r>
              <w:rPr>
                <w:rFonts w:ascii="Arial" w:cs="Arial" w:eastAsia="Arial" w:hAnsi="Arial"/>
                <w:sz w:val="18"/>
                <w:szCs w:val="18"/>
                <w:color w:val="auto"/>
              </w:rPr>
              <w:t>14,706</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27,750</w:t>
            </w:r>
          </w:p>
        </w:tc>
        <w:tc>
          <w:tcPr>
            <w:tcW w:w="1000" w:type="dxa"/>
            <w:vAlign w:val="bottom"/>
          </w:tcPr>
          <w:p>
            <w:pPr>
              <w:jc w:val="right"/>
              <w:spacing w:after="0"/>
              <w:rPr>
                <w:sz w:val="20"/>
                <w:szCs w:val="20"/>
                <w:color w:val="auto"/>
              </w:rPr>
            </w:pPr>
            <w:r>
              <w:rPr>
                <w:rFonts w:ascii="Arial" w:cs="Arial" w:eastAsia="Arial" w:hAnsi="Arial"/>
                <w:sz w:val="18"/>
                <w:szCs w:val="18"/>
                <w:color w:val="auto"/>
              </w:rPr>
              <w:t>17,483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-2377440</wp:posOffset>
            </wp:positionV>
            <wp:extent cx="3429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-2377440</wp:posOffset>
            </wp:positionV>
            <wp:extent cx="3429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-2377440</wp:posOffset>
            </wp:positionV>
            <wp:extent cx="3429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-2077720</wp:posOffset>
            </wp:positionV>
            <wp:extent cx="3429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-2077720</wp:posOffset>
            </wp:positionV>
            <wp:extent cx="3429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-2077720</wp:posOffset>
            </wp:positionV>
            <wp:extent cx="3429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-1314450</wp:posOffset>
            </wp:positionV>
            <wp:extent cx="3429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-1314450</wp:posOffset>
            </wp:positionV>
            <wp:extent cx="3429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-1314450</wp:posOffset>
            </wp:positionV>
            <wp:extent cx="3429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814705</wp:posOffset>
            </wp:positionH>
            <wp:positionV relativeFrom="paragraph">
              <wp:posOffset>-1014095</wp:posOffset>
            </wp:positionV>
            <wp:extent cx="3429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-1014095</wp:posOffset>
            </wp:positionV>
            <wp:extent cx="3429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-1014095</wp:posOffset>
            </wp:positionV>
            <wp:extent cx="3429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84455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4455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720"/>
            <w:col w:w="4059"/>
          </w:cols>
          <w:pgMar w:left="1440" w:top="584" w:right="1440" w:bottom="0" w:gutter="0" w:footer="0" w:header="0"/>
          <w:type w:val="continuous"/>
        </w:sectPr>
      </w:pPr>
    </w:p>
    <w:p>
      <w:pPr>
        <w:spacing w:after="0" w:line="50" w:lineRule="exact"/>
        <w:rPr>
          <w:sz w:val="20"/>
          <w:szCs w:val="20"/>
          <w:color w:val="auto"/>
        </w:rPr>
      </w:pPr>
    </w:p>
    <w:tbl>
      <w:tblPr>
        <w:tblLayout w:type="fixed"/>
        <w:tblInd w:w="140" w:type="dxa"/>
        <w:tblCellMar>
          <w:top w:w="0" w:type="dxa"/>
          <w:left w:w="0" w:type="dxa"/>
          <w:bottom w:w="0" w:type="dxa"/>
          <w:right w:w="0" w:type="dxa"/>
        </w:tblCellMar>
      </w:tblPr>
      <w:tr>
        <w:trPr>
          <w:trHeight w:val="222"/>
        </w:trPr>
        <w:tc>
          <w:tcPr>
            <w:tcW w:w="4820" w:type="dxa"/>
            <w:vAlign w:val="bottom"/>
          </w:tcPr>
          <w:p>
            <w:pPr>
              <w:ind w:left="60"/>
              <w:spacing w:after="0"/>
              <w:rPr>
                <w:sz w:val="20"/>
                <w:szCs w:val="20"/>
                <w:color w:val="auto"/>
              </w:rPr>
            </w:pPr>
            <w:r>
              <w:rPr>
                <w:rFonts w:ascii="Arial" w:cs="Arial" w:eastAsia="Arial" w:hAnsi="Arial"/>
                <w:sz w:val="18"/>
                <w:szCs w:val="18"/>
                <w:color w:val="auto"/>
              </w:rPr>
              <w:t>Merger costs</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1,829</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4820" w:type="dxa"/>
            <w:vAlign w:val="bottom"/>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4820" w:type="dxa"/>
            <w:vAlign w:val="bottom"/>
          </w:tcPr>
          <w:p>
            <w:pPr>
              <w:spacing w:after="0"/>
              <w:rPr>
                <w:sz w:val="24"/>
                <w:szCs w:val="24"/>
                <w:color w:val="auto"/>
              </w:rPr>
            </w:pP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109,985</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137,864</w:t>
            </w:r>
          </w:p>
        </w:tc>
        <w:tc>
          <w:tcPr>
            <w:tcW w:w="1020" w:type="dxa"/>
            <w:vAlign w:val="bottom"/>
          </w:tcPr>
          <w:p>
            <w:pPr>
              <w:jc w:val="right"/>
              <w:spacing w:after="0"/>
              <w:rPr>
                <w:sz w:val="20"/>
                <w:szCs w:val="20"/>
                <w:color w:val="auto"/>
              </w:rPr>
            </w:pPr>
            <w:r>
              <w:rPr>
                <w:rFonts w:ascii="Arial" w:cs="Arial" w:eastAsia="Arial" w:hAnsi="Arial"/>
                <w:sz w:val="18"/>
                <w:szCs w:val="18"/>
                <w:color w:val="auto"/>
              </w:rPr>
              <w:t>113,054</w:t>
            </w:r>
          </w:p>
        </w:tc>
        <w:tc>
          <w:tcPr>
            <w:tcW w:w="0" w:type="dxa"/>
            <w:vAlign w:val="bottom"/>
          </w:tcPr>
          <w:p>
            <w:pPr>
              <w:spacing w:after="0"/>
              <w:rPr>
                <w:sz w:val="1"/>
                <w:szCs w:val="1"/>
                <w:color w:val="auto"/>
              </w:rPr>
            </w:pPr>
          </w:p>
        </w:tc>
      </w:tr>
      <w:tr>
        <w:trPr>
          <w:trHeight w:val="11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Translation result</w:t>
            </w:r>
          </w:p>
        </w:tc>
        <w:tc>
          <w:tcPr>
            <w:tcW w:w="16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86"/>
        </w:trPr>
        <w:tc>
          <w:tcPr>
            <w:tcW w:w="4820" w:type="dxa"/>
            <w:vAlign w:val="bottom"/>
            <w:vMerge w:val="continue"/>
          </w:tcPr>
          <w:p>
            <w:pPr>
              <w:spacing w:after="0"/>
              <w:rPr>
                <w:sz w:val="24"/>
                <w:szCs w:val="24"/>
                <w:color w:val="auto"/>
              </w:rPr>
            </w:pP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3,274</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2,455</w:t>
            </w:r>
          </w:p>
        </w:tc>
        <w:tc>
          <w:tcPr>
            <w:tcW w:w="102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486"/>
        </w:trPr>
        <w:tc>
          <w:tcPr>
            <w:tcW w:w="4820" w:type="dxa"/>
            <w:vAlign w:val="bottom"/>
          </w:tcPr>
          <w:p>
            <w:pPr>
              <w:spacing w:after="0"/>
              <w:rPr>
                <w:sz w:val="20"/>
                <w:szCs w:val="20"/>
                <w:color w:val="auto"/>
              </w:rPr>
            </w:pPr>
            <w:r>
              <w:rPr>
                <w:rFonts w:ascii="Arial" w:cs="Arial" w:eastAsia="Arial" w:hAnsi="Arial"/>
                <w:sz w:val="18"/>
                <w:szCs w:val="18"/>
                <w:b w:val="1"/>
                <w:bCs w:val="1"/>
                <w:color w:val="auto"/>
              </w:rPr>
              <w:t>Income before income tax</w:t>
            </w:r>
          </w:p>
        </w:tc>
        <w:tc>
          <w:tcPr>
            <w:tcW w:w="1620" w:type="dxa"/>
            <w:vAlign w:val="bottom"/>
          </w:tcPr>
          <w:p>
            <w:pPr>
              <w:jc w:val="right"/>
              <w:ind w:right="272"/>
              <w:spacing w:after="0"/>
              <w:rPr>
                <w:sz w:val="20"/>
                <w:szCs w:val="20"/>
                <w:color w:val="auto"/>
              </w:rPr>
            </w:pPr>
            <w:r>
              <w:rPr>
                <w:rFonts w:ascii="Arial" w:cs="Arial" w:eastAsia="Arial" w:hAnsi="Arial"/>
                <w:sz w:val="18"/>
                <w:szCs w:val="18"/>
                <w:b w:val="1"/>
                <w:bCs w:val="1"/>
                <w:color w:val="auto"/>
              </w:rPr>
              <w:t>44,471</w:t>
            </w: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color w:val="auto"/>
              </w:rPr>
              <w:t>48,415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69,306</w:t>
            </w:r>
          </w:p>
        </w:tc>
        <w:tc>
          <w:tcPr>
            <w:tcW w:w="0" w:type="dxa"/>
            <w:vAlign w:val="bottom"/>
          </w:tcPr>
          <w:p>
            <w:pPr>
              <w:spacing w:after="0"/>
              <w:rPr>
                <w:sz w:val="1"/>
                <w:szCs w:val="1"/>
                <w:color w:val="auto"/>
              </w:rPr>
            </w:pPr>
          </w:p>
        </w:tc>
      </w:tr>
      <w:tr>
        <w:trPr>
          <w:trHeight w:val="486"/>
        </w:trPr>
        <w:tc>
          <w:tcPr>
            <w:tcW w:w="4820" w:type="dxa"/>
            <w:vAlign w:val="bottom"/>
          </w:tcPr>
          <w:p>
            <w:pPr>
              <w:ind w:left="160"/>
              <w:spacing w:after="0"/>
              <w:rPr>
                <w:sz w:val="20"/>
                <w:szCs w:val="20"/>
                <w:color w:val="auto"/>
              </w:rPr>
            </w:pPr>
            <w:r>
              <w:rPr>
                <w:rFonts w:ascii="Arial" w:cs="Arial" w:eastAsia="Arial" w:hAnsi="Arial"/>
                <w:sz w:val="18"/>
                <w:szCs w:val="18"/>
                <w:color w:val="auto"/>
              </w:rPr>
              <w:t>Income Tax</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(11,637)</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(10,378)</w:t>
            </w:r>
          </w:p>
        </w:tc>
        <w:tc>
          <w:tcPr>
            <w:tcW w:w="1020" w:type="dxa"/>
            <w:vAlign w:val="bottom"/>
          </w:tcPr>
          <w:p>
            <w:pPr>
              <w:jc w:val="right"/>
              <w:spacing w:after="0"/>
              <w:rPr>
                <w:sz w:val="20"/>
                <w:szCs w:val="20"/>
                <w:color w:val="auto"/>
              </w:rPr>
            </w:pPr>
            <w:r>
              <w:rPr>
                <w:rFonts w:ascii="Arial" w:cs="Arial" w:eastAsia="Arial" w:hAnsi="Arial"/>
                <w:sz w:val="18"/>
                <w:szCs w:val="18"/>
                <w:color w:val="auto"/>
              </w:rPr>
              <w:t>(22,793)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-1314450</wp:posOffset>
            </wp:positionV>
            <wp:extent cx="3429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-1314450</wp:posOffset>
            </wp:positionV>
            <wp:extent cx="3429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-1314450</wp:posOffset>
            </wp:positionV>
            <wp:extent cx="3429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-1014095</wp:posOffset>
            </wp:positionV>
            <wp:extent cx="3429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4796155</wp:posOffset>
            </wp:positionH>
            <wp:positionV relativeFrom="paragraph">
              <wp:posOffset>-1014095</wp:posOffset>
            </wp:positionV>
            <wp:extent cx="3429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5628005</wp:posOffset>
            </wp:positionH>
            <wp:positionV relativeFrom="paragraph">
              <wp:posOffset>-1014095</wp:posOffset>
            </wp:positionV>
            <wp:extent cx="3429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9019"/>
          </w:cols>
          <w:pgMar w:left="1440" w:top="584" w:right="1440" w:bottom="0" w:gutter="0" w:footer="0" w:header="0"/>
          <w:type w:val="continuous"/>
        </w:sectPr>
      </w:pPr>
    </w:p>
    <w:bookmarkStart w:id="17" w:name="page18"/>
    <w:bookmarkEnd w:id="17"/>
    <w:tbl>
      <w:tblPr>
        <w:tblLayout w:type="fixed"/>
        <w:tblInd w:w="1340" w:type="dxa"/>
        <w:tblCellMar>
          <w:top w:w="0" w:type="dxa"/>
          <w:left w:w="0" w:type="dxa"/>
          <w:bottom w:w="0" w:type="dxa"/>
          <w:right w:w="0" w:type="dxa"/>
        </w:tblCellMar>
      </w:tblPr>
      <w:tr>
        <w:trPr>
          <w:trHeight w:val="228"/>
        </w:trPr>
        <w:tc>
          <w:tcPr>
            <w:tcW w:w="4280" w:type="dxa"/>
            <w:vAlign w:val="bottom"/>
          </w:tcPr>
          <w:p>
            <w:pPr>
              <w:ind w:left="1800"/>
              <w:spacing w:after="0"/>
              <w:rPr>
                <w:sz w:val="20"/>
                <w:szCs w:val="20"/>
                <w:color w:val="auto"/>
              </w:rPr>
            </w:pPr>
            <w:r>
              <w:rPr>
                <w:rFonts w:ascii="Arial" w:cs="Arial" w:eastAsia="Arial" w:hAnsi="Arial"/>
                <w:sz w:val="18"/>
                <w:szCs w:val="18"/>
                <w:b w:val="1"/>
                <w:bCs w:val="1"/>
                <w:color w:val="auto"/>
              </w:rPr>
              <w:t>NET INCOME</w:t>
            </w:r>
          </w:p>
        </w:tc>
        <w:tc>
          <w:tcPr>
            <w:tcW w:w="2200" w:type="dxa"/>
            <w:vAlign w:val="bottom"/>
          </w:tcPr>
          <w:p>
            <w:pPr>
              <w:jc w:val="right"/>
              <w:ind w:right="312"/>
              <w:spacing w:after="0"/>
              <w:rPr>
                <w:sz w:val="20"/>
                <w:szCs w:val="20"/>
                <w:color w:val="auto"/>
              </w:rPr>
            </w:pPr>
            <w:r>
              <w:rPr>
                <w:rFonts w:ascii="Arial" w:cs="Arial" w:eastAsia="Arial" w:hAnsi="Arial"/>
                <w:sz w:val="18"/>
                <w:szCs w:val="18"/>
                <w:b w:val="1"/>
                <w:bCs w:val="1"/>
                <w:color w:val="auto"/>
              </w:rPr>
              <w:t>32,834</w:t>
            </w:r>
          </w:p>
        </w:tc>
        <w:tc>
          <w:tcPr>
            <w:tcW w:w="1320" w:type="dxa"/>
            <w:vAlign w:val="bottom"/>
          </w:tcPr>
          <w:p>
            <w:pPr>
              <w:jc w:val="right"/>
              <w:ind w:right="332"/>
              <w:spacing w:after="0"/>
              <w:rPr>
                <w:sz w:val="20"/>
                <w:szCs w:val="20"/>
                <w:color w:val="auto"/>
              </w:rPr>
            </w:pPr>
            <w:r>
              <w:rPr>
                <w:rFonts w:ascii="Arial" w:cs="Arial" w:eastAsia="Arial" w:hAnsi="Arial"/>
                <w:sz w:val="18"/>
                <w:szCs w:val="18"/>
                <w:b w:val="1"/>
                <w:bCs w:val="1"/>
                <w:color w:val="auto"/>
              </w:rPr>
              <w:t>38,037</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46,513</w:t>
            </w: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Net Income due to shareholders</w:t>
            </w:r>
          </w:p>
        </w:tc>
        <w:tc>
          <w:tcPr>
            <w:tcW w:w="2200" w:type="dxa"/>
            <w:vAlign w:val="bottom"/>
          </w:tcPr>
          <w:p>
            <w:pPr>
              <w:jc w:val="right"/>
              <w:ind w:right="312"/>
              <w:spacing w:after="0"/>
              <w:rPr>
                <w:sz w:val="20"/>
                <w:szCs w:val="20"/>
                <w:color w:val="auto"/>
              </w:rPr>
            </w:pPr>
            <w:r>
              <w:rPr>
                <w:rFonts w:ascii="Arial" w:cs="Arial" w:eastAsia="Arial" w:hAnsi="Arial"/>
                <w:sz w:val="18"/>
                <w:szCs w:val="18"/>
                <w:color w:val="auto"/>
              </w:rPr>
              <w:t>30,062</w:t>
            </w: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34,862</w:t>
            </w:r>
          </w:p>
        </w:tc>
        <w:tc>
          <w:tcPr>
            <w:tcW w:w="960" w:type="dxa"/>
            <w:vAlign w:val="bottom"/>
          </w:tcPr>
          <w:p>
            <w:pPr>
              <w:jc w:val="right"/>
              <w:spacing w:after="0"/>
              <w:rPr>
                <w:sz w:val="20"/>
                <w:szCs w:val="20"/>
                <w:color w:val="auto"/>
              </w:rPr>
            </w:pPr>
            <w:r>
              <w:rPr>
                <w:rFonts w:ascii="Arial" w:cs="Arial" w:eastAsia="Arial" w:hAnsi="Arial"/>
                <w:sz w:val="18"/>
                <w:szCs w:val="18"/>
                <w:color w:val="auto"/>
              </w:rPr>
              <w:t>43,604</w:t>
            </w:r>
          </w:p>
        </w:tc>
      </w:tr>
      <w:tr>
        <w:trPr>
          <w:trHeight w:val="243"/>
        </w:trPr>
        <w:tc>
          <w:tcPr>
            <w:tcW w:w="428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2200" w:type="dxa"/>
            <w:vAlign w:val="bottom"/>
          </w:tcPr>
          <w:p>
            <w:pPr>
              <w:jc w:val="right"/>
              <w:ind w:right="312"/>
              <w:spacing w:after="0"/>
              <w:rPr>
                <w:sz w:val="20"/>
                <w:szCs w:val="20"/>
                <w:color w:val="auto"/>
              </w:rPr>
            </w:pPr>
            <w:r>
              <w:rPr>
                <w:rFonts w:ascii="Arial" w:cs="Arial" w:eastAsia="Arial" w:hAnsi="Arial"/>
                <w:sz w:val="18"/>
                <w:szCs w:val="18"/>
                <w:color w:val="auto"/>
              </w:rPr>
              <w:t>2,772</w:t>
            </w: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3,175</w:t>
            </w:r>
          </w:p>
        </w:tc>
        <w:tc>
          <w:tcPr>
            <w:tcW w:w="960" w:type="dxa"/>
            <w:vAlign w:val="bottom"/>
          </w:tcPr>
          <w:p>
            <w:pPr>
              <w:jc w:val="right"/>
              <w:spacing w:after="0"/>
              <w:rPr>
                <w:sz w:val="20"/>
                <w:szCs w:val="20"/>
                <w:color w:val="auto"/>
              </w:rPr>
            </w:pPr>
            <w:r>
              <w:rPr>
                <w:rFonts w:ascii="Arial" w:cs="Arial" w:eastAsia="Arial" w:hAnsi="Arial"/>
                <w:sz w:val="18"/>
                <w:szCs w:val="18"/>
                <w:color w:val="auto"/>
              </w:rPr>
              <w:t>2,909</w:t>
            </w:r>
          </w:p>
        </w:tc>
      </w:tr>
      <w:tr>
        <w:trPr>
          <w:trHeight w:val="243"/>
        </w:trPr>
        <w:tc>
          <w:tcPr>
            <w:tcW w:w="4280" w:type="dxa"/>
            <w:vAlign w:val="bottom"/>
          </w:tcPr>
          <w:p>
            <w:pPr>
              <w:ind w:left="1800"/>
              <w:spacing w:after="0"/>
              <w:rPr>
                <w:sz w:val="20"/>
                <w:szCs w:val="20"/>
                <w:color w:val="auto"/>
              </w:rPr>
            </w:pPr>
            <w:r>
              <w:rPr>
                <w:rFonts w:ascii="Arial" w:cs="Arial" w:eastAsia="Arial" w:hAnsi="Arial"/>
                <w:sz w:val="18"/>
                <w:szCs w:val="18"/>
                <w:b w:val="1"/>
                <w:bCs w:val="1"/>
                <w:color w:val="auto"/>
              </w:rPr>
              <w:t>NET INCOME</w:t>
            </w:r>
          </w:p>
        </w:tc>
        <w:tc>
          <w:tcPr>
            <w:tcW w:w="2200" w:type="dxa"/>
            <w:vAlign w:val="bottom"/>
          </w:tcPr>
          <w:p>
            <w:pPr>
              <w:jc w:val="right"/>
              <w:ind w:right="312"/>
              <w:spacing w:after="0"/>
              <w:rPr>
                <w:sz w:val="20"/>
                <w:szCs w:val="20"/>
                <w:color w:val="auto"/>
              </w:rPr>
            </w:pPr>
            <w:r>
              <w:rPr>
                <w:rFonts w:ascii="Arial" w:cs="Arial" w:eastAsia="Arial" w:hAnsi="Arial"/>
                <w:sz w:val="18"/>
                <w:szCs w:val="18"/>
                <w:b w:val="1"/>
                <w:bCs w:val="1"/>
                <w:color w:val="auto"/>
              </w:rPr>
              <w:t>32,834</w:t>
            </w:r>
          </w:p>
        </w:tc>
        <w:tc>
          <w:tcPr>
            <w:tcW w:w="1320" w:type="dxa"/>
            <w:vAlign w:val="bottom"/>
          </w:tcPr>
          <w:p>
            <w:pPr>
              <w:jc w:val="right"/>
              <w:ind w:right="332"/>
              <w:spacing w:after="0"/>
              <w:rPr>
                <w:sz w:val="20"/>
                <w:szCs w:val="20"/>
                <w:color w:val="auto"/>
              </w:rPr>
            </w:pPr>
            <w:r>
              <w:rPr>
                <w:rFonts w:ascii="Arial" w:cs="Arial" w:eastAsia="Arial" w:hAnsi="Arial"/>
                <w:sz w:val="18"/>
                <w:szCs w:val="18"/>
                <w:b w:val="1"/>
                <w:bCs w:val="1"/>
                <w:color w:val="auto"/>
              </w:rPr>
              <w:t>38,037</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46,513</w:t>
            </w:r>
          </w:p>
        </w:tc>
      </w:tr>
      <w:tr>
        <w:trPr>
          <w:trHeight w:val="110"/>
        </w:trPr>
        <w:tc>
          <w:tcPr>
            <w:tcW w:w="428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-20955</wp:posOffset>
            </wp:positionV>
            <wp:extent cx="3429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-20955</wp:posOffset>
            </wp:positionV>
            <wp:extent cx="3429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-20955</wp:posOffset>
            </wp:positionV>
            <wp:extent cx="3429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(1)Income from recoveries of charged-off loans has been reclassified within Provisions for loan losses.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6120" w:type="dxa"/>
            <w:vAlign w:val="bottom"/>
            <w:gridSpan w:val="3"/>
          </w:tcPr>
          <w:p>
            <w:pPr>
              <w:ind w:left="2780"/>
              <w:spacing w:after="0"/>
              <w:rPr>
                <w:sz w:val="20"/>
                <w:szCs w:val="20"/>
                <w:color w:val="auto"/>
              </w:rPr>
            </w:pPr>
            <w:r>
              <w:rPr>
                <w:rFonts w:ascii="Arial" w:cs="Arial" w:eastAsia="Arial" w:hAnsi="Arial"/>
                <w:sz w:val="18"/>
                <w:szCs w:val="18"/>
                <w:b w:val="1"/>
                <w:bCs w:val="1"/>
                <w:color w:val="auto"/>
              </w:rPr>
              <w:t>CREDICORP LTD. AND SUBSIDIARIES</w:t>
            </w: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1"/>
        </w:trPr>
        <w:tc>
          <w:tcPr>
            <w:tcW w:w="4500" w:type="dxa"/>
            <w:vAlign w:val="bottom"/>
          </w:tcPr>
          <w:p>
            <w:pPr>
              <w:ind w:left="4040"/>
              <w:spacing w:after="0"/>
              <w:rPr>
                <w:sz w:val="20"/>
                <w:szCs w:val="20"/>
                <w:color w:val="auto"/>
              </w:rPr>
            </w:pPr>
            <w:r>
              <w:rPr>
                <w:rFonts w:ascii="Arial" w:cs="Arial" w:eastAsia="Arial" w:hAnsi="Arial"/>
                <w:sz w:val="18"/>
                <w:szCs w:val="18"/>
                <w:b w:val="1"/>
                <w:bCs w:val="1"/>
                <w:color w:val="auto"/>
                <w:w w:val="93"/>
              </w:rPr>
              <w:t>Table</w:t>
            </w:r>
          </w:p>
        </w:tc>
        <w:tc>
          <w:tcPr>
            <w:tcW w:w="320" w:type="dxa"/>
            <w:vAlign w:val="bottom"/>
          </w:tcPr>
          <w:p>
            <w:pPr>
              <w:jc w:val="right"/>
              <w:ind w:right="73"/>
              <w:spacing w:after="0"/>
              <w:rPr>
                <w:sz w:val="20"/>
                <w:szCs w:val="20"/>
                <w:color w:val="auto"/>
              </w:rPr>
            </w:pPr>
            <w:r>
              <w:rPr>
                <w:rFonts w:ascii="Arial" w:cs="Arial" w:eastAsia="Arial" w:hAnsi="Arial"/>
                <w:sz w:val="18"/>
                <w:szCs w:val="18"/>
                <w:b w:val="1"/>
                <w:bCs w:val="1"/>
                <w:color w:val="auto"/>
              </w:rPr>
              <w:t>3</w:t>
            </w: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8"/>
        </w:trPr>
        <w:tc>
          <w:tcPr>
            <w:tcW w:w="6120" w:type="dxa"/>
            <w:vAlign w:val="bottom"/>
            <w:gridSpan w:val="3"/>
          </w:tcPr>
          <w:p>
            <w:pPr>
              <w:ind w:left="2820"/>
              <w:spacing w:after="0"/>
              <w:rPr>
                <w:sz w:val="20"/>
                <w:szCs w:val="20"/>
                <w:color w:val="auto"/>
              </w:rPr>
            </w:pPr>
            <w:r>
              <w:rPr>
                <w:rFonts w:ascii="Arial" w:cs="Arial" w:eastAsia="Arial" w:hAnsi="Arial"/>
                <w:sz w:val="18"/>
                <w:szCs w:val="18"/>
                <w:b w:val="1"/>
                <w:bCs w:val="1"/>
                <w:color w:val="auto"/>
              </w:rPr>
              <w:t>SELECTED FINANCIAL INDICATORS</w:t>
            </w: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10"/>
        </w:trPr>
        <w:tc>
          <w:tcPr>
            <w:tcW w:w="4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331"/>
        </w:trPr>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jc w:val="right"/>
              <w:ind w:right="174"/>
              <w:spacing w:after="0"/>
              <w:rPr>
                <w:sz w:val="20"/>
                <w:szCs w:val="20"/>
                <w:color w:val="auto"/>
              </w:rPr>
            </w:pPr>
            <w:r>
              <w:rPr>
                <w:rFonts w:ascii="Arial" w:cs="Arial" w:eastAsia="Arial" w:hAnsi="Arial"/>
                <w:sz w:val="14"/>
                <w:szCs w:val="14"/>
                <w:b w:val="1"/>
                <w:bCs w:val="1"/>
                <w:color w:val="auto"/>
                <w:w w:val="87"/>
              </w:rPr>
              <w:t>Three months ended</w:t>
            </w:r>
          </w:p>
        </w:tc>
        <w:tc>
          <w:tcPr>
            <w:tcW w:w="1160" w:type="dxa"/>
            <w:vAlign w:val="bottom"/>
          </w:tcPr>
          <w:p>
            <w:pPr>
              <w:spacing w:after="0"/>
              <w:rPr>
                <w:sz w:val="24"/>
                <w:szCs w:val="24"/>
                <w:color w:val="auto"/>
              </w:rPr>
            </w:pPr>
          </w:p>
        </w:tc>
      </w:tr>
      <w:tr>
        <w:trPr>
          <w:trHeight w:val="122"/>
        </w:trPr>
        <w:tc>
          <w:tcPr>
            <w:tcW w:w="4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331"/>
        </w:trPr>
        <w:tc>
          <w:tcPr>
            <w:tcW w:w="4500" w:type="dxa"/>
            <w:vAlign w:val="bottom"/>
          </w:tcPr>
          <w:p>
            <w:pPr>
              <w:spacing w:after="0"/>
              <w:rPr>
                <w:sz w:val="24"/>
                <w:szCs w:val="24"/>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31.03.04</w:t>
            </w: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31.12.04</w:t>
            </w:r>
          </w:p>
        </w:tc>
        <w:tc>
          <w:tcPr>
            <w:tcW w:w="1160" w:type="dxa"/>
            <w:vAlign w:val="bottom"/>
          </w:tcPr>
          <w:p>
            <w:pPr>
              <w:jc w:val="right"/>
              <w:ind w:right="373"/>
              <w:spacing w:after="0"/>
              <w:rPr>
                <w:sz w:val="20"/>
                <w:szCs w:val="20"/>
                <w:color w:val="auto"/>
              </w:rPr>
            </w:pPr>
            <w:r>
              <w:rPr>
                <w:rFonts w:ascii="Arial" w:cs="Arial" w:eastAsia="Arial" w:hAnsi="Arial"/>
                <w:sz w:val="14"/>
                <w:szCs w:val="14"/>
                <w:b w:val="1"/>
                <w:bCs w:val="1"/>
                <w:color w:val="auto"/>
              </w:rPr>
              <w:t>31.03.05</w:t>
            </w:r>
          </w:p>
        </w:tc>
      </w:tr>
      <w:tr>
        <w:trPr>
          <w:trHeight w:val="122"/>
        </w:trPr>
        <w:tc>
          <w:tcPr>
            <w:tcW w:w="4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586"/>
        </w:trPr>
        <w:tc>
          <w:tcPr>
            <w:tcW w:w="4500" w:type="dxa"/>
            <w:vAlign w:val="bottom"/>
          </w:tcPr>
          <w:p>
            <w:pPr>
              <w:spacing w:after="0"/>
              <w:rPr>
                <w:sz w:val="20"/>
                <w:szCs w:val="20"/>
                <w:color w:val="auto"/>
              </w:rPr>
            </w:pPr>
            <w:r>
              <w:rPr>
                <w:rFonts w:ascii="Arial" w:cs="Arial" w:eastAsia="Arial" w:hAnsi="Arial"/>
                <w:sz w:val="18"/>
                <w:szCs w:val="18"/>
                <w:b w:val="1"/>
                <w:bCs w:val="1"/>
                <w:color w:val="auto"/>
              </w:rPr>
              <w:t>Profitability</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4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343"/>
        </w:trPr>
        <w:tc>
          <w:tcPr>
            <w:tcW w:w="4500" w:type="dxa"/>
            <w:vAlign w:val="bottom"/>
          </w:tcPr>
          <w:p>
            <w:pPr>
              <w:spacing w:after="0"/>
              <w:rPr>
                <w:sz w:val="20"/>
                <w:szCs w:val="20"/>
                <w:color w:val="auto"/>
              </w:rPr>
            </w:pPr>
            <w:r>
              <w:rPr>
                <w:rFonts w:ascii="Arial" w:cs="Arial" w:eastAsia="Arial" w:hAnsi="Arial"/>
                <w:sz w:val="18"/>
                <w:szCs w:val="18"/>
                <w:color w:val="auto"/>
              </w:rPr>
              <w:t>Net income per common share (US$ per share)(1)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0.44</w:t>
            </w:r>
          </w:p>
        </w:tc>
        <w:tc>
          <w:tcPr>
            <w:tcW w:w="116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Net interest margin on interest earning assets (2)</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5.70%</w:t>
            </w: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Return on average total assets (2)(3)</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1.56%</w:t>
            </w: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Return on average shareholders' equity (2)(3)</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13.15%</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13.49%</w:t>
            </w:r>
          </w:p>
        </w:tc>
        <w:tc>
          <w:tcPr>
            <w:tcW w:w="116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No. of outstanding shares (millions)(4)</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79.75</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79.76</w:t>
            </w:r>
          </w:p>
        </w:tc>
        <w:tc>
          <w:tcPr>
            <w:tcW w:w="1160" w:type="dxa"/>
            <w:vAlign w:val="bottom"/>
          </w:tcPr>
          <w:p>
            <w:pPr>
              <w:jc w:val="right"/>
              <w:spacing w:after="0"/>
              <w:rPr>
                <w:sz w:val="20"/>
                <w:szCs w:val="20"/>
                <w:color w:val="auto"/>
              </w:rPr>
            </w:pPr>
            <w:r>
              <w:rPr>
                <w:rFonts w:ascii="Arial" w:cs="Arial" w:eastAsia="Arial" w:hAnsi="Arial"/>
                <w:sz w:val="18"/>
                <w:szCs w:val="18"/>
                <w:color w:val="auto"/>
              </w:rPr>
              <w:t>79.76</w:t>
            </w:r>
          </w:p>
        </w:tc>
      </w:tr>
      <w:tr>
        <w:trPr>
          <w:trHeight w:val="486"/>
        </w:trPr>
        <w:tc>
          <w:tcPr>
            <w:tcW w:w="45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4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343"/>
        </w:trPr>
        <w:tc>
          <w:tcPr>
            <w:tcW w:w="4500" w:type="dxa"/>
            <w:vAlign w:val="bottom"/>
          </w:tcPr>
          <w:p>
            <w:pPr>
              <w:ind w:left="60"/>
              <w:spacing w:after="0"/>
              <w:rPr>
                <w:sz w:val="20"/>
                <w:szCs w:val="20"/>
                <w:color w:val="auto"/>
              </w:rPr>
            </w:pPr>
            <w:r>
              <w:rPr>
                <w:rFonts w:ascii="Arial" w:cs="Arial" w:eastAsia="Arial" w:hAnsi="Arial"/>
                <w:sz w:val="18"/>
                <w:szCs w:val="18"/>
                <w:color w:val="auto"/>
              </w:rPr>
              <w:t>Past due loans as a percentage of total loans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5.68%</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3.50%</w:t>
            </w: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4500" w:type="dxa"/>
            <w:vAlign w:val="bottom"/>
          </w:tcPr>
          <w:p>
            <w:pPr>
              <w:ind w:left="60"/>
              <w:spacing w:after="0"/>
              <w:rPr>
                <w:sz w:val="20"/>
                <w:szCs w:val="20"/>
                <w:color w:val="auto"/>
              </w:rPr>
            </w:pPr>
            <w:r>
              <w:rPr>
                <w:rFonts w:ascii="Arial" w:cs="Arial" w:eastAsia="Arial" w:hAnsi="Arial"/>
                <w:sz w:val="18"/>
                <w:szCs w:val="18"/>
                <w:color w:val="auto"/>
              </w:rPr>
              <w:t>Reserves for loan losses as a percentage of</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total past due loans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117.70%</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158.01%</w:t>
            </w:r>
          </w:p>
        </w:tc>
        <w:tc>
          <w:tcPr>
            <w:tcW w:w="1160" w:type="dxa"/>
            <w:vAlign w:val="bottom"/>
          </w:tcPr>
          <w:p>
            <w:pPr>
              <w:jc w:val="right"/>
              <w:spacing w:after="0"/>
              <w:rPr>
                <w:sz w:val="20"/>
                <w:szCs w:val="20"/>
                <w:color w:val="auto"/>
              </w:rPr>
            </w:pPr>
            <w:r>
              <w:rPr>
                <w:rFonts w:ascii="Arial" w:cs="Arial" w:eastAsia="Arial" w:hAnsi="Arial"/>
                <w:sz w:val="18"/>
                <w:szCs w:val="18"/>
                <w:color w:val="auto"/>
              </w:rPr>
              <w:t>161.62%</w:t>
            </w:r>
          </w:p>
        </w:tc>
      </w:tr>
      <w:tr>
        <w:trPr>
          <w:trHeight w:val="243"/>
        </w:trPr>
        <w:tc>
          <w:tcPr>
            <w:tcW w:w="4500" w:type="dxa"/>
            <w:vAlign w:val="bottom"/>
          </w:tcPr>
          <w:p>
            <w:pPr>
              <w:ind w:left="60"/>
              <w:spacing w:after="0"/>
              <w:rPr>
                <w:sz w:val="20"/>
                <w:szCs w:val="20"/>
                <w:color w:val="auto"/>
              </w:rPr>
            </w:pPr>
            <w:r>
              <w:rPr>
                <w:rFonts w:ascii="Arial" w:cs="Arial" w:eastAsia="Arial" w:hAnsi="Arial"/>
                <w:sz w:val="18"/>
                <w:szCs w:val="18"/>
                <w:color w:val="auto"/>
              </w:rPr>
              <w:t>Reserves for loan losses as a percentage of</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50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5.52%</w:t>
            </w:r>
          </w:p>
        </w:tc>
        <w:tc>
          <w:tcPr>
            <w:tcW w:w="116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43"/>
        </w:trPr>
        <w:tc>
          <w:tcPr>
            <w:tcW w:w="4500" w:type="dxa"/>
            <w:vAlign w:val="bottom"/>
          </w:tcPr>
          <w:p>
            <w:pPr>
              <w:ind w:left="60"/>
              <w:spacing w:after="0"/>
              <w:rPr>
                <w:sz w:val="20"/>
                <w:szCs w:val="20"/>
                <w:color w:val="auto"/>
              </w:rPr>
            </w:pPr>
            <w:r>
              <w:rPr>
                <w:rFonts w:ascii="Arial" w:cs="Arial" w:eastAsia="Arial" w:hAnsi="Arial"/>
                <w:sz w:val="18"/>
                <w:szCs w:val="18"/>
                <w:color w:val="auto"/>
              </w:rPr>
              <w:t>Reserves for loan losses as a percentage of</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substandard loans (C+D+E)</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48.92%</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52.00%</w:t>
            </w:r>
          </w:p>
        </w:tc>
        <w:tc>
          <w:tcPr>
            <w:tcW w:w="1160" w:type="dxa"/>
            <w:vAlign w:val="bottom"/>
          </w:tcPr>
          <w:p>
            <w:pPr>
              <w:jc w:val="right"/>
              <w:spacing w:after="0"/>
              <w:rPr>
                <w:sz w:val="20"/>
                <w:szCs w:val="20"/>
                <w:color w:val="auto"/>
              </w:rPr>
            </w:pPr>
            <w:r>
              <w:rPr>
                <w:rFonts w:ascii="Arial" w:cs="Arial" w:eastAsia="Arial" w:hAnsi="Arial"/>
                <w:sz w:val="18"/>
                <w:szCs w:val="18"/>
                <w:color w:val="auto"/>
              </w:rPr>
              <w:t>50.31%</w:t>
            </w:r>
          </w:p>
        </w:tc>
      </w:tr>
      <w:tr>
        <w:trPr>
          <w:trHeight w:val="243"/>
        </w:trPr>
        <w:tc>
          <w:tcPr>
            <w:tcW w:w="4500" w:type="dxa"/>
            <w:vAlign w:val="bottom"/>
          </w:tcPr>
          <w:p>
            <w:pPr>
              <w:ind w:left="60"/>
              <w:spacing w:after="0"/>
              <w:rPr>
                <w:sz w:val="20"/>
                <w:szCs w:val="20"/>
                <w:color w:val="auto"/>
              </w:rPr>
            </w:pPr>
            <w:r>
              <w:rPr>
                <w:rFonts w:ascii="Arial" w:cs="Arial" w:eastAsia="Arial" w:hAnsi="Arial"/>
                <w:sz w:val="18"/>
                <w:szCs w:val="18"/>
                <w:color w:val="auto"/>
              </w:rPr>
              <w:t>Past due loans - reserves for loan losses as a</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500" w:type="dxa"/>
            <w:vAlign w:val="bottom"/>
          </w:tcPr>
          <w:p>
            <w:pPr>
              <w:ind w:left="380"/>
              <w:spacing w:after="0"/>
              <w:rPr>
                <w:sz w:val="20"/>
                <w:szCs w:val="20"/>
                <w:color w:val="auto"/>
              </w:rPr>
            </w:pPr>
            <w:r>
              <w:rPr>
                <w:rFonts w:ascii="Arial" w:cs="Arial" w:eastAsia="Arial" w:hAnsi="Arial"/>
                <w:sz w:val="18"/>
                <w:szCs w:val="18"/>
                <w:color w:val="auto"/>
              </w:rPr>
              <w:t>percentage of shareholders' equity</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-8.73%</w:t>
            </w:r>
          </w:p>
        </w:tc>
        <w:tc>
          <w:tcPr>
            <w:tcW w:w="116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486"/>
        </w:trPr>
        <w:tc>
          <w:tcPr>
            <w:tcW w:w="4500" w:type="dxa"/>
            <w:vAlign w:val="bottom"/>
          </w:tcPr>
          <w:p>
            <w:pPr>
              <w:spacing w:after="0"/>
              <w:rPr>
                <w:sz w:val="20"/>
                <w:szCs w:val="20"/>
                <w:color w:val="auto"/>
              </w:rPr>
            </w:pPr>
            <w:r>
              <w:rPr>
                <w:rFonts w:ascii="Arial" w:cs="Arial" w:eastAsia="Arial" w:hAnsi="Arial"/>
                <w:sz w:val="18"/>
                <w:szCs w:val="18"/>
                <w:b w:val="1"/>
                <w:bCs w:val="1"/>
                <w:color w:val="auto"/>
              </w:rPr>
              <w:t>Operating efficiency</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4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343"/>
        </w:trPr>
        <w:tc>
          <w:tcPr>
            <w:tcW w:w="4500" w:type="dxa"/>
            <w:vAlign w:val="bottom"/>
          </w:tcPr>
          <w:p>
            <w:pPr>
              <w:spacing w:after="0"/>
              <w:rPr>
                <w:sz w:val="20"/>
                <w:szCs w:val="20"/>
                <w:color w:val="auto"/>
              </w:rPr>
            </w:pPr>
            <w:r>
              <w:rPr>
                <w:rFonts w:ascii="Arial" w:cs="Arial" w:eastAsia="Arial" w:hAnsi="Arial"/>
                <w:sz w:val="18"/>
                <w:szCs w:val="18"/>
                <w:color w:val="auto"/>
              </w:rPr>
              <w:t>Oper. expense as a percent. of total income (5)</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52.75%</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49.39%</w:t>
            </w:r>
          </w:p>
        </w:tc>
        <w:tc>
          <w:tcPr>
            <w:tcW w:w="1160" w:type="dxa"/>
            <w:vAlign w:val="bottom"/>
          </w:tcPr>
          <w:p>
            <w:pPr>
              <w:jc w:val="right"/>
              <w:spacing w:after="0"/>
              <w:rPr>
                <w:sz w:val="20"/>
                <w:szCs w:val="20"/>
                <w:color w:val="auto"/>
              </w:rPr>
            </w:pPr>
            <w:r>
              <w:rPr>
                <w:rFonts w:ascii="Arial" w:cs="Arial" w:eastAsia="Arial" w:hAnsi="Arial"/>
                <w:sz w:val="18"/>
                <w:szCs w:val="18"/>
                <w:color w:val="auto"/>
              </w:rPr>
              <w:t>45.14%</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Oper. expense as a percent. of av. tot. assets(2)(3)(5)</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4.91%</w:t>
            </w:r>
          </w:p>
        </w:tc>
        <w:tc>
          <w:tcPr>
            <w:tcW w:w="11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486"/>
        </w:trPr>
        <w:tc>
          <w:tcPr>
            <w:tcW w:w="4500" w:type="dxa"/>
            <w:vAlign w:val="bottom"/>
          </w:tcPr>
          <w:p>
            <w:pPr>
              <w:spacing w:after="0"/>
              <w:rPr>
                <w:sz w:val="20"/>
                <w:szCs w:val="20"/>
                <w:color w:val="auto"/>
              </w:rPr>
            </w:pPr>
            <w:r>
              <w:rPr>
                <w:rFonts w:ascii="Arial" w:cs="Arial" w:eastAsia="Arial" w:hAnsi="Arial"/>
                <w:sz w:val="18"/>
                <w:szCs w:val="18"/>
                <w:b w:val="1"/>
                <w:bCs w:val="1"/>
                <w:color w:val="auto"/>
              </w:rPr>
              <w:t>Capital adequacy</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4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343"/>
        </w:trPr>
        <w:tc>
          <w:tcPr>
            <w:tcW w:w="4500" w:type="dxa"/>
            <w:vAlign w:val="bottom"/>
          </w:tcPr>
          <w:p>
            <w:pPr>
              <w:ind w:left="60"/>
              <w:spacing w:after="0"/>
              <w:rPr>
                <w:sz w:val="20"/>
                <w:szCs w:val="20"/>
                <w:color w:val="auto"/>
              </w:rPr>
            </w:pPr>
            <w:r>
              <w:rPr>
                <w:rFonts w:ascii="Arial" w:cs="Arial" w:eastAsia="Arial" w:hAnsi="Arial"/>
                <w:sz w:val="18"/>
                <w:szCs w:val="18"/>
                <w:color w:val="auto"/>
              </w:rPr>
              <w:t>Total Regulatory Capital (US$Mn)</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866.7</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837.1</w:t>
            </w:r>
          </w:p>
        </w:tc>
        <w:tc>
          <w:tcPr>
            <w:tcW w:w="1160" w:type="dxa"/>
            <w:vAlign w:val="bottom"/>
          </w:tcPr>
          <w:p>
            <w:pPr>
              <w:jc w:val="right"/>
              <w:spacing w:after="0"/>
              <w:rPr>
                <w:sz w:val="20"/>
                <w:szCs w:val="20"/>
                <w:color w:val="auto"/>
              </w:rPr>
            </w:pPr>
            <w:r>
              <w:rPr>
                <w:rFonts w:ascii="Arial" w:cs="Arial" w:eastAsia="Arial" w:hAnsi="Arial"/>
                <w:sz w:val="18"/>
                <w:szCs w:val="18"/>
                <w:color w:val="auto"/>
              </w:rPr>
              <w:t>843.3</w:t>
            </w:r>
          </w:p>
        </w:tc>
      </w:tr>
      <w:tr>
        <w:trPr>
          <w:trHeight w:val="243"/>
        </w:trPr>
        <w:tc>
          <w:tcPr>
            <w:tcW w:w="4500" w:type="dxa"/>
            <w:vAlign w:val="bottom"/>
          </w:tcPr>
          <w:p>
            <w:pPr>
              <w:ind w:left="60"/>
              <w:spacing w:after="0"/>
              <w:rPr>
                <w:sz w:val="20"/>
                <w:szCs w:val="20"/>
                <w:color w:val="auto"/>
              </w:rPr>
            </w:pPr>
            <w:r>
              <w:rPr>
                <w:rFonts w:ascii="Arial" w:cs="Arial" w:eastAsia="Arial" w:hAnsi="Arial"/>
                <w:sz w:val="18"/>
                <w:szCs w:val="18"/>
                <w:color w:val="auto"/>
              </w:rPr>
              <w:t>Tier I Capital (US$Mn)</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742.1</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733.8</w:t>
            </w:r>
          </w:p>
        </w:tc>
        <w:tc>
          <w:tcPr>
            <w:tcW w:w="1160" w:type="dxa"/>
            <w:vAlign w:val="bottom"/>
          </w:tcPr>
          <w:p>
            <w:pPr>
              <w:jc w:val="right"/>
              <w:spacing w:after="0"/>
              <w:rPr>
                <w:sz w:val="20"/>
                <w:szCs w:val="20"/>
                <w:color w:val="auto"/>
              </w:rPr>
            </w:pPr>
            <w:r>
              <w:rPr>
                <w:rFonts w:ascii="Arial" w:cs="Arial" w:eastAsia="Arial" w:hAnsi="Arial"/>
                <w:sz w:val="18"/>
                <w:szCs w:val="18"/>
                <w:color w:val="auto"/>
              </w:rPr>
              <w:t>765.8</w:t>
            </w:r>
          </w:p>
        </w:tc>
      </w:tr>
      <w:tr>
        <w:trPr>
          <w:trHeight w:val="243"/>
        </w:trPr>
        <w:tc>
          <w:tcPr>
            <w:tcW w:w="4500" w:type="dxa"/>
            <w:vAlign w:val="bottom"/>
          </w:tcPr>
          <w:p>
            <w:pPr>
              <w:ind w:left="60"/>
              <w:spacing w:after="0"/>
              <w:rPr>
                <w:sz w:val="20"/>
                <w:szCs w:val="20"/>
                <w:color w:val="auto"/>
              </w:rPr>
            </w:pPr>
            <w:r>
              <w:rPr>
                <w:rFonts w:ascii="Arial" w:cs="Arial" w:eastAsia="Arial" w:hAnsi="Arial"/>
                <w:sz w:val="18"/>
                <w:szCs w:val="18"/>
                <w:color w:val="auto"/>
              </w:rPr>
              <w:t>Regulatory capital / risk-weighted assets (6)</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13.53%</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12.42%</w:t>
            </w:r>
          </w:p>
        </w:tc>
        <w:tc>
          <w:tcPr>
            <w:tcW w:w="116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486"/>
        </w:trPr>
        <w:tc>
          <w:tcPr>
            <w:tcW w:w="4500" w:type="dxa"/>
            <w:vAlign w:val="bottom"/>
          </w:tcPr>
          <w:p>
            <w:pPr>
              <w:spacing w:after="0"/>
              <w:rPr>
                <w:sz w:val="20"/>
                <w:szCs w:val="20"/>
                <w:color w:val="auto"/>
              </w:rPr>
            </w:pPr>
            <w:r>
              <w:rPr>
                <w:rFonts w:ascii="Arial" w:cs="Arial" w:eastAsia="Arial" w:hAnsi="Arial"/>
                <w:sz w:val="18"/>
                <w:szCs w:val="18"/>
                <w:b w:val="1"/>
                <w:bCs w:val="1"/>
                <w:color w:val="auto"/>
              </w:rPr>
              <w:t>Average balances (US$Mn) (3)</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4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343"/>
        </w:trPr>
        <w:tc>
          <w:tcPr>
            <w:tcW w:w="4500" w:type="dxa"/>
            <w:vAlign w:val="bottom"/>
          </w:tcPr>
          <w:p>
            <w:pPr>
              <w:ind w:left="60"/>
              <w:spacing w:after="0"/>
              <w:rPr>
                <w:sz w:val="20"/>
                <w:szCs w:val="20"/>
                <w:color w:val="auto"/>
              </w:rPr>
            </w:pPr>
            <w:r>
              <w:rPr>
                <w:rFonts w:ascii="Arial" w:cs="Arial" w:eastAsia="Arial" w:hAnsi="Arial"/>
                <w:sz w:val="18"/>
                <w:szCs w:val="18"/>
                <w:color w:val="auto"/>
              </w:rPr>
              <w:t>Interest earning assets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6,837.3</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7,416.1</w:t>
            </w:r>
          </w:p>
        </w:tc>
        <w:tc>
          <w:tcPr>
            <w:tcW w:w="1160" w:type="dxa"/>
            <w:vAlign w:val="bottom"/>
          </w:tcPr>
          <w:p>
            <w:pPr>
              <w:jc w:val="right"/>
              <w:spacing w:after="0"/>
              <w:rPr>
                <w:sz w:val="20"/>
                <w:szCs w:val="20"/>
                <w:color w:val="auto"/>
              </w:rPr>
            </w:pPr>
            <w:r>
              <w:rPr>
                <w:rFonts w:ascii="Arial" w:cs="Arial" w:eastAsia="Arial" w:hAnsi="Arial"/>
                <w:sz w:val="18"/>
                <w:szCs w:val="18"/>
                <w:color w:val="auto"/>
              </w:rPr>
              <w:t>7,623.8</w:t>
            </w:r>
          </w:p>
        </w:tc>
      </w:tr>
      <w:tr>
        <w:trPr>
          <w:trHeight w:val="243"/>
        </w:trPr>
        <w:tc>
          <w:tcPr>
            <w:tcW w:w="450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8,316.0</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8,963.4</w:t>
            </w:r>
          </w:p>
        </w:tc>
        <w:tc>
          <w:tcPr>
            <w:tcW w:w="1160" w:type="dxa"/>
            <w:vAlign w:val="bottom"/>
          </w:tcPr>
          <w:p>
            <w:pPr>
              <w:jc w:val="right"/>
              <w:spacing w:after="0"/>
              <w:rPr>
                <w:sz w:val="20"/>
                <w:szCs w:val="20"/>
                <w:color w:val="auto"/>
              </w:rPr>
            </w:pPr>
            <w:r>
              <w:rPr>
                <w:rFonts w:ascii="Arial" w:cs="Arial" w:eastAsia="Arial" w:hAnsi="Arial"/>
                <w:sz w:val="18"/>
                <w:szCs w:val="18"/>
                <w:color w:val="auto"/>
              </w:rPr>
              <w:t>9,240.8</w:t>
            </w:r>
          </w:p>
        </w:tc>
      </w:tr>
      <w:tr>
        <w:trPr>
          <w:trHeight w:val="243"/>
        </w:trPr>
        <w:tc>
          <w:tcPr>
            <w:tcW w:w="4500" w:type="dxa"/>
            <w:vAlign w:val="bottom"/>
          </w:tcPr>
          <w:p>
            <w:pPr>
              <w:ind w:left="60"/>
              <w:spacing w:after="0"/>
              <w:rPr>
                <w:sz w:val="20"/>
                <w:szCs w:val="20"/>
                <w:color w:val="auto"/>
              </w:rPr>
            </w:pPr>
            <w:r>
              <w:rPr>
                <w:rFonts w:ascii="Arial" w:cs="Arial" w:eastAsia="Arial" w:hAnsi="Arial"/>
                <w:sz w:val="18"/>
                <w:szCs w:val="18"/>
                <w:color w:val="auto"/>
              </w:rPr>
              <w:t>Net equity</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914.4</w:t>
            </w: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1,033.4</w:t>
            </w:r>
          </w:p>
        </w:tc>
        <w:tc>
          <w:tcPr>
            <w:tcW w:w="1160" w:type="dxa"/>
            <w:vAlign w:val="bottom"/>
          </w:tcPr>
          <w:p>
            <w:pPr>
              <w:jc w:val="right"/>
              <w:spacing w:after="0"/>
              <w:rPr>
                <w:sz w:val="20"/>
                <w:szCs w:val="20"/>
                <w:color w:val="auto"/>
              </w:rPr>
            </w:pPr>
            <w:r>
              <w:rPr>
                <w:rFonts w:ascii="Arial" w:cs="Arial" w:eastAsia="Arial" w:hAnsi="Arial"/>
                <w:sz w:val="18"/>
                <w:szCs w:val="18"/>
                <w:color w:val="auto"/>
              </w:rPr>
              <w:t>1,056.8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6390005</wp:posOffset>
            </wp:positionH>
            <wp:positionV relativeFrom="paragraph">
              <wp:posOffset>-6356985</wp:posOffset>
            </wp:positionV>
            <wp:extent cx="3429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-6056630</wp:posOffset>
            </wp:positionV>
            <wp:extent cx="3429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-6056630</wp:posOffset>
            </wp:positionV>
            <wp:extent cx="3429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-5756275</wp:posOffset>
            </wp:positionV>
            <wp:extent cx="3429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-5756275</wp:posOffset>
            </wp:positionV>
            <wp:extent cx="3429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-5756275</wp:posOffset>
            </wp:positionV>
            <wp:extent cx="3429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-5756275</wp:posOffset>
            </wp:positionV>
            <wp:extent cx="3429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-5302250</wp:posOffset>
            </wp:positionV>
            <wp:extent cx="3429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-4075430</wp:posOffset>
            </wp:positionV>
            <wp:extent cx="3429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-2232025</wp:posOffset>
            </wp:positionV>
            <wp:extent cx="3429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-1468755</wp:posOffset>
            </wp:positionV>
            <wp:extent cx="3429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-551180</wp:posOffset>
            </wp:positionV>
            <wp:extent cx="3429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(1)Based on Net Income due to shareholders. Number of shares outstanding of 79.8 million in all periods.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(2)Ratios are annualized.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(3)Averages are determined as the average of period-beginning and period-ending balances.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(4)Net of treasury shares. The total number of shares was of 94.38 million.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(5)Total income includes net interest income and other income.</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Operating expense is net of provisions for other assets received in lieu of loan repayment and</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mandatory employee profit sharing expense. Non-recurring items are not included.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(6)Risk-weighted assets include market risk assets.</w:t>
      </w:r>
    </w:p>
    <w:p>
      <w:pPr>
        <w:sectPr>
          <w:pgSz w:w="11900" w:h="16838" w:orient="portrait"/>
          <w:cols w:equalWidth="0" w:num="1">
            <w:col w:w="10219"/>
          </w:cols>
          <w:pgMar w:left="240" w:top="152" w:right="1440" w:bottom="399" w:gutter="0" w:footer="0" w:header="0"/>
        </w:sectPr>
      </w:pPr>
    </w:p>
    <w:bookmarkStart w:id="18" w:name="page19"/>
    <w:bookmarkEnd w:id="18"/>
    <w:p>
      <w:pPr>
        <w:jc w:val="center"/>
        <w:ind w:right="-120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Table 4</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4"/>
          <w:szCs w:val="14"/>
          <w:i w:val="1"/>
          <w:iCs w:val="1"/>
          <w:color w:val="auto"/>
        </w:rPr>
        <w:t>(In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49530</wp:posOffset>
            </wp:positionV>
            <wp:extent cx="5569585"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2960" w:type="dxa"/>
            <w:vAlign w:val="bottom"/>
          </w:tcPr>
          <w:p>
            <w:pPr>
              <w:ind w:left="1480"/>
              <w:spacing w:after="0"/>
              <w:rPr>
                <w:sz w:val="20"/>
                <w:szCs w:val="20"/>
                <w:color w:val="auto"/>
              </w:rPr>
            </w:pPr>
            <w:r>
              <w:rPr>
                <w:rFonts w:ascii="Arial" w:cs="Arial" w:eastAsia="Arial" w:hAnsi="Arial"/>
                <w:sz w:val="14"/>
                <w:szCs w:val="14"/>
                <w:b w:val="1"/>
                <w:bCs w:val="1"/>
                <w:color w:val="auto"/>
              </w:rPr>
              <w:t>ASSETS</w:t>
            </w:r>
          </w:p>
        </w:tc>
        <w:tc>
          <w:tcPr>
            <w:tcW w:w="1840" w:type="dxa"/>
            <w:vAlign w:val="bottom"/>
          </w:tcPr>
          <w:p>
            <w:pPr>
              <w:jc w:val="right"/>
              <w:ind w:right="332"/>
              <w:spacing w:after="0"/>
              <w:rPr>
                <w:sz w:val="20"/>
                <w:szCs w:val="20"/>
                <w:color w:val="auto"/>
              </w:rPr>
            </w:pPr>
            <w:r>
              <w:rPr>
                <w:rFonts w:ascii="Arial" w:cs="Arial" w:eastAsia="Arial" w:hAnsi="Arial"/>
                <w:sz w:val="14"/>
                <w:szCs w:val="14"/>
                <w:b w:val="1"/>
                <w:bCs w:val="1"/>
                <w:color w:val="auto"/>
              </w:rPr>
              <w:t>31.12.03</w:t>
            </w:r>
          </w:p>
        </w:tc>
        <w:tc>
          <w:tcPr>
            <w:tcW w:w="1300" w:type="dxa"/>
            <w:vAlign w:val="bottom"/>
          </w:tcPr>
          <w:p>
            <w:pPr>
              <w:jc w:val="right"/>
              <w:ind w:right="352"/>
              <w:spacing w:after="0"/>
              <w:rPr>
                <w:sz w:val="20"/>
                <w:szCs w:val="20"/>
                <w:color w:val="auto"/>
              </w:rPr>
            </w:pPr>
            <w:r>
              <w:rPr>
                <w:rFonts w:ascii="Arial" w:cs="Arial" w:eastAsia="Arial" w:hAnsi="Arial"/>
                <w:sz w:val="14"/>
                <w:szCs w:val="14"/>
                <w:b w:val="1"/>
                <w:bCs w:val="1"/>
                <w:color w:val="auto"/>
              </w:rPr>
              <w:t>31.03.04</w:t>
            </w:r>
          </w:p>
        </w:tc>
        <w:tc>
          <w:tcPr>
            <w:tcW w:w="1320" w:type="dxa"/>
            <w:vAlign w:val="bottom"/>
          </w:tcPr>
          <w:p>
            <w:pPr>
              <w:jc w:val="right"/>
              <w:ind w:right="352"/>
              <w:spacing w:after="0"/>
              <w:rPr>
                <w:sz w:val="20"/>
                <w:szCs w:val="20"/>
                <w:color w:val="auto"/>
              </w:rPr>
            </w:pPr>
            <w:r>
              <w:rPr>
                <w:rFonts w:ascii="Arial" w:cs="Arial" w:eastAsia="Arial" w:hAnsi="Arial"/>
                <w:sz w:val="14"/>
                <w:szCs w:val="14"/>
                <w:b w:val="1"/>
                <w:bCs w:val="1"/>
                <w:color w:val="auto"/>
              </w:rPr>
              <w:t>31.12.04</w:t>
            </w:r>
          </w:p>
        </w:tc>
        <w:tc>
          <w:tcPr>
            <w:tcW w:w="1340" w:type="dxa"/>
            <w:vAlign w:val="bottom"/>
          </w:tcPr>
          <w:p>
            <w:pPr>
              <w:jc w:val="right"/>
              <w:ind w:right="392"/>
              <w:spacing w:after="0"/>
              <w:rPr>
                <w:sz w:val="20"/>
                <w:szCs w:val="20"/>
                <w:color w:val="auto"/>
              </w:rPr>
            </w:pPr>
            <w:r>
              <w:rPr>
                <w:rFonts w:ascii="Arial" w:cs="Arial" w:eastAsia="Arial" w:hAnsi="Arial"/>
                <w:sz w:val="14"/>
                <w:szCs w:val="14"/>
                <w:b w:val="1"/>
                <w:bCs w:val="1"/>
                <w:color w:val="auto"/>
              </w:rPr>
              <w:t>31.03.05</w:t>
            </w:r>
          </w:p>
        </w:tc>
      </w:tr>
      <w:tr>
        <w:trPr>
          <w:trHeight w:val="122"/>
        </w:trPr>
        <w:tc>
          <w:tcPr>
            <w:tcW w:w="29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-20955</wp:posOffset>
            </wp:positionV>
            <wp:extent cx="3429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-20955</wp:posOffset>
            </wp:positionV>
            <wp:extent cx="3429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-20955</wp:posOffset>
            </wp:positionV>
            <wp:extent cx="3429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-20955</wp:posOffset>
            </wp:positionV>
            <wp:extent cx="3429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350"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298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2080" w:type="dxa"/>
            <w:vAlign w:val="bottom"/>
          </w:tcPr>
          <w:p>
            <w:pPr>
              <w:jc w:val="right"/>
              <w:ind w:right="212"/>
              <w:spacing w:after="0"/>
              <w:rPr>
                <w:sz w:val="20"/>
                <w:szCs w:val="20"/>
                <w:color w:val="auto"/>
              </w:rPr>
            </w:pPr>
            <w:r>
              <w:rPr>
                <w:rFonts w:ascii="Arial" w:cs="Arial" w:eastAsia="Arial" w:hAnsi="Arial"/>
                <w:sz w:val="18"/>
                <w:szCs w:val="18"/>
                <w:color w:val="auto"/>
              </w:rPr>
              <w:t>1,496.374</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1,474.666</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1,710.905</w:t>
            </w:r>
          </w:p>
        </w:tc>
        <w:tc>
          <w:tcPr>
            <w:tcW w:w="1020" w:type="dxa"/>
            <w:vAlign w:val="bottom"/>
          </w:tcPr>
          <w:p>
            <w:pPr>
              <w:jc w:val="right"/>
              <w:spacing w:after="0"/>
              <w:rPr>
                <w:sz w:val="20"/>
                <w:szCs w:val="20"/>
                <w:color w:val="auto"/>
              </w:rPr>
            </w:pPr>
            <w:r>
              <w:rPr>
                <w:rFonts w:ascii="Arial" w:cs="Arial" w:eastAsia="Arial" w:hAnsi="Arial"/>
                <w:sz w:val="18"/>
                <w:szCs w:val="18"/>
                <w:color w:val="auto"/>
              </w:rPr>
              <w:t>1,646.087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57150</wp:posOffset>
            </wp:positionV>
            <wp:extent cx="5569585"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p>
      <w:pPr>
        <w:spacing w:after="0" w:line="288"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Cash and Checks</w:t>
      </w:r>
    </w:p>
    <w:p>
      <w:pPr>
        <w:spacing w:after="0" w:line="8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Deposits in Central Bank of Peru</w:t>
      </w:r>
    </w:p>
    <w:p>
      <w:pPr>
        <w:spacing w:after="0" w:line="82"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Deposits with local and foreign banks</w:t>
      </w:r>
    </w:p>
    <w:p>
      <w:pPr>
        <w:spacing w:after="0" w:line="348"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TRADING SECURITIES, net</w:t>
      </w:r>
    </w:p>
    <w:p>
      <w:pPr>
        <w:spacing w:after="0" w:line="325"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LOANS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jc w:val="right"/>
              <w:ind w:right="212"/>
              <w:spacing w:after="0"/>
              <w:rPr>
                <w:sz w:val="20"/>
                <w:szCs w:val="20"/>
                <w:color w:val="auto"/>
              </w:rPr>
            </w:pPr>
            <w:r>
              <w:rPr>
                <w:rFonts w:ascii="Arial" w:cs="Arial" w:eastAsia="Arial" w:hAnsi="Arial"/>
                <w:sz w:val="18"/>
                <w:szCs w:val="18"/>
                <w:color w:val="auto"/>
              </w:rPr>
              <w:t>228.561</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248.413</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250.325</w:t>
            </w:r>
          </w:p>
        </w:tc>
        <w:tc>
          <w:tcPr>
            <w:tcW w:w="1020" w:type="dxa"/>
            <w:vAlign w:val="bottom"/>
          </w:tcPr>
          <w:p>
            <w:pPr>
              <w:jc w:val="right"/>
              <w:spacing w:after="0"/>
              <w:rPr>
                <w:sz w:val="20"/>
                <w:szCs w:val="20"/>
                <w:color w:val="auto"/>
              </w:rPr>
            </w:pPr>
            <w:r>
              <w:rPr>
                <w:rFonts w:ascii="Arial" w:cs="Arial" w:eastAsia="Arial" w:hAnsi="Arial"/>
                <w:sz w:val="18"/>
                <w:szCs w:val="18"/>
                <w:color w:val="auto"/>
              </w:rPr>
              <w:t>333.164</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color w:val="auto"/>
              </w:rPr>
              <w:t>960.186</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878.161</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1,102.491</w:t>
            </w:r>
          </w:p>
        </w:tc>
        <w:tc>
          <w:tcPr>
            <w:tcW w:w="1020" w:type="dxa"/>
            <w:vAlign w:val="bottom"/>
          </w:tcPr>
          <w:p>
            <w:pPr>
              <w:jc w:val="right"/>
              <w:spacing w:after="0"/>
              <w:rPr>
                <w:sz w:val="20"/>
                <w:szCs w:val="20"/>
                <w:color w:val="auto"/>
              </w:rPr>
            </w:pPr>
            <w:r>
              <w:rPr>
                <w:rFonts w:ascii="Arial" w:cs="Arial" w:eastAsia="Arial" w:hAnsi="Arial"/>
                <w:sz w:val="18"/>
                <w:szCs w:val="18"/>
                <w:color w:val="auto"/>
              </w:rPr>
              <w:t>943.818</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color w:val="auto"/>
              </w:rPr>
              <w:t>307.627</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348.092</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358.089</w:t>
            </w:r>
          </w:p>
        </w:tc>
        <w:tc>
          <w:tcPr>
            <w:tcW w:w="1020" w:type="dxa"/>
            <w:vAlign w:val="bottom"/>
          </w:tcPr>
          <w:p>
            <w:pPr>
              <w:jc w:val="right"/>
              <w:spacing w:after="0"/>
              <w:rPr>
                <w:sz w:val="20"/>
                <w:szCs w:val="20"/>
                <w:color w:val="auto"/>
              </w:rPr>
            </w:pPr>
            <w:r>
              <w:rPr>
                <w:rFonts w:ascii="Arial" w:cs="Arial" w:eastAsia="Arial" w:hAnsi="Arial"/>
                <w:sz w:val="18"/>
                <w:szCs w:val="18"/>
                <w:color w:val="auto"/>
              </w:rPr>
              <w:t>369.105</w:t>
            </w:r>
          </w:p>
        </w:tc>
      </w:tr>
      <w:tr>
        <w:trPr>
          <w:trHeight w:val="486"/>
        </w:trPr>
        <w:tc>
          <w:tcPr>
            <w:tcW w:w="1000" w:type="dxa"/>
            <w:vAlign w:val="bottom"/>
          </w:tcPr>
          <w:p>
            <w:pPr>
              <w:jc w:val="right"/>
              <w:ind w:right="212"/>
              <w:spacing w:after="0"/>
              <w:rPr>
                <w:sz w:val="20"/>
                <w:szCs w:val="20"/>
                <w:color w:val="auto"/>
              </w:rPr>
            </w:pPr>
            <w:r>
              <w:rPr>
                <w:rFonts w:ascii="Arial" w:cs="Arial" w:eastAsia="Arial" w:hAnsi="Arial"/>
                <w:sz w:val="18"/>
                <w:szCs w:val="18"/>
                <w:color w:val="auto"/>
              </w:rPr>
              <w:t>137.314</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181.784</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46.962</w:t>
            </w:r>
          </w:p>
        </w:tc>
        <w:tc>
          <w:tcPr>
            <w:tcW w:w="1020" w:type="dxa"/>
            <w:vAlign w:val="bottom"/>
          </w:tcPr>
          <w:p>
            <w:pPr>
              <w:jc w:val="right"/>
              <w:spacing w:after="0"/>
              <w:rPr>
                <w:sz w:val="20"/>
                <w:szCs w:val="20"/>
                <w:color w:val="auto"/>
              </w:rPr>
            </w:pPr>
            <w:r>
              <w:rPr>
                <w:rFonts w:ascii="Arial" w:cs="Arial" w:eastAsia="Arial" w:hAnsi="Arial"/>
                <w:sz w:val="18"/>
                <w:szCs w:val="18"/>
                <w:color w:val="auto"/>
              </w:rPr>
              <w:t>32.307</w:t>
            </w:r>
          </w:p>
        </w:tc>
      </w:tr>
      <w:tr>
        <w:trPr>
          <w:trHeight w:val="486"/>
        </w:trPr>
        <w:tc>
          <w:tcPr>
            <w:tcW w:w="1000" w:type="dxa"/>
            <w:vAlign w:val="bottom"/>
          </w:tcPr>
          <w:p>
            <w:pPr>
              <w:jc w:val="right"/>
              <w:ind w:right="212"/>
              <w:spacing w:after="0"/>
              <w:rPr>
                <w:sz w:val="20"/>
                <w:szCs w:val="20"/>
                <w:color w:val="auto"/>
              </w:rPr>
            </w:pPr>
            <w:r>
              <w:rPr>
                <w:rFonts w:ascii="Arial" w:cs="Arial" w:eastAsia="Arial" w:hAnsi="Arial"/>
                <w:sz w:val="18"/>
                <w:szCs w:val="18"/>
                <w:color w:val="auto"/>
                <w:w w:val="84"/>
              </w:rPr>
              <w:t>4,101.634</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3,994.976</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4,098.487</w:t>
            </w:r>
          </w:p>
        </w:tc>
        <w:tc>
          <w:tcPr>
            <w:tcW w:w="1020" w:type="dxa"/>
            <w:vAlign w:val="bottom"/>
          </w:tcPr>
          <w:p>
            <w:pPr>
              <w:jc w:val="right"/>
              <w:spacing w:after="0"/>
              <w:rPr>
                <w:sz w:val="20"/>
                <w:szCs w:val="20"/>
                <w:color w:val="auto"/>
              </w:rPr>
            </w:pPr>
            <w:r>
              <w:rPr>
                <w:rFonts w:ascii="Arial" w:cs="Arial" w:eastAsia="Arial" w:hAnsi="Arial"/>
                <w:sz w:val="18"/>
                <w:szCs w:val="18"/>
                <w:color w:val="auto"/>
              </w:rPr>
              <w:t>4,367.414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57150</wp:posOffset>
            </wp:positionV>
            <wp:extent cx="5569585"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4819"/>
          </w:cols>
          <w:pgMar w:left="240" w:top="125" w:right="1440" w:bottom="0" w:gutter="0" w:footer="0" w:header="0"/>
          <w:type w:val="continuous"/>
        </w:sectPr>
      </w:pPr>
    </w:p>
    <w:p>
      <w:pPr>
        <w:spacing w:after="0" w:line="88"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Current</w:t>
      </w:r>
    </w:p>
    <w:p>
      <w:pPr>
        <w:spacing w:after="0" w:line="8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Past Due</w:t>
      </w:r>
    </w:p>
    <w:p>
      <w:pPr>
        <w:spacing w:after="0" w:line="82" w:lineRule="exact"/>
        <w:rPr>
          <w:sz w:val="20"/>
          <w:szCs w:val="20"/>
          <w:color w:val="auto"/>
        </w:rPr>
      </w:pPr>
    </w:p>
    <w:p>
      <w:pPr>
        <w:ind w:left="1400"/>
        <w:spacing w:after="0"/>
        <w:rPr>
          <w:sz w:val="20"/>
          <w:szCs w:val="20"/>
          <w:color w:val="auto"/>
        </w:rPr>
      </w:pPr>
      <w:r>
        <w:rPr>
          <w:rFonts w:ascii="Arial" w:cs="Arial" w:eastAsia="Arial" w:hAnsi="Arial"/>
          <w:sz w:val="11"/>
          <w:szCs w:val="11"/>
          <w:color w:val="auto"/>
        </w:rPr>
        <w:t>Less - Reserve for possible loan losses</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LOANS NET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jc w:val="right"/>
              <w:ind w:right="212"/>
              <w:spacing w:after="0"/>
              <w:rPr>
                <w:sz w:val="20"/>
                <w:szCs w:val="20"/>
                <w:color w:val="auto"/>
              </w:rPr>
            </w:pPr>
            <w:r>
              <w:rPr>
                <w:rFonts w:ascii="Arial" w:cs="Arial" w:eastAsia="Arial" w:hAnsi="Arial"/>
                <w:sz w:val="18"/>
                <w:szCs w:val="18"/>
                <w:color w:val="auto"/>
                <w:w w:val="84"/>
              </w:rPr>
              <w:t>3,852.818</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3,754.925</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3,947.586</w:t>
            </w:r>
          </w:p>
        </w:tc>
        <w:tc>
          <w:tcPr>
            <w:tcW w:w="1020" w:type="dxa"/>
            <w:vAlign w:val="bottom"/>
          </w:tcPr>
          <w:p>
            <w:pPr>
              <w:jc w:val="right"/>
              <w:spacing w:after="0"/>
              <w:rPr>
                <w:sz w:val="20"/>
                <w:szCs w:val="20"/>
                <w:color w:val="auto"/>
              </w:rPr>
            </w:pPr>
            <w:r>
              <w:rPr>
                <w:rFonts w:ascii="Arial" w:cs="Arial" w:eastAsia="Arial" w:hAnsi="Arial"/>
                <w:sz w:val="18"/>
                <w:szCs w:val="18"/>
                <w:color w:val="auto"/>
              </w:rPr>
              <w:t>4,219.309</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color w:val="auto"/>
              </w:rPr>
              <w:t>248.817</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240.051</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150.901</w:t>
            </w:r>
          </w:p>
        </w:tc>
        <w:tc>
          <w:tcPr>
            <w:tcW w:w="1020" w:type="dxa"/>
            <w:vAlign w:val="bottom"/>
          </w:tcPr>
          <w:p>
            <w:pPr>
              <w:jc w:val="right"/>
              <w:spacing w:after="0"/>
              <w:rPr>
                <w:sz w:val="20"/>
                <w:szCs w:val="20"/>
                <w:color w:val="auto"/>
              </w:rPr>
            </w:pPr>
            <w:r>
              <w:rPr>
                <w:rFonts w:ascii="Arial" w:cs="Arial" w:eastAsia="Arial" w:hAnsi="Arial"/>
                <w:sz w:val="18"/>
                <w:szCs w:val="18"/>
                <w:color w:val="auto"/>
              </w:rPr>
              <w:t>148.105</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color w:val="auto"/>
                <w:w w:val="88"/>
              </w:rPr>
              <w:t>(330.249)</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(291.973)</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(241.189)</w:t>
            </w:r>
          </w:p>
        </w:tc>
        <w:tc>
          <w:tcPr>
            <w:tcW w:w="1020" w:type="dxa"/>
            <w:vAlign w:val="bottom"/>
          </w:tcPr>
          <w:p>
            <w:pPr>
              <w:jc w:val="right"/>
              <w:spacing w:after="0"/>
              <w:rPr>
                <w:sz w:val="20"/>
                <w:szCs w:val="20"/>
                <w:color w:val="auto"/>
              </w:rPr>
            </w:pPr>
            <w:r>
              <w:rPr>
                <w:rFonts w:ascii="Arial" w:cs="Arial" w:eastAsia="Arial" w:hAnsi="Arial"/>
                <w:sz w:val="18"/>
                <w:szCs w:val="18"/>
                <w:color w:val="auto"/>
              </w:rPr>
              <w:t>(261.437)</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color w:val="auto"/>
                <w:w w:val="84"/>
              </w:rPr>
              <w:t>3,771.385</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3,703.003</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3,857.298</w:t>
            </w:r>
          </w:p>
        </w:tc>
        <w:tc>
          <w:tcPr>
            <w:tcW w:w="1020" w:type="dxa"/>
            <w:vAlign w:val="bottom"/>
          </w:tcPr>
          <w:p>
            <w:pPr>
              <w:jc w:val="right"/>
              <w:spacing w:after="0"/>
              <w:rPr>
                <w:sz w:val="20"/>
                <w:szCs w:val="20"/>
                <w:color w:val="auto"/>
              </w:rPr>
            </w:pPr>
            <w:r>
              <w:rPr>
                <w:rFonts w:ascii="Arial" w:cs="Arial" w:eastAsia="Arial" w:hAnsi="Arial"/>
                <w:sz w:val="18"/>
                <w:szCs w:val="18"/>
                <w:color w:val="auto"/>
              </w:rPr>
              <w:t>4,105.977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57150</wp:posOffset>
            </wp:positionV>
            <wp:extent cx="5569585"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4819"/>
          </w:cols>
          <w:pgMar w:left="240" w:top="125" w:right="1440" w:bottom="0" w:gutter="0" w:footer="0" w:header="0"/>
          <w:type w:val="continuous"/>
        </w:sectPr>
      </w:pPr>
    </w:p>
    <w:p>
      <w:pPr>
        <w:spacing w:after="0" w:line="331" w:lineRule="exact"/>
        <w:rPr>
          <w:sz w:val="20"/>
          <w:szCs w:val="20"/>
          <w:color w:val="auto"/>
        </w:rPr>
      </w:pPr>
    </w:p>
    <w:p>
      <w:pPr>
        <w:ind w:left="1340" w:right="700"/>
        <w:spacing w:after="0" w:line="370" w:lineRule="auto"/>
        <w:rPr>
          <w:sz w:val="20"/>
          <w:szCs w:val="20"/>
          <w:color w:val="auto"/>
        </w:rPr>
      </w:pPr>
      <w:r>
        <w:rPr>
          <w:rFonts w:ascii="Arial" w:cs="Arial" w:eastAsia="Arial" w:hAnsi="Arial"/>
          <w:sz w:val="14"/>
          <w:szCs w:val="14"/>
          <w:color w:val="auto"/>
        </w:rPr>
        <w:t>INVESTMENT SECURITIES AVAIL. FOR SALE PROPERTY, PLANT and EQUIPMENT, net OTHER ASSETS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jc w:val="right"/>
              <w:ind w:right="292"/>
              <w:spacing w:after="0"/>
              <w:rPr>
                <w:sz w:val="20"/>
                <w:szCs w:val="20"/>
                <w:color w:val="auto"/>
              </w:rPr>
            </w:pPr>
            <w:r>
              <w:rPr>
                <w:rFonts w:ascii="Arial" w:cs="Arial" w:eastAsia="Arial" w:hAnsi="Arial"/>
                <w:sz w:val="18"/>
                <w:szCs w:val="18"/>
                <w:color w:val="auto"/>
                <w:w w:val="82"/>
              </w:rPr>
              <w:t>838.434</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985.335</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1,127.150</w:t>
            </w:r>
          </w:p>
        </w:tc>
        <w:tc>
          <w:tcPr>
            <w:tcW w:w="1020" w:type="dxa"/>
            <w:vAlign w:val="bottom"/>
          </w:tcPr>
          <w:p>
            <w:pPr>
              <w:jc w:val="right"/>
              <w:spacing w:after="0"/>
              <w:rPr>
                <w:sz w:val="20"/>
                <w:szCs w:val="20"/>
                <w:color w:val="auto"/>
              </w:rPr>
            </w:pPr>
            <w:r>
              <w:rPr>
                <w:rFonts w:ascii="Arial" w:cs="Arial" w:eastAsia="Arial" w:hAnsi="Arial"/>
                <w:sz w:val="18"/>
                <w:szCs w:val="18"/>
                <w:color w:val="auto"/>
              </w:rPr>
              <w:t>1,600.071</w:t>
            </w:r>
          </w:p>
        </w:tc>
      </w:tr>
      <w:tr>
        <w:trPr>
          <w:trHeight w:val="243"/>
        </w:trPr>
        <w:tc>
          <w:tcPr>
            <w:tcW w:w="940" w:type="dxa"/>
            <w:vAlign w:val="bottom"/>
          </w:tcPr>
          <w:p>
            <w:pPr>
              <w:jc w:val="right"/>
              <w:ind w:right="292"/>
              <w:spacing w:after="0"/>
              <w:rPr>
                <w:sz w:val="20"/>
                <w:szCs w:val="20"/>
                <w:color w:val="auto"/>
              </w:rPr>
            </w:pPr>
            <w:r>
              <w:rPr>
                <w:rFonts w:ascii="Arial" w:cs="Arial" w:eastAsia="Arial" w:hAnsi="Arial"/>
                <w:sz w:val="18"/>
                <w:szCs w:val="18"/>
                <w:color w:val="auto"/>
                <w:w w:val="82"/>
              </w:rPr>
              <w:t>214.271</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205.083</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214.278</w:t>
            </w:r>
          </w:p>
        </w:tc>
        <w:tc>
          <w:tcPr>
            <w:tcW w:w="1020" w:type="dxa"/>
            <w:vAlign w:val="bottom"/>
          </w:tcPr>
          <w:p>
            <w:pPr>
              <w:jc w:val="right"/>
              <w:spacing w:after="0"/>
              <w:rPr>
                <w:sz w:val="20"/>
                <w:szCs w:val="20"/>
                <w:color w:val="auto"/>
              </w:rPr>
            </w:pPr>
            <w:r>
              <w:rPr>
                <w:rFonts w:ascii="Arial" w:cs="Arial" w:eastAsia="Arial" w:hAnsi="Arial"/>
                <w:sz w:val="18"/>
                <w:szCs w:val="18"/>
                <w:color w:val="auto"/>
              </w:rPr>
              <w:t>204.326</w:t>
            </w:r>
          </w:p>
        </w:tc>
      </w:tr>
      <w:tr>
        <w:trPr>
          <w:trHeight w:val="243"/>
        </w:trPr>
        <w:tc>
          <w:tcPr>
            <w:tcW w:w="940" w:type="dxa"/>
            <w:vAlign w:val="bottom"/>
          </w:tcPr>
          <w:p>
            <w:pPr>
              <w:jc w:val="right"/>
              <w:ind w:right="292"/>
              <w:spacing w:after="0"/>
              <w:rPr>
                <w:sz w:val="20"/>
                <w:szCs w:val="20"/>
                <w:color w:val="auto"/>
              </w:rPr>
            </w:pPr>
            <w:r>
              <w:rPr>
                <w:rFonts w:ascii="Arial" w:cs="Arial" w:eastAsia="Arial" w:hAnsi="Arial"/>
                <w:sz w:val="18"/>
                <w:szCs w:val="18"/>
                <w:color w:val="auto"/>
                <w:w w:val="82"/>
              </w:rPr>
              <w:t>229.802</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124.486</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354.144</w:t>
            </w:r>
          </w:p>
        </w:tc>
        <w:tc>
          <w:tcPr>
            <w:tcW w:w="1020" w:type="dxa"/>
            <w:vAlign w:val="bottom"/>
          </w:tcPr>
          <w:p>
            <w:pPr>
              <w:jc w:val="right"/>
              <w:spacing w:after="0"/>
              <w:rPr>
                <w:sz w:val="20"/>
                <w:szCs w:val="20"/>
                <w:color w:val="auto"/>
              </w:rPr>
            </w:pPr>
            <w:r>
              <w:rPr>
                <w:rFonts w:ascii="Arial" w:cs="Arial" w:eastAsia="Arial" w:hAnsi="Arial"/>
                <w:sz w:val="18"/>
                <w:szCs w:val="18"/>
                <w:color w:val="auto"/>
              </w:rPr>
              <w:t>336.709</w:t>
            </w:r>
          </w:p>
        </w:tc>
      </w:tr>
    </w:tbl>
    <w:p>
      <w:pPr>
        <w:spacing w:after="0" w:line="258" w:lineRule="exact"/>
        <w:rPr>
          <w:sz w:val="20"/>
          <w:szCs w:val="20"/>
          <w:color w:val="auto"/>
        </w:rPr>
      </w:pPr>
    </w:p>
    <w:p>
      <w:pPr>
        <w:sectPr>
          <w:pgSz w:w="11900" w:h="16838" w:orient="portrait"/>
          <w:cols w:equalWidth="0" w:num="2">
            <w:col w:w="4820" w:space="720"/>
            <w:col w:w="4679"/>
          </w:cols>
          <w:pgMar w:left="240" w:top="125" w:right="1440" w:bottom="0" w:gutter="0" w:footer="0" w:header="0"/>
          <w:type w:val="continuous"/>
        </w:sectPr>
      </w:pPr>
    </w:p>
    <w:tbl>
      <w:tblPr>
        <w:tblLayout w:type="fixed"/>
        <w:tblInd w:w="1340" w:type="dxa"/>
        <w:tblCellMar>
          <w:top w:w="0" w:type="dxa"/>
          <w:left w:w="0" w:type="dxa"/>
          <w:bottom w:w="0" w:type="dxa"/>
          <w:right w:w="0" w:type="dxa"/>
        </w:tblCellMar>
      </w:tblPr>
      <w:tr>
        <w:trPr>
          <w:trHeight w:val="228"/>
        </w:trPr>
        <w:tc>
          <w:tcPr>
            <w:tcW w:w="362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TOTAL ASSETS</w:t>
            </w:r>
          </w:p>
        </w:tc>
        <w:tc>
          <w:tcPr>
            <w:tcW w:w="1440" w:type="dxa"/>
            <w:vAlign w:val="bottom"/>
          </w:tcPr>
          <w:p>
            <w:pPr>
              <w:jc w:val="right"/>
              <w:ind w:right="212"/>
              <w:spacing w:after="0"/>
              <w:rPr>
                <w:sz w:val="20"/>
                <w:szCs w:val="20"/>
                <w:color w:val="auto"/>
              </w:rPr>
            </w:pPr>
            <w:r>
              <w:rPr>
                <w:rFonts w:ascii="Arial" w:cs="Arial" w:eastAsia="Arial" w:hAnsi="Arial"/>
                <w:sz w:val="18"/>
                <w:szCs w:val="18"/>
                <w:b w:val="1"/>
                <w:bCs w:val="1"/>
                <w:color w:val="auto"/>
              </w:rPr>
              <w:t>6,687.580</w:t>
            </w:r>
          </w:p>
        </w:tc>
        <w:tc>
          <w:tcPr>
            <w:tcW w:w="1320" w:type="dxa"/>
            <w:vAlign w:val="bottom"/>
          </w:tcPr>
          <w:p>
            <w:pPr>
              <w:jc w:val="right"/>
              <w:ind w:right="212"/>
              <w:spacing w:after="0"/>
              <w:rPr>
                <w:sz w:val="20"/>
                <w:szCs w:val="20"/>
                <w:color w:val="auto"/>
              </w:rPr>
            </w:pPr>
            <w:r>
              <w:rPr>
                <w:rFonts w:ascii="Arial" w:cs="Arial" w:eastAsia="Arial" w:hAnsi="Arial"/>
                <w:sz w:val="18"/>
                <w:szCs w:val="18"/>
                <w:b w:val="1"/>
                <w:bCs w:val="1"/>
                <w:color w:val="auto"/>
              </w:rPr>
              <w:t>6,674.357</w:t>
            </w:r>
          </w:p>
        </w:tc>
        <w:tc>
          <w:tcPr>
            <w:tcW w:w="1300" w:type="dxa"/>
            <w:vAlign w:val="bottom"/>
          </w:tcPr>
          <w:p>
            <w:pPr>
              <w:jc w:val="right"/>
              <w:ind w:right="212"/>
              <w:spacing w:after="0"/>
              <w:rPr>
                <w:sz w:val="20"/>
                <w:szCs w:val="20"/>
                <w:color w:val="auto"/>
              </w:rPr>
            </w:pPr>
            <w:r>
              <w:rPr>
                <w:rFonts w:ascii="Arial" w:cs="Arial" w:eastAsia="Arial" w:hAnsi="Arial"/>
                <w:sz w:val="18"/>
                <w:szCs w:val="18"/>
                <w:b w:val="1"/>
                <w:bCs w:val="1"/>
                <w:color w:val="auto"/>
              </w:rPr>
              <w:t>7,310.737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7,925.477</w:t>
            </w:r>
          </w:p>
        </w:tc>
      </w:tr>
      <w:tr>
        <w:trPr>
          <w:trHeight w:val="474"/>
        </w:trPr>
        <w:tc>
          <w:tcPr>
            <w:tcW w:w="362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LIABILITIES AND SHAREHOLDERS' EQUITY</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5"/>
        </w:trPr>
        <w:tc>
          <w:tcPr>
            <w:tcW w:w="3620" w:type="dxa"/>
            <w:vAlign w:val="bottom"/>
          </w:tcPr>
          <w:p>
            <w:pPr>
              <w:spacing w:after="0"/>
              <w:rPr>
                <w:sz w:val="20"/>
                <w:szCs w:val="20"/>
                <w:color w:val="auto"/>
              </w:rPr>
            </w:pPr>
            <w:r>
              <w:rPr>
                <w:rFonts w:ascii="Arial" w:cs="Arial" w:eastAsia="Arial" w:hAnsi="Arial"/>
                <w:sz w:val="14"/>
                <w:szCs w:val="14"/>
                <w:color w:val="auto"/>
              </w:rPr>
              <w:t>DEPOSITS AND OBLIGATIONS:</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5,228.611</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5,220.932</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5,553.118</w:t>
            </w:r>
          </w:p>
        </w:tc>
        <w:tc>
          <w:tcPr>
            <w:tcW w:w="1020" w:type="dxa"/>
            <w:vAlign w:val="bottom"/>
          </w:tcPr>
          <w:p>
            <w:pPr>
              <w:jc w:val="right"/>
              <w:spacing w:after="0"/>
              <w:rPr>
                <w:sz w:val="20"/>
                <w:szCs w:val="20"/>
                <w:color w:val="auto"/>
              </w:rPr>
            </w:pPr>
            <w:r>
              <w:rPr>
                <w:rFonts w:ascii="Arial" w:cs="Arial" w:eastAsia="Arial" w:hAnsi="Arial"/>
                <w:sz w:val="18"/>
                <w:szCs w:val="18"/>
                <w:color w:val="auto"/>
              </w:rPr>
              <w:t>6,028.909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57150</wp:posOffset>
            </wp:positionV>
            <wp:extent cx="5569585"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type w:val="continuous"/>
        </w:sectPr>
      </w:pPr>
    </w:p>
    <w:p>
      <w:pPr>
        <w:spacing w:after="0" w:line="288"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Demand deposits</w:t>
      </w:r>
    </w:p>
    <w:p>
      <w:pPr>
        <w:spacing w:after="0" w:line="8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Saving accounts</w:t>
      </w:r>
    </w:p>
    <w:p>
      <w:pPr>
        <w:spacing w:after="0" w:line="8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Time deposits</w:t>
      </w:r>
    </w:p>
    <w:p>
      <w:pPr>
        <w:spacing w:after="0" w:line="325"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DUE TO BANKS AND CORRESPONDENTS</w:t>
      </w:r>
    </w:p>
    <w:p>
      <w:pPr>
        <w:spacing w:after="0" w:line="105"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BONDS AND SUBORDINATED DEBT(1)</w:t>
      </w:r>
    </w:p>
    <w:p>
      <w:pPr>
        <w:spacing w:after="0" w:line="105"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OTHER LIABILITIES</w:t>
      </w:r>
    </w:p>
    <w:p>
      <w:pPr>
        <w:spacing w:after="0" w:line="325"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SHAREHOLDERS EQUITY: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000" w:type="dxa"/>
            <w:vAlign w:val="bottom"/>
          </w:tcPr>
          <w:p>
            <w:pPr>
              <w:jc w:val="right"/>
              <w:ind w:right="212"/>
              <w:spacing w:after="0"/>
              <w:rPr>
                <w:sz w:val="20"/>
                <w:szCs w:val="20"/>
                <w:color w:val="auto"/>
              </w:rPr>
            </w:pPr>
            <w:r>
              <w:rPr>
                <w:rFonts w:ascii="Arial" w:cs="Arial" w:eastAsia="Arial" w:hAnsi="Arial"/>
                <w:sz w:val="18"/>
                <w:szCs w:val="18"/>
                <w:color w:val="auto"/>
                <w:w w:val="84"/>
              </w:rPr>
              <w:t>1,391.809</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1,658.010</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1,651.130</w:t>
            </w:r>
          </w:p>
        </w:tc>
        <w:tc>
          <w:tcPr>
            <w:tcW w:w="1020" w:type="dxa"/>
            <w:vAlign w:val="bottom"/>
          </w:tcPr>
          <w:p>
            <w:pPr>
              <w:jc w:val="right"/>
              <w:spacing w:after="0"/>
              <w:rPr>
                <w:sz w:val="20"/>
                <w:szCs w:val="20"/>
                <w:color w:val="auto"/>
              </w:rPr>
            </w:pPr>
            <w:r>
              <w:rPr>
                <w:rFonts w:ascii="Arial" w:cs="Arial" w:eastAsia="Arial" w:hAnsi="Arial"/>
                <w:sz w:val="18"/>
                <w:szCs w:val="18"/>
                <w:color w:val="auto"/>
              </w:rPr>
              <w:t>1,990.828</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color w:val="auto"/>
                <w:w w:val="84"/>
              </w:rPr>
              <w:t>1,529.952</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1,434.671</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1,502.687</w:t>
            </w:r>
          </w:p>
        </w:tc>
        <w:tc>
          <w:tcPr>
            <w:tcW w:w="1020" w:type="dxa"/>
            <w:vAlign w:val="bottom"/>
          </w:tcPr>
          <w:p>
            <w:pPr>
              <w:jc w:val="right"/>
              <w:spacing w:after="0"/>
              <w:rPr>
                <w:sz w:val="20"/>
                <w:szCs w:val="20"/>
                <w:color w:val="auto"/>
              </w:rPr>
            </w:pPr>
            <w:r>
              <w:rPr>
                <w:rFonts w:ascii="Arial" w:cs="Arial" w:eastAsia="Arial" w:hAnsi="Arial"/>
                <w:sz w:val="18"/>
                <w:szCs w:val="18"/>
                <w:color w:val="auto"/>
              </w:rPr>
              <w:t>1,542.382</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color w:val="auto"/>
                <w:w w:val="84"/>
              </w:rPr>
              <w:t>2,306.850</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2,128.251</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2,399.301</w:t>
            </w:r>
          </w:p>
        </w:tc>
        <w:tc>
          <w:tcPr>
            <w:tcW w:w="1020" w:type="dxa"/>
            <w:vAlign w:val="bottom"/>
          </w:tcPr>
          <w:p>
            <w:pPr>
              <w:jc w:val="right"/>
              <w:spacing w:after="0"/>
              <w:rPr>
                <w:sz w:val="20"/>
                <w:szCs w:val="20"/>
                <w:color w:val="auto"/>
              </w:rPr>
            </w:pPr>
            <w:r>
              <w:rPr>
                <w:rFonts w:ascii="Arial" w:cs="Arial" w:eastAsia="Arial" w:hAnsi="Arial"/>
                <w:sz w:val="18"/>
                <w:szCs w:val="18"/>
                <w:color w:val="auto"/>
              </w:rPr>
              <w:t>2,495.699</w:t>
            </w:r>
          </w:p>
        </w:tc>
      </w:tr>
      <w:tr>
        <w:trPr>
          <w:trHeight w:val="486"/>
        </w:trPr>
        <w:tc>
          <w:tcPr>
            <w:tcW w:w="1000" w:type="dxa"/>
            <w:vAlign w:val="bottom"/>
          </w:tcPr>
          <w:p>
            <w:pPr>
              <w:jc w:val="right"/>
              <w:ind w:right="212"/>
              <w:spacing w:after="0"/>
              <w:rPr>
                <w:sz w:val="20"/>
                <w:szCs w:val="20"/>
                <w:color w:val="auto"/>
              </w:rPr>
            </w:pPr>
            <w:r>
              <w:rPr>
                <w:rFonts w:ascii="Arial" w:cs="Arial" w:eastAsia="Arial" w:hAnsi="Arial"/>
                <w:sz w:val="18"/>
                <w:szCs w:val="18"/>
                <w:color w:val="auto"/>
              </w:rPr>
              <w:t>102.437</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88.498</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215.893</w:t>
            </w:r>
          </w:p>
        </w:tc>
        <w:tc>
          <w:tcPr>
            <w:tcW w:w="1020" w:type="dxa"/>
            <w:vAlign w:val="bottom"/>
          </w:tcPr>
          <w:p>
            <w:pPr>
              <w:jc w:val="right"/>
              <w:spacing w:after="0"/>
              <w:rPr>
                <w:sz w:val="20"/>
                <w:szCs w:val="20"/>
                <w:color w:val="auto"/>
              </w:rPr>
            </w:pPr>
            <w:r>
              <w:rPr>
                <w:rFonts w:ascii="Arial" w:cs="Arial" w:eastAsia="Arial" w:hAnsi="Arial"/>
                <w:sz w:val="18"/>
                <w:szCs w:val="18"/>
                <w:color w:val="auto"/>
              </w:rPr>
              <w:t>315.809</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color w:val="auto"/>
              </w:rPr>
              <w:t>419.468</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405.740</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441.628</w:t>
            </w:r>
          </w:p>
        </w:tc>
        <w:tc>
          <w:tcPr>
            <w:tcW w:w="1020" w:type="dxa"/>
            <w:vAlign w:val="bottom"/>
          </w:tcPr>
          <w:p>
            <w:pPr>
              <w:jc w:val="right"/>
              <w:spacing w:after="0"/>
              <w:rPr>
                <w:sz w:val="20"/>
                <w:szCs w:val="20"/>
                <w:color w:val="auto"/>
              </w:rPr>
            </w:pPr>
            <w:r>
              <w:rPr>
                <w:rFonts w:ascii="Arial" w:cs="Arial" w:eastAsia="Arial" w:hAnsi="Arial"/>
                <w:sz w:val="18"/>
                <w:szCs w:val="18"/>
                <w:color w:val="auto"/>
              </w:rPr>
              <w:t>441.944</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color w:val="auto"/>
              </w:rPr>
              <w:t>711.398</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757.850</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741.295</w:t>
            </w:r>
          </w:p>
        </w:tc>
        <w:tc>
          <w:tcPr>
            <w:tcW w:w="1020" w:type="dxa"/>
            <w:vAlign w:val="bottom"/>
          </w:tcPr>
          <w:p>
            <w:pPr>
              <w:jc w:val="right"/>
              <w:spacing w:after="0"/>
              <w:rPr>
                <w:sz w:val="20"/>
                <w:szCs w:val="20"/>
                <w:color w:val="auto"/>
              </w:rPr>
            </w:pPr>
            <w:r>
              <w:rPr>
                <w:rFonts w:ascii="Arial" w:cs="Arial" w:eastAsia="Arial" w:hAnsi="Arial"/>
                <w:sz w:val="18"/>
                <w:szCs w:val="18"/>
                <w:color w:val="auto"/>
              </w:rPr>
              <w:t>849.554</w:t>
            </w:r>
          </w:p>
        </w:tc>
      </w:tr>
      <w:tr>
        <w:trPr>
          <w:trHeight w:val="486"/>
        </w:trPr>
        <w:tc>
          <w:tcPr>
            <w:tcW w:w="1000" w:type="dxa"/>
            <w:vAlign w:val="bottom"/>
          </w:tcPr>
          <w:p>
            <w:pPr>
              <w:jc w:val="right"/>
              <w:ind w:right="212"/>
              <w:spacing w:after="0"/>
              <w:rPr>
                <w:sz w:val="20"/>
                <w:szCs w:val="20"/>
                <w:color w:val="auto"/>
              </w:rPr>
            </w:pPr>
            <w:r>
              <w:rPr>
                <w:rFonts w:ascii="Arial" w:cs="Arial" w:eastAsia="Arial" w:hAnsi="Arial"/>
                <w:sz w:val="18"/>
                <w:szCs w:val="18"/>
                <w:color w:val="auto"/>
              </w:rPr>
              <w:t>645.136</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607.078</w:t>
            </w: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800.429</w:t>
            </w:r>
          </w:p>
        </w:tc>
        <w:tc>
          <w:tcPr>
            <w:tcW w:w="1020" w:type="dxa"/>
            <w:vAlign w:val="bottom"/>
          </w:tcPr>
          <w:p>
            <w:pPr>
              <w:jc w:val="right"/>
              <w:spacing w:after="0"/>
              <w:rPr>
                <w:sz w:val="20"/>
                <w:szCs w:val="20"/>
                <w:color w:val="auto"/>
              </w:rPr>
            </w:pPr>
            <w:r>
              <w:rPr>
                <w:rFonts w:ascii="Arial" w:cs="Arial" w:eastAsia="Arial" w:hAnsi="Arial"/>
                <w:sz w:val="18"/>
                <w:szCs w:val="18"/>
                <w:color w:val="auto"/>
              </w:rPr>
              <w:t>731.206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57150</wp:posOffset>
            </wp:positionV>
            <wp:extent cx="5569585"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4819"/>
          </w:cols>
          <w:pgMar w:left="240" w:top="125" w:right="1440" w:bottom="0" w:gutter="0" w:footer="0" w:header="0"/>
          <w:type w:val="continuous"/>
        </w:sectPr>
      </w:pPr>
    </w:p>
    <w:p>
      <w:pPr>
        <w:spacing w:after="0" w:line="88"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Capital stock</w:t>
      </w:r>
    </w:p>
    <w:p>
      <w:pPr>
        <w:spacing w:after="0" w:line="82"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Legal reserve</w:t>
      </w:r>
    </w:p>
    <w:p>
      <w:pPr>
        <w:spacing w:after="0" w:line="82" w:lineRule="exact"/>
        <w:rPr>
          <w:sz w:val="20"/>
          <w:szCs w:val="20"/>
          <w:color w:val="auto"/>
        </w:rPr>
      </w:pPr>
    </w:p>
    <w:p>
      <w:pPr>
        <w:ind w:left="1400"/>
        <w:spacing w:after="0"/>
        <w:rPr>
          <w:sz w:val="20"/>
          <w:szCs w:val="20"/>
          <w:color w:val="auto"/>
        </w:rPr>
      </w:pPr>
      <w:r>
        <w:rPr>
          <w:rFonts w:ascii="Arial" w:cs="Arial" w:eastAsia="Arial" w:hAnsi="Arial"/>
          <w:sz w:val="11"/>
          <w:szCs w:val="11"/>
          <w:color w:val="auto"/>
        </w:rPr>
        <w:t>Retained earnings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jc w:val="right"/>
              <w:ind w:right="292"/>
              <w:spacing w:after="0"/>
              <w:rPr>
                <w:sz w:val="20"/>
                <w:szCs w:val="20"/>
                <w:color w:val="auto"/>
              </w:rPr>
            </w:pPr>
            <w:r>
              <w:rPr>
                <w:rFonts w:ascii="Arial" w:cs="Arial" w:eastAsia="Arial" w:hAnsi="Arial"/>
                <w:sz w:val="18"/>
                <w:szCs w:val="18"/>
                <w:color w:val="auto"/>
                <w:w w:val="82"/>
              </w:rPr>
              <w:t>364.706</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364.706</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364.706</w:t>
            </w:r>
          </w:p>
        </w:tc>
        <w:tc>
          <w:tcPr>
            <w:tcW w:w="940" w:type="dxa"/>
            <w:vAlign w:val="bottom"/>
          </w:tcPr>
          <w:p>
            <w:pPr>
              <w:jc w:val="right"/>
              <w:spacing w:after="0"/>
              <w:rPr>
                <w:sz w:val="20"/>
                <w:szCs w:val="20"/>
                <w:color w:val="auto"/>
              </w:rPr>
            </w:pPr>
            <w:r>
              <w:rPr>
                <w:rFonts w:ascii="Arial" w:cs="Arial" w:eastAsia="Arial" w:hAnsi="Arial"/>
                <w:sz w:val="18"/>
                <w:szCs w:val="18"/>
                <w:color w:val="auto"/>
              </w:rPr>
              <w:t>364.706</w:t>
            </w:r>
          </w:p>
        </w:tc>
      </w:tr>
      <w:tr>
        <w:trPr>
          <w:trHeight w:val="243"/>
        </w:trPr>
        <w:tc>
          <w:tcPr>
            <w:tcW w:w="940" w:type="dxa"/>
            <w:vAlign w:val="bottom"/>
          </w:tcPr>
          <w:p>
            <w:pPr>
              <w:jc w:val="right"/>
              <w:ind w:right="292"/>
              <w:spacing w:after="0"/>
              <w:rPr>
                <w:sz w:val="20"/>
                <w:szCs w:val="20"/>
                <w:color w:val="auto"/>
              </w:rPr>
            </w:pPr>
            <w:r>
              <w:rPr>
                <w:rFonts w:ascii="Arial" w:cs="Arial" w:eastAsia="Arial" w:hAnsi="Arial"/>
                <w:sz w:val="18"/>
                <w:szCs w:val="18"/>
                <w:color w:val="auto"/>
                <w:w w:val="82"/>
              </w:rPr>
              <w:t>183.212</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210.927</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210.928</w:t>
            </w:r>
          </w:p>
        </w:tc>
        <w:tc>
          <w:tcPr>
            <w:tcW w:w="940" w:type="dxa"/>
            <w:vAlign w:val="bottom"/>
          </w:tcPr>
          <w:p>
            <w:pPr>
              <w:jc w:val="right"/>
              <w:spacing w:after="0"/>
              <w:rPr>
                <w:sz w:val="20"/>
                <w:szCs w:val="20"/>
                <w:color w:val="auto"/>
              </w:rPr>
            </w:pPr>
            <w:r>
              <w:rPr>
                <w:rFonts w:ascii="Arial" w:cs="Arial" w:eastAsia="Arial" w:hAnsi="Arial"/>
                <w:sz w:val="18"/>
                <w:szCs w:val="18"/>
                <w:color w:val="auto"/>
              </w:rPr>
              <w:t>210.928</w:t>
            </w:r>
          </w:p>
        </w:tc>
      </w:tr>
      <w:tr>
        <w:trPr>
          <w:trHeight w:val="243"/>
        </w:trPr>
        <w:tc>
          <w:tcPr>
            <w:tcW w:w="940" w:type="dxa"/>
            <w:vAlign w:val="bottom"/>
          </w:tcPr>
          <w:p>
            <w:pPr>
              <w:jc w:val="right"/>
              <w:ind w:right="292"/>
              <w:spacing w:after="0"/>
              <w:rPr>
                <w:sz w:val="20"/>
                <w:szCs w:val="20"/>
                <w:color w:val="auto"/>
              </w:rPr>
            </w:pPr>
            <w:r>
              <w:rPr>
                <w:rFonts w:ascii="Arial" w:cs="Arial" w:eastAsia="Arial" w:hAnsi="Arial"/>
                <w:sz w:val="18"/>
                <w:szCs w:val="18"/>
                <w:color w:val="auto"/>
                <w:w w:val="98"/>
              </w:rPr>
              <w:t>97.218</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31.445</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224.795</w:t>
            </w:r>
          </w:p>
        </w:tc>
        <w:tc>
          <w:tcPr>
            <w:tcW w:w="940" w:type="dxa"/>
            <w:vAlign w:val="bottom"/>
          </w:tcPr>
          <w:p>
            <w:pPr>
              <w:jc w:val="right"/>
              <w:spacing w:after="0"/>
              <w:rPr>
                <w:sz w:val="20"/>
                <w:szCs w:val="20"/>
                <w:color w:val="auto"/>
              </w:rPr>
            </w:pPr>
            <w:r>
              <w:rPr>
                <w:rFonts w:ascii="Arial" w:cs="Arial" w:eastAsia="Arial" w:hAnsi="Arial"/>
                <w:sz w:val="18"/>
                <w:szCs w:val="18"/>
                <w:color w:val="auto"/>
              </w:rPr>
              <w:t>155.572</w:t>
            </w:r>
          </w:p>
        </w:tc>
      </w:tr>
    </w:tbl>
    <w:p>
      <w:pPr>
        <w:spacing w:after="0" w:line="200" w:lineRule="exact"/>
        <w:rPr>
          <w:sz w:val="20"/>
          <w:szCs w:val="20"/>
          <w:color w:val="auto"/>
        </w:rPr>
      </w:pPr>
    </w:p>
    <w:p>
      <w:pPr>
        <w:sectPr>
          <w:pgSz w:w="11900" w:h="16838" w:orient="portrait"/>
          <w:cols w:equalWidth="0" w:num="2">
            <w:col w:w="4820" w:space="720"/>
            <w:col w:w="4679"/>
          </w:cols>
          <w:pgMar w:left="240" w:top="125" w:right="1440" w:bottom="0" w:gutter="0" w:footer="0" w:header="0"/>
          <w:type w:val="continuous"/>
        </w:sectPr>
      </w:pPr>
    </w:p>
    <w:p>
      <w:pPr>
        <w:spacing w:after="0" w:line="100" w:lineRule="exact"/>
        <w:rPr>
          <w:sz w:val="20"/>
          <w:szCs w:val="20"/>
          <w:color w:val="auto"/>
        </w:rPr>
      </w:pPr>
    </w:p>
    <w:p>
      <w:pPr>
        <w:jc w:val="right"/>
        <w:ind w:right="500"/>
        <w:spacing w:after="0"/>
        <w:rPr>
          <w:sz w:val="20"/>
          <w:szCs w:val="20"/>
          <w:color w:val="auto"/>
        </w:rPr>
      </w:pPr>
      <w:r>
        <w:rPr>
          <w:rFonts w:ascii="Arial" w:cs="Arial" w:eastAsia="Arial" w:hAnsi="Arial"/>
          <w:sz w:val="14"/>
          <w:szCs w:val="14"/>
          <w:b w:val="1"/>
          <w:bCs w:val="1"/>
          <w:color w:val="auto"/>
        </w:rPr>
        <w:t>TOTAL LIABILITIES AND EQUITY</w:t>
      </w:r>
    </w:p>
    <w:p>
      <w:pPr>
        <w:spacing w:after="0" w:line="325"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Contingent Credits</w:t>
      </w:r>
    </w:p>
    <w:p>
      <w:pPr>
        <w:spacing w:after="0" w:line="82"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Funds under management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6,687.582</w:t>
            </w:r>
          </w:p>
        </w:tc>
        <w:tc>
          <w:tcPr>
            <w:tcW w:w="1320" w:type="dxa"/>
            <w:vAlign w:val="bottom"/>
          </w:tcPr>
          <w:p>
            <w:pPr>
              <w:jc w:val="right"/>
              <w:ind w:right="212"/>
              <w:spacing w:after="0"/>
              <w:rPr>
                <w:sz w:val="20"/>
                <w:szCs w:val="20"/>
                <w:color w:val="auto"/>
              </w:rPr>
            </w:pPr>
            <w:r>
              <w:rPr>
                <w:rFonts w:ascii="Arial" w:cs="Arial" w:eastAsia="Arial" w:hAnsi="Arial"/>
                <w:sz w:val="18"/>
                <w:szCs w:val="18"/>
                <w:b w:val="1"/>
                <w:bCs w:val="1"/>
                <w:color w:val="auto"/>
              </w:rPr>
              <w:t>6,674.358</w:t>
            </w:r>
          </w:p>
        </w:tc>
        <w:tc>
          <w:tcPr>
            <w:tcW w:w="1300" w:type="dxa"/>
            <w:vAlign w:val="bottom"/>
          </w:tcPr>
          <w:p>
            <w:pPr>
              <w:jc w:val="right"/>
              <w:ind w:right="212"/>
              <w:spacing w:after="0"/>
              <w:rPr>
                <w:sz w:val="20"/>
                <w:szCs w:val="20"/>
                <w:color w:val="auto"/>
              </w:rPr>
            </w:pPr>
            <w:r>
              <w:rPr>
                <w:rFonts w:ascii="Arial" w:cs="Arial" w:eastAsia="Arial" w:hAnsi="Arial"/>
                <w:sz w:val="18"/>
                <w:szCs w:val="18"/>
                <w:b w:val="1"/>
                <w:bCs w:val="1"/>
                <w:color w:val="auto"/>
              </w:rPr>
              <w:t>7,310.735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7,925.478</w:t>
            </w:r>
          </w:p>
        </w:tc>
      </w:tr>
      <w:tr>
        <w:trPr>
          <w:trHeight w:val="486"/>
        </w:trPr>
        <w:tc>
          <w:tcPr>
            <w:tcW w:w="100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1,680.827</w:t>
            </w:r>
          </w:p>
        </w:tc>
        <w:tc>
          <w:tcPr>
            <w:tcW w:w="1320" w:type="dxa"/>
            <w:vAlign w:val="bottom"/>
          </w:tcPr>
          <w:p>
            <w:pPr>
              <w:jc w:val="right"/>
              <w:ind w:right="212"/>
              <w:spacing w:after="0"/>
              <w:rPr>
                <w:sz w:val="20"/>
                <w:szCs w:val="20"/>
                <w:color w:val="auto"/>
              </w:rPr>
            </w:pPr>
            <w:r>
              <w:rPr>
                <w:rFonts w:ascii="Arial" w:cs="Arial" w:eastAsia="Arial" w:hAnsi="Arial"/>
                <w:sz w:val="18"/>
                <w:szCs w:val="18"/>
                <w:b w:val="1"/>
                <w:bCs w:val="1"/>
                <w:color w:val="auto"/>
              </w:rPr>
              <w:t>1,651.750</w:t>
            </w:r>
          </w:p>
        </w:tc>
        <w:tc>
          <w:tcPr>
            <w:tcW w:w="1300" w:type="dxa"/>
            <w:vAlign w:val="bottom"/>
          </w:tcPr>
          <w:p>
            <w:pPr>
              <w:jc w:val="right"/>
              <w:ind w:right="212"/>
              <w:spacing w:after="0"/>
              <w:rPr>
                <w:sz w:val="20"/>
                <w:szCs w:val="20"/>
                <w:color w:val="auto"/>
              </w:rPr>
            </w:pPr>
            <w:r>
              <w:rPr>
                <w:rFonts w:ascii="Arial" w:cs="Arial" w:eastAsia="Arial" w:hAnsi="Arial"/>
                <w:sz w:val="18"/>
                <w:szCs w:val="18"/>
                <w:b w:val="1"/>
                <w:bCs w:val="1"/>
                <w:color w:val="auto"/>
              </w:rPr>
              <w:t>1,833.066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1,892.684</w:t>
            </w:r>
          </w:p>
        </w:tc>
      </w:tr>
      <w:tr>
        <w:trPr>
          <w:trHeight w:val="243"/>
        </w:trPr>
        <w:tc>
          <w:tcPr>
            <w:tcW w:w="100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1,084.107</w:t>
            </w:r>
          </w:p>
        </w:tc>
        <w:tc>
          <w:tcPr>
            <w:tcW w:w="1320" w:type="dxa"/>
            <w:vAlign w:val="bottom"/>
          </w:tcPr>
          <w:p>
            <w:pPr>
              <w:jc w:val="right"/>
              <w:ind w:right="212"/>
              <w:spacing w:after="0"/>
              <w:rPr>
                <w:sz w:val="20"/>
                <w:szCs w:val="20"/>
                <w:color w:val="auto"/>
              </w:rPr>
            </w:pPr>
            <w:r>
              <w:rPr>
                <w:rFonts w:ascii="Arial" w:cs="Arial" w:eastAsia="Arial" w:hAnsi="Arial"/>
                <w:sz w:val="18"/>
                <w:szCs w:val="18"/>
                <w:b w:val="1"/>
                <w:bCs w:val="1"/>
                <w:color w:val="auto"/>
              </w:rPr>
              <w:t>1,068.574</w:t>
            </w:r>
          </w:p>
        </w:tc>
        <w:tc>
          <w:tcPr>
            <w:tcW w:w="1300" w:type="dxa"/>
            <w:vAlign w:val="bottom"/>
          </w:tcPr>
          <w:p>
            <w:pPr>
              <w:jc w:val="right"/>
              <w:ind w:right="212"/>
              <w:spacing w:after="0"/>
              <w:rPr>
                <w:sz w:val="20"/>
                <w:szCs w:val="20"/>
                <w:color w:val="auto"/>
              </w:rPr>
            </w:pPr>
            <w:r>
              <w:rPr>
                <w:rFonts w:ascii="Arial" w:cs="Arial" w:eastAsia="Arial" w:hAnsi="Arial"/>
                <w:sz w:val="18"/>
                <w:szCs w:val="18"/>
                <w:b w:val="1"/>
                <w:bCs w:val="1"/>
                <w:color w:val="auto"/>
              </w:rPr>
              <w:t>953.826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945.244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57150</wp:posOffset>
            </wp:positionV>
            <wp:extent cx="5569585"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4819"/>
          </w:cols>
          <w:pgMar w:left="240" w:top="125" w:right="1440" w:bottom="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Previously reported within Deposits and Obligations.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7600" w:type="dxa"/>
            <w:vAlign w:val="bottom"/>
            <w:gridSpan w:val="4"/>
          </w:tcPr>
          <w:p>
            <w:pPr>
              <w:jc w:val="center"/>
              <w:ind w:left="1056"/>
              <w:spacing w:after="0"/>
              <w:rPr>
                <w:sz w:val="20"/>
                <w:szCs w:val="20"/>
                <w:color w:val="auto"/>
              </w:rPr>
            </w:pPr>
            <w:r>
              <w:rPr>
                <w:rFonts w:ascii="Arial" w:cs="Arial" w:eastAsia="Arial" w:hAnsi="Arial"/>
                <w:sz w:val="18"/>
                <w:szCs w:val="18"/>
                <w:b w:val="1"/>
                <w:bCs w:val="1"/>
                <w:color w:val="auto"/>
                <w:w w:val="97"/>
              </w:rPr>
              <w:t>BANCO DE CREDITO DEL PERU AND SUBSIDIARIES</w:t>
            </w:r>
          </w:p>
        </w:tc>
        <w:tc>
          <w:tcPr>
            <w:tcW w:w="1160" w:type="dxa"/>
            <w:vAlign w:val="bottom"/>
          </w:tcPr>
          <w:p>
            <w:pPr>
              <w:spacing w:after="0"/>
              <w:rPr>
                <w:sz w:val="19"/>
                <w:szCs w:val="19"/>
                <w:color w:val="auto"/>
              </w:rPr>
            </w:pPr>
          </w:p>
        </w:tc>
      </w:tr>
      <w:tr>
        <w:trPr>
          <w:trHeight w:val="231"/>
        </w:trPr>
        <w:tc>
          <w:tcPr>
            <w:tcW w:w="4500" w:type="dxa"/>
            <w:vAlign w:val="bottom"/>
          </w:tcPr>
          <w:p>
            <w:pPr>
              <w:ind w:left="4040"/>
              <w:spacing w:after="0"/>
              <w:rPr>
                <w:sz w:val="20"/>
                <w:szCs w:val="20"/>
                <w:color w:val="auto"/>
              </w:rPr>
            </w:pPr>
            <w:r>
              <w:rPr>
                <w:rFonts w:ascii="Arial" w:cs="Arial" w:eastAsia="Arial" w:hAnsi="Arial"/>
                <w:sz w:val="18"/>
                <w:szCs w:val="18"/>
                <w:b w:val="1"/>
                <w:bCs w:val="1"/>
                <w:color w:val="auto"/>
                <w:w w:val="93"/>
              </w:rPr>
              <w:t>Table</w:t>
            </w:r>
          </w:p>
        </w:tc>
        <w:tc>
          <w:tcPr>
            <w:tcW w:w="320" w:type="dxa"/>
            <w:vAlign w:val="bottom"/>
          </w:tcPr>
          <w:p>
            <w:pPr>
              <w:jc w:val="right"/>
              <w:ind w:right="79"/>
              <w:spacing w:after="0"/>
              <w:rPr>
                <w:sz w:val="20"/>
                <w:szCs w:val="20"/>
                <w:color w:val="auto"/>
              </w:rPr>
            </w:pPr>
            <w:r>
              <w:rPr>
                <w:rFonts w:ascii="Arial" w:cs="Arial" w:eastAsia="Arial" w:hAnsi="Arial"/>
                <w:sz w:val="18"/>
                <w:szCs w:val="18"/>
                <w:b w:val="1"/>
                <w:bCs w:val="1"/>
                <w:color w:val="auto"/>
              </w:rPr>
              <w:t>5</w:t>
            </w:r>
          </w:p>
        </w:tc>
        <w:tc>
          <w:tcPr>
            <w:tcW w:w="1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0"/>
        </w:trPr>
        <w:tc>
          <w:tcPr>
            <w:tcW w:w="6120" w:type="dxa"/>
            <w:vAlign w:val="bottom"/>
            <w:gridSpan w:val="3"/>
          </w:tcPr>
          <w:p>
            <w:pPr>
              <w:jc w:val="center"/>
              <w:ind w:left="2536"/>
              <w:spacing w:after="0"/>
              <w:rPr>
                <w:sz w:val="20"/>
                <w:szCs w:val="20"/>
                <w:color w:val="auto"/>
              </w:rPr>
            </w:pPr>
            <w:r>
              <w:rPr>
                <w:rFonts w:ascii="Arial" w:cs="Arial" w:eastAsia="Arial" w:hAnsi="Arial"/>
                <w:sz w:val="18"/>
                <w:szCs w:val="18"/>
                <w:b w:val="1"/>
                <w:bCs w:val="1"/>
                <w:color w:val="auto"/>
                <w:w w:val="98"/>
              </w:rPr>
              <w:t>CONSOLIDATED INCOME STATEMENTS</w:t>
            </w: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2"/>
        </w:trPr>
        <w:tc>
          <w:tcPr>
            <w:tcW w:w="6120" w:type="dxa"/>
            <w:vAlign w:val="bottom"/>
            <w:gridSpan w:val="3"/>
          </w:tcPr>
          <w:p>
            <w:pPr>
              <w:jc w:val="center"/>
              <w:ind w:left="2536"/>
              <w:spacing w:after="0"/>
              <w:rPr>
                <w:sz w:val="20"/>
                <w:szCs w:val="20"/>
                <w:color w:val="auto"/>
              </w:rPr>
            </w:pPr>
            <w:r>
              <w:rPr>
                <w:rFonts w:ascii="Arial" w:cs="Arial" w:eastAsia="Arial" w:hAnsi="Arial"/>
                <w:sz w:val="14"/>
                <w:szCs w:val="14"/>
                <w:i w:val="1"/>
                <w:iCs w:val="1"/>
                <w:color w:val="auto"/>
                <w:w w:val="88"/>
              </w:rPr>
              <w:t>(In U.S. Dollars in thousands )</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8"/>
        </w:trPr>
        <w:tc>
          <w:tcPr>
            <w:tcW w:w="4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r>
        <w:trPr>
          <w:trHeight w:val="331"/>
        </w:trPr>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jc w:val="center"/>
              <w:ind w:right="146"/>
              <w:spacing w:after="0"/>
              <w:rPr>
                <w:sz w:val="20"/>
                <w:szCs w:val="20"/>
                <w:color w:val="auto"/>
              </w:rPr>
            </w:pPr>
            <w:r>
              <w:rPr>
                <w:rFonts w:ascii="Arial" w:cs="Arial" w:eastAsia="Arial" w:hAnsi="Arial"/>
                <w:sz w:val="14"/>
                <w:szCs w:val="14"/>
                <w:b w:val="1"/>
                <w:bCs w:val="1"/>
                <w:color w:val="auto"/>
                <w:w w:val="85"/>
              </w:rPr>
              <w:t>Three months ended</w:t>
            </w:r>
          </w:p>
        </w:tc>
        <w:tc>
          <w:tcPr>
            <w:tcW w:w="1160" w:type="dxa"/>
            <w:vAlign w:val="bottom"/>
          </w:tcPr>
          <w:p>
            <w:pPr>
              <w:spacing w:after="0"/>
              <w:rPr>
                <w:sz w:val="24"/>
                <w:szCs w:val="24"/>
                <w:color w:val="auto"/>
              </w:rPr>
            </w:pPr>
          </w:p>
        </w:tc>
      </w:tr>
      <w:tr>
        <w:trPr>
          <w:trHeight w:val="122"/>
        </w:trPr>
        <w:tc>
          <w:tcPr>
            <w:tcW w:w="4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331"/>
        </w:trPr>
        <w:tc>
          <w:tcPr>
            <w:tcW w:w="4500" w:type="dxa"/>
            <w:vAlign w:val="bottom"/>
          </w:tcPr>
          <w:p>
            <w:pPr>
              <w:spacing w:after="0"/>
              <w:rPr>
                <w:sz w:val="24"/>
                <w:szCs w:val="24"/>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31.03.04</w:t>
            </w:r>
          </w:p>
        </w:tc>
        <w:tc>
          <w:tcPr>
            <w:tcW w:w="1480" w:type="dxa"/>
            <w:vAlign w:val="bottom"/>
          </w:tcPr>
          <w:p>
            <w:pPr>
              <w:jc w:val="right"/>
              <w:ind w:right="526"/>
              <w:spacing w:after="0"/>
              <w:rPr>
                <w:sz w:val="20"/>
                <w:szCs w:val="20"/>
                <w:color w:val="auto"/>
              </w:rPr>
            </w:pPr>
            <w:r>
              <w:rPr>
                <w:rFonts w:ascii="Arial" w:cs="Arial" w:eastAsia="Arial" w:hAnsi="Arial"/>
                <w:sz w:val="14"/>
                <w:szCs w:val="14"/>
                <w:b w:val="1"/>
                <w:bCs w:val="1"/>
                <w:color w:val="auto"/>
              </w:rPr>
              <w:t>31.12.04</w:t>
            </w:r>
          </w:p>
        </w:tc>
        <w:tc>
          <w:tcPr>
            <w:tcW w:w="1160" w:type="dxa"/>
            <w:vAlign w:val="bottom"/>
          </w:tcPr>
          <w:p>
            <w:pPr>
              <w:jc w:val="right"/>
              <w:ind w:right="382"/>
              <w:spacing w:after="0"/>
              <w:rPr>
                <w:sz w:val="20"/>
                <w:szCs w:val="20"/>
                <w:color w:val="auto"/>
              </w:rPr>
            </w:pPr>
            <w:r>
              <w:rPr>
                <w:rFonts w:ascii="Arial" w:cs="Arial" w:eastAsia="Arial" w:hAnsi="Arial"/>
                <w:sz w:val="14"/>
                <w:szCs w:val="14"/>
                <w:b w:val="1"/>
                <w:bCs w:val="1"/>
                <w:color w:val="auto"/>
              </w:rPr>
              <w:t>31.03.05</w:t>
            </w:r>
          </w:p>
        </w:tc>
      </w:tr>
      <w:tr>
        <w:trPr>
          <w:trHeight w:val="122"/>
        </w:trPr>
        <w:tc>
          <w:tcPr>
            <w:tcW w:w="4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343"/>
        </w:trPr>
        <w:tc>
          <w:tcPr>
            <w:tcW w:w="4500" w:type="dxa"/>
            <w:vAlign w:val="bottom"/>
          </w:tcPr>
          <w:p>
            <w:pPr>
              <w:spacing w:after="0"/>
              <w:rPr>
                <w:sz w:val="20"/>
                <w:szCs w:val="20"/>
                <w:color w:val="auto"/>
              </w:rPr>
            </w:pPr>
            <w:r>
              <w:rPr>
                <w:rFonts w:ascii="Arial" w:cs="Arial" w:eastAsia="Arial" w:hAnsi="Arial"/>
                <w:sz w:val="18"/>
                <w:szCs w:val="18"/>
                <w:b w:val="1"/>
                <w:bCs w:val="1"/>
                <w:color w:val="auto"/>
              </w:rPr>
              <w:t>Interest income and expense</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8"/>
                <w:szCs w:val="18"/>
                <w:color w:val="auto"/>
              </w:rPr>
              <w:t>Interest income</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104.910</w:t>
            </w:r>
          </w:p>
        </w:tc>
        <w:tc>
          <w:tcPr>
            <w:tcW w:w="1480" w:type="dxa"/>
            <w:vAlign w:val="bottom"/>
          </w:tcPr>
          <w:p>
            <w:pPr>
              <w:jc w:val="right"/>
              <w:ind w:right="146"/>
              <w:spacing w:after="0"/>
              <w:rPr>
                <w:sz w:val="20"/>
                <w:szCs w:val="20"/>
                <w:color w:val="auto"/>
              </w:rPr>
            </w:pPr>
            <w:r>
              <w:rPr>
                <w:rFonts w:ascii="Arial" w:cs="Arial" w:eastAsia="Arial" w:hAnsi="Arial"/>
                <w:sz w:val="18"/>
                <w:szCs w:val="18"/>
                <w:color w:val="auto"/>
              </w:rPr>
              <w:t>129.008</w:t>
            </w:r>
          </w:p>
        </w:tc>
        <w:tc>
          <w:tcPr>
            <w:tcW w:w="1160" w:type="dxa"/>
            <w:vAlign w:val="bottom"/>
          </w:tcPr>
          <w:p>
            <w:pPr>
              <w:jc w:val="right"/>
              <w:spacing w:after="0"/>
              <w:rPr>
                <w:sz w:val="20"/>
                <w:szCs w:val="20"/>
                <w:color w:val="auto"/>
              </w:rPr>
            </w:pPr>
            <w:r>
              <w:rPr>
                <w:rFonts w:ascii="Arial" w:cs="Arial" w:eastAsia="Arial" w:hAnsi="Arial"/>
                <w:sz w:val="18"/>
                <w:szCs w:val="18"/>
                <w:color w:val="auto"/>
              </w:rPr>
              <w:t>124.702</w:t>
            </w:r>
          </w:p>
        </w:tc>
      </w:tr>
      <w:tr>
        <w:trPr>
          <w:trHeight w:val="110"/>
        </w:trPr>
        <w:tc>
          <w:tcPr>
            <w:tcW w:w="4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6390005</wp:posOffset>
            </wp:positionH>
            <wp:positionV relativeFrom="paragraph">
              <wp:posOffset>-1075690</wp:posOffset>
            </wp:positionV>
            <wp:extent cx="3429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-775335</wp:posOffset>
            </wp:positionV>
            <wp:extent cx="3429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-775335</wp:posOffset>
            </wp:positionV>
            <wp:extent cx="3429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-775335</wp:posOffset>
            </wp:positionV>
            <wp:extent cx="3429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-775335</wp:posOffset>
            </wp:positionV>
            <wp:extent cx="3429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-474980</wp:posOffset>
            </wp:positionV>
            <wp:extent cx="3429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-474980</wp:posOffset>
            </wp:positionV>
            <wp:extent cx="3429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-474980</wp:posOffset>
            </wp:positionV>
            <wp:extent cx="3429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-474980</wp:posOffset>
            </wp:positionV>
            <wp:extent cx="3429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-20955</wp:posOffset>
            </wp:positionV>
            <wp:extent cx="3429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-20955</wp:posOffset>
            </wp:positionV>
            <wp:extent cx="3429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type w:val="continuous"/>
        </w:sectPr>
      </w:pPr>
    </w:p>
    <w:bookmarkStart w:id="19" w:name="page20"/>
    <w:bookmarkEnd w:id="19"/>
    <w:tbl>
      <w:tblPr>
        <w:tblLayout w:type="fixed"/>
        <w:tblInd w:w="1340" w:type="dxa"/>
        <w:tblCellMar>
          <w:top w:w="0" w:type="dxa"/>
          <w:left w:w="0" w:type="dxa"/>
          <w:bottom w:w="0" w:type="dxa"/>
          <w:right w:w="0" w:type="dxa"/>
        </w:tblCellMar>
      </w:tblPr>
      <w:tr>
        <w:trPr>
          <w:trHeight w:val="222"/>
        </w:trPr>
        <w:tc>
          <w:tcPr>
            <w:tcW w:w="4820" w:type="dxa"/>
            <w:vAlign w:val="bottom"/>
          </w:tcPr>
          <w:p>
            <w:pPr>
              <w:ind w:left="60"/>
              <w:spacing w:after="0"/>
              <w:rPr>
                <w:sz w:val="20"/>
                <w:szCs w:val="20"/>
                <w:color w:val="auto"/>
              </w:rPr>
            </w:pPr>
            <w:r>
              <w:rPr>
                <w:rFonts w:ascii="Arial" w:cs="Arial" w:eastAsia="Arial" w:hAnsi="Arial"/>
                <w:sz w:val="18"/>
                <w:szCs w:val="18"/>
                <w:color w:val="auto"/>
              </w:rPr>
              <w:t>Less - Interest expense</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30.153</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32.033</w:t>
            </w:r>
          </w:p>
        </w:tc>
        <w:tc>
          <w:tcPr>
            <w:tcW w:w="980" w:type="dxa"/>
            <w:vAlign w:val="bottom"/>
          </w:tcPr>
          <w:p>
            <w:pPr>
              <w:jc w:val="right"/>
              <w:spacing w:after="0"/>
              <w:rPr>
                <w:sz w:val="20"/>
                <w:szCs w:val="20"/>
                <w:color w:val="auto"/>
              </w:rPr>
            </w:pPr>
            <w:r>
              <w:rPr>
                <w:rFonts w:ascii="Arial" w:cs="Arial" w:eastAsia="Arial" w:hAnsi="Arial"/>
                <w:sz w:val="18"/>
                <w:szCs w:val="18"/>
                <w:color w:val="auto"/>
              </w:rPr>
              <w:t>33.736</w:t>
            </w:r>
          </w:p>
        </w:tc>
        <w:tc>
          <w:tcPr>
            <w:tcW w:w="0" w:type="dxa"/>
            <w:vAlign w:val="bottom"/>
          </w:tcPr>
          <w:p>
            <w:pPr>
              <w:spacing w:after="0"/>
              <w:rPr>
                <w:sz w:val="1"/>
                <w:szCs w:val="1"/>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4820" w:type="dxa"/>
            <w:vAlign w:val="bottom"/>
          </w:tcPr>
          <w:p>
            <w:pPr>
              <w:jc w:val="center"/>
              <w:spacing w:after="0"/>
              <w:rPr>
                <w:sz w:val="20"/>
                <w:szCs w:val="20"/>
                <w:color w:val="auto"/>
              </w:rPr>
            </w:pPr>
            <w:r>
              <w:rPr>
                <w:rFonts w:ascii="Arial" w:cs="Arial" w:eastAsia="Arial" w:hAnsi="Arial"/>
                <w:sz w:val="18"/>
                <w:szCs w:val="18"/>
                <w:color w:val="auto"/>
                <w:w w:val="87"/>
              </w:rPr>
              <w:t>Net interest income</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74.757</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96.975</w:t>
            </w:r>
          </w:p>
        </w:tc>
        <w:tc>
          <w:tcPr>
            <w:tcW w:w="980" w:type="dxa"/>
            <w:vAlign w:val="bottom"/>
          </w:tcPr>
          <w:p>
            <w:pPr>
              <w:jc w:val="right"/>
              <w:spacing w:after="0"/>
              <w:rPr>
                <w:sz w:val="20"/>
                <w:szCs w:val="20"/>
                <w:color w:val="auto"/>
              </w:rPr>
            </w:pPr>
            <w:r>
              <w:rPr>
                <w:rFonts w:ascii="Arial" w:cs="Arial" w:eastAsia="Arial" w:hAnsi="Arial"/>
                <w:sz w:val="18"/>
                <w:szCs w:val="18"/>
                <w:color w:val="auto"/>
              </w:rPr>
              <w:t>90.966</w:t>
            </w:r>
          </w:p>
        </w:tc>
        <w:tc>
          <w:tcPr>
            <w:tcW w:w="0" w:type="dxa"/>
            <w:vAlign w:val="bottom"/>
          </w:tcPr>
          <w:p>
            <w:pPr>
              <w:spacing w:after="0"/>
              <w:rPr>
                <w:sz w:val="1"/>
                <w:szCs w:val="1"/>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86"/>
        </w:trPr>
        <w:tc>
          <w:tcPr>
            <w:tcW w:w="4820" w:type="dxa"/>
            <w:vAlign w:val="bottom"/>
          </w:tcPr>
          <w:p>
            <w:pPr>
              <w:spacing w:after="0"/>
              <w:rPr>
                <w:sz w:val="20"/>
                <w:szCs w:val="20"/>
                <w:color w:val="auto"/>
              </w:rPr>
            </w:pPr>
            <w:r>
              <w:rPr>
                <w:rFonts w:ascii="Arial" w:cs="Arial" w:eastAsia="Arial" w:hAnsi="Arial"/>
                <w:sz w:val="18"/>
                <w:szCs w:val="18"/>
                <w:color w:val="auto"/>
              </w:rPr>
              <w:t>Provisions for possible loan losses, net(1)</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9.936</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3.972</w:t>
            </w:r>
          </w:p>
        </w:tc>
        <w:tc>
          <w:tcPr>
            <w:tcW w:w="980" w:type="dxa"/>
            <w:vAlign w:val="bottom"/>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486"/>
        </w:trPr>
        <w:tc>
          <w:tcPr>
            <w:tcW w:w="4820" w:type="dxa"/>
            <w:vAlign w:val="bottom"/>
          </w:tcPr>
          <w:p>
            <w:pPr>
              <w:jc w:val="center"/>
              <w:spacing w:after="0"/>
              <w:rPr>
                <w:sz w:val="20"/>
                <w:szCs w:val="20"/>
                <w:color w:val="auto"/>
              </w:rPr>
            </w:pPr>
            <w:r>
              <w:rPr>
                <w:rFonts w:ascii="Arial" w:cs="Arial" w:eastAsia="Arial" w:hAnsi="Arial"/>
                <w:sz w:val="18"/>
                <w:szCs w:val="18"/>
                <w:color w:val="auto"/>
                <w:w w:val="89"/>
              </w:rPr>
              <w:t>Net interest income after provisions</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64.821</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93.003</w:t>
            </w:r>
          </w:p>
        </w:tc>
        <w:tc>
          <w:tcPr>
            <w:tcW w:w="980" w:type="dxa"/>
            <w:vAlign w:val="bottom"/>
          </w:tcPr>
          <w:p>
            <w:pPr>
              <w:jc w:val="right"/>
              <w:spacing w:after="0"/>
              <w:rPr>
                <w:sz w:val="20"/>
                <w:szCs w:val="20"/>
                <w:color w:val="auto"/>
              </w:rPr>
            </w:pPr>
            <w:r>
              <w:rPr>
                <w:rFonts w:ascii="Arial" w:cs="Arial" w:eastAsia="Arial" w:hAnsi="Arial"/>
                <w:sz w:val="18"/>
                <w:szCs w:val="18"/>
                <w:color w:val="auto"/>
              </w:rPr>
              <w:t>94.091</w:t>
            </w:r>
          </w:p>
        </w:tc>
        <w:tc>
          <w:tcPr>
            <w:tcW w:w="0" w:type="dxa"/>
            <w:vAlign w:val="bottom"/>
          </w:tcPr>
          <w:p>
            <w:pPr>
              <w:spacing w:after="0"/>
              <w:rPr>
                <w:sz w:val="1"/>
                <w:szCs w:val="1"/>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86"/>
        </w:trPr>
        <w:tc>
          <w:tcPr>
            <w:tcW w:w="482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Fees and commissions from services</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45.313</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47.878</w:t>
            </w:r>
          </w:p>
        </w:tc>
        <w:tc>
          <w:tcPr>
            <w:tcW w:w="980" w:type="dxa"/>
            <w:vAlign w:val="bottom"/>
          </w:tcPr>
          <w:p>
            <w:pPr>
              <w:jc w:val="right"/>
              <w:spacing w:after="0"/>
              <w:rPr>
                <w:sz w:val="20"/>
                <w:szCs w:val="20"/>
                <w:color w:val="auto"/>
              </w:rPr>
            </w:pPr>
            <w:r>
              <w:rPr>
                <w:rFonts w:ascii="Arial" w:cs="Arial" w:eastAsia="Arial" w:hAnsi="Arial"/>
                <w:sz w:val="18"/>
                <w:szCs w:val="18"/>
                <w:color w:val="auto"/>
              </w:rPr>
              <w:t>48.725</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Net gains from sales of securities</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2.465</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(0.988)</w:t>
            </w:r>
          </w:p>
        </w:tc>
        <w:tc>
          <w:tcPr>
            <w:tcW w:w="98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Net gains on foreing exchg. transacts.</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5.360</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6.686</w:t>
            </w:r>
          </w:p>
        </w:tc>
        <w:tc>
          <w:tcPr>
            <w:tcW w:w="980" w:type="dxa"/>
            <w:vAlign w:val="bottom"/>
          </w:tcPr>
          <w:p>
            <w:pPr>
              <w:jc w:val="right"/>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Other income(1)</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2.475</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1.409</w:t>
            </w:r>
          </w:p>
        </w:tc>
        <w:tc>
          <w:tcPr>
            <w:tcW w:w="980" w:type="dxa"/>
            <w:vAlign w:val="bottom"/>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110"/>
        </w:trPr>
        <w:tc>
          <w:tcPr>
            <w:tcW w:w="4820" w:type="dxa"/>
            <w:vAlign w:val="bottom"/>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4820" w:type="dxa"/>
            <w:vAlign w:val="bottom"/>
          </w:tcPr>
          <w:p>
            <w:pPr>
              <w:spacing w:after="0"/>
              <w:rPr>
                <w:sz w:val="24"/>
                <w:szCs w:val="24"/>
                <w:color w:val="auto"/>
              </w:rPr>
            </w:pP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55.613</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54.985</w:t>
            </w:r>
          </w:p>
        </w:tc>
        <w:tc>
          <w:tcPr>
            <w:tcW w:w="980" w:type="dxa"/>
            <w:vAlign w:val="bottom"/>
          </w:tcPr>
          <w:p>
            <w:pPr>
              <w:jc w:val="right"/>
              <w:spacing w:after="0"/>
              <w:rPr>
                <w:sz w:val="20"/>
                <w:szCs w:val="20"/>
                <w:color w:val="auto"/>
              </w:rPr>
            </w:pPr>
            <w:r>
              <w:rPr>
                <w:rFonts w:ascii="Arial" w:cs="Arial" w:eastAsia="Arial" w:hAnsi="Arial"/>
                <w:sz w:val="18"/>
                <w:szCs w:val="18"/>
                <w:color w:val="auto"/>
              </w:rPr>
              <w:t>59.380</w:t>
            </w:r>
          </w:p>
        </w:tc>
        <w:tc>
          <w:tcPr>
            <w:tcW w:w="0" w:type="dxa"/>
            <w:vAlign w:val="bottom"/>
          </w:tcPr>
          <w:p>
            <w:pPr>
              <w:spacing w:after="0"/>
              <w:rPr>
                <w:sz w:val="1"/>
                <w:szCs w:val="1"/>
                <w:color w:val="auto"/>
              </w:rPr>
            </w:pPr>
          </w:p>
        </w:tc>
      </w:tr>
      <w:tr>
        <w:trPr>
          <w:trHeight w:val="11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Other Expenses</w:t>
            </w:r>
          </w:p>
        </w:tc>
        <w:tc>
          <w:tcPr>
            <w:tcW w:w="1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99"/>
        </w:trPr>
        <w:tc>
          <w:tcPr>
            <w:tcW w:w="48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Salaries and employee benefits</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35.836</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41.684</w:t>
            </w:r>
          </w:p>
        </w:tc>
        <w:tc>
          <w:tcPr>
            <w:tcW w:w="980" w:type="dxa"/>
            <w:vAlign w:val="bottom"/>
          </w:tcPr>
          <w:p>
            <w:pPr>
              <w:jc w:val="right"/>
              <w:spacing w:after="0"/>
              <w:rPr>
                <w:sz w:val="20"/>
                <w:szCs w:val="20"/>
                <w:color w:val="auto"/>
              </w:rPr>
            </w:pPr>
            <w:r>
              <w:rPr>
                <w:rFonts w:ascii="Arial" w:cs="Arial" w:eastAsia="Arial" w:hAnsi="Arial"/>
                <w:sz w:val="18"/>
                <w:szCs w:val="18"/>
                <w:color w:val="auto"/>
              </w:rPr>
              <w:t>41.694</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28.733</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33.490</w:t>
            </w:r>
          </w:p>
        </w:tc>
        <w:tc>
          <w:tcPr>
            <w:tcW w:w="980" w:type="dxa"/>
            <w:vAlign w:val="bottom"/>
          </w:tcPr>
          <w:p>
            <w:pPr>
              <w:jc w:val="right"/>
              <w:spacing w:after="0"/>
              <w:rPr>
                <w:sz w:val="20"/>
                <w:szCs w:val="20"/>
                <w:color w:val="auto"/>
              </w:rPr>
            </w:pPr>
            <w:r>
              <w:rPr>
                <w:rFonts w:ascii="Arial" w:cs="Arial" w:eastAsia="Arial" w:hAnsi="Arial"/>
                <w:sz w:val="18"/>
                <w:szCs w:val="18"/>
                <w:color w:val="auto"/>
              </w:rPr>
              <w:t>28.511</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10.112</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9.610</w:t>
            </w:r>
          </w:p>
        </w:tc>
        <w:tc>
          <w:tcPr>
            <w:tcW w:w="980" w:type="dxa"/>
            <w:vAlign w:val="bottom"/>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Taxes other than income tax</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3.508</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2.738</w:t>
            </w:r>
          </w:p>
        </w:tc>
        <w:tc>
          <w:tcPr>
            <w:tcW w:w="980" w:type="dxa"/>
            <w:vAlign w:val="bottom"/>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Other</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7.271</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19.587</w:t>
            </w:r>
          </w:p>
        </w:tc>
        <w:tc>
          <w:tcPr>
            <w:tcW w:w="980" w:type="dxa"/>
            <w:vAlign w:val="bottom"/>
          </w:tcPr>
          <w:p>
            <w:pPr>
              <w:jc w:val="right"/>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43"/>
        </w:trPr>
        <w:tc>
          <w:tcPr>
            <w:tcW w:w="4820" w:type="dxa"/>
            <w:vAlign w:val="bottom"/>
          </w:tcPr>
          <w:p>
            <w:pPr>
              <w:ind w:left="100"/>
              <w:spacing w:after="0"/>
              <w:rPr>
                <w:sz w:val="20"/>
                <w:szCs w:val="20"/>
                <w:color w:val="auto"/>
              </w:rPr>
            </w:pPr>
            <w:r>
              <w:rPr>
                <w:rFonts w:ascii="Arial" w:cs="Arial" w:eastAsia="Arial" w:hAnsi="Arial"/>
                <w:sz w:val="18"/>
                <w:szCs w:val="18"/>
                <w:color w:val="auto"/>
              </w:rPr>
              <w:t>Merger costs</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1.818</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0.000</w:t>
            </w:r>
          </w:p>
        </w:tc>
        <w:tc>
          <w:tcPr>
            <w:tcW w:w="980" w:type="dxa"/>
            <w:vAlign w:val="bottom"/>
          </w:tcPr>
          <w:p>
            <w:pPr>
              <w:jc w:val="right"/>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110"/>
        </w:trPr>
        <w:tc>
          <w:tcPr>
            <w:tcW w:w="4820" w:type="dxa"/>
            <w:vAlign w:val="bottom"/>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4820" w:type="dxa"/>
            <w:vAlign w:val="bottom"/>
          </w:tcPr>
          <w:p>
            <w:pPr>
              <w:spacing w:after="0"/>
              <w:rPr>
                <w:sz w:val="24"/>
                <w:szCs w:val="24"/>
                <w:color w:val="auto"/>
              </w:rPr>
            </w:pP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87.278</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107.109</w:t>
            </w:r>
          </w:p>
        </w:tc>
        <w:tc>
          <w:tcPr>
            <w:tcW w:w="980" w:type="dxa"/>
            <w:vAlign w:val="bottom"/>
          </w:tcPr>
          <w:p>
            <w:pPr>
              <w:jc w:val="right"/>
              <w:spacing w:after="0"/>
              <w:rPr>
                <w:sz w:val="20"/>
                <w:szCs w:val="20"/>
                <w:color w:val="auto"/>
              </w:rPr>
            </w:pPr>
            <w:r>
              <w:rPr>
                <w:rFonts w:ascii="Arial" w:cs="Arial" w:eastAsia="Arial" w:hAnsi="Arial"/>
                <w:sz w:val="18"/>
                <w:szCs w:val="18"/>
                <w:color w:val="auto"/>
              </w:rPr>
              <w:t>91.351</w:t>
            </w:r>
          </w:p>
        </w:tc>
        <w:tc>
          <w:tcPr>
            <w:tcW w:w="0" w:type="dxa"/>
            <w:vAlign w:val="bottom"/>
          </w:tcPr>
          <w:p>
            <w:pPr>
              <w:spacing w:after="0"/>
              <w:rPr>
                <w:sz w:val="1"/>
                <w:szCs w:val="1"/>
                <w:color w:val="auto"/>
              </w:rPr>
            </w:pPr>
          </w:p>
        </w:tc>
      </w:tr>
      <w:tr>
        <w:trPr>
          <w:trHeight w:val="110"/>
        </w:trPr>
        <w:tc>
          <w:tcPr>
            <w:tcW w:w="4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Result from exposure to inflation</w:t>
            </w:r>
          </w:p>
        </w:tc>
        <w:tc>
          <w:tcPr>
            <w:tcW w:w="1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586"/>
        </w:trPr>
        <w:tc>
          <w:tcPr>
            <w:tcW w:w="4820" w:type="dxa"/>
            <w:vAlign w:val="bottom"/>
            <w:vMerge w:val="continue"/>
          </w:tcPr>
          <w:p>
            <w:pPr>
              <w:spacing w:after="0"/>
              <w:rPr>
                <w:sz w:val="24"/>
                <w:szCs w:val="24"/>
                <w:color w:val="auto"/>
              </w:rPr>
            </w:pP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1.688</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(0.628)</w:t>
            </w:r>
          </w:p>
        </w:tc>
        <w:tc>
          <w:tcPr>
            <w:tcW w:w="980" w:type="dxa"/>
            <w:vAlign w:val="bottom"/>
          </w:tcPr>
          <w:p>
            <w:pPr>
              <w:jc w:val="right"/>
              <w:spacing w:after="0"/>
              <w:rPr>
                <w:sz w:val="20"/>
                <w:szCs w:val="20"/>
                <w:color w:val="auto"/>
              </w:rPr>
            </w:pPr>
            <w:r>
              <w:rPr>
                <w:rFonts w:ascii="Arial" w:cs="Arial" w:eastAsia="Arial" w:hAnsi="Arial"/>
                <w:sz w:val="18"/>
                <w:szCs w:val="18"/>
                <w:color w:val="auto"/>
              </w:rPr>
              <w:t>0.343</w:t>
            </w:r>
          </w:p>
        </w:tc>
        <w:tc>
          <w:tcPr>
            <w:tcW w:w="0" w:type="dxa"/>
            <w:vAlign w:val="bottom"/>
          </w:tcPr>
          <w:p>
            <w:pPr>
              <w:spacing w:after="0"/>
              <w:rPr>
                <w:sz w:val="1"/>
                <w:szCs w:val="1"/>
                <w:color w:val="auto"/>
              </w:rPr>
            </w:pPr>
          </w:p>
        </w:tc>
      </w:tr>
      <w:tr>
        <w:trPr>
          <w:trHeight w:val="486"/>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6"/>
              </w:rPr>
              <w:t>Income before income tax</w:t>
            </w:r>
          </w:p>
        </w:tc>
        <w:tc>
          <w:tcPr>
            <w:tcW w:w="1620" w:type="dxa"/>
            <w:vAlign w:val="bottom"/>
          </w:tcPr>
          <w:p>
            <w:pPr>
              <w:jc w:val="right"/>
              <w:ind w:right="272"/>
              <w:spacing w:after="0"/>
              <w:rPr>
                <w:sz w:val="20"/>
                <w:szCs w:val="20"/>
                <w:color w:val="auto"/>
              </w:rPr>
            </w:pPr>
            <w:r>
              <w:rPr>
                <w:rFonts w:ascii="Arial" w:cs="Arial" w:eastAsia="Arial" w:hAnsi="Arial"/>
                <w:sz w:val="18"/>
                <w:szCs w:val="18"/>
                <w:b w:val="1"/>
                <w:bCs w:val="1"/>
                <w:color w:val="auto"/>
              </w:rPr>
              <w:t>34.844</w:t>
            </w:r>
          </w:p>
        </w:tc>
        <w:tc>
          <w:tcPr>
            <w:tcW w:w="1340" w:type="dxa"/>
            <w:vAlign w:val="bottom"/>
          </w:tcPr>
          <w:p>
            <w:pPr>
              <w:jc w:val="right"/>
              <w:ind w:right="312"/>
              <w:spacing w:after="0"/>
              <w:rPr>
                <w:sz w:val="20"/>
                <w:szCs w:val="20"/>
                <w:color w:val="auto"/>
              </w:rPr>
            </w:pPr>
            <w:r>
              <w:rPr>
                <w:rFonts w:ascii="Arial" w:cs="Arial" w:eastAsia="Arial" w:hAnsi="Arial"/>
                <w:sz w:val="18"/>
                <w:szCs w:val="18"/>
                <w:b w:val="1"/>
                <w:bCs w:val="1"/>
                <w:color w:val="auto"/>
              </w:rPr>
              <w:t>40.251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62.463</w:t>
            </w:r>
          </w:p>
        </w:tc>
        <w:tc>
          <w:tcPr>
            <w:tcW w:w="0" w:type="dxa"/>
            <w:vAlign w:val="bottom"/>
          </w:tcPr>
          <w:p>
            <w:pPr>
              <w:spacing w:after="0"/>
              <w:rPr>
                <w:sz w:val="1"/>
                <w:szCs w:val="1"/>
                <w:color w:val="auto"/>
              </w:rPr>
            </w:pPr>
          </w:p>
        </w:tc>
      </w:tr>
      <w:tr>
        <w:trPr>
          <w:trHeight w:val="486"/>
        </w:trPr>
        <w:tc>
          <w:tcPr>
            <w:tcW w:w="482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7.926</w:t>
            </w:r>
          </w:p>
        </w:tc>
        <w:tc>
          <w:tcPr>
            <w:tcW w:w="1340" w:type="dxa"/>
            <w:vAlign w:val="bottom"/>
          </w:tcPr>
          <w:p>
            <w:pPr>
              <w:jc w:val="right"/>
              <w:ind w:right="312"/>
              <w:spacing w:after="0"/>
              <w:rPr>
                <w:sz w:val="20"/>
                <w:szCs w:val="20"/>
                <w:color w:val="auto"/>
              </w:rPr>
            </w:pPr>
            <w:r>
              <w:rPr>
                <w:rFonts w:ascii="Arial" w:cs="Arial" w:eastAsia="Arial" w:hAnsi="Arial"/>
                <w:sz w:val="18"/>
                <w:szCs w:val="18"/>
                <w:color w:val="auto"/>
              </w:rPr>
              <w:t>10.832</w:t>
            </w:r>
          </w:p>
        </w:tc>
        <w:tc>
          <w:tcPr>
            <w:tcW w:w="980" w:type="dxa"/>
            <w:vAlign w:val="bottom"/>
          </w:tcPr>
          <w:p>
            <w:pPr>
              <w:jc w:val="right"/>
              <w:spacing w:after="0"/>
              <w:rPr>
                <w:sz w:val="20"/>
                <w:szCs w:val="20"/>
                <w:color w:val="auto"/>
              </w:rPr>
            </w:pPr>
            <w:r>
              <w:rPr>
                <w:rFonts w:ascii="Arial" w:cs="Arial" w:eastAsia="Arial" w:hAnsi="Arial"/>
                <w:sz w:val="18"/>
                <w:szCs w:val="18"/>
                <w:color w:val="auto"/>
              </w:rPr>
              <w:t>17.066</w:t>
            </w:r>
          </w:p>
        </w:tc>
        <w:tc>
          <w:tcPr>
            <w:tcW w:w="0" w:type="dxa"/>
            <w:vAlign w:val="bottom"/>
          </w:tcPr>
          <w:p>
            <w:pPr>
              <w:spacing w:after="0"/>
              <w:rPr>
                <w:sz w:val="1"/>
                <w:szCs w:val="1"/>
                <w:color w:val="auto"/>
              </w:rPr>
            </w:pPr>
          </w:p>
        </w:tc>
      </w:tr>
      <w:tr>
        <w:trPr>
          <w:trHeight w:val="486"/>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rPr>
              <w:t>NET INCOME</w:t>
            </w:r>
          </w:p>
        </w:tc>
        <w:tc>
          <w:tcPr>
            <w:tcW w:w="1620" w:type="dxa"/>
            <w:vAlign w:val="bottom"/>
          </w:tcPr>
          <w:p>
            <w:pPr>
              <w:jc w:val="right"/>
              <w:ind w:right="272"/>
              <w:spacing w:after="0"/>
              <w:rPr>
                <w:sz w:val="20"/>
                <w:szCs w:val="20"/>
                <w:color w:val="auto"/>
              </w:rPr>
            </w:pPr>
            <w:r>
              <w:rPr>
                <w:rFonts w:ascii="Arial" w:cs="Arial" w:eastAsia="Arial" w:hAnsi="Arial"/>
                <w:sz w:val="18"/>
                <w:szCs w:val="18"/>
                <w:b w:val="1"/>
                <w:bCs w:val="1"/>
                <w:color w:val="auto"/>
              </w:rPr>
              <w:t>26.918</w:t>
            </w:r>
          </w:p>
        </w:tc>
        <w:tc>
          <w:tcPr>
            <w:tcW w:w="1340" w:type="dxa"/>
            <w:vAlign w:val="bottom"/>
          </w:tcPr>
          <w:p>
            <w:pPr>
              <w:jc w:val="right"/>
              <w:ind w:right="312"/>
              <w:spacing w:after="0"/>
              <w:rPr>
                <w:sz w:val="20"/>
                <w:szCs w:val="20"/>
                <w:color w:val="auto"/>
              </w:rPr>
            </w:pPr>
            <w:r>
              <w:rPr>
                <w:rFonts w:ascii="Arial" w:cs="Arial" w:eastAsia="Arial" w:hAnsi="Arial"/>
                <w:sz w:val="18"/>
                <w:szCs w:val="18"/>
                <w:b w:val="1"/>
                <w:bCs w:val="1"/>
                <w:color w:val="auto"/>
              </w:rPr>
              <w:t>29.419</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-5447665</wp:posOffset>
            </wp:positionV>
            <wp:extent cx="3429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-5447665</wp:posOffset>
            </wp:positionV>
            <wp:extent cx="3429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-5447665</wp:posOffset>
            </wp:positionV>
            <wp:extent cx="3429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-5447665</wp:posOffset>
            </wp:positionV>
            <wp:extent cx="3429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-5147945</wp:posOffset>
            </wp:positionV>
            <wp:extent cx="3429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-5147945</wp:posOffset>
            </wp:positionV>
            <wp:extent cx="3429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-5147945</wp:posOffset>
            </wp:positionV>
            <wp:extent cx="3429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-5147945</wp:posOffset>
            </wp:positionV>
            <wp:extent cx="3429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-4384675</wp:posOffset>
            </wp:positionV>
            <wp:extent cx="3429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-4384675</wp:posOffset>
            </wp:positionV>
            <wp:extent cx="3429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-4384675</wp:posOffset>
            </wp:positionV>
            <wp:extent cx="3429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-4384675</wp:posOffset>
            </wp:positionV>
            <wp:extent cx="3429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-3312160</wp:posOffset>
            </wp:positionV>
            <wp:extent cx="3429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-3312160</wp:posOffset>
            </wp:positionV>
            <wp:extent cx="3429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-3312160</wp:posOffset>
            </wp:positionV>
            <wp:extent cx="3429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-3012440</wp:posOffset>
            </wp:positionV>
            <wp:extent cx="3429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-3012440</wp:posOffset>
            </wp:positionV>
            <wp:extent cx="3429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-3012440</wp:posOffset>
            </wp:positionV>
            <wp:extent cx="3429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-1623060</wp:posOffset>
            </wp:positionV>
            <wp:extent cx="3429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-1623060</wp:posOffset>
            </wp:positionV>
            <wp:extent cx="3429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-1623060</wp:posOffset>
            </wp:positionV>
            <wp:extent cx="3429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-1322705</wp:posOffset>
            </wp:positionV>
            <wp:extent cx="3429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-1322705</wp:posOffset>
            </wp:positionV>
            <wp:extent cx="3429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-1322705</wp:posOffset>
            </wp:positionV>
            <wp:extent cx="3429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(1)Income from recoveries of charged-off loans has been reclassified within Provisions for loan losses.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3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Table 6</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217170</wp:posOffset>
            </wp:positionV>
            <wp:extent cx="5569585"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73025</wp:posOffset>
            </wp:positionV>
            <wp:extent cx="250825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08250" cy="34290"/>
                    </a:xfrm>
                    <a:prstGeom prst="rect">
                      <a:avLst/>
                    </a:prstGeom>
                    <a:noFill/>
                  </pic:spPr>
                </pic:pic>
              </a:graphicData>
            </a:graphic>
          </wp:anchor>
        </w:drawing>
      </w:r>
    </w:p>
    <w:p>
      <w:pPr>
        <w:spacing w:after="0" w:line="292" w:lineRule="exact"/>
        <w:rPr>
          <w:sz w:val="20"/>
          <w:szCs w:val="20"/>
          <w:color w:val="auto"/>
        </w:rPr>
      </w:pPr>
    </w:p>
    <w:p>
      <w:pPr>
        <w:ind w:left="6560"/>
        <w:spacing w:after="0"/>
        <w:tabs>
          <w:tab w:leader="none" w:pos="7840" w:val="left"/>
          <w:tab w:leader="none" w:pos="9160" w:val="left"/>
        </w:tabs>
        <w:rPr>
          <w:sz w:val="20"/>
          <w:szCs w:val="20"/>
          <w:color w:val="auto"/>
        </w:rPr>
      </w:pPr>
      <w:r>
        <w:rPr>
          <w:rFonts w:ascii="Arial" w:cs="Arial" w:eastAsia="Arial" w:hAnsi="Arial"/>
          <w:sz w:val="14"/>
          <w:szCs w:val="14"/>
          <w:b w:val="1"/>
          <w:bCs w:val="1"/>
          <w:color w:val="auto"/>
        </w:rPr>
        <w:t>31.03.04</w:t>
      </w:r>
      <w:r>
        <w:rPr>
          <w:sz w:val="20"/>
          <w:szCs w:val="20"/>
          <w:color w:val="auto"/>
        </w:rPr>
        <w:tab/>
      </w:r>
      <w:r>
        <w:rPr>
          <w:rFonts w:ascii="Arial" w:cs="Arial" w:eastAsia="Arial" w:hAnsi="Arial"/>
          <w:sz w:val="14"/>
          <w:szCs w:val="14"/>
          <w:b w:val="1"/>
          <w:bCs w:val="1"/>
          <w:color w:val="auto"/>
        </w:rPr>
        <w:t>31.12.04</w:t>
      </w:r>
      <w:r>
        <w:rPr>
          <w:sz w:val="20"/>
          <w:szCs w:val="20"/>
          <w:color w:val="auto"/>
        </w:rPr>
        <w:tab/>
      </w:r>
      <w:r>
        <w:rPr>
          <w:rFonts w:ascii="Arial" w:cs="Arial" w:eastAsia="Arial" w:hAnsi="Arial"/>
          <w:sz w:val="11"/>
          <w:szCs w:val="11"/>
          <w:b w:val="1"/>
          <w:bCs w:val="1"/>
          <w:color w:val="auto"/>
        </w:rPr>
        <w:t>31.03.05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73025</wp:posOffset>
            </wp:positionV>
            <wp:extent cx="5569585"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5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71120</wp:posOffset>
            </wp:positionV>
            <wp:extent cx="3074035"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074035" cy="34290"/>
                    </a:xfrm>
                    <a:prstGeom prst="rect">
                      <a:avLst/>
                    </a:prstGeom>
                    <a:noFill/>
                  </pic:spPr>
                </pic:pic>
              </a:graphicData>
            </a:graphic>
          </wp:anchor>
        </w:drawing>
      </w:r>
    </w:p>
    <w:p>
      <w:pPr>
        <w:sectPr>
          <w:pgSz w:w="11900" w:h="16838" w:orient="portrait"/>
          <w:cols w:equalWidth="0" w:num="1">
            <w:col w:w="10219"/>
          </w:cols>
          <w:pgMar w:left="240" w:top="158" w:right="1440" w:bottom="0" w:gutter="0" w:footer="0" w:header="0"/>
        </w:sectPr>
      </w:pPr>
    </w:p>
    <w:p>
      <w:pPr>
        <w:spacing w:after="0" w:line="28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Net income per common share (US$ per share)(1)</w:t>
      </w:r>
    </w:p>
    <w:p>
      <w:pPr>
        <w:spacing w:after="0" w:line="7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Net interest margin on interest earning assets (2)</w:t>
      </w:r>
    </w:p>
    <w:p>
      <w:pPr>
        <w:spacing w:after="0" w:line="5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Return on average total assets (2)(3)</w:t>
      </w:r>
    </w:p>
    <w:p>
      <w:pPr>
        <w:spacing w:after="0" w:line="3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Return on average shareholders' equity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81915</wp:posOffset>
            </wp:positionV>
            <wp:extent cx="3074035"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07403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Quality of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71120</wp:posOffset>
            </wp:positionV>
            <wp:extent cx="3074035"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07403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jc w:val="right"/>
              <w:ind w:right="292"/>
              <w:spacing w:after="0"/>
              <w:rPr>
                <w:sz w:val="20"/>
                <w:szCs w:val="20"/>
                <w:color w:val="auto"/>
              </w:rPr>
            </w:pPr>
            <w:r>
              <w:rPr>
                <w:rFonts w:ascii="Arial" w:cs="Arial" w:eastAsia="Arial" w:hAnsi="Arial"/>
                <w:sz w:val="18"/>
                <w:szCs w:val="18"/>
                <w:color w:val="auto"/>
              </w:rPr>
              <w:t>0.022</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0.024</w:t>
            </w:r>
          </w:p>
        </w:tc>
        <w:tc>
          <w:tcPr>
            <w:tcW w:w="920" w:type="dxa"/>
            <w:vAlign w:val="bottom"/>
          </w:tcPr>
          <w:p>
            <w:pPr>
              <w:jc w:val="right"/>
              <w:spacing w:after="0"/>
              <w:rPr>
                <w:sz w:val="20"/>
                <w:szCs w:val="20"/>
                <w:color w:val="auto"/>
              </w:rPr>
            </w:pPr>
            <w:r>
              <w:rPr>
                <w:rFonts w:ascii="Arial" w:cs="Arial" w:eastAsia="Arial" w:hAnsi="Arial"/>
                <w:sz w:val="18"/>
                <w:szCs w:val="18"/>
                <w:color w:val="auto"/>
              </w:rPr>
              <w:t>0.037</w:t>
            </w:r>
          </w:p>
        </w:tc>
      </w:tr>
      <w:tr>
        <w:trPr>
          <w:trHeight w:val="243"/>
        </w:trPr>
        <w:tc>
          <w:tcPr>
            <w:tcW w:w="920" w:type="dxa"/>
            <w:vAlign w:val="bottom"/>
          </w:tcPr>
          <w:p>
            <w:pPr>
              <w:jc w:val="right"/>
              <w:ind w:right="292"/>
              <w:spacing w:after="0"/>
              <w:rPr>
                <w:sz w:val="20"/>
                <w:szCs w:val="20"/>
                <w:color w:val="auto"/>
              </w:rPr>
            </w:pPr>
            <w:r>
              <w:rPr>
                <w:rFonts w:ascii="Arial" w:cs="Arial" w:eastAsia="Arial" w:hAnsi="Arial"/>
                <w:sz w:val="18"/>
                <w:szCs w:val="18"/>
                <w:color w:val="auto"/>
              </w:rPr>
              <w:t>5.03%</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6.21%</w:t>
            </w:r>
          </w:p>
        </w:tc>
        <w:tc>
          <w:tcPr>
            <w:tcW w:w="92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43"/>
        </w:trPr>
        <w:tc>
          <w:tcPr>
            <w:tcW w:w="920" w:type="dxa"/>
            <w:vAlign w:val="bottom"/>
          </w:tcPr>
          <w:p>
            <w:pPr>
              <w:jc w:val="right"/>
              <w:ind w:right="292"/>
              <w:spacing w:after="0"/>
              <w:rPr>
                <w:sz w:val="20"/>
                <w:szCs w:val="20"/>
                <w:color w:val="auto"/>
              </w:rPr>
            </w:pPr>
            <w:r>
              <w:rPr>
                <w:rFonts w:ascii="Arial" w:cs="Arial" w:eastAsia="Arial" w:hAnsi="Arial"/>
                <w:sz w:val="18"/>
                <w:szCs w:val="18"/>
                <w:color w:val="auto"/>
              </w:rPr>
              <w:t>1.61%</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1.65%</w:t>
            </w:r>
          </w:p>
        </w:tc>
        <w:tc>
          <w:tcPr>
            <w:tcW w:w="9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920" w:type="dxa"/>
            <w:vAlign w:val="bottom"/>
          </w:tcPr>
          <w:p>
            <w:pPr>
              <w:jc w:val="right"/>
              <w:ind w:right="292"/>
              <w:spacing w:after="0"/>
              <w:rPr>
                <w:sz w:val="20"/>
                <w:szCs w:val="20"/>
                <w:color w:val="auto"/>
              </w:rPr>
            </w:pPr>
            <w:r>
              <w:rPr>
                <w:rFonts w:ascii="Arial" w:cs="Arial" w:eastAsia="Arial" w:hAnsi="Arial"/>
                <w:sz w:val="18"/>
                <w:szCs w:val="18"/>
                <w:color w:val="auto"/>
                <w:w w:val="85"/>
              </w:rPr>
              <w:t>17.20%</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15.97%</w:t>
            </w:r>
          </w:p>
        </w:tc>
        <w:tc>
          <w:tcPr>
            <w:tcW w:w="920" w:type="dxa"/>
            <w:vAlign w:val="bottom"/>
          </w:tcPr>
          <w:p>
            <w:pPr>
              <w:jc w:val="right"/>
              <w:spacing w:after="0"/>
              <w:rPr>
                <w:sz w:val="20"/>
                <w:szCs w:val="20"/>
                <w:color w:val="auto"/>
              </w:rPr>
            </w:pPr>
            <w:r>
              <w:rPr>
                <w:rFonts w:ascii="Arial" w:cs="Arial" w:eastAsia="Arial" w:hAnsi="Arial"/>
                <w:sz w:val="18"/>
                <w:szCs w:val="18"/>
                <w:color w:val="auto"/>
              </w:rPr>
              <w:t>23.71%</w:t>
            </w:r>
          </w:p>
        </w:tc>
      </w:tr>
    </w:tbl>
    <w:p>
      <w:pPr>
        <w:spacing w:after="0" w:line="894" w:lineRule="exact"/>
        <w:rPr>
          <w:sz w:val="20"/>
          <w:szCs w:val="20"/>
          <w:color w:val="auto"/>
        </w:rPr>
      </w:pPr>
    </w:p>
    <w:p>
      <w:pPr>
        <w:sectPr>
          <w:pgSz w:w="11900" w:h="16838" w:orient="portrait"/>
          <w:cols w:equalWidth="0" w:num="2">
            <w:col w:w="6160" w:space="720"/>
            <w:col w:w="3339"/>
          </w:cols>
          <w:pgMar w:left="240" w:top="158" w:right="1440" w:bottom="0" w:gutter="0" w:footer="0" w:header="0"/>
          <w:type w:val="continuous"/>
        </w:sectPr>
      </w:pPr>
    </w:p>
    <w:p>
      <w:pPr>
        <w:spacing w:after="0" w:line="85" w:lineRule="exact"/>
        <w:rPr>
          <w:sz w:val="20"/>
          <w:szCs w:val="20"/>
          <w:color w:val="auto"/>
        </w:rPr>
      </w:pPr>
    </w:p>
    <w:tbl>
      <w:tblPr>
        <w:tblLayout w:type="fixed"/>
        <w:tblInd w:w="1400" w:type="dxa"/>
        <w:tblCellMar>
          <w:top w:w="0" w:type="dxa"/>
          <w:left w:w="0" w:type="dxa"/>
          <w:bottom w:w="0" w:type="dxa"/>
          <w:right w:w="0" w:type="dxa"/>
        </w:tblCellMar>
      </w:tblP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2120" w:type="dxa"/>
            <w:vAlign w:val="bottom"/>
          </w:tcPr>
          <w:p>
            <w:pPr>
              <w:jc w:val="right"/>
              <w:ind w:right="252"/>
              <w:spacing w:after="0"/>
              <w:rPr>
                <w:sz w:val="20"/>
                <w:szCs w:val="20"/>
                <w:color w:val="auto"/>
              </w:rPr>
            </w:pPr>
            <w:r>
              <w:rPr>
                <w:rFonts w:ascii="Arial" w:cs="Arial" w:eastAsia="Arial" w:hAnsi="Arial"/>
                <w:sz w:val="18"/>
                <w:szCs w:val="18"/>
                <w:color w:val="auto"/>
              </w:rPr>
              <w:t>6.01%</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3.68%</w:t>
            </w: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Past due loans + refinanced loans as a</w:t>
            </w:r>
          </w:p>
        </w:tc>
        <w:tc>
          <w:tcPr>
            <w:tcW w:w="2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4240" w:type="dxa"/>
            <w:vAlign w:val="bottom"/>
          </w:tcPr>
          <w:p>
            <w:pPr>
              <w:ind w:left="320"/>
              <w:spacing w:after="0"/>
              <w:rPr>
                <w:sz w:val="20"/>
                <w:szCs w:val="20"/>
                <w:color w:val="auto"/>
              </w:rPr>
            </w:pPr>
            <w:r>
              <w:rPr>
                <w:rFonts w:ascii="Arial" w:cs="Arial" w:eastAsia="Arial" w:hAnsi="Arial"/>
                <w:sz w:val="18"/>
                <w:szCs w:val="18"/>
                <w:color w:val="auto"/>
              </w:rPr>
              <w:t>percentage of total loans</w:t>
            </w:r>
          </w:p>
        </w:tc>
        <w:tc>
          <w:tcPr>
            <w:tcW w:w="2120" w:type="dxa"/>
            <w:vAlign w:val="bottom"/>
          </w:tcPr>
          <w:p>
            <w:pPr>
              <w:jc w:val="right"/>
              <w:ind w:right="252"/>
              <w:spacing w:after="0"/>
              <w:rPr>
                <w:sz w:val="20"/>
                <w:szCs w:val="20"/>
                <w:color w:val="auto"/>
              </w:rPr>
            </w:pPr>
            <w:r>
              <w:rPr>
                <w:rFonts w:ascii="Arial" w:cs="Arial" w:eastAsia="Arial" w:hAnsi="Arial"/>
                <w:sz w:val="18"/>
                <w:szCs w:val="18"/>
                <w:color w:val="auto"/>
              </w:rPr>
              <w:t>11.58%</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9.37%</w:t>
            </w:r>
          </w:p>
        </w:tc>
        <w:tc>
          <w:tcPr>
            <w:tcW w:w="98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2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4240" w:type="dxa"/>
            <w:vAlign w:val="bottom"/>
          </w:tcPr>
          <w:p>
            <w:pPr>
              <w:ind w:left="320"/>
              <w:spacing w:after="0"/>
              <w:rPr>
                <w:sz w:val="20"/>
                <w:szCs w:val="20"/>
                <w:color w:val="auto"/>
              </w:rPr>
            </w:pPr>
            <w:r>
              <w:rPr>
                <w:rFonts w:ascii="Arial" w:cs="Arial" w:eastAsia="Arial" w:hAnsi="Arial"/>
                <w:sz w:val="18"/>
                <w:szCs w:val="18"/>
                <w:color w:val="auto"/>
              </w:rPr>
              <w:t>past due loans</w:t>
            </w:r>
          </w:p>
        </w:tc>
        <w:tc>
          <w:tcPr>
            <w:tcW w:w="2120" w:type="dxa"/>
            <w:vAlign w:val="bottom"/>
          </w:tcPr>
          <w:p>
            <w:pPr>
              <w:jc w:val="right"/>
              <w:ind w:right="252"/>
              <w:spacing w:after="0"/>
              <w:rPr>
                <w:sz w:val="20"/>
                <w:szCs w:val="20"/>
                <w:color w:val="auto"/>
              </w:rPr>
            </w:pPr>
            <w:r>
              <w:rPr>
                <w:rFonts w:ascii="Arial" w:cs="Arial" w:eastAsia="Arial" w:hAnsi="Arial"/>
                <w:sz w:val="18"/>
                <w:szCs w:val="18"/>
                <w:color w:val="auto"/>
              </w:rPr>
              <w:t>121.63%</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159.83%</w:t>
            </w:r>
          </w:p>
        </w:tc>
        <w:tc>
          <w:tcPr>
            <w:tcW w:w="980" w:type="dxa"/>
            <w:vAlign w:val="bottom"/>
          </w:tcPr>
          <w:p>
            <w:pPr>
              <w:jc w:val="right"/>
              <w:spacing w:after="0"/>
              <w:rPr>
                <w:sz w:val="20"/>
                <w:szCs w:val="20"/>
                <w:color w:val="auto"/>
              </w:rPr>
            </w:pPr>
            <w:r>
              <w:rPr>
                <w:rFonts w:ascii="Arial" w:cs="Arial" w:eastAsia="Arial" w:hAnsi="Arial"/>
                <w:sz w:val="18"/>
                <w:szCs w:val="18"/>
                <w:color w:val="auto"/>
              </w:rPr>
              <w:t>176.52%</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2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4240" w:type="dxa"/>
            <w:vAlign w:val="bottom"/>
          </w:tcPr>
          <w:p>
            <w:pPr>
              <w:ind w:left="320"/>
              <w:spacing w:after="0"/>
              <w:rPr>
                <w:sz w:val="20"/>
                <w:szCs w:val="20"/>
                <w:color w:val="auto"/>
              </w:rPr>
            </w:pPr>
            <w:r>
              <w:rPr>
                <w:rFonts w:ascii="Arial" w:cs="Arial" w:eastAsia="Arial" w:hAnsi="Arial"/>
                <w:sz w:val="18"/>
                <w:szCs w:val="18"/>
                <w:color w:val="auto"/>
              </w:rPr>
              <w:t>substandard loans (C+D+E)</w:t>
            </w:r>
          </w:p>
        </w:tc>
        <w:tc>
          <w:tcPr>
            <w:tcW w:w="2120" w:type="dxa"/>
            <w:vAlign w:val="bottom"/>
          </w:tcPr>
          <w:p>
            <w:pPr>
              <w:jc w:val="right"/>
              <w:ind w:right="252"/>
              <w:spacing w:after="0"/>
              <w:rPr>
                <w:sz w:val="20"/>
                <w:szCs w:val="20"/>
                <w:color w:val="auto"/>
              </w:rPr>
            </w:pPr>
            <w:r>
              <w:rPr>
                <w:rFonts w:ascii="Arial" w:cs="Arial" w:eastAsia="Arial" w:hAnsi="Arial"/>
                <w:sz w:val="18"/>
                <w:szCs w:val="18"/>
                <w:color w:val="auto"/>
              </w:rPr>
              <w:t>14.48%</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15.64%</w:t>
            </w:r>
          </w:p>
        </w:tc>
        <w:tc>
          <w:tcPr>
            <w:tcW w:w="980" w:type="dxa"/>
            <w:vAlign w:val="bottom"/>
          </w:tcPr>
          <w:p>
            <w:pPr>
              <w:jc w:val="right"/>
              <w:spacing w:after="0"/>
              <w:rPr>
                <w:sz w:val="20"/>
                <w:szCs w:val="20"/>
                <w:color w:val="auto"/>
              </w:rPr>
            </w:pPr>
            <w:r>
              <w:rPr>
                <w:rFonts w:ascii="Arial" w:cs="Arial" w:eastAsia="Arial" w:hAnsi="Arial"/>
                <w:sz w:val="18"/>
                <w:szCs w:val="18"/>
                <w:color w:val="auto"/>
              </w:rPr>
              <w:t>19.46%</w:t>
            </w:r>
          </w:p>
        </w:tc>
      </w:tr>
    </w:tbl>
    <w:p>
      <w:pPr>
        <w:sectPr>
          <w:pgSz w:w="11900" w:h="16838" w:orient="portrait"/>
          <w:cols w:equalWidth="0" w:num="1">
            <w:col w:w="10219"/>
          </w:cols>
          <w:pgMar w:left="240" w:top="158" w:right="1440" w:bottom="0" w:gutter="0" w:footer="0" w:header="0"/>
          <w:type w:val="continuous"/>
        </w:sectPr>
      </w:pPr>
    </w:p>
    <w:bookmarkStart w:id="20" w:name="page21"/>
    <w:bookmarkEnd w:id="20"/>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4820" w:type="dxa"/>
            <w:vAlign w:val="bottom"/>
          </w:tcPr>
          <w:p>
            <w:pPr>
              <w:ind w:left="60"/>
              <w:spacing w:after="0"/>
              <w:rPr>
                <w:sz w:val="20"/>
                <w:szCs w:val="20"/>
                <w:color w:val="auto"/>
              </w:rPr>
            </w:pPr>
            <w:r>
              <w:rPr>
                <w:rFonts w:ascii="Arial" w:cs="Arial" w:eastAsia="Arial" w:hAnsi="Arial"/>
                <w:sz w:val="18"/>
                <w:szCs w:val="18"/>
                <w:color w:val="auto"/>
              </w:rPr>
              <w:t>Reserves for loan losses as a percentage of</w:t>
            </w:r>
          </w:p>
        </w:tc>
        <w:tc>
          <w:tcPr>
            <w:tcW w:w="1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past due loans + refinanced loans</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63.09%</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62.79%</w:t>
            </w:r>
          </w:p>
        </w:tc>
        <w:tc>
          <w:tcPr>
            <w:tcW w:w="980" w:type="dxa"/>
            <w:vAlign w:val="bottom"/>
          </w:tcPr>
          <w:p>
            <w:pPr>
              <w:jc w:val="right"/>
              <w:spacing w:after="0"/>
              <w:rPr>
                <w:sz w:val="20"/>
                <w:szCs w:val="20"/>
                <w:color w:val="auto"/>
              </w:rPr>
            </w:pPr>
            <w:r>
              <w:rPr>
                <w:rFonts w:ascii="Arial" w:cs="Arial" w:eastAsia="Arial" w:hAnsi="Arial"/>
                <w:sz w:val="18"/>
                <w:szCs w:val="18"/>
                <w:color w:val="auto"/>
              </w:rPr>
              <w:t>70.60%</w:t>
            </w:r>
          </w:p>
        </w:tc>
      </w:tr>
      <w:tr>
        <w:trPr>
          <w:trHeight w:val="486"/>
        </w:trPr>
        <w:tc>
          <w:tcPr>
            <w:tcW w:w="4820" w:type="dxa"/>
            <w:vAlign w:val="bottom"/>
          </w:tcPr>
          <w:p>
            <w:pPr>
              <w:spacing w:after="0"/>
              <w:rPr>
                <w:sz w:val="20"/>
                <w:szCs w:val="20"/>
                <w:color w:val="auto"/>
              </w:rPr>
            </w:pPr>
            <w:r>
              <w:rPr>
                <w:rFonts w:ascii="Arial" w:cs="Arial" w:eastAsia="Arial" w:hAnsi="Arial"/>
                <w:sz w:val="18"/>
                <w:szCs w:val="18"/>
                <w:b w:val="1"/>
                <w:bCs w:val="1"/>
                <w:color w:val="auto"/>
              </w:rPr>
              <w:t>Operating efficiency (5)</w:t>
            </w: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356"/>
        </w:trPr>
        <w:tc>
          <w:tcPr>
            <w:tcW w:w="4820" w:type="dxa"/>
            <w:vAlign w:val="bottom"/>
          </w:tcPr>
          <w:p>
            <w:pPr>
              <w:spacing w:after="0"/>
              <w:rPr>
                <w:sz w:val="20"/>
                <w:szCs w:val="20"/>
                <w:color w:val="auto"/>
              </w:rPr>
            </w:pPr>
            <w:r>
              <w:rPr>
                <w:rFonts w:ascii="Arial" w:cs="Arial" w:eastAsia="Arial" w:hAnsi="Arial"/>
                <w:sz w:val="18"/>
                <w:szCs w:val="18"/>
                <w:color w:val="auto"/>
              </w:rPr>
              <w:t>Oper. expense as a percent. of total income (4)</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63.79%</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57.76%</w:t>
            </w:r>
          </w:p>
        </w:tc>
        <w:tc>
          <w:tcPr>
            <w:tcW w:w="980" w:type="dxa"/>
            <w:vAlign w:val="bottom"/>
          </w:tcPr>
          <w:p>
            <w:pPr>
              <w:jc w:val="right"/>
              <w:spacing w:after="0"/>
              <w:rPr>
                <w:sz w:val="20"/>
                <w:szCs w:val="20"/>
                <w:color w:val="auto"/>
              </w:rPr>
            </w:pPr>
            <w:r>
              <w:rPr>
                <w:rFonts w:ascii="Arial" w:cs="Arial" w:eastAsia="Arial" w:hAnsi="Arial"/>
                <w:sz w:val="18"/>
                <w:szCs w:val="18"/>
                <w:color w:val="auto"/>
              </w:rPr>
              <w:t>56.81%</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Oper. expense as a percent. of av. tot. assets(2)(3)</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4.79%</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4.91%</w:t>
            </w:r>
          </w:p>
        </w:tc>
        <w:tc>
          <w:tcPr>
            <w:tcW w:w="98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486"/>
        </w:trPr>
        <w:tc>
          <w:tcPr>
            <w:tcW w:w="4820" w:type="dxa"/>
            <w:vAlign w:val="bottom"/>
          </w:tcPr>
          <w:p>
            <w:pPr>
              <w:spacing w:after="0"/>
              <w:rPr>
                <w:sz w:val="20"/>
                <w:szCs w:val="20"/>
                <w:color w:val="auto"/>
              </w:rPr>
            </w:pPr>
            <w:r>
              <w:rPr>
                <w:rFonts w:ascii="Arial" w:cs="Arial" w:eastAsia="Arial" w:hAnsi="Arial"/>
                <w:sz w:val="18"/>
                <w:szCs w:val="18"/>
                <w:b w:val="1"/>
                <w:bCs w:val="1"/>
                <w:color w:val="auto"/>
              </w:rPr>
              <w:t>Capital adequacy</w:t>
            </w: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356"/>
        </w:trPr>
        <w:tc>
          <w:tcPr>
            <w:tcW w:w="4820" w:type="dxa"/>
            <w:vAlign w:val="bottom"/>
          </w:tcPr>
          <w:p>
            <w:pPr>
              <w:ind w:left="60"/>
              <w:spacing w:after="0"/>
              <w:rPr>
                <w:sz w:val="20"/>
                <w:szCs w:val="20"/>
                <w:color w:val="auto"/>
              </w:rPr>
            </w:pPr>
            <w:r>
              <w:rPr>
                <w:rFonts w:ascii="Arial" w:cs="Arial" w:eastAsia="Arial" w:hAnsi="Arial"/>
                <w:sz w:val="18"/>
                <w:szCs w:val="18"/>
                <w:color w:val="auto"/>
              </w:rPr>
              <w:t>Total Regulatory capital (US$Mn)</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671.6</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695.7</w:t>
            </w:r>
          </w:p>
        </w:tc>
        <w:tc>
          <w:tcPr>
            <w:tcW w:w="980" w:type="dxa"/>
            <w:vAlign w:val="bottom"/>
          </w:tcPr>
          <w:p>
            <w:pPr>
              <w:jc w:val="right"/>
              <w:spacing w:after="0"/>
              <w:rPr>
                <w:sz w:val="20"/>
                <w:szCs w:val="20"/>
                <w:color w:val="auto"/>
              </w:rPr>
            </w:pPr>
            <w:r>
              <w:rPr>
                <w:rFonts w:ascii="Arial" w:cs="Arial" w:eastAsia="Arial" w:hAnsi="Arial"/>
                <w:sz w:val="18"/>
                <w:szCs w:val="18"/>
                <w:color w:val="auto"/>
              </w:rPr>
              <w:t>713.7</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Tier I Capital (US$Mn)</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586.0</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631.7</w:t>
            </w:r>
          </w:p>
        </w:tc>
        <w:tc>
          <w:tcPr>
            <w:tcW w:w="980" w:type="dxa"/>
            <w:vAlign w:val="bottom"/>
          </w:tcPr>
          <w:p>
            <w:pPr>
              <w:jc w:val="right"/>
              <w:spacing w:after="0"/>
              <w:rPr>
                <w:sz w:val="20"/>
                <w:szCs w:val="20"/>
                <w:color w:val="auto"/>
              </w:rPr>
            </w:pPr>
            <w:r>
              <w:rPr>
                <w:rFonts w:ascii="Arial" w:cs="Arial" w:eastAsia="Arial" w:hAnsi="Arial"/>
                <w:sz w:val="18"/>
                <w:szCs w:val="18"/>
                <w:color w:val="auto"/>
              </w:rPr>
              <w:t>636.3</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equity as a percentage of period end total assets</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9.10%</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10.95%</w:t>
            </w:r>
          </w:p>
        </w:tc>
        <w:tc>
          <w:tcPr>
            <w:tcW w:w="98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Regulatory capital / risk-weighted assets</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13.82%</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14.39%</w:t>
            </w:r>
          </w:p>
        </w:tc>
        <w:tc>
          <w:tcPr>
            <w:tcW w:w="980" w:type="dxa"/>
            <w:vAlign w:val="bottom"/>
          </w:tcPr>
          <w:p>
            <w:pPr>
              <w:jc w:val="right"/>
              <w:spacing w:after="0"/>
              <w:rPr>
                <w:sz w:val="20"/>
                <w:szCs w:val="20"/>
                <w:color w:val="auto"/>
              </w:rPr>
            </w:pPr>
            <w:r>
              <w:rPr>
                <w:rFonts w:ascii="Arial" w:cs="Arial" w:eastAsia="Arial" w:hAnsi="Arial"/>
                <w:sz w:val="18"/>
                <w:szCs w:val="18"/>
                <w:color w:val="auto"/>
              </w:rPr>
              <w:t>14.03%</w:t>
            </w:r>
          </w:p>
        </w:tc>
      </w:tr>
      <w:tr>
        <w:trPr>
          <w:trHeight w:val="486"/>
        </w:trPr>
        <w:tc>
          <w:tcPr>
            <w:tcW w:w="4820" w:type="dxa"/>
            <w:vAlign w:val="bottom"/>
          </w:tcPr>
          <w:p>
            <w:pPr>
              <w:spacing w:after="0"/>
              <w:rPr>
                <w:sz w:val="20"/>
                <w:szCs w:val="20"/>
                <w:color w:val="auto"/>
              </w:rPr>
            </w:pPr>
            <w:r>
              <w:rPr>
                <w:rFonts w:ascii="Arial" w:cs="Arial" w:eastAsia="Arial" w:hAnsi="Arial"/>
                <w:sz w:val="18"/>
                <w:szCs w:val="18"/>
                <w:b w:val="1"/>
                <w:bCs w:val="1"/>
                <w:color w:val="auto"/>
              </w:rPr>
              <w:t>Average balances (US$Mn) (3)</w:t>
            </w: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356"/>
        </w:trPr>
        <w:tc>
          <w:tcPr>
            <w:tcW w:w="4820" w:type="dxa"/>
            <w:vAlign w:val="bottom"/>
          </w:tcPr>
          <w:p>
            <w:pPr>
              <w:ind w:left="60"/>
              <w:spacing w:after="0"/>
              <w:rPr>
                <w:sz w:val="20"/>
                <w:szCs w:val="20"/>
                <w:color w:val="auto"/>
              </w:rPr>
            </w:pPr>
            <w:r>
              <w:rPr>
                <w:rFonts w:ascii="Arial" w:cs="Arial" w:eastAsia="Arial" w:hAnsi="Arial"/>
                <w:sz w:val="18"/>
                <w:szCs w:val="18"/>
                <w:color w:val="auto"/>
              </w:rPr>
              <w:t>Interest earning assets</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5,940.0</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6,244.8</w:t>
            </w:r>
          </w:p>
        </w:tc>
        <w:tc>
          <w:tcPr>
            <w:tcW w:w="980" w:type="dxa"/>
            <w:vAlign w:val="bottom"/>
          </w:tcPr>
          <w:p>
            <w:pPr>
              <w:jc w:val="right"/>
              <w:spacing w:after="0"/>
              <w:rPr>
                <w:sz w:val="20"/>
                <w:szCs w:val="20"/>
                <w:color w:val="auto"/>
              </w:rPr>
            </w:pPr>
            <w:r>
              <w:rPr>
                <w:rFonts w:ascii="Arial" w:cs="Arial" w:eastAsia="Arial" w:hAnsi="Arial"/>
                <w:sz w:val="18"/>
                <w:szCs w:val="18"/>
                <w:color w:val="auto"/>
              </w:rPr>
              <w:t>6,600.7</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6,681.0</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7,135.1</w:t>
            </w:r>
          </w:p>
        </w:tc>
        <w:tc>
          <w:tcPr>
            <w:tcW w:w="980" w:type="dxa"/>
            <w:vAlign w:val="bottom"/>
          </w:tcPr>
          <w:p>
            <w:pPr>
              <w:jc w:val="right"/>
              <w:spacing w:after="0"/>
              <w:rPr>
                <w:sz w:val="20"/>
                <w:szCs w:val="20"/>
                <w:color w:val="auto"/>
              </w:rPr>
            </w:pPr>
            <w:r>
              <w:rPr>
                <w:rFonts w:ascii="Arial" w:cs="Arial" w:eastAsia="Arial" w:hAnsi="Arial"/>
                <w:sz w:val="18"/>
                <w:szCs w:val="18"/>
                <w:color w:val="auto"/>
              </w:rPr>
              <w:t>7,618.1</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equity</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626.1</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736.8</w:t>
            </w:r>
          </w:p>
        </w:tc>
        <w:tc>
          <w:tcPr>
            <w:tcW w:w="980" w:type="dxa"/>
            <w:vAlign w:val="bottom"/>
          </w:tcPr>
          <w:p>
            <w:pPr>
              <w:jc w:val="right"/>
              <w:spacing w:after="0"/>
              <w:rPr>
                <w:sz w:val="20"/>
                <w:szCs w:val="20"/>
                <w:color w:val="auto"/>
              </w:rPr>
            </w:pPr>
            <w:r>
              <w:rPr>
                <w:rFonts w:ascii="Arial" w:cs="Arial" w:eastAsia="Arial" w:hAnsi="Arial"/>
                <w:sz w:val="18"/>
                <w:szCs w:val="18"/>
                <w:color w:val="auto"/>
              </w:rPr>
              <w:t>765.8</w:t>
            </w:r>
          </w:p>
        </w:tc>
      </w:tr>
      <w:tr>
        <w:trPr>
          <w:trHeight w:val="486"/>
        </w:trPr>
        <w:tc>
          <w:tcPr>
            <w:tcW w:w="4820" w:type="dxa"/>
            <w:vAlign w:val="bottom"/>
          </w:tcPr>
          <w:p>
            <w:pPr>
              <w:spacing w:after="0"/>
              <w:rPr>
                <w:sz w:val="20"/>
                <w:szCs w:val="20"/>
                <w:color w:val="auto"/>
              </w:rPr>
            </w:pPr>
            <w:r>
              <w:rPr>
                <w:rFonts w:ascii="Arial" w:cs="Arial" w:eastAsia="Arial" w:hAnsi="Arial"/>
                <w:sz w:val="18"/>
                <w:szCs w:val="18"/>
                <w:b w:val="1"/>
                <w:bCs w:val="1"/>
                <w:color w:val="auto"/>
              </w:rPr>
              <w:t>Additional data</w:t>
            </w: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356"/>
        </w:trPr>
        <w:tc>
          <w:tcPr>
            <w:tcW w:w="4820" w:type="dxa"/>
            <w:vAlign w:val="bottom"/>
          </w:tcPr>
          <w:p>
            <w:pPr>
              <w:ind w:left="60"/>
              <w:spacing w:after="0"/>
              <w:rPr>
                <w:sz w:val="20"/>
                <w:szCs w:val="20"/>
                <w:color w:val="auto"/>
              </w:rPr>
            </w:pPr>
            <w:r>
              <w:rPr>
                <w:rFonts w:ascii="Arial" w:cs="Arial" w:eastAsia="Arial" w:hAnsi="Arial"/>
                <w:sz w:val="18"/>
                <w:szCs w:val="18"/>
                <w:color w:val="auto"/>
              </w:rPr>
              <w:t>No. of outstanding shares (millions)</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1,202</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1,226</w:t>
            </w:r>
          </w:p>
        </w:tc>
        <w:tc>
          <w:tcPr>
            <w:tcW w:w="98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No. of employees</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7,652</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7,694</w:t>
            </w:r>
          </w:p>
        </w:tc>
        <w:tc>
          <w:tcPr>
            <w:tcW w:w="980" w:type="dxa"/>
            <w:vAlign w:val="bottom"/>
          </w:tcPr>
          <w:p>
            <w:pPr>
              <w:jc w:val="right"/>
              <w:spacing w:after="0"/>
              <w:rPr>
                <w:sz w:val="20"/>
                <w:szCs w:val="20"/>
                <w:color w:val="auto"/>
              </w:rPr>
            </w:pPr>
            <w:r>
              <w:rPr>
                <w:rFonts w:ascii="Arial" w:cs="Arial" w:eastAsia="Arial" w:hAnsi="Arial"/>
                <w:sz w:val="18"/>
                <w:szCs w:val="18"/>
                <w:color w:val="auto"/>
              </w:rPr>
              <w:t>7,632</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Inflation rate ( Wholesale price index)</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2.83%</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-0.02%</w:t>
            </w:r>
          </w:p>
        </w:tc>
        <w:tc>
          <w:tcPr>
            <w:tcW w:w="9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Exchange rate (S/. per 1 U.S. Dollar)</w:t>
            </w:r>
          </w:p>
        </w:tc>
        <w:tc>
          <w:tcPr>
            <w:tcW w:w="1640" w:type="dxa"/>
            <w:vAlign w:val="bottom"/>
          </w:tcPr>
          <w:p>
            <w:pPr>
              <w:jc w:val="right"/>
              <w:ind w:right="292"/>
              <w:spacing w:after="0"/>
              <w:rPr>
                <w:sz w:val="20"/>
                <w:szCs w:val="20"/>
                <w:color w:val="auto"/>
              </w:rPr>
            </w:pPr>
            <w:r>
              <w:rPr>
                <w:rFonts w:ascii="Arial" w:cs="Arial" w:eastAsia="Arial" w:hAnsi="Arial"/>
                <w:sz w:val="18"/>
                <w:szCs w:val="18"/>
                <w:color w:val="auto"/>
              </w:rPr>
              <w:t>3.46</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3.28</w:t>
            </w: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110"/>
        </w:trPr>
        <w:tc>
          <w:tcPr>
            <w:tcW w:w="48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-3571240</wp:posOffset>
            </wp:positionV>
            <wp:extent cx="3429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-2799080</wp:posOffset>
            </wp:positionV>
            <wp:extent cx="3429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-1718945</wp:posOffset>
            </wp:positionV>
            <wp:extent cx="3429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-792480</wp:posOffset>
            </wp:positionV>
            <wp:extent cx="3429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-20955</wp:posOffset>
            </wp:positionV>
            <wp:extent cx="3429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-20955</wp:posOffset>
            </wp:positionV>
            <wp:extent cx="3429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-20955</wp:posOffset>
            </wp:positionV>
            <wp:extent cx="3429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-20955</wp:posOffset>
            </wp:positionV>
            <wp:extent cx="3429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(1)Shares outstanding of 1,226 million is used for all periods since shares have been</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issued only for capitalization of profits and inflation adjustment.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(2)Ratios are annualized.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(3)Averages are determined as the average of period-beginning and period-ending balances.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(4)Total income includes net interest income and other income, excluding non-recurring items.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(5)Operating expense does not include mandatory employee profit sharing expense nor</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provisions for other assets received in lieu of loan repayment and non-recurring items.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ATLANTIC SECURITY HOLDING CORPORATION</w:t>
      </w:r>
    </w:p>
    <w:p>
      <w:pPr>
        <w:spacing w:after="0" w:line="3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Table 7</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(Thousands of U.S. Dollars, except net income per share,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203835</wp:posOffset>
            </wp:positionV>
            <wp:extent cx="5569585"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jc w:val="right"/>
              <w:ind w:right="175"/>
              <w:spacing w:after="0"/>
              <w:rPr>
                <w:sz w:val="20"/>
                <w:szCs w:val="20"/>
                <w:color w:val="auto"/>
              </w:rPr>
            </w:pPr>
            <w:r>
              <w:rPr>
                <w:rFonts w:ascii="Arial" w:cs="Arial" w:eastAsia="Arial" w:hAnsi="Arial"/>
                <w:sz w:val="14"/>
                <w:szCs w:val="14"/>
                <w:b w:val="1"/>
                <w:bCs w:val="1"/>
                <w:color w:val="auto"/>
                <w:w w:val="87"/>
              </w:rPr>
              <w:t>Three months ended</w:t>
            </w:r>
          </w:p>
        </w:tc>
        <w:tc>
          <w:tcPr>
            <w:tcW w:w="1160" w:type="dxa"/>
            <w:vAlign w:val="bottom"/>
          </w:tcPr>
          <w:p>
            <w:pPr>
              <w:spacing w:after="0"/>
              <w:rPr>
                <w:sz w:val="15"/>
                <w:szCs w:val="15"/>
                <w:color w:val="auto"/>
              </w:rPr>
            </w:pPr>
          </w:p>
        </w:tc>
      </w:tr>
      <w:tr>
        <w:trPr>
          <w:trHeight w:val="122"/>
        </w:trPr>
        <w:tc>
          <w:tcPr>
            <w:tcW w:w="4820" w:type="dxa"/>
            <w:vAlign w:val="bottom"/>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331"/>
        </w:trPr>
        <w:tc>
          <w:tcPr>
            <w:tcW w:w="4820" w:type="dxa"/>
            <w:vAlign w:val="bottom"/>
          </w:tcPr>
          <w:p>
            <w:pPr>
              <w:spacing w:after="0"/>
              <w:rPr>
                <w:sz w:val="24"/>
                <w:szCs w:val="24"/>
                <w:color w:val="auto"/>
              </w:rPr>
            </w:pPr>
          </w:p>
        </w:tc>
        <w:tc>
          <w:tcPr>
            <w:tcW w:w="1300" w:type="dxa"/>
            <w:vAlign w:val="bottom"/>
          </w:tcPr>
          <w:p>
            <w:pPr>
              <w:jc w:val="right"/>
              <w:ind w:right="354"/>
              <w:spacing w:after="0"/>
              <w:rPr>
                <w:sz w:val="20"/>
                <w:szCs w:val="20"/>
                <w:color w:val="auto"/>
              </w:rPr>
            </w:pPr>
            <w:r>
              <w:rPr>
                <w:rFonts w:ascii="Arial" w:cs="Arial" w:eastAsia="Arial" w:hAnsi="Arial"/>
                <w:sz w:val="14"/>
                <w:szCs w:val="14"/>
                <w:b w:val="1"/>
                <w:bCs w:val="1"/>
                <w:color w:val="auto"/>
              </w:rPr>
              <w:t>31.03.04</w:t>
            </w: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auto"/>
              </w:rPr>
              <w:t>31.12.04</w:t>
            </w: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31.03.05</w:t>
            </w:r>
          </w:p>
        </w:tc>
      </w:tr>
      <w:tr>
        <w:trPr>
          <w:trHeight w:val="122"/>
        </w:trPr>
        <w:tc>
          <w:tcPr>
            <w:tcW w:w="48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r>
        <w:trPr>
          <w:trHeight w:val="343"/>
        </w:trPr>
        <w:tc>
          <w:tcPr>
            <w:tcW w:w="4820" w:type="dxa"/>
            <w:vAlign w:val="bottom"/>
          </w:tcPr>
          <w:p>
            <w:pPr>
              <w:spacing w:after="0"/>
              <w:rPr>
                <w:sz w:val="20"/>
                <w:szCs w:val="20"/>
                <w:color w:val="auto"/>
              </w:rPr>
            </w:pPr>
            <w:r>
              <w:rPr>
                <w:rFonts w:ascii="Arial" w:cs="Arial" w:eastAsia="Arial" w:hAnsi="Arial"/>
                <w:sz w:val="18"/>
                <w:szCs w:val="18"/>
                <w:b w:val="1"/>
                <w:bCs w:val="1"/>
                <w:color w:val="auto"/>
              </w:rPr>
              <w:t>Results</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356"/>
        </w:trPr>
        <w:tc>
          <w:tcPr>
            <w:tcW w:w="4820" w:type="dxa"/>
            <w:vAlign w:val="bottom"/>
          </w:tcPr>
          <w:p>
            <w:pPr>
              <w:ind w:left="60"/>
              <w:spacing w:after="0"/>
              <w:rPr>
                <w:sz w:val="20"/>
                <w:szCs w:val="20"/>
                <w:color w:val="auto"/>
              </w:rPr>
            </w:pPr>
            <w:r>
              <w:rPr>
                <w:rFonts w:ascii="Arial" w:cs="Arial" w:eastAsia="Arial" w:hAnsi="Arial"/>
                <w:sz w:val="18"/>
                <w:szCs w:val="18"/>
                <w:color w:val="auto"/>
              </w:rPr>
              <w:t>Net Interest Income (w/o dividends)</w:t>
            </w:r>
          </w:p>
        </w:tc>
        <w:tc>
          <w:tcPr>
            <w:tcW w:w="1300" w:type="dxa"/>
            <w:vAlign w:val="bottom"/>
          </w:tcPr>
          <w:p>
            <w:pPr>
              <w:jc w:val="right"/>
              <w:spacing w:after="0"/>
              <w:rPr>
                <w:sz w:val="20"/>
                <w:szCs w:val="20"/>
                <w:color w:val="auto"/>
              </w:rPr>
            </w:pPr>
            <w:r>
              <w:rPr>
                <w:rFonts w:ascii="Arial" w:cs="Arial" w:eastAsia="Arial" w:hAnsi="Arial"/>
                <w:sz w:val="18"/>
                <w:szCs w:val="18"/>
                <w:color w:val="auto"/>
              </w:rPr>
              <w:t>3,383</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3,398</w:t>
            </w:r>
          </w:p>
        </w:tc>
        <w:tc>
          <w:tcPr>
            <w:tcW w:w="1160" w:type="dxa"/>
            <w:vAlign w:val="bottom"/>
          </w:tcPr>
          <w:p>
            <w:pPr>
              <w:jc w:val="right"/>
              <w:spacing w:after="0"/>
              <w:rPr>
                <w:sz w:val="20"/>
                <w:szCs w:val="20"/>
                <w:color w:val="auto"/>
              </w:rPr>
            </w:pPr>
            <w:r>
              <w:rPr>
                <w:rFonts w:ascii="Arial" w:cs="Arial" w:eastAsia="Arial" w:hAnsi="Arial"/>
                <w:sz w:val="18"/>
                <w:szCs w:val="18"/>
                <w:color w:val="auto"/>
              </w:rPr>
              <w:t>3,173</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Dividend income</w:t>
            </w:r>
          </w:p>
        </w:tc>
        <w:tc>
          <w:tcPr>
            <w:tcW w:w="1300" w:type="dxa"/>
            <w:vAlign w:val="bottom"/>
          </w:tcPr>
          <w:p>
            <w:pPr>
              <w:jc w:val="right"/>
              <w:spacing w:after="0"/>
              <w:rPr>
                <w:sz w:val="20"/>
                <w:szCs w:val="20"/>
                <w:color w:val="auto"/>
              </w:rPr>
            </w:pPr>
            <w:r>
              <w:rPr>
                <w:rFonts w:ascii="Arial" w:cs="Arial" w:eastAsia="Arial" w:hAnsi="Arial"/>
                <w:sz w:val="18"/>
                <w:szCs w:val="18"/>
                <w:color w:val="auto"/>
              </w:rPr>
              <w:t>4,871</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30</w:t>
            </w:r>
          </w:p>
        </w:tc>
        <w:tc>
          <w:tcPr>
            <w:tcW w:w="1160" w:type="dxa"/>
            <w:vAlign w:val="bottom"/>
          </w:tcPr>
          <w:p>
            <w:pPr>
              <w:jc w:val="right"/>
              <w:spacing w:after="0"/>
              <w:rPr>
                <w:sz w:val="20"/>
                <w:szCs w:val="20"/>
                <w:color w:val="auto"/>
              </w:rPr>
            </w:pPr>
            <w:r>
              <w:rPr>
                <w:rFonts w:ascii="Arial" w:cs="Arial" w:eastAsia="Arial" w:hAnsi="Arial"/>
                <w:sz w:val="18"/>
                <w:szCs w:val="18"/>
                <w:color w:val="auto"/>
              </w:rPr>
              <w:t>11,727</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Provisions for credit and market risks</w:t>
            </w:r>
          </w:p>
        </w:tc>
        <w:tc>
          <w:tcPr>
            <w:tcW w:w="1300" w:type="dxa"/>
            <w:vAlign w:val="bottom"/>
          </w:tcPr>
          <w:p>
            <w:pPr>
              <w:jc w:val="right"/>
              <w:spacing w:after="0"/>
              <w:rPr>
                <w:sz w:val="20"/>
                <w:szCs w:val="20"/>
                <w:color w:val="auto"/>
              </w:rPr>
            </w:pPr>
            <w:r>
              <w:rPr>
                <w:rFonts w:ascii="Arial" w:cs="Arial" w:eastAsia="Arial" w:hAnsi="Arial"/>
                <w:sz w:val="18"/>
                <w:szCs w:val="18"/>
                <w:color w:val="auto"/>
              </w:rPr>
              <w:t>1,034</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148</w:t>
            </w:r>
          </w:p>
        </w:tc>
        <w:tc>
          <w:tcPr>
            <w:tcW w:w="11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Commissions and fee income</w:t>
            </w:r>
          </w:p>
        </w:tc>
        <w:tc>
          <w:tcPr>
            <w:tcW w:w="1300" w:type="dxa"/>
            <w:vAlign w:val="bottom"/>
          </w:tcPr>
          <w:p>
            <w:pPr>
              <w:jc w:val="right"/>
              <w:spacing w:after="0"/>
              <w:rPr>
                <w:sz w:val="20"/>
                <w:szCs w:val="20"/>
                <w:color w:val="auto"/>
              </w:rPr>
            </w:pPr>
            <w:r>
              <w:rPr>
                <w:rFonts w:ascii="Arial" w:cs="Arial" w:eastAsia="Arial" w:hAnsi="Arial"/>
                <w:sz w:val="18"/>
                <w:szCs w:val="18"/>
                <w:color w:val="auto"/>
              </w:rPr>
              <w:t>1,116</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1,142</w:t>
            </w:r>
          </w:p>
        </w:tc>
        <w:tc>
          <w:tcPr>
            <w:tcW w:w="116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Other Income(1)</w:t>
            </w:r>
          </w:p>
        </w:tc>
        <w:tc>
          <w:tcPr>
            <w:tcW w:w="1300" w:type="dxa"/>
            <w:vAlign w:val="bottom"/>
          </w:tcPr>
          <w:p>
            <w:pPr>
              <w:jc w:val="right"/>
              <w:spacing w:after="0"/>
              <w:rPr>
                <w:sz w:val="20"/>
                <w:szCs w:val="20"/>
                <w:color w:val="auto"/>
              </w:rPr>
            </w:pPr>
            <w:r>
              <w:rPr>
                <w:rFonts w:ascii="Arial" w:cs="Arial" w:eastAsia="Arial" w:hAnsi="Arial"/>
                <w:sz w:val="18"/>
                <w:szCs w:val="18"/>
                <w:color w:val="auto"/>
              </w:rPr>
              <w:t>1,252</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1,962</w:t>
            </w:r>
          </w:p>
        </w:tc>
        <w:tc>
          <w:tcPr>
            <w:tcW w:w="1160" w:type="dxa"/>
            <w:vAlign w:val="bottom"/>
          </w:tcPr>
          <w:p>
            <w:pPr>
              <w:jc w:val="right"/>
              <w:spacing w:after="0"/>
              <w:rPr>
                <w:sz w:val="20"/>
                <w:szCs w:val="20"/>
                <w:color w:val="auto"/>
              </w:rPr>
            </w:pPr>
            <w:r>
              <w:rPr>
                <w:rFonts w:ascii="Arial" w:cs="Arial" w:eastAsia="Arial" w:hAnsi="Arial"/>
                <w:sz w:val="18"/>
                <w:szCs w:val="18"/>
                <w:color w:val="auto"/>
              </w:rPr>
              <w:t>1,903</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Operating Expense</w:t>
            </w:r>
          </w:p>
        </w:tc>
        <w:tc>
          <w:tcPr>
            <w:tcW w:w="1300" w:type="dxa"/>
            <w:vAlign w:val="bottom"/>
          </w:tcPr>
          <w:p>
            <w:pPr>
              <w:jc w:val="right"/>
              <w:spacing w:after="0"/>
              <w:rPr>
                <w:sz w:val="20"/>
                <w:szCs w:val="20"/>
                <w:color w:val="auto"/>
              </w:rPr>
            </w:pPr>
            <w:r>
              <w:rPr>
                <w:rFonts w:ascii="Arial" w:cs="Arial" w:eastAsia="Arial" w:hAnsi="Arial"/>
                <w:sz w:val="18"/>
                <w:szCs w:val="18"/>
                <w:color w:val="auto"/>
              </w:rPr>
              <w:t>1,864</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2,378</w:t>
            </w:r>
          </w:p>
        </w:tc>
        <w:tc>
          <w:tcPr>
            <w:tcW w:w="1160" w:type="dxa"/>
            <w:vAlign w:val="bottom"/>
          </w:tcPr>
          <w:p>
            <w:pPr>
              <w:jc w:val="right"/>
              <w:spacing w:after="0"/>
              <w:rPr>
                <w:sz w:val="20"/>
                <w:szCs w:val="20"/>
                <w:color w:val="auto"/>
              </w:rPr>
            </w:pPr>
            <w:r>
              <w:rPr>
                <w:rFonts w:ascii="Arial" w:cs="Arial" w:eastAsia="Arial" w:hAnsi="Arial"/>
                <w:sz w:val="18"/>
                <w:szCs w:val="18"/>
                <w:color w:val="auto"/>
              </w:rPr>
              <w:t>1,949</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1300" w:type="dxa"/>
            <w:vAlign w:val="bottom"/>
          </w:tcPr>
          <w:p>
            <w:pPr>
              <w:jc w:val="right"/>
              <w:spacing w:after="0"/>
              <w:rPr>
                <w:sz w:val="20"/>
                <w:szCs w:val="20"/>
                <w:color w:val="auto"/>
              </w:rPr>
            </w:pPr>
            <w:r>
              <w:rPr>
                <w:rFonts w:ascii="Arial" w:cs="Arial" w:eastAsia="Arial" w:hAnsi="Arial"/>
                <w:sz w:val="18"/>
                <w:szCs w:val="18"/>
                <w:color w:val="auto"/>
              </w:rPr>
              <w:t>7,725</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4,006</w:t>
            </w:r>
          </w:p>
        </w:tc>
        <w:tc>
          <w:tcPr>
            <w:tcW w:w="1160" w:type="dxa"/>
            <w:vAlign w:val="bottom"/>
          </w:tcPr>
          <w:p>
            <w:pPr>
              <w:jc w:val="right"/>
              <w:spacing w:after="0"/>
              <w:rPr>
                <w:sz w:val="20"/>
                <w:szCs w:val="20"/>
                <w:color w:val="auto"/>
              </w:rPr>
            </w:pPr>
            <w:r>
              <w:rPr>
                <w:rFonts w:ascii="Arial" w:cs="Arial" w:eastAsia="Arial" w:hAnsi="Arial"/>
                <w:sz w:val="18"/>
                <w:szCs w:val="18"/>
                <w:color w:val="auto"/>
              </w:rPr>
              <w:t>15,112</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Income per share (US$)</w:t>
            </w:r>
          </w:p>
        </w:tc>
        <w:tc>
          <w:tcPr>
            <w:tcW w:w="1300" w:type="dxa"/>
            <w:vAlign w:val="bottom"/>
          </w:tcPr>
          <w:p>
            <w:pPr>
              <w:jc w:val="right"/>
              <w:spacing w:after="0"/>
              <w:rPr>
                <w:sz w:val="20"/>
                <w:szCs w:val="20"/>
                <w:color w:val="auto"/>
              </w:rPr>
            </w:pPr>
            <w:r>
              <w:rPr>
                <w:rFonts w:ascii="Arial" w:cs="Arial" w:eastAsia="Arial" w:hAnsi="Arial"/>
                <w:sz w:val="18"/>
                <w:szCs w:val="18"/>
                <w:color w:val="auto"/>
              </w:rPr>
              <w:t>0.19</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0.07</w:t>
            </w:r>
          </w:p>
        </w:tc>
        <w:tc>
          <w:tcPr>
            <w:tcW w:w="116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486"/>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Sheets (end of period)</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356"/>
        </w:trPr>
        <w:tc>
          <w:tcPr>
            <w:tcW w:w="482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1300" w:type="dxa"/>
            <w:vAlign w:val="bottom"/>
          </w:tcPr>
          <w:p>
            <w:pPr>
              <w:jc w:val="right"/>
              <w:spacing w:after="0"/>
              <w:rPr>
                <w:sz w:val="20"/>
                <w:szCs w:val="20"/>
                <w:color w:val="auto"/>
              </w:rPr>
            </w:pPr>
            <w:r>
              <w:rPr>
                <w:rFonts w:ascii="Arial" w:cs="Arial" w:eastAsia="Arial" w:hAnsi="Arial"/>
                <w:sz w:val="18"/>
                <w:szCs w:val="18"/>
                <w:color w:val="auto"/>
              </w:rPr>
              <w:t>793,521</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880,264</w:t>
            </w:r>
          </w:p>
        </w:tc>
        <w:tc>
          <w:tcPr>
            <w:tcW w:w="1160" w:type="dxa"/>
            <w:vAlign w:val="bottom"/>
          </w:tcPr>
          <w:p>
            <w:pPr>
              <w:jc w:val="right"/>
              <w:spacing w:after="0"/>
              <w:rPr>
                <w:sz w:val="20"/>
                <w:szCs w:val="20"/>
                <w:color w:val="auto"/>
              </w:rPr>
            </w:pPr>
            <w:r>
              <w:rPr>
                <w:rFonts w:ascii="Arial" w:cs="Arial" w:eastAsia="Arial" w:hAnsi="Arial"/>
                <w:sz w:val="18"/>
                <w:szCs w:val="18"/>
                <w:color w:val="auto"/>
              </w:rPr>
              <w:t>911,541</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Loan portfolio, net</w:t>
            </w:r>
          </w:p>
        </w:tc>
        <w:tc>
          <w:tcPr>
            <w:tcW w:w="1300" w:type="dxa"/>
            <w:vAlign w:val="bottom"/>
          </w:tcPr>
          <w:p>
            <w:pPr>
              <w:jc w:val="right"/>
              <w:spacing w:after="0"/>
              <w:rPr>
                <w:sz w:val="20"/>
                <w:szCs w:val="20"/>
                <w:color w:val="auto"/>
              </w:rPr>
            </w:pPr>
            <w:r>
              <w:rPr>
                <w:rFonts w:ascii="Arial" w:cs="Arial" w:eastAsia="Arial" w:hAnsi="Arial"/>
                <w:sz w:val="18"/>
                <w:szCs w:val="18"/>
                <w:color w:val="auto"/>
              </w:rPr>
              <w:t>154,170</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149,108</w:t>
            </w:r>
          </w:p>
        </w:tc>
        <w:tc>
          <w:tcPr>
            <w:tcW w:w="1160" w:type="dxa"/>
            <w:vAlign w:val="bottom"/>
          </w:tcPr>
          <w:p>
            <w:pPr>
              <w:jc w:val="right"/>
              <w:spacing w:after="0"/>
              <w:rPr>
                <w:sz w:val="20"/>
                <w:szCs w:val="20"/>
                <w:color w:val="auto"/>
              </w:rPr>
            </w:pPr>
            <w:r>
              <w:rPr>
                <w:rFonts w:ascii="Arial" w:cs="Arial" w:eastAsia="Arial" w:hAnsi="Arial"/>
                <w:sz w:val="18"/>
                <w:szCs w:val="18"/>
                <w:color w:val="auto"/>
              </w:rPr>
              <w:t>153,419</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Marketable securities and investments</w:t>
            </w:r>
          </w:p>
        </w:tc>
        <w:tc>
          <w:tcPr>
            <w:tcW w:w="1300" w:type="dxa"/>
            <w:vAlign w:val="bottom"/>
          </w:tcPr>
          <w:p>
            <w:pPr>
              <w:jc w:val="right"/>
              <w:spacing w:after="0"/>
              <w:rPr>
                <w:sz w:val="20"/>
                <w:szCs w:val="20"/>
                <w:color w:val="auto"/>
              </w:rPr>
            </w:pPr>
            <w:r>
              <w:rPr>
                <w:rFonts w:ascii="Arial" w:cs="Arial" w:eastAsia="Arial" w:hAnsi="Arial"/>
                <w:sz w:val="18"/>
                <w:szCs w:val="18"/>
                <w:color w:val="auto"/>
              </w:rPr>
              <w:t>452,738</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518,721</w:t>
            </w:r>
          </w:p>
        </w:tc>
        <w:tc>
          <w:tcPr>
            <w:tcW w:w="1160" w:type="dxa"/>
            <w:vAlign w:val="bottom"/>
          </w:tcPr>
          <w:p>
            <w:pPr>
              <w:jc w:val="right"/>
              <w:spacing w:after="0"/>
              <w:rPr>
                <w:sz w:val="20"/>
                <w:szCs w:val="20"/>
                <w:color w:val="auto"/>
              </w:rPr>
            </w:pPr>
            <w:r>
              <w:rPr>
                <w:rFonts w:ascii="Arial" w:cs="Arial" w:eastAsia="Arial" w:hAnsi="Arial"/>
                <w:sz w:val="18"/>
                <w:szCs w:val="18"/>
                <w:color w:val="auto"/>
              </w:rPr>
              <w:t>514,394</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Total Deposits</w:t>
            </w:r>
          </w:p>
        </w:tc>
        <w:tc>
          <w:tcPr>
            <w:tcW w:w="1300" w:type="dxa"/>
            <w:vAlign w:val="bottom"/>
          </w:tcPr>
          <w:p>
            <w:pPr>
              <w:jc w:val="right"/>
              <w:spacing w:after="0"/>
              <w:rPr>
                <w:sz w:val="20"/>
                <w:szCs w:val="20"/>
                <w:color w:val="auto"/>
              </w:rPr>
            </w:pPr>
            <w:r>
              <w:rPr>
                <w:rFonts w:ascii="Arial" w:cs="Arial" w:eastAsia="Arial" w:hAnsi="Arial"/>
                <w:sz w:val="18"/>
                <w:szCs w:val="18"/>
                <w:color w:val="auto"/>
              </w:rPr>
              <w:t>638,118</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686,058</w:t>
            </w:r>
          </w:p>
        </w:tc>
        <w:tc>
          <w:tcPr>
            <w:tcW w:w="1160" w:type="dxa"/>
            <w:vAlign w:val="bottom"/>
          </w:tcPr>
          <w:p>
            <w:pPr>
              <w:jc w:val="right"/>
              <w:spacing w:after="0"/>
              <w:rPr>
                <w:sz w:val="20"/>
                <w:szCs w:val="20"/>
                <w:color w:val="auto"/>
              </w:rPr>
            </w:pPr>
            <w:r>
              <w:rPr>
                <w:rFonts w:ascii="Arial" w:cs="Arial" w:eastAsia="Arial" w:hAnsi="Arial"/>
                <w:sz w:val="18"/>
                <w:szCs w:val="18"/>
                <w:color w:val="auto"/>
              </w:rPr>
              <w:t>720,352</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Shareholders' equity</w:t>
            </w:r>
          </w:p>
        </w:tc>
        <w:tc>
          <w:tcPr>
            <w:tcW w:w="1300" w:type="dxa"/>
            <w:vAlign w:val="bottom"/>
          </w:tcPr>
          <w:p>
            <w:pPr>
              <w:jc w:val="right"/>
              <w:spacing w:after="0"/>
              <w:rPr>
                <w:sz w:val="20"/>
                <w:szCs w:val="20"/>
                <w:color w:val="auto"/>
              </w:rPr>
            </w:pPr>
            <w:r>
              <w:rPr>
                <w:rFonts w:ascii="Arial" w:cs="Arial" w:eastAsia="Arial" w:hAnsi="Arial"/>
                <w:sz w:val="18"/>
                <w:szCs w:val="18"/>
                <w:color w:val="auto"/>
              </w:rPr>
              <w:t>121,901</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150,967</w:t>
            </w:r>
          </w:p>
        </w:tc>
        <w:tc>
          <w:tcPr>
            <w:tcW w:w="1160" w:type="dxa"/>
            <w:vAlign w:val="bottom"/>
          </w:tcPr>
          <w:p>
            <w:pPr>
              <w:jc w:val="right"/>
              <w:spacing w:after="0"/>
              <w:rPr>
                <w:sz w:val="20"/>
                <w:szCs w:val="20"/>
                <w:color w:val="auto"/>
              </w:rPr>
            </w:pPr>
            <w:r>
              <w:rPr>
                <w:rFonts w:ascii="Arial" w:cs="Arial" w:eastAsia="Arial" w:hAnsi="Arial"/>
                <w:sz w:val="18"/>
                <w:szCs w:val="18"/>
                <w:color w:val="auto"/>
              </w:rPr>
              <w:t>163,876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6390005</wp:posOffset>
            </wp:positionH>
            <wp:positionV relativeFrom="paragraph">
              <wp:posOffset>-3166745</wp:posOffset>
            </wp:positionV>
            <wp:extent cx="3429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-2866390</wp:posOffset>
            </wp:positionV>
            <wp:extent cx="3429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-2866390</wp:posOffset>
            </wp:positionV>
            <wp:extent cx="3429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-2866390</wp:posOffset>
            </wp:positionV>
            <wp:extent cx="3429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6390005</wp:posOffset>
            </wp:positionH>
            <wp:positionV relativeFrom="paragraph">
              <wp:posOffset>-2866390</wp:posOffset>
            </wp:positionV>
            <wp:extent cx="3429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-2566670</wp:posOffset>
            </wp:positionV>
            <wp:extent cx="3429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-868680</wp:posOffset>
            </wp:positionV>
            <wp:extent cx="3429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0219"/>
          </w:cols>
          <w:pgMar w:left="240" w:top="158" w:right="1440" w:bottom="0" w:gutter="0" w:footer="0" w:header="0"/>
        </w:sectPr>
      </w:pPr>
    </w:p>
    <w:bookmarkStart w:id="21" w:name="page22"/>
    <w:bookmarkEnd w:id="21"/>
    <w:tbl>
      <w:tblPr>
        <w:tblLayout w:type="fixed"/>
        <w:tblInd w:w="1332" w:type="dxa"/>
        <w:tblCellMar>
          <w:top w:w="0" w:type="dxa"/>
          <w:left w:w="0" w:type="dxa"/>
          <w:bottom w:w="0" w:type="dxa"/>
          <w:right w:w="0" w:type="dxa"/>
        </w:tblCellMar>
      </w:tblPr>
      <w:tr>
        <w:trPr>
          <w:trHeight w:val="222"/>
        </w:trPr>
        <w:tc>
          <w:tcPr>
            <w:tcW w:w="4820" w:type="dxa"/>
            <w:vAlign w:val="bottom"/>
          </w:tcPr>
          <w:p>
            <w:pPr>
              <w:ind w:left="60"/>
              <w:spacing w:after="0"/>
              <w:rPr>
                <w:sz w:val="20"/>
                <w:szCs w:val="20"/>
                <w:color w:val="auto"/>
              </w:rPr>
            </w:pPr>
            <w:r>
              <w:rPr>
                <w:rFonts w:ascii="Arial" w:cs="Arial" w:eastAsia="Arial" w:hAnsi="Arial"/>
                <w:sz w:val="18"/>
                <w:szCs w:val="18"/>
                <w:color w:val="auto"/>
              </w:rPr>
              <w:t>Funds under administration</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691,200</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746,632</w:t>
            </w:r>
          </w:p>
        </w:tc>
        <w:tc>
          <w:tcPr>
            <w:tcW w:w="940" w:type="dxa"/>
            <w:vAlign w:val="bottom"/>
          </w:tcPr>
          <w:p>
            <w:pPr>
              <w:jc w:val="right"/>
              <w:spacing w:after="0"/>
              <w:rPr>
                <w:sz w:val="20"/>
                <w:szCs w:val="20"/>
                <w:color w:val="auto"/>
              </w:rPr>
            </w:pPr>
            <w:r>
              <w:rPr>
                <w:rFonts w:ascii="Arial" w:cs="Arial" w:eastAsia="Arial" w:hAnsi="Arial"/>
                <w:sz w:val="18"/>
                <w:szCs w:val="18"/>
                <w:color w:val="auto"/>
              </w:rPr>
              <w:t>774,308</w:t>
            </w:r>
          </w:p>
        </w:tc>
      </w:tr>
      <w:tr>
        <w:trPr>
          <w:trHeight w:val="486"/>
        </w:trPr>
        <w:tc>
          <w:tcPr>
            <w:tcW w:w="4820" w:type="dxa"/>
            <w:vAlign w:val="bottom"/>
          </w:tcPr>
          <w:p>
            <w:pPr>
              <w:spacing w:after="0"/>
              <w:rPr>
                <w:sz w:val="20"/>
                <w:szCs w:val="20"/>
                <w:color w:val="auto"/>
              </w:rPr>
            </w:pPr>
            <w:r>
              <w:rPr>
                <w:rFonts w:ascii="Arial" w:cs="Arial" w:eastAsia="Arial" w:hAnsi="Arial"/>
                <w:sz w:val="18"/>
                <w:szCs w:val="18"/>
                <w:b w:val="1"/>
                <w:bCs w:val="1"/>
                <w:color w:val="auto"/>
              </w:rPr>
              <w:t>Ratios (2)</w:t>
            </w: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6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356"/>
        </w:trPr>
        <w:tc>
          <w:tcPr>
            <w:tcW w:w="4820" w:type="dxa"/>
            <w:vAlign w:val="bottom"/>
          </w:tcPr>
          <w:p>
            <w:pPr>
              <w:ind w:left="60"/>
              <w:spacing w:after="0"/>
              <w:rPr>
                <w:sz w:val="20"/>
                <w:szCs w:val="20"/>
                <w:color w:val="auto"/>
              </w:rPr>
            </w:pPr>
            <w:r>
              <w:rPr>
                <w:rFonts w:ascii="Arial" w:cs="Arial" w:eastAsia="Arial" w:hAnsi="Arial"/>
                <w:sz w:val="18"/>
                <w:szCs w:val="18"/>
                <w:color w:val="auto"/>
              </w:rPr>
              <w:t>Net interest margin / interest earning assets (3,4,5)</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1.9%</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1.8%</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Return on average stockholders' equity(4)</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26.3%</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10.8%</w:t>
            </w: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Return on average total assets(4)</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3.9%</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1.8%</w:t>
            </w: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Past due loans as a percentage of total loans</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2.4%</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0.2%</w:t>
            </w: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Reserves for loan losses as a percentage</w:t>
            </w:r>
          </w:p>
        </w:tc>
        <w:tc>
          <w:tcPr>
            <w:tcW w:w="16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of total loans</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3.3%</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2.1%</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Operating expense / total income(6)</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17.5%</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36.4%</w:t>
            </w: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Operating expense / average total assets(4)</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0.9%</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1.1%</w:t>
            </w: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Operating expense / average total assets +</w:t>
            </w:r>
          </w:p>
        </w:tc>
        <w:tc>
          <w:tcPr>
            <w:tcW w:w="16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820" w:type="dxa"/>
            <w:vAlign w:val="bottom"/>
          </w:tcPr>
          <w:p>
            <w:pPr>
              <w:ind w:left="2640"/>
              <w:spacing w:after="0"/>
              <w:rPr>
                <w:sz w:val="20"/>
                <w:szCs w:val="20"/>
                <w:color w:val="auto"/>
              </w:rPr>
            </w:pPr>
            <w:r>
              <w:rPr>
                <w:rFonts w:ascii="Arial" w:cs="Arial" w:eastAsia="Arial" w:hAnsi="Arial"/>
                <w:sz w:val="18"/>
                <w:szCs w:val="18"/>
                <w:color w:val="auto"/>
                <w:w w:val="95"/>
              </w:rPr>
              <w:t>funds under management(4)</w:t>
            </w:r>
          </w:p>
        </w:tc>
        <w:tc>
          <w:tcPr>
            <w:tcW w:w="1620" w:type="dxa"/>
            <w:vAlign w:val="bottom"/>
          </w:tcPr>
          <w:p>
            <w:pPr>
              <w:jc w:val="right"/>
              <w:ind w:right="272"/>
              <w:spacing w:after="0"/>
              <w:rPr>
                <w:sz w:val="20"/>
                <w:szCs w:val="20"/>
                <w:color w:val="auto"/>
              </w:rPr>
            </w:pPr>
            <w:r>
              <w:rPr>
                <w:rFonts w:ascii="Arial" w:cs="Arial" w:eastAsia="Arial" w:hAnsi="Arial"/>
                <w:sz w:val="18"/>
                <w:szCs w:val="18"/>
                <w:color w:val="auto"/>
              </w:rPr>
              <w:t>0.5%</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0.6%</w:t>
            </w: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-1640205</wp:posOffset>
            </wp:positionV>
            <wp:extent cx="3429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72" w:hanging="472"/>
        <w:spacing w:after="0"/>
        <w:tabs>
          <w:tab w:leader="none" w:pos="472"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realized gains in securities.</w:t>
      </w:r>
    </w:p>
    <w:p>
      <w:pPr>
        <w:spacing w:after="0" w:line="82" w:lineRule="exact"/>
        <w:rPr>
          <w:rFonts w:ascii="Arial" w:cs="Arial" w:eastAsia="Arial" w:hAnsi="Arial"/>
          <w:sz w:val="14"/>
          <w:szCs w:val="14"/>
          <w:i w:val="1"/>
          <w:iCs w:val="1"/>
          <w:color w:val="auto"/>
        </w:rPr>
      </w:pPr>
    </w:p>
    <w:p>
      <w:pPr>
        <w:ind w:left="472" w:hanging="472"/>
        <w:spacing w:after="0"/>
        <w:tabs>
          <w:tab w:leader="none" w:pos="472"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Averages are determined as the average of period-beginning and period-ending balances.</w:t>
      </w:r>
    </w:p>
    <w:p>
      <w:pPr>
        <w:spacing w:after="0" w:line="82" w:lineRule="exact"/>
        <w:rPr>
          <w:rFonts w:ascii="Arial" w:cs="Arial" w:eastAsia="Arial" w:hAnsi="Arial"/>
          <w:sz w:val="14"/>
          <w:szCs w:val="14"/>
          <w:i w:val="1"/>
          <w:iCs w:val="1"/>
          <w:color w:val="auto"/>
        </w:rPr>
      </w:pPr>
    </w:p>
    <w:p>
      <w:pPr>
        <w:ind w:left="472" w:hanging="472"/>
        <w:spacing w:after="0"/>
        <w:tabs>
          <w:tab w:leader="none" w:pos="472"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Averages determined from monthly balances.</w:t>
      </w:r>
    </w:p>
    <w:p>
      <w:pPr>
        <w:spacing w:after="0" w:line="82" w:lineRule="exact"/>
        <w:rPr>
          <w:rFonts w:ascii="Arial" w:cs="Arial" w:eastAsia="Arial" w:hAnsi="Arial"/>
          <w:sz w:val="14"/>
          <w:szCs w:val="14"/>
          <w:i w:val="1"/>
          <w:iCs w:val="1"/>
          <w:color w:val="auto"/>
        </w:rPr>
      </w:pPr>
    </w:p>
    <w:p>
      <w:pPr>
        <w:ind w:left="472" w:hanging="472"/>
        <w:spacing w:after="0"/>
        <w:tabs>
          <w:tab w:leader="none" w:pos="472"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Annualized.</w:t>
      </w:r>
    </w:p>
    <w:p>
      <w:pPr>
        <w:spacing w:after="0" w:line="82" w:lineRule="exact"/>
        <w:rPr>
          <w:rFonts w:ascii="Arial" w:cs="Arial" w:eastAsia="Arial" w:hAnsi="Arial"/>
          <w:sz w:val="14"/>
          <w:szCs w:val="14"/>
          <w:i w:val="1"/>
          <w:iCs w:val="1"/>
          <w:color w:val="auto"/>
        </w:rPr>
      </w:pPr>
    </w:p>
    <w:p>
      <w:pPr>
        <w:ind w:left="472" w:hanging="472"/>
        <w:spacing w:after="0"/>
        <w:tabs>
          <w:tab w:leader="none" w:pos="472"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Without considering dividend income and dividend earning assets.</w:t>
      </w:r>
    </w:p>
    <w:p>
      <w:pPr>
        <w:spacing w:after="0" w:line="82" w:lineRule="exact"/>
        <w:rPr>
          <w:rFonts w:ascii="Arial" w:cs="Arial" w:eastAsia="Arial" w:hAnsi="Arial"/>
          <w:sz w:val="14"/>
          <w:szCs w:val="14"/>
          <w:i w:val="1"/>
          <w:iCs w:val="1"/>
          <w:color w:val="auto"/>
        </w:rPr>
      </w:pPr>
    </w:p>
    <w:p>
      <w:pPr>
        <w:ind w:left="472" w:hanging="472"/>
        <w:spacing w:after="0"/>
        <w:tabs>
          <w:tab w:leader="none" w:pos="472"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Without considering provisions for investments.</w:t>
      </w:r>
    </w:p>
    <w:p>
      <w:pPr>
        <w:spacing w:after="0" w:line="227" w:lineRule="exact"/>
        <w:rPr>
          <w:sz w:val="20"/>
          <w:szCs w:val="20"/>
          <w:color w:val="auto"/>
        </w:rPr>
      </w:pPr>
    </w:p>
    <w:p>
      <w:pPr>
        <w:ind w:left="3532"/>
        <w:spacing w:after="0"/>
        <w:rPr>
          <w:sz w:val="20"/>
          <w:szCs w:val="20"/>
          <w:color w:val="auto"/>
        </w:rPr>
      </w:pPr>
      <w:r>
        <w:rPr>
          <w:rFonts w:ascii="Arial" w:cs="Arial" w:eastAsia="Arial" w:hAnsi="Arial"/>
          <w:sz w:val="18"/>
          <w:szCs w:val="18"/>
          <w:b w:val="1"/>
          <w:bCs w:val="1"/>
          <w:color w:val="auto"/>
        </w:rPr>
        <w:t>EL PACIFICO-PERUANO SUIZA AND SUBSIDIARIES</w:t>
      </w:r>
    </w:p>
    <w:p>
      <w:pPr>
        <w:spacing w:after="0" w:line="36" w:lineRule="exact"/>
        <w:rPr>
          <w:sz w:val="20"/>
          <w:szCs w:val="20"/>
          <w:color w:val="auto"/>
        </w:rPr>
      </w:pPr>
    </w:p>
    <w:p>
      <w:pPr>
        <w:ind w:left="5372"/>
        <w:spacing w:after="0"/>
        <w:rPr>
          <w:sz w:val="20"/>
          <w:szCs w:val="20"/>
          <w:color w:val="auto"/>
        </w:rPr>
      </w:pPr>
      <w:r>
        <w:rPr>
          <w:rFonts w:ascii="Arial" w:cs="Arial" w:eastAsia="Arial" w:hAnsi="Arial"/>
          <w:sz w:val="18"/>
          <w:szCs w:val="18"/>
          <w:b w:val="1"/>
          <w:bCs w:val="1"/>
          <w:color w:val="auto"/>
        </w:rPr>
        <w:t>Table 8</w:t>
      </w:r>
    </w:p>
    <w:p>
      <w:pPr>
        <w:spacing w:after="0" w:line="21" w:lineRule="exact"/>
        <w:rPr>
          <w:sz w:val="20"/>
          <w:szCs w:val="20"/>
          <w:color w:val="auto"/>
        </w:rPr>
      </w:pPr>
    </w:p>
    <w:p>
      <w:pPr>
        <w:jc w:val="center"/>
        <w:ind w:right="-1192"/>
        <w:spacing w:after="0"/>
        <w:rPr>
          <w:sz w:val="20"/>
          <w:szCs w:val="20"/>
          <w:color w:val="auto"/>
        </w:rPr>
      </w:pPr>
      <w:r>
        <w:rPr>
          <w:rFonts w:ascii="Arial" w:cs="Arial" w:eastAsia="Arial" w:hAnsi="Arial"/>
          <w:sz w:val="18"/>
          <w:szCs w:val="18"/>
          <w:b w:val="1"/>
          <w:bCs w:val="1"/>
          <w:color w:val="auto"/>
        </w:rPr>
        <w:t>SELECTED FINANCIAL DATA(1)</w:t>
      </w:r>
    </w:p>
    <w:p>
      <w:pPr>
        <w:spacing w:after="0" w:line="9" w:lineRule="exact"/>
        <w:rPr>
          <w:sz w:val="20"/>
          <w:szCs w:val="20"/>
          <w:color w:val="auto"/>
        </w:rPr>
      </w:pPr>
    </w:p>
    <w:p>
      <w:pPr>
        <w:ind w:left="4112"/>
        <w:spacing w:after="0"/>
        <w:rPr>
          <w:sz w:val="20"/>
          <w:szCs w:val="20"/>
          <w:color w:val="auto"/>
        </w:rPr>
      </w:pPr>
      <w:r>
        <w:rPr>
          <w:rFonts w:ascii="Arial" w:cs="Arial" w:eastAsia="Arial" w:hAnsi="Arial"/>
          <w:sz w:val="14"/>
          <w:szCs w:val="14"/>
          <w:color w:val="auto"/>
        </w:rPr>
        <w:t>(In U.S. Dollars in thousands,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203835</wp:posOffset>
            </wp:positionV>
            <wp:extent cx="5569585"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6958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1332" w:type="dxa"/>
        <w:tblCellMar>
          <w:top w:w="0" w:type="dxa"/>
          <w:left w:w="0" w:type="dxa"/>
          <w:bottom w:w="0" w:type="dxa"/>
          <w:right w:w="0" w:type="dxa"/>
        </w:tblCellMar>
      </w:tblPr>
      <w:tr>
        <w:trPr>
          <w:trHeight w:val="174"/>
        </w:trPr>
        <w:tc>
          <w:tcPr>
            <w:tcW w:w="4820" w:type="dxa"/>
            <w:vAlign w:val="bottom"/>
          </w:tcPr>
          <w:p>
            <w:pPr>
              <w:spacing w:after="0"/>
              <w:rPr>
                <w:sz w:val="15"/>
                <w:szCs w:val="15"/>
                <w:color w:val="auto"/>
              </w:rPr>
            </w:pPr>
          </w:p>
        </w:tc>
        <w:tc>
          <w:tcPr>
            <w:tcW w:w="29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As of and for the three month</w:t>
            </w:r>
          </w:p>
        </w:tc>
        <w:tc>
          <w:tcPr>
            <w:tcW w:w="1020" w:type="dxa"/>
            <w:vAlign w:val="bottom"/>
          </w:tcPr>
          <w:p>
            <w:pPr>
              <w:spacing w:after="0"/>
              <w:rPr>
                <w:sz w:val="15"/>
                <w:szCs w:val="15"/>
                <w:color w:val="auto"/>
              </w:rPr>
            </w:pPr>
          </w:p>
        </w:tc>
      </w:tr>
      <w:tr>
        <w:trPr>
          <w:trHeight w:val="216"/>
        </w:trPr>
        <w:tc>
          <w:tcPr>
            <w:tcW w:w="4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w w:val="97"/>
              </w:rPr>
              <w:t>period ended</w:t>
            </w:r>
          </w:p>
        </w:tc>
        <w:tc>
          <w:tcPr>
            <w:tcW w:w="1020" w:type="dxa"/>
            <w:vAlign w:val="bottom"/>
          </w:tcPr>
          <w:p>
            <w:pPr>
              <w:spacing w:after="0"/>
              <w:rPr>
                <w:sz w:val="18"/>
                <w:szCs w:val="18"/>
                <w:color w:val="auto"/>
              </w:rPr>
            </w:pPr>
          </w:p>
        </w:tc>
      </w:tr>
      <w:tr>
        <w:trPr>
          <w:trHeight w:val="122"/>
        </w:trPr>
        <w:tc>
          <w:tcPr>
            <w:tcW w:w="4820" w:type="dxa"/>
            <w:vAlign w:val="bottom"/>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r>
        <w:trPr>
          <w:trHeight w:val="344"/>
        </w:trPr>
        <w:tc>
          <w:tcPr>
            <w:tcW w:w="4820" w:type="dxa"/>
            <w:vAlign w:val="bottom"/>
          </w:tcPr>
          <w:p>
            <w:pPr>
              <w:spacing w:after="0"/>
              <w:rPr>
                <w:sz w:val="24"/>
                <w:szCs w:val="24"/>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31.03.04</w:t>
            </w:r>
          </w:p>
        </w:tc>
        <w:tc>
          <w:tcPr>
            <w:tcW w:w="1480" w:type="dxa"/>
            <w:vAlign w:val="bottom"/>
          </w:tcPr>
          <w:p>
            <w:pPr>
              <w:jc w:val="right"/>
              <w:ind w:right="654"/>
              <w:spacing w:after="0"/>
              <w:rPr>
                <w:sz w:val="20"/>
                <w:szCs w:val="20"/>
                <w:color w:val="auto"/>
              </w:rPr>
            </w:pPr>
            <w:r>
              <w:rPr>
                <w:rFonts w:ascii="Arial" w:cs="Arial" w:eastAsia="Arial" w:hAnsi="Arial"/>
                <w:sz w:val="14"/>
                <w:szCs w:val="14"/>
                <w:b w:val="1"/>
                <w:bCs w:val="1"/>
                <w:color w:val="auto"/>
              </w:rPr>
              <w:t>31.12.04</w:t>
            </w: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w w:val="99"/>
              </w:rPr>
              <w:t>31.03.05</w:t>
            </w:r>
          </w:p>
        </w:tc>
      </w:tr>
      <w:tr>
        <w:trPr>
          <w:trHeight w:val="122"/>
        </w:trPr>
        <w:tc>
          <w:tcPr>
            <w:tcW w:w="48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r>
        <w:trPr>
          <w:trHeight w:val="343"/>
        </w:trPr>
        <w:tc>
          <w:tcPr>
            <w:tcW w:w="4820" w:type="dxa"/>
            <w:vAlign w:val="bottom"/>
          </w:tcPr>
          <w:p>
            <w:pPr>
              <w:spacing w:after="0"/>
              <w:rPr>
                <w:sz w:val="20"/>
                <w:szCs w:val="20"/>
                <w:color w:val="auto"/>
              </w:rPr>
            </w:pPr>
            <w:r>
              <w:rPr>
                <w:rFonts w:ascii="Arial" w:cs="Arial" w:eastAsia="Arial" w:hAnsi="Arial"/>
                <w:sz w:val="18"/>
                <w:szCs w:val="18"/>
                <w:b w:val="1"/>
                <w:bCs w:val="1"/>
                <w:color w:val="auto"/>
              </w:rPr>
              <w:t>Results</w:t>
            </w: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356"/>
        </w:trPr>
        <w:tc>
          <w:tcPr>
            <w:tcW w:w="4820" w:type="dxa"/>
            <w:vAlign w:val="bottom"/>
          </w:tcPr>
          <w:p>
            <w:pPr>
              <w:ind w:left="60"/>
              <w:spacing w:after="0"/>
              <w:rPr>
                <w:sz w:val="20"/>
                <w:szCs w:val="20"/>
                <w:color w:val="auto"/>
              </w:rPr>
            </w:pPr>
            <w:r>
              <w:rPr>
                <w:rFonts w:ascii="Arial" w:cs="Arial" w:eastAsia="Arial" w:hAnsi="Arial"/>
                <w:sz w:val="18"/>
                <w:szCs w:val="18"/>
                <w:color w:val="auto"/>
              </w:rPr>
              <w:t>Total gross Premiums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69,299</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93,548</w:t>
            </w:r>
          </w:p>
        </w:tc>
        <w:tc>
          <w:tcPr>
            <w:tcW w:w="1020" w:type="dxa"/>
            <w:vAlign w:val="bottom"/>
          </w:tcPr>
          <w:p>
            <w:pPr>
              <w:jc w:val="right"/>
              <w:spacing w:after="0"/>
              <w:rPr>
                <w:sz w:val="20"/>
                <w:szCs w:val="20"/>
                <w:color w:val="auto"/>
              </w:rPr>
            </w:pPr>
            <w:r>
              <w:rPr>
                <w:rFonts w:ascii="Arial" w:cs="Arial" w:eastAsia="Arial" w:hAnsi="Arial"/>
                <w:sz w:val="18"/>
                <w:szCs w:val="18"/>
                <w:color w:val="auto"/>
              </w:rPr>
              <w:t>83,956</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Premiums Earned</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40,865</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60,265</w:t>
            </w:r>
          </w:p>
        </w:tc>
        <w:tc>
          <w:tcPr>
            <w:tcW w:w="1020" w:type="dxa"/>
            <w:vAlign w:val="bottom"/>
          </w:tcPr>
          <w:p>
            <w:pPr>
              <w:jc w:val="right"/>
              <w:spacing w:after="0"/>
              <w:rPr>
                <w:sz w:val="20"/>
                <w:szCs w:val="20"/>
                <w:color w:val="auto"/>
              </w:rPr>
            </w:pPr>
            <w:r>
              <w:rPr>
                <w:rFonts w:ascii="Arial" w:cs="Arial" w:eastAsia="Arial" w:hAnsi="Arial"/>
                <w:sz w:val="18"/>
                <w:szCs w:val="18"/>
                <w:color w:val="auto"/>
              </w:rPr>
              <w:t>54,237</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Change in Reserves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17,816</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13,047</w:t>
            </w:r>
          </w:p>
        </w:tc>
        <w:tc>
          <w:tcPr>
            <w:tcW w:w="1020" w:type="dxa"/>
            <w:vAlign w:val="bottom"/>
          </w:tcPr>
          <w:p>
            <w:pPr>
              <w:jc w:val="right"/>
              <w:spacing w:after="0"/>
              <w:rPr>
                <w:sz w:val="20"/>
                <w:szCs w:val="20"/>
                <w:color w:val="auto"/>
              </w:rPr>
            </w:pPr>
            <w:r>
              <w:rPr>
                <w:rFonts w:ascii="Arial" w:cs="Arial" w:eastAsia="Arial" w:hAnsi="Arial"/>
                <w:sz w:val="18"/>
                <w:szCs w:val="18"/>
                <w:color w:val="auto"/>
              </w:rPr>
              <w:t>18,190</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Underwriting Results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5,768</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9,958</w:t>
            </w:r>
          </w:p>
        </w:tc>
        <w:tc>
          <w:tcPr>
            <w:tcW w:w="1020" w:type="dxa"/>
            <w:vAlign w:val="bottom"/>
          </w:tcPr>
          <w:p>
            <w:pPr>
              <w:jc w:val="right"/>
              <w:spacing w:after="0"/>
              <w:rPr>
                <w:sz w:val="20"/>
                <w:szCs w:val="20"/>
                <w:color w:val="auto"/>
              </w:rPr>
            </w:pPr>
            <w:r>
              <w:rPr>
                <w:rFonts w:ascii="Arial" w:cs="Arial" w:eastAsia="Arial" w:hAnsi="Arial"/>
                <w:sz w:val="18"/>
                <w:szCs w:val="18"/>
                <w:color w:val="auto"/>
              </w:rPr>
              <w:t>7,279</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Financial Income</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8,212</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8,985</w:t>
            </w:r>
          </w:p>
        </w:tc>
        <w:tc>
          <w:tcPr>
            <w:tcW w:w="1020" w:type="dxa"/>
            <w:vAlign w:val="bottom"/>
          </w:tcPr>
          <w:p>
            <w:pPr>
              <w:jc w:val="right"/>
              <w:spacing w:after="0"/>
              <w:rPr>
                <w:sz w:val="20"/>
                <w:szCs w:val="20"/>
                <w:color w:val="auto"/>
              </w:rPr>
            </w:pPr>
            <w:r>
              <w:rPr>
                <w:rFonts w:ascii="Arial" w:cs="Arial" w:eastAsia="Arial" w:hAnsi="Arial"/>
                <w:sz w:val="18"/>
                <w:szCs w:val="18"/>
                <w:color w:val="auto"/>
              </w:rPr>
              <w:t>8,724</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General Expenses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8,806</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14,633</w:t>
            </w:r>
          </w:p>
        </w:tc>
        <w:tc>
          <w:tcPr>
            <w:tcW w:w="1020" w:type="dxa"/>
            <w:vAlign w:val="bottom"/>
          </w:tcPr>
          <w:p>
            <w:pPr>
              <w:jc w:val="right"/>
              <w:spacing w:after="0"/>
              <w:rPr>
                <w:sz w:val="20"/>
                <w:szCs w:val="20"/>
                <w:color w:val="auto"/>
              </w:rPr>
            </w:pPr>
            <w:r>
              <w:rPr>
                <w:rFonts w:ascii="Arial" w:cs="Arial" w:eastAsia="Arial" w:hAnsi="Arial"/>
                <w:sz w:val="18"/>
                <w:szCs w:val="18"/>
                <w:color w:val="auto"/>
              </w:rPr>
              <w:t>10,788</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Income</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3,636</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2,485</w:t>
            </w:r>
          </w:p>
        </w:tc>
        <w:tc>
          <w:tcPr>
            <w:tcW w:w="1020" w:type="dxa"/>
            <w:vAlign w:val="bottom"/>
          </w:tcPr>
          <w:p>
            <w:pPr>
              <w:jc w:val="right"/>
              <w:spacing w:after="0"/>
              <w:rPr>
                <w:sz w:val="20"/>
                <w:szCs w:val="20"/>
                <w:color w:val="auto"/>
              </w:rPr>
            </w:pPr>
            <w:r>
              <w:rPr>
                <w:rFonts w:ascii="Arial" w:cs="Arial" w:eastAsia="Arial" w:hAnsi="Arial"/>
                <w:sz w:val="18"/>
                <w:szCs w:val="18"/>
                <w:color w:val="auto"/>
              </w:rPr>
              <w:t>2,883</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Income per share (US$)(2)</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0.16</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0.10</w:t>
            </w:r>
          </w:p>
        </w:tc>
        <w:tc>
          <w:tcPr>
            <w:tcW w:w="10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486"/>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Sheets (end of period)</w:t>
            </w: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356"/>
        </w:trPr>
        <w:tc>
          <w:tcPr>
            <w:tcW w:w="482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596,263</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671,120</w:t>
            </w:r>
          </w:p>
        </w:tc>
        <w:tc>
          <w:tcPr>
            <w:tcW w:w="1020" w:type="dxa"/>
            <w:vAlign w:val="bottom"/>
          </w:tcPr>
          <w:p>
            <w:pPr>
              <w:jc w:val="right"/>
              <w:spacing w:after="0"/>
              <w:rPr>
                <w:sz w:val="20"/>
                <w:szCs w:val="20"/>
                <w:color w:val="auto"/>
              </w:rPr>
            </w:pPr>
            <w:r>
              <w:rPr>
                <w:rFonts w:ascii="Arial" w:cs="Arial" w:eastAsia="Arial" w:hAnsi="Arial"/>
                <w:sz w:val="18"/>
                <w:szCs w:val="18"/>
                <w:color w:val="auto"/>
              </w:rPr>
              <w:t>707,197</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Investments in Secur. and Real estate</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408,121</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477,994</w:t>
            </w:r>
          </w:p>
        </w:tc>
        <w:tc>
          <w:tcPr>
            <w:tcW w:w="1020" w:type="dxa"/>
            <w:vAlign w:val="bottom"/>
          </w:tcPr>
          <w:p>
            <w:pPr>
              <w:jc w:val="right"/>
              <w:spacing w:after="0"/>
              <w:rPr>
                <w:sz w:val="20"/>
                <w:szCs w:val="20"/>
                <w:color w:val="auto"/>
              </w:rPr>
            </w:pPr>
            <w:r>
              <w:rPr>
                <w:rFonts w:ascii="Arial" w:cs="Arial" w:eastAsia="Arial" w:hAnsi="Arial"/>
                <w:sz w:val="18"/>
                <w:szCs w:val="18"/>
                <w:color w:val="auto"/>
              </w:rPr>
              <w:t>507,424</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Technical Reserves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324,987</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398,439</w:t>
            </w:r>
          </w:p>
        </w:tc>
        <w:tc>
          <w:tcPr>
            <w:tcW w:w="1020" w:type="dxa"/>
            <w:vAlign w:val="bottom"/>
          </w:tcPr>
          <w:p>
            <w:pPr>
              <w:jc w:val="right"/>
              <w:spacing w:after="0"/>
              <w:rPr>
                <w:sz w:val="20"/>
                <w:szCs w:val="20"/>
                <w:color w:val="auto"/>
              </w:rPr>
            </w:pPr>
            <w:r>
              <w:rPr>
                <w:rFonts w:ascii="Arial" w:cs="Arial" w:eastAsia="Arial" w:hAnsi="Arial"/>
                <w:sz w:val="18"/>
                <w:szCs w:val="18"/>
                <w:color w:val="auto"/>
              </w:rPr>
              <w:t>487,169</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Net Equity</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133,457</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143,314</w:t>
            </w:r>
          </w:p>
        </w:tc>
        <w:tc>
          <w:tcPr>
            <w:tcW w:w="1020" w:type="dxa"/>
            <w:vAlign w:val="bottom"/>
          </w:tcPr>
          <w:p>
            <w:pPr>
              <w:jc w:val="right"/>
              <w:spacing w:after="0"/>
              <w:rPr>
                <w:sz w:val="20"/>
                <w:szCs w:val="20"/>
                <w:color w:val="auto"/>
              </w:rPr>
            </w:pPr>
            <w:r>
              <w:rPr>
                <w:rFonts w:ascii="Arial" w:cs="Arial" w:eastAsia="Arial" w:hAnsi="Arial"/>
                <w:sz w:val="18"/>
                <w:szCs w:val="18"/>
                <w:color w:val="auto"/>
              </w:rPr>
              <w:t>169,839</w:t>
            </w:r>
          </w:p>
        </w:tc>
      </w:tr>
      <w:tr>
        <w:trPr>
          <w:trHeight w:val="486"/>
        </w:trPr>
        <w:tc>
          <w:tcPr>
            <w:tcW w:w="4820" w:type="dxa"/>
            <w:vAlign w:val="bottom"/>
          </w:tcPr>
          <w:p>
            <w:pPr>
              <w:spacing w:after="0"/>
              <w:rPr>
                <w:sz w:val="20"/>
                <w:szCs w:val="20"/>
                <w:color w:val="auto"/>
              </w:rPr>
            </w:pPr>
            <w:r>
              <w:rPr>
                <w:rFonts w:ascii="Arial" w:cs="Arial" w:eastAsia="Arial" w:hAnsi="Arial"/>
                <w:sz w:val="18"/>
                <w:szCs w:val="18"/>
                <w:b w:val="1"/>
                <w:bCs w:val="1"/>
                <w:color w:val="auto"/>
              </w:rPr>
              <w:t>Ratios</w:t>
            </w: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0"/>
        </w:trPr>
        <w:tc>
          <w:tcPr>
            <w:tcW w:w="4820" w:type="dxa"/>
            <w:vAlign w:val="bottom"/>
            <w:tcBorders>
              <w:bottom w:val="single" w:sz="8" w:color="9A9A9A"/>
            </w:tcBorders>
          </w:tcPr>
          <w:p>
            <w:pPr>
              <w:spacing w:after="0"/>
              <w:rPr>
                <w:sz w:val="9"/>
                <w:szCs w:val="9"/>
                <w:color w:val="auto"/>
              </w:rPr>
            </w:pPr>
          </w:p>
        </w:tc>
        <w:tc>
          <w:tcPr>
            <w:tcW w:w="14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356"/>
        </w:trPr>
        <w:tc>
          <w:tcPr>
            <w:tcW w:w="4820" w:type="dxa"/>
            <w:vAlign w:val="bottom"/>
          </w:tcPr>
          <w:p>
            <w:pPr>
              <w:ind w:left="60"/>
              <w:spacing w:after="0"/>
              <w:rPr>
                <w:sz w:val="20"/>
                <w:szCs w:val="20"/>
                <w:color w:val="auto"/>
              </w:rPr>
            </w:pPr>
            <w:r>
              <w:rPr>
                <w:rFonts w:ascii="Arial" w:cs="Arial" w:eastAsia="Arial" w:hAnsi="Arial"/>
                <w:sz w:val="18"/>
                <w:szCs w:val="18"/>
                <w:color w:val="auto"/>
              </w:rPr>
              <w:t>Net underwriting results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8.3%</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10.6%</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Total loss ratio</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46.4%</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48.3%</w:t>
            </w:r>
          </w:p>
        </w:tc>
        <w:tc>
          <w:tcPr>
            <w:tcW w:w="102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Return on avge. equity (3)(4)</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8.2%</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6.0%</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Return on total premiums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2.2%</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Shareholders' Equity / Total Assets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25.4%</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21.4%</w:t>
            </w: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Increase in Risk Reserves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30.4%</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17.8%</w:t>
            </w: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Combined Ratio (5)</w:t>
            </w: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92.3%</w:t>
            </w:r>
          </w:p>
        </w:tc>
        <w:tc>
          <w:tcPr>
            <w:tcW w:w="1480" w:type="dxa"/>
            <w:vAlign w:val="bottom"/>
          </w:tcPr>
          <w:p>
            <w:pPr>
              <w:jc w:val="right"/>
              <w:ind w:right="214"/>
              <w:spacing w:after="0"/>
              <w:rPr>
                <w:sz w:val="20"/>
                <w:szCs w:val="20"/>
                <w:color w:val="auto"/>
              </w:rPr>
            </w:pPr>
            <w:r>
              <w:rPr>
                <w:rFonts w:ascii="Arial" w:cs="Arial" w:eastAsia="Arial" w:hAnsi="Arial"/>
                <w:sz w:val="18"/>
                <w:szCs w:val="18"/>
                <w:color w:val="auto"/>
              </w:rPr>
              <w:t>96.1%</w:t>
            </w:r>
          </w:p>
        </w:tc>
        <w:tc>
          <w:tcPr>
            <w:tcW w:w="102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110"/>
        </w:trPr>
        <w:tc>
          <w:tcPr>
            <w:tcW w:w="48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r>
        <w:trPr>
          <w:trHeight w:val="343"/>
        </w:trPr>
        <w:tc>
          <w:tcPr>
            <w:tcW w:w="4820" w:type="dxa"/>
            <w:vAlign w:val="bottom"/>
          </w:tcPr>
          <w:p>
            <w:pPr>
              <w:spacing w:after="0"/>
              <w:rPr>
                <w:sz w:val="20"/>
                <w:szCs w:val="20"/>
                <w:color w:val="auto"/>
              </w:rPr>
            </w:pPr>
            <w:r>
              <w:rPr>
                <w:rFonts w:ascii="Arial" w:cs="Arial" w:eastAsia="Arial" w:hAnsi="Arial"/>
                <w:sz w:val="18"/>
                <w:szCs w:val="18"/>
                <w:color w:val="auto"/>
              </w:rPr>
              <w:t>-Net Claims / Net Premiums Earned</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62.0%</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70.8%</w:t>
            </w:r>
          </w:p>
        </w:tc>
        <w:tc>
          <w:tcPr>
            <w:tcW w:w="102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-Op. Exp.+Comiss./Net Prems. Earned</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30.3%</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25.4%</w:t>
            </w: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Operating expense/Net Earn. Premiums</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21.5%</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24.3%</w:t>
            </w: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4820" w:type="dxa"/>
            <w:vAlign w:val="bottom"/>
          </w:tcPr>
          <w:p>
            <w:pPr>
              <w:ind w:left="60"/>
              <w:spacing w:after="0"/>
              <w:rPr>
                <w:sz w:val="20"/>
                <w:szCs w:val="20"/>
                <w:color w:val="auto"/>
              </w:rPr>
            </w:pPr>
            <w:r>
              <w:rPr>
                <w:rFonts w:ascii="Arial" w:cs="Arial" w:eastAsia="Arial" w:hAnsi="Arial"/>
                <w:sz w:val="18"/>
                <w:szCs w:val="18"/>
                <w:color w:val="auto"/>
              </w:rPr>
              <w:t>Oper. expense / Avge. assets (3)(4)</w:t>
            </w: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6.1%</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9.1%</w:t>
            </w: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10"/>
        </w:trPr>
        <w:tc>
          <w:tcPr>
            <w:tcW w:w="48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-5406390</wp:posOffset>
            </wp:positionV>
            <wp:extent cx="3429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-5406390</wp:posOffset>
            </wp:positionV>
            <wp:extent cx="3429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-5406390</wp:posOffset>
            </wp:positionV>
            <wp:extent cx="3429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-5097780</wp:posOffset>
            </wp:positionV>
            <wp:extent cx="3429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-5097780</wp:posOffset>
            </wp:positionV>
            <wp:extent cx="3429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-5097780</wp:posOffset>
            </wp:positionV>
            <wp:extent cx="3429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-5097780</wp:posOffset>
            </wp:positionV>
            <wp:extent cx="3429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-4797425</wp:posOffset>
            </wp:positionV>
            <wp:extent cx="3429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-3099435</wp:posOffset>
            </wp:positionV>
            <wp:extent cx="3429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-2018665</wp:posOffset>
            </wp:positionV>
            <wp:extent cx="3429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-783590</wp:posOffset>
            </wp:positionV>
            <wp:extent cx="3429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-783590</wp:posOffset>
            </wp:positionV>
            <wp:extent cx="3429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-783590</wp:posOffset>
            </wp:positionV>
            <wp:extent cx="3429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-783590</wp:posOffset>
            </wp:positionV>
            <wp:extent cx="3429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-20955</wp:posOffset>
            </wp:positionV>
            <wp:extent cx="3429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-20955</wp:posOffset>
            </wp:positionV>
            <wp:extent cx="3429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-20955</wp:posOffset>
            </wp:positionV>
            <wp:extent cx="3429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-20955</wp:posOffset>
            </wp:positionV>
            <wp:extent cx="3429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0211"/>
          </w:cols>
          <w:pgMar w:left="248" w:top="158" w:right="1440" w:bottom="306" w:gutter="0" w:footer="0" w:header="0"/>
        </w:sectPr>
      </w:pPr>
    </w:p>
    <w:bookmarkStart w:id="22" w:name="page23"/>
    <w:bookmarkEnd w:id="22"/>
    <w:p>
      <w:pPr>
        <w:ind w:left="140" w:right="4759" w:hanging="134"/>
        <w:spacing w:after="0" w:line="459" w:lineRule="auto"/>
        <w:rPr>
          <w:sz w:val="20"/>
          <w:szCs w:val="20"/>
          <w:color w:val="auto"/>
        </w:rPr>
      </w:pPr>
      <w:r>
        <w:rPr>
          <w:rFonts w:ascii="Arial" w:cs="Arial" w:eastAsia="Arial" w:hAnsi="Arial"/>
          <w:sz w:val="14"/>
          <w:szCs w:val="14"/>
          <w:i w:val="1"/>
          <w:iCs w:val="1"/>
          <w:color w:val="auto"/>
        </w:rPr>
        <w:t>(1)Financial statements following IFRS rules in U.S. Dollars. In 2004 certain amounts are estimated from adjusted Peruvian GAAP records.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(2)Based on 24.2 million shares in all periods.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(3)Averages are determined as the average of period-beginning and period-ending balances.</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(4)Annualized.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(5)Does not include the life insurance subsidiary Pacifico Vida.</w:t>
      </w:r>
    </w:p>
    <w:p>
      <w:pPr>
        <w:sectPr>
          <w:pgSz w:w="11900" w:h="16838" w:orient="portrait"/>
          <w:cols w:equalWidth="0" w:num="1">
            <w:col w:w="10219"/>
          </w:cols>
          <w:pgMar w:left="240" w:top="129"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May 6,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2019-12-14T06:44:41Z</dcterms:created>
  <dcterms:modified xsi:type="dcterms:W3CDTF">2019-12-14T06:44:41Z</dcterms:modified>
</cp:coreProperties>
</file>