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04"/>
        </w:trPr>
        <w:tc>
          <w:tcPr>
            <w:tcW w:w="23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6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G251GY108</w:t>
            </w:r>
          </w:p>
        </w:tc>
        <w:tc>
          <w:tcPr>
            <w:tcW w:w="6320" w:type="dxa"/>
            <w:vAlign w:val="bottom"/>
          </w:tcPr>
          <w:p>
            <w:pPr>
              <w:jc w:val="right"/>
              <w:ind w:right="4232"/>
              <w:spacing w:after="0" w:line="203" w:lineRule="exact"/>
              <w:rPr>
                <w:sz w:val="20"/>
                <w:szCs w:val="20"/>
                <w:color w:val="auto"/>
              </w:rPr>
            </w:pPr>
            <w:r>
              <w:rPr>
                <w:rFonts w:ascii="Courier New" w:cs="Courier New" w:eastAsia="Courier New" w:hAnsi="Courier New"/>
                <w:sz w:val="18"/>
                <w:szCs w:val="18"/>
                <w:color w:val="auto"/>
              </w:rPr>
              <w:t>13G</w:t>
            </w:r>
          </w:p>
        </w:tc>
      </w:tr>
      <w:tr>
        <w:trPr>
          <w:trHeight w:val="203"/>
        </w:trPr>
        <w:tc>
          <w:tcPr>
            <w:tcW w:w="2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2320" w:type="dxa"/>
            <w:vAlign w:val="bottom"/>
          </w:tcPr>
          <w:p>
            <w:pPr>
              <w:spacing w:after="0"/>
              <w:rPr>
                <w:sz w:val="24"/>
                <w:szCs w:val="24"/>
                <w:color w:val="auto"/>
              </w:rPr>
            </w:pPr>
          </w:p>
        </w:tc>
        <w:tc>
          <w:tcPr>
            <w:tcW w:w="6320" w:type="dxa"/>
            <w:vAlign w:val="bottom"/>
          </w:tcPr>
          <w:p>
            <w:pPr>
              <w:jc w:val="right"/>
              <w:ind w:right="3592"/>
              <w:spacing w:after="0"/>
              <w:rPr>
                <w:sz w:val="20"/>
                <w:szCs w:val="20"/>
                <w:color w:val="auto"/>
              </w:rPr>
            </w:pPr>
            <w:r>
              <w:rPr>
                <w:rFonts w:ascii="Courier New" w:cs="Courier New" w:eastAsia="Courier New" w:hAnsi="Courier New"/>
                <w:sz w:val="18"/>
                <w:szCs w:val="18"/>
                <w:color w:val="auto"/>
              </w:rPr>
              <w:t>UNITED STATES</w:t>
            </w:r>
          </w:p>
        </w:tc>
      </w:tr>
      <w:tr>
        <w:trPr>
          <w:trHeight w:val="203"/>
        </w:trPr>
        <w:tc>
          <w:tcPr>
            <w:tcW w:w="2320" w:type="dxa"/>
            <w:vAlign w:val="bottom"/>
          </w:tcPr>
          <w:p>
            <w:pPr>
              <w:spacing w:after="0"/>
              <w:rPr>
                <w:sz w:val="17"/>
                <w:szCs w:val="17"/>
                <w:color w:val="auto"/>
              </w:rPr>
            </w:pPr>
          </w:p>
        </w:tc>
        <w:tc>
          <w:tcPr>
            <w:tcW w:w="6320" w:type="dxa"/>
            <w:vAlign w:val="bottom"/>
          </w:tcPr>
          <w:p>
            <w:pPr>
              <w:jc w:val="center"/>
              <w:ind w:right="2412"/>
              <w:spacing w:after="0" w:line="203" w:lineRule="exact"/>
              <w:rPr>
                <w:sz w:val="20"/>
                <w:szCs w:val="20"/>
                <w:color w:val="auto"/>
              </w:rPr>
            </w:pPr>
            <w:r>
              <w:rPr>
                <w:rFonts w:ascii="Courier New" w:cs="Courier New" w:eastAsia="Courier New" w:hAnsi="Courier New"/>
                <w:sz w:val="18"/>
                <w:szCs w:val="18"/>
                <w:color w:val="auto"/>
                <w:w w:val="97"/>
              </w:rPr>
              <w:t>SECURITIES AND EXCHANGE COMMISSION</w:t>
            </w:r>
          </w:p>
        </w:tc>
      </w:tr>
      <w:tr>
        <w:trPr>
          <w:trHeight w:val="203"/>
        </w:trPr>
        <w:tc>
          <w:tcPr>
            <w:tcW w:w="2320" w:type="dxa"/>
            <w:vAlign w:val="bottom"/>
          </w:tcPr>
          <w:p>
            <w:pPr>
              <w:spacing w:after="0"/>
              <w:rPr>
                <w:sz w:val="17"/>
                <w:szCs w:val="17"/>
                <w:color w:val="auto"/>
              </w:rPr>
            </w:pPr>
          </w:p>
        </w:tc>
        <w:tc>
          <w:tcPr>
            <w:tcW w:w="6320" w:type="dxa"/>
            <w:vAlign w:val="bottom"/>
          </w:tcPr>
          <w:p>
            <w:pPr>
              <w:jc w:val="center"/>
              <w:ind w:right="2432"/>
              <w:spacing w:after="0" w:line="203" w:lineRule="exact"/>
              <w:rPr>
                <w:sz w:val="20"/>
                <w:szCs w:val="20"/>
                <w:color w:val="auto"/>
              </w:rPr>
            </w:pPr>
            <w:r>
              <w:rPr>
                <w:rFonts w:ascii="Courier New" w:cs="Courier New" w:eastAsia="Courier New" w:hAnsi="Courier New"/>
                <w:sz w:val="18"/>
                <w:szCs w:val="18"/>
                <w:color w:val="auto"/>
                <w:w w:val="97"/>
              </w:rPr>
              <w:t>WASHINGTON, D.C. 20549</w:t>
            </w:r>
          </w:p>
        </w:tc>
      </w:tr>
      <w:tr>
        <w:trPr>
          <w:trHeight w:val="608"/>
        </w:trPr>
        <w:tc>
          <w:tcPr>
            <w:tcW w:w="2320" w:type="dxa"/>
            <w:vAlign w:val="bottom"/>
          </w:tcPr>
          <w:p>
            <w:pPr>
              <w:spacing w:after="0"/>
              <w:rPr>
                <w:sz w:val="24"/>
                <w:szCs w:val="24"/>
                <w:color w:val="auto"/>
              </w:rPr>
            </w:pPr>
          </w:p>
        </w:tc>
        <w:tc>
          <w:tcPr>
            <w:tcW w:w="6320" w:type="dxa"/>
            <w:vAlign w:val="bottom"/>
          </w:tcPr>
          <w:p>
            <w:pPr>
              <w:jc w:val="center"/>
              <w:ind w:right="2432"/>
              <w:spacing w:after="0"/>
              <w:rPr>
                <w:sz w:val="20"/>
                <w:szCs w:val="20"/>
                <w:color w:val="auto"/>
              </w:rPr>
            </w:pPr>
            <w:r>
              <w:rPr>
                <w:rFonts w:ascii="Courier New" w:cs="Courier New" w:eastAsia="Courier New" w:hAnsi="Courier New"/>
                <w:sz w:val="18"/>
                <w:szCs w:val="18"/>
                <w:color w:val="auto"/>
                <w:w w:val="98"/>
              </w:rPr>
              <w:t>SCHEDULE 13G</w:t>
            </w:r>
          </w:p>
        </w:tc>
      </w:tr>
    </w:tbl>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CREDICORP</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ADR</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G251GY108</w:t>
      </w:r>
    </w:p>
    <w:p>
      <w:pPr>
        <w:spacing w:after="0" w:line="201"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SEPTEMBER 12, 2006</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219" w:firstLine="8"/>
        <w:spacing w:after="0" w:line="536" w:lineRule="auto"/>
        <w:tabs>
          <w:tab w:leader="none" w:pos="632"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4"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16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2380" w:type="dxa"/>
            <w:vAlign w:val="bottom"/>
          </w:tcPr>
          <w:p>
            <w:pPr>
              <w:spacing w:after="0"/>
              <w:rPr>
                <w:sz w:val="17"/>
                <w:szCs w:val="17"/>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G251GY108</w:t>
            </w:r>
          </w:p>
        </w:tc>
        <w:tc>
          <w:tcPr>
            <w:tcW w:w="2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13G</w:t>
            </w:r>
          </w:p>
        </w:tc>
        <w:tc>
          <w:tcPr>
            <w:tcW w:w="3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2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9"/>
              </w:rPr>
              <w:t>-------------------</w:t>
            </w:r>
          </w:p>
        </w:tc>
        <w:tc>
          <w:tcPr>
            <w:tcW w:w="2380" w:type="dxa"/>
            <w:vAlign w:val="bottom"/>
          </w:tcPr>
          <w:p>
            <w:pPr>
              <w:spacing w:after="0"/>
              <w:rPr>
                <w:sz w:val="17"/>
                <w:szCs w:val="17"/>
                <w:color w:val="auto"/>
              </w:rPr>
            </w:pP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848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7"/>
              </w:rPr>
              <w:t>--------------------------------------------------------------------------------</w:t>
            </w:r>
          </w:p>
        </w:tc>
      </w:tr>
    </w:tbl>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Genesis Fund Mangers, LLP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1060" w:hanging="525"/>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60" w:hanging="525"/>
        <w:spacing w:after="0" w:line="238" w:lineRule="auto"/>
        <w:tabs>
          <w:tab w:leader="none" w:pos="106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5899" w:hanging="532"/>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12"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3580" w:right="3359" w:hanging="517"/>
        <w:spacing w:after="0" w:line="235" w:lineRule="auto"/>
        <w:tabs>
          <w:tab w:leader="none" w:pos="3580" w:val="left"/>
        </w:tabs>
        <w:numPr>
          <w:ilvl w:val="1"/>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- 3,003,600 (See Items 3 and 6)</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204"/>
        </w:trPr>
        <w:tc>
          <w:tcPr>
            <w:tcW w:w="1960" w:type="dxa"/>
            <w:vAlign w:val="bottom"/>
          </w:tcPr>
          <w:p>
            <w:pPr>
              <w:ind w:left="220"/>
              <w:spacing w:after="0"/>
              <w:rPr>
                <w:sz w:val="20"/>
                <w:szCs w:val="20"/>
                <w:color w:val="auto"/>
              </w:rPr>
            </w:pPr>
            <w:r>
              <w:rPr>
                <w:rFonts w:ascii="Courier New" w:cs="Courier New" w:eastAsia="Courier New" w:hAnsi="Courier New"/>
                <w:sz w:val="18"/>
                <w:szCs w:val="18"/>
                <w:color w:val="auto"/>
              </w:rPr>
              <w:t>NUMBER OF</w:t>
            </w:r>
          </w:p>
        </w:tc>
        <w:tc>
          <w:tcPr>
            <w:tcW w:w="120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203"/>
        </w:trPr>
        <w:tc>
          <w:tcPr>
            <w:tcW w:w="1960" w:type="dxa"/>
            <w:vAlign w:val="bottom"/>
          </w:tcPr>
          <w:p>
            <w:pPr>
              <w:spacing w:after="0"/>
              <w:rPr>
                <w:sz w:val="17"/>
                <w:szCs w:val="17"/>
                <w:color w:val="auto"/>
              </w:rPr>
            </w:pPr>
          </w:p>
        </w:tc>
        <w:tc>
          <w:tcPr>
            <w:tcW w:w="60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SHARES</w:t>
            </w: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6.</w:t>
            </w: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  - 0</w:t>
            </w:r>
          </w:p>
        </w:tc>
      </w:tr>
      <w:tr>
        <w:trPr>
          <w:trHeight w:val="203"/>
        </w:trPr>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(See Items 3 and 6)</w:t>
            </w:r>
          </w:p>
        </w:tc>
      </w:tr>
      <w:tr>
        <w:trPr>
          <w:trHeight w:val="203"/>
        </w:trPr>
        <w:tc>
          <w:tcPr>
            <w:tcW w:w="19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1200" w:type="dxa"/>
            <w:vAlign w:val="bottom"/>
          </w:tcPr>
          <w:p>
            <w:pPr>
              <w:spacing w:after="0"/>
              <w:rPr>
                <w:sz w:val="17"/>
                <w:szCs w:val="17"/>
                <w:color w:val="auto"/>
              </w:rPr>
            </w:pPr>
          </w:p>
        </w:tc>
        <w:tc>
          <w:tcPr>
            <w:tcW w:w="4860" w:type="dxa"/>
            <w:vAlign w:val="bottom"/>
          </w:tcPr>
          <w:p>
            <w:pPr>
              <w:spacing w:after="0"/>
              <w:rPr>
                <w:sz w:val="17"/>
                <w:szCs w:val="17"/>
                <w:color w:val="auto"/>
              </w:rPr>
            </w:pPr>
          </w:p>
        </w:tc>
      </w:tr>
      <w:tr>
        <w:trPr>
          <w:trHeight w:val="405"/>
        </w:trPr>
        <w:tc>
          <w:tcPr>
            <w:tcW w:w="196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9"/>
              </w:rPr>
              <w:t>OWNED</w:t>
            </w:r>
          </w:p>
        </w:tc>
        <w:tc>
          <w:tcPr>
            <w:tcW w:w="6060" w:type="dxa"/>
            <w:vAlign w:val="bottom"/>
            <w:gridSpan w:val="2"/>
          </w:tcPr>
          <w:p>
            <w:pPr>
              <w:ind w:left="68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960" w:type="dxa"/>
            <w:vAlign w:val="bottom"/>
          </w:tcPr>
          <w:p>
            <w:pPr>
              <w:spacing w:after="0"/>
              <w:rPr>
                <w:sz w:val="17"/>
                <w:szCs w:val="17"/>
                <w:color w:val="auto"/>
              </w:rPr>
            </w:pP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7.</w:t>
            </w: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 - 4,043,800</w:t>
            </w:r>
          </w:p>
        </w:tc>
      </w:tr>
      <w:tr>
        <w:trPr>
          <w:trHeight w:val="203"/>
        </w:trPr>
        <w:tc>
          <w:tcPr>
            <w:tcW w:w="196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7"/>
              </w:rPr>
              <w:t>BY EACH</w:t>
            </w:r>
          </w:p>
        </w:tc>
        <w:tc>
          <w:tcPr>
            <w:tcW w:w="1200" w:type="dxa"/>
            <w:vAlign w:val="bottom"/>
          </w:tcPr>
          <w:p>
            <w:pPr>
              <w:spacing w:after="0"/>
              <w:rPr>
                <w:sz w:val="17"/>
                <w:szCs w:val="17"/>
                <w:color w:val="auto"/>
              </w:rPr>
            </w:pP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(See Items 3 and 6)</w:t>
            </w:r>
          </w:p>
        </w:tc>
      </w:tr>
      <w:tr>
        <w:trPr>
          <w:trHeight w:val="405"/>
        </w:trPr>
        <w:tc>
          <w:tcPr>
            <w:tcW w:w="196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6"/>
              </w:rPr>
              <w:t>REPORTING</w:t>
            </w:r>
          </w:p>
        </w:tc>
        <w:tc>
          <w:tcPr>
            <w:tcW w:w="1200" w:type="dxa"/>
            <w:vAlign w:val="bottom"/>
          </w:tcPr>
          <w:p>
            <w:pPr>
              <w:spacing w:after="0"/>
              <w:rPr>
                <w:sz w:val="24"/>
                <w:szCs w:val="24"/>
                <w:color w:val="auto"/>
              </w:rPr>
            </w:pPr>
          </w:p>
        </w:tc>
        <w:tc>
          <w:tcPr>
            <w:tcW w:w="4860" w:type="dxa"/>
            <w:vAlign w:val="bottom"/>
          </w:tcPr>
          <w:p>
            <w:pPr>
              <w:spacing w:after="0"/>
              <w:rPr>
                <w:sz w:val="24"/>
                <w:szCs w:val="24"/>
                <w:color w:val="auto"/>
              </w:rPr>
            </w:pPr>
          </w:p>
        </w:tc>
      </w:tr>
      <w:tr>
        <w:trPr>
          <w:trHeight w:val="203"/>
        </w:trPr>
        <w:tc>
          <w:tcPr>
            <w:tcW w:w="1960" w:type="dxa"/>
            <w:vAlign w:val="bottom"/>
          </w:tcPr>
          <w:p>
            <w:pPr>
              <w:spacing w:after="0"/>
              <w:rPr>
                <w:sz w:val="17"/>
                <w:szCs w:val="17"/>
                <w:color w:val="auto"/>
              </w:rPr>
            </w:pPr>
          </w:p>
        </w:tc>
        <w:tc>
          <w:tcPr>
            <w:tcW w:w="606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96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7"/>
              </w:rPr>
              <w:t>PERSON WITH</w:t>
            </w: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8.</w:t>
            </w: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DISPOSITIVE POWER - 0</w:t>
            </w:r>
          </w:p>
        </w:tc>
      </w:tr>
      <w:tr>
        <w:trPr>
          <w:trHeight w:val="203"/>
        </w:trPr>
        <w:tc>
          <w:tcPr>
            <w:tcW w:w="1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860" w:type="dxa"/>
            <w:vAlign w:val="bottom"/>
          </w:tcPr>
          <w:p>
            <w:pPr>
              <w:spacing w:after="0" w:line="203" w:lineRule="exact"/>
              <w:rPr>
                <w:sz w:val="20"/>
                <w:szCs w:val="20"/>
                <w:color w:val="auto"/>
              </w:rPr>
            </w:pPr>
            <w:r>
              <w:rPr>
                <w:rFonts w:ascii="Courier New" w:cs="Courier New" w:eastAsia="Courier New" w:hAnsi="Courier New"/>
                <w:sz w:val="18"/>
                <w:szCs w:val="18"/>
                <w:color w:val="auto"/>
              </w:rPr>
              <w:t>(See Items 3 and 6)</w:t>
            </w:r>
          </w:p>
        </w:tc>
      </w:tr>
    </w:tbl>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3359" w:hanging="532"/>
        <w:spacing w:after="0" w:line="470" w:lineRule="auto"/>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4,043,800 (See Items 3 and 6)</w:t>
      </w:r>
    </w:p>
    <w:p>
      <w:pPr>
        <w:spacing w:after="0" w:line="12" w:lineRule="exact"/>
        <w:rPr>
          <w:sz w:val="20"/>
          <w:szCs w:val="20"/>
          <w:color w:val="auto"/>
        </w:rPr>
      </w:pPr>
    </w:p>
    <w:p>
      <w:pPr>
        <w:ind w:right="1579"/>
        <w:spacing w:after="0" w:line="290" w:lineRule="auto"/>
        <w:rPr>
          <w:sz w:val="20"/>
          <w:szCs w:val="20"/>
          <w:color w:val="auto"/>
        </w:rPr>
      </w:pPr>
      <w:r>
        <w:rPr>
          <w:rFonts w:ascii="Courier New" w:cs="Courier New" w:eastAsia="Courier New" w:hAnsi="Courier New"/>
          <w:sz w:val="16"/>
          <w:szCs w:val="16"/>
          <w:color w:val="auto"/>
        </w:rPr>
        <w:t>- -------------------------------------------------------------------------------- 10. CHECK BOX IF THE AGGREGATE AMOUNT IN ROW (9) EXCLUDES CERTAIN SHARES [ ]</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5.07%</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540" w:right="715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HC/IA</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852"/>
              <w:spacing w:after="0"/>
              <w:rPr>
                <w:sz w:val="20"/>
                <w:szCs w:val="20"/>
                <w:color w:val="auto"/>
              </w:rPr>
            </w:pPr>
            <w:r>
              <w:rPr>
                <w:rFonts w:ascii="Courier New" w:cs="Courier New" w:eastAsia="Courier New" w:hAnsi="Courier New"/>
                <w:sz w:val="18"/>
                <w:szCs w:val="18"/>
                <w:color w:val="auto"/>
                <w:w w:val="99"/>
              </w:rPr>
              <w:t>-------------------</w:t>
            </w:r>
          </w:p>
        </w:tc>
        <w:tc>
          <w:tcPr>
            <w:tcW w:w="2380" w:type="dxa"/>
            <w:vAlign w:val="bottom"/>
          </w:tcPr>
          <w:p>
            <w:pPr>
              <w:spacing w:after="0"/>
              <w:rPr>
                <w:sz w:val="17"/>
                <w:szCs w:val="17"/>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G251GY108</w:t>
            </w:r>
          </w:p>
        </w:tc>
        <w:tc>
          <w:tcPr>
            <w:tcW w:w="2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13G</w:t>
            </w:r>
          </w:p>
        </w:tc>
        <w:tc>
          <w:tcPr>
            <w:tcW w:w="3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3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9"/>
              </w:rPr>
              <w:t>-------------------</w:t>
            </w:r>
          </w:p>
        </w:tc>
        <w:tc>
          <w:tcPr>
            <w:tcW w:w="2380" w:type="dxa"/>
            <w:vAlign w:val="bottom"/>
          </w:tcPr>
          <w:p>
            <w:pPr>
              <w:spacing w:after="0"/>
              <w:rPr>
                <w:sz w:val="17"/>
                <w:szCs w:val="17"/>
                <w:color w:val="auto"/>
              </w:rPr>
            </w:pP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Credicorp</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Clarendon House</w:t>
      </w:r>
    </w:p>
    <w:p>
      <w:pPr>
        <w:spacing w:after="0" w:line="238" w:lineRule="auto"/>
        <w:rPr>
          <w:sz w:val="20"/>
          <w:szCs w:val="20"/>
          <w:color w:val="auto"/>
        </w:rPr>
      </w:pPr>
      <w:r>
        <w:rPr>
          <w:rFonts w:ascii="Courier New" w:cs="Courier New" w:eastAsia="Courier New" w:hAnsi="Courier New"/>
          <w:sz w:val="18"/>
          <w:szCs w:val="18"/>
          <w:color w:val="auto"/>
        </w:rPr>
        <w:t>Church Street</w:t>
      </w:r>
    </w:p>
    <w:p>
      <w:pPr>
        <w:spacing w:after="0"/>
        <w:rPr>
          <w:sz w:val="20"/>
          <w:szCs w:val="20"/>
          <w:color w:val="auto"/>
        </w:rPr>
      </w:pPr>
      <w:r>
        <w:rPr>
          <w:rFonts w:ascii="Courier New" w:cs="Courier New" w:eastAsia="Courier New" w:hAnsi="Courier New"/>
          <w:sz w:val="18"/>
          <w:szCs w:val="18"/>
          <w:color w:val="auto"/>
        </w:rPr>
        <w:t>Hamilton, HM11</w:t>
      </w:r>
    </w:p>
    <w:p>
      <w:pPr>
        <w:spacing w:after="0" w:line="237" w:lineRule="auto"/>
        <w:rPr>
          <w:sz w:val="20"/>
          <w:szCs w:val="20"/>
          <w:color w:val="auto"/>
        </w:rPr>
      </w:pPr>
      <w:r>
        <w:rPr>
          <w:rFonts w:ascii="Courier New" w:cs="Courier New" w:eastAsia="Courier New" w:hAnsi="Courier New"/>
          <w:sz w:val="18"/>
          <w:szCs w:val="18"/>
          <w:color w:val="auto"/>
        </w:rPr>
        <w:t>Bermuda</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Genesis Fund Managers, LLP</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Genesis Fund Managers, LLP</w:t>
      </w:r>
    </w:p>
    <w:p>
      <w:pPr>
        <w:spacing w:after="0" w:line="238" w:lineRule="auto"/>
        <w:rPr>
          <w:sz w:val="20"/>
          <w:szCs w:val="20"/>
          <w:color w:val="auto"/>
        </w:rPr>
      </w:pPr>
      <w:r>
        <w:rPr>
          <w:rFonts w:ascii="Courier New" w:cs="Courier New" w:eastAsia="Courier New" w:hAnsi="Courier New"/>
          <w:sz w:val="18"/>
          <w:szCs w:val="18"/>
          <w:color w:val="auto"/>
        </w:rPr>
        <w:t>Barclay's Court</w:t>
      </w:r>
    </w:p>
    <w:p>
      <w:pPr>
        <w:spacing w:after="0"/>
        <w:rPr>
          <w:sz w:val="20"/>
          <w:szCs w:val="20"/>
          <w:color w:val="auto"/>
        </w:rPr>
      </w:pPr>
      <w:r>
        <w:rPr>
          <w:rFonts w:ascii="Courier New" w:cs="Courier New" w:eastAsia="Courier New" w:hAnsi="Courier New"/>
          <w:sz w:val="18"/>
          <w:szCs w:val="18"/>
          <w:color w:val="auto"/>
        </w:rPr>
        <w:t>Les Echelons</w:t>
      </w:r>
    </w:p>
    <w:p>
      <w:pPr>
        <w:spacing w:after="0" w:line="237" w:lineRule="auto"/>
        <w:rPr>
          <w:sz w:val="20"/>
          <w:szCs w:val="20"/>
          <w:color w:val="auto"/>
        </w:rPr>
      </w:pPr>
      <w:r>
        <w:rPr>
          <w:rFonts w:ascii="Courier New" w:cs="Courier New" w:eastAsia="Courier New" w:hAnsi="Courier New"/>
          <w:sz w:val="18"/>
          <w:szCs w:val="18"/>
          <w:color w:val="auto"/>
        </w:rPr>
        <w:t>St. Peter Port</w:t>
      </w:r>
    </w:p>
    <w:p>
      <w:pPr>
        <w:spacing w:after="0" w:line="238" w:lineRule="auto"/>
        <w:rPr>
          <w:sz w:val="20"/>
          <w:szCs w:val="20"/>
          <w:color w:val="auto"/>
        </w:rPr>
      </w:pPr>
      <w:r>
        <w:rPr>
          <w:rFonts w:ascii="Courier New" w:cs="Courier New" w:eastAsia="Courier New" w:hAnsi="Courier New"/>
          <w:sz w:val="18"/>
          <w:szCs w:val="18"/>
          <w:color w:val="auto"/>
        </w:rPr>
        <w:t>Guernsey GY1 6AW</w:t>
      </w:r>
    </w:p>
    <w:p>
      <w:pPr>
        <w:spacing w:after="0"/>
        <w:rPr>
          <w:sz w:val="20"/>
          <w:szCs w:val="20"/>
          <w:color w:val="auto"/>
        </w:rPr>
      </w:pPr>
      <w:r>
        <w:rPr>
          <w:rFonts w:ascii="Courier New" w:cs="Courier New" w:eastAsia="Courier New" w:hAnsi="Courier New"/>
          <w:sz w:val="18"/>
          <w:szCs w:val="18"/>
          <w:color w:val="auto"/>
        </w:rPr>
        <w:t>Guernsey, Channel Islands</w:t>
      </w:r>
    </w:p>
    <w:p>
      <w:pPr>
        <w:spacing w:after="0" w:line="200" w:lineRule="exact"/>
        <w:rPr>
          <w:sz w:val="20"/>
          <w:szCs w:val="20"/>
          <w:color w:val="auto"/>
        </w:rPr>
      </w:pPr>
    </w:p>
    <w:p>
      <w:pPr>
        <w:spacing w:after="0" w:line="203"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ADR</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G251GY108</w:t>
      </w:r>
    </w:p>
    <w:p>
      <w:pPr>
        <w:spacing w:after="0" w:line="200" w:lineRule="exact"/>
        <w:rPr>
          <w:sz w:val="20"/>
          <w:szCs w:val="20"/>
          <w:color w:val="auto"/>
        </w:rPr>
      </w:pPr>
    </w:p>
    <w:p>
      <w:pPr>
        <w:spacing w:after="0" w:line="204"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CLASSIFICATION</w:t>
      </w:r>
    </w:p>
    <w:p>
      <w:pPr>
        <w:spacing w:after="0" w:line="207"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(g)(e) Genesis Fund Managers, LLP ("GFM") is the 99.98% owner of the equity securities of Genesis Asset Managers, LLP ("GAM"). GFM is reporting on this Schedule 13-G for itself as a registered investment adviser and as the control person of GAM. Each of GFM and GAM are registered investment advisers.</w:t>
      </w:r>
    </w:p>
    <w:p>
      <w:pPr>
        <w:spacing w:after="0" w:line="379"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4,043,800</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5.07%</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GFM and GAM have: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3,003,600</w:t>
      </w:r>
    </w:p>
    <w:p>
      <w:pPr>
        <w:sectPr>
          <w:pgSz w:w="11900" w:h="16838" w:orient="portrait"/>
          <w:cols w:equalWidth="0" w:num="1">
            <w:col w:w="10219"/>
          </w:cols>
          <w:pgMar w:left="240" w:top="919"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852"/>
              <w:spacing w:after="0"/>
              <w:rPr>
                <w:sz w:val="20"/>
                <w:szCs w:val="20"/>
                <w:color w:val="auto"/>
              </w:rPr>
            </w:pPr>
            <w:r>
              <w:rPr>
                <w:rFonts w:ascii="Courier New" w:cs="Courier New" w:eastAsia="Courier New" w:hAnsi="Courier New"/>
                <w:sz w:val="18"/>
                <w:szCs w:val="18"/>
                <w:color w:val="auto"/>
                <w:w w:val="99"/>
              </w:rPr>
              <w:t>-------------------</w:t>
            </w:r>
          </w:p>
        </w:tc>
        <w:tc>
          <w:tcPr>
            <w:tcW w:w="2380" w:type="dxa"/>
            <w:vAlign w:val="bottom"/>
          </w:tcPr>
          <w:p>
            <w:pPr>
              <w:spacing w:after="0"/>
              <w:rPr>
                <w:sz w:val="17"/>
                <w:szCs w:val="17"/>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G251GY108</w:t>
            </w:r>
          </w:p>
        </w:tc>
        <w:tc>
          <w:tcPr>
            <w:tcW w:w="2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13G</w:t>
            </w:r>
          </w:p>
        </w:tc>
        <w:tc>
          <w:tcPr>
            <w:tcW w:w="3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4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9"/>
              </w:rPr>
              <w:t>-------------------</w:t>
            </w:r>
          </w:p>
        </w:tc>
        <w:tc>
          <w:tcPr>
            <w:tcW w:w="2380" w:type="dxa"/>
            <w:vAlign w:val="bottom"/>
          </w:tcPr>
          <w:p>
            <w:pPr>
              <w:spacing w:after="0"/>
              <w:rPr>
                <w:sz w:val="17"/>
                <w:szCs w:val="17"/>
                <w:color w:val="auto"/>
              </w:rPr>
            </w:pP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1700" w:hanging="639"/>
        <w:spacing w:after="0"/>
        <w:tabs>
          <w:tab w:leader="none" w:pos="17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direct the vote: 0</w:t>
      </w:r>
    </w:p>
    <w:p>
      <w:pPr>
        <w:spacing w:after="0" w:line="206" w:lineRule="exact"/>
        <w:rPr>
          <w:rFonts w:ascii="Courier New" w:cs="Courier New" w:eastAsia="Courier New" w:hAnsi="Courier New"/>
          <w:sz w:val="18"/>
          <w:szCs w:val="18"/>
          <w:color w:val="auto"/>
        </w:rPr>
      </w:pPr>
    </w:p>
    <w:p>
      <w:pPr>
        <w:ind w:left="1700" w:right="1879" w:hanging="639"/>
        <w:spacing w:after="0" w:line="290" w:lineRule="auto"/>
        <w:tabs>
          <w:tab w:leader="none" w:pos="17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dispose or to direct the disposition of 4,043,800 shared power to dispose or to direct the disposition of: 0</w:t>
      </w:r>
    </w:p>
    <w:p>
      <w:pPr>
        <w:spacing w:after="0" w:line="3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GFM, a registered investment adviser, provides investment advisory services on a discretionary basis to institutional investors and in-house-pooled funds for institutional investors. GFM is also the beneficial owner of 99.98% holder of the equity securities of GAM which also provides investment advisory services on a discretionary basis to institutional investors and in-house-pooled funds for institutional investors. In the aggregate, the client accounts managed by GFM and GAM hold greater than 5% of the outstanding securities subject to this filing on Schedule 13-G.</w:t>
      </w:r>
    </w:p>
    <w:p>
      <w:pPr>
        <w:spacing w:after="0" w:line="200" w:lineRule="exact"/>
        <w:rPr>
          <w:sz w:val="20"/>
          <w:szCs w:val="20"/>
          <w:color w:val="auto"/>
        </w:rPr>
      </w:pPr>
    </w:p>
    <w:p>
      <w:pPr>
        <w:spacing w:after="0" w:line="215" w:lineRule="exact"/>
        <w:rPr>
          <w:sz w:val="20"/>
          <w:szCs w:val="20"/>
          <w:color w:val="auto"/>
        </w:rPr>
      </w:pPr>
    </w:p>
    <w:p>
      <w:pPr>
        <w:ind w:left="1060" w:right="17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208"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See Item 3 above. The address of GAM's principal office and place of business is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Genesis Asset Managers, LLP</w:t>
      </w:r>
    </w:p>
    <w:p>
      <w:pPr>
        <w:spacing w:after="0" w:line="238" w:lineRule="auto"/>
        <w:rPr>
          <w:sz w:val="20"/>
          <w:szCs w:val="20"/>
          <w:color w:val="auto"/>
        </w:rPr>
      </w:pPr>
      <w:r>
        <w:rPr>
          <w:rFonts w:ascii="Courier New" w:cs="Courier New" w:eastAsia="Courier New" w:hAnsi="Courier New"/>
          <w:sz w:val="18"/>
          <w:szCs w:val="18"/>
          <w:color w:val="auto"/>
        </w:rPr>
        <w:t>Barclay's Court</w:t>
      </w:r>
    </w:p>
    <w:p>
      <w:pPr>
        <w:spacing w:after="0"/>
        <w:rPr>
          <w:sz w:val="20"/>
          <w:szCs w:val="20"/>
          <w:color w:val="auto"/>
        </w:rPr>
      </w:pPr>
      <w:r>
        <w:rPr>
          <w:rFonts w:ascii="Courier New" w:cs="Courier New" w:eastAsia="Courier New" w:hAnsi="Courier New"/>
          <w:sz w:val="18"/>
          <w:szCs w:val="18"/>
          <w:color w:val="auto"/>
        </w:rPr>
        <w:t>Les Echelons</w:t>
      </w:r>
    </w:p>
    <w:p>
      <w:pPr>
        <w:spacing w:after="0" w:line="237" w:lineRule="auto"/>
        <w:rPr>
          <w:sz w:val="20"/>
          <w:szCs w:val="20"/>
          <w:color w:val="auto"/>
        </w:rPr>
      </w:pPr>
      <w:r>
        <w:rPr>
          <w:rFonts w:ascii="Courier New" w:cs="Courier New" w:eastAsia="Courier New" w:hAnsi="Courier New"/>
          <w:sz w:val="18"/>
          <w:szCs w:val="18"/>
          <w:color w:val="auto"/>
        </w:rPr>
        <w:t>St. Peter Port</w:t>
      </w:r>
    </w:p>
    <w:p>
      <w:pPr>
        <w:spacing w:after="0" w:line="238" w:lineRule="auto"/>
        <w:rPr>
          <w:sz w:val="20"/>
          <w:szCs w:val="20"/>
          <w:color w:val="auto"/>
        </w:rPr>
      </w:pPr>
      <w:r>
        <w:rPr>
          <w:rFonts w:ascii="Courier New" w:cs="Courier New" w:eastAsia="Courier New" w:hAnsi="Courier New"/>
          <w:sz w:val="18"/>
          <w:szCs w:val="18"/>
          <w:color w:val="auto"/>
        </w:rPr>
        <w:t>Guernsey GY1 6BA</w:t>
      </w:r>
    </w:p>
    <w:p>
      <w:pPr>
        <w:spacing w:after="0"/>
        <w:rPr>
          <w:sz w:val="20"/>
          <w:szCs w:val="20"/>
          <w:color w:val="auto"/>
        </w:rPr>
      </w:pPr>
      <w:r>
        <w:rPr>
          <w:rFonts w:ascii="Courier New" w:cs="Courier New" w:eastAsia="Courier New" w:hAnsi="Courier New"/>
          <w:sz w:val="18"/>
          <w:szCs w:val="18"/>
          <w:color w:val="auto"/>
        </w:rPr>
        <w:t>Guernsey, Channel Islands</w:t>
      </w:r>
    </w:p>
    <w:p>
      <w:pPr>
        <w:spacing w:after="0" w:line="200" w:lineRule="exact"/>
        <w:rPr>
          <w:sz w:val="20"/>
          <w:szCs w:val="20"/>
          <w:color w:val="auto"/>
        </w:rPr>
      </w:pP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purposes of and do not have the effect of changing or influencing the control of the issuer of such securities and were not acquired with or as a participant in any transaction having such purposes or effect.</w:t>
      </w:r>
    </w:p>
    <w:p>
      <w:pPr>
        <w:sectPr>
          <w:pgSz w:w="11900" w:h="16838" w:orient="portrait"/>
          <w:cols w:equalWidth="0" w:num="1">
            <w:col w:w="10219"/>
          </w:cols>
          <w:pgMar w:left="240" w:top="91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852"/>
              <w:spacing w:after="0"/>
              <w:rPr>
                <w:sz w:val="20"/>
                <w:szCs w:val="20"/>
                <w:color w:val="auto"/>
              </w:rPr>
            </w:pPr>
            <w:r>
              <w:rPr>
                <w:rFonts w:ascii="Courier New" w:cs="Courier New" w:eastAsia="Courier New" w:hAnsi="Courier New"/>
                <w:sz w:val="18"/>
                <w:szCs w:val="18"/>
                <w:color w:val="auto"/>
                <w:w w:val="99"/>
              </w:rPr>
              <w:t>-------------------</w:t>
            </w:r>
          </w:p>
        </w:tc>
        <w:tc>
          <w:tcPr>
            <w:tcW w:w="2380" w:type="dxa"/>
            <w:vAlign w:val="bottom"/>
          </w:tcPr>
          <w:p>
            <w:pPr>
              <w:spacing w:after="0"/>
              <w:rPr>
                <w:sz w:val="17"/>
                <w:szCs w:val="17"/>
                <w:color w:val="auto"/>
              </w:rPr>
            </w:pP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G251GY108</w:t>
            </w:r>
          </w:p>
        </w:tc>
        <w:tc>
          <w:tcPr>
            <w:tcW w:w="238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13G</w:t>
            </w:r>
          </w:p>
        </w:tc>
        <w:tc>
          <w:tcPr>
            <w:tcW w:w="3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Page 5 of 5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00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w w:val="99"/>
              </w:rPr>
              <w:t>-------------------</w:t>
            </w:r>
          </w:p>
        </w:tc>
        <w:tc>
          <w:tcPr>
            <w:tcW w:w="2380" w:type="dxa"/>
            <w:vAlign w:val="bottom"/>
          </w:tcPr>
          <w:p>
            <w:pPr>
              <w:spacing w:after="0"/>
              <w:rPr>
                <w:sz w:val="17"/>
                <w:szCs w:val="17"/>
                <w:color w:val="auto"/>
              </w:rPr>
            </w:pP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GENESIS FUND MANAGERS, LLP</w:t>
      </w:r>
    </w:p>
    <w:p>
      <w:pPr>
        <w:spacing w:after="0" w:line="200" w:lineRule="exact"/>
        <w:rPr>
          <w:sz w:val="20"/>
          <w:szCs w:val="20"/>
          <w:color w:val="auto"/>
        </w:rPr>
      </w:pPr>
    </w:p>
    <w:p>
      <w:pPr>
        <w:spacing w:after="0" w:line="204"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 /s/ Karen L. Yerburgh</w:t>
      </w:r>
    </w:p>
    <w:p>
      <w:pPr>
        <w:ind w:left="560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Karen L. Yerburgh</w:t>
      </w:r>
    </w:p>
    <w:p>
      <w:pPr>
        <w:ind w:left="5600"/>
        <w:spacing w:after="0" w:line="237" w:lineRule="auto"/>
        <w:rPr>
          <w:sz w:val="20"/>
          <w:szCs w:val="20"/>
          <w:color w:val="auto"/>
        </w:rPr>
      </w:pPr>
      <w:r>
        <w:rPr>
          <w:rFonts w:ascii="Courier New" w:cs="Courier New" w:eastAsia="Courier New" w:hAnsi="Courier New"/>
          <w:sz w:val="18"/>
          <w:szCs w:val="18"/>
          <w:color w:val="auto"/>
        </w:rPr>
        <w:t>Managing Partner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September 12, 2006</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decimal"/>
      <w:start w:val="1"/>
    </w:lvl>
  </w:abstractNum>
  <w:abstractNum w:abstractNumId="2">
    <w:nsid w:val="41B71EFB"/>
    <w:multiLevelType w:val="hybridMultilevel"/>
    <w:lvl w:ilvl="0">
      <w:lvlJc w:val="left"/>
      <w:lvlText w:val="%1."/>
      <w:numFmt w:val="decimal"/>
      <w:start w:val="2"/>
    </w:lvl>
    <w:lvl w:ilvl="1">
      <w:lvlJc w:val="left"/>
      <w:lvlText w:val="(%2)"/>
      <w:numFmt w:val="lowerLetter"/>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4"/>
    </w:lvl>
  </w:abstractNum>
  <w:abstractNum w:abstractNumId="5">
    <w:nsid w:val="515F007C"/>
    <w:multiLevelType w:val="hybridMultilevel"/>
    <w:lvl w:ilvl="0">
      <w:lvlJc w:val="left"/>
      <w:lvlText w:val="-"/>
      <w:numFmt w:val="bullet"/>
      <w:start w:val="1"/>
    </w:lvl>
    <w:lvl w:ilvl="1">
      <w:lvlJc w:val="left"/>
      <w:lvlText w:val="%2."/>
      <w:numFmt w:val="decimal"/>
      <w:start w:val="5"/>
    </w:lvl>
  </w:abstractNum>
  <w:abstractNum w:abstractNumId="6">
    <w:nsid w:val="5BD062C2"/>
    <w:multiLevelType w:val="hybridMultilevel"/>
    <w:lvl w:ilvl="0">
      <w:lvlJc w:val="left"/>
      <w:lvlText w:val="%1."/>
      <w:numFmt w:val="decimal"/>
      <w:start w:val="9"/>
    </w:lvl>
  </w:abstractNum>
  <w:abstractNum w:abstractNumId="7">
    <w:nsid w:val="12200854"/>
    <w:multiLevelType w:val="hybridMultilevel"/>
    <w:lvl w:ilvl="0">
      <w:lvlJc w:val="left"/>
      <w:lvlText w:val="%1."/>
      <w:numFmt w:val="decimal"/>
      <w:start w:val="11"/>
    </w:lvl>
  </w:abstractNum>
  <w:abstractNum w:abstractNumId="8">
    <w:nsid w:val="4DB127F8"/>
    <w:multiLevelType w:val="hybridMultilevel"/>
    <w:lvl w:ilvl="0">
      <w:lvlJc w:val="left"/>
      <w:lvlText w:val="%1."/>
      <w:numFmt w:val="decimal"/>
      <w:start w:val="12"/>
    </w:lvl>
  </w:abstractNum>
  <w:abstractNum w:abstractNumId="9">
    <w:nsid w:val="216231B"/>
    <w:multiLevelType w:val="hybridMultilevel"/>
    <w:lvl w:ilvl="0">
      <w:lvlJc w:val="left"/>
      <w:lvlText w:val="%1)"/>
      <w:numFmt w:val="lowerLetter"/>
      <w:start w:val="1"/>
    </w:lvl>
    <w:lvl w:ilvl="1">
      <w:lvlJc w:val="left"/>
      <w:lvlText w:val="(%2)"/>
      <w:numFmt w:val="lowerRoman"/>
      <w:start w:val="1"/>
    </w:lvl>
  </w:abstractNum>
  <w:abstractNum w:abstractNumId="10">
    <w:nsid w:val="1F16E9E8"/>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2019-12-12T00:30:33Z</dcterms:created>
  <dcterms:modified xsi:type="dcterms:W3CDTF">2019-12-12T00:30:33Z</dcterms:modified>
</cp:coreProperties>
</file>