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5346065</wp:posOffset>
            </wp:positionH>
            <wp:positionV relativeFrom="page">
              <wp:posOffset>311785</wp:posOffset>
            </wp:positionV>
            <wp:extent cx="2058035"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August 8,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6"/>
          <w:szCs w:val="16"/>
          <w:color w:val="auto"/>
        </w:rPr>
        <w:t>Attn:</w:t>
      </w:r>
      <w:r>
        <w:rPr>
          <w:sz w:val="20"/>
          <w:szCs w:val="20"/>
          <w:color w:val="auto"/>
        </w:rPr>
        <w:tab/>
      </w:r>
      <w:r>
        <w:rPr>
          <w:rFonts w:ascii="Arial" w:cs="Arial" w:eastAsia="Arial" w:hAnsi="Arial"/>
          <w:sz w:val="16"/>
          <w:szCs w:val="16"/>
          <w:color w:val="auto"/>
        </w:rPr>
        <w:t>Gus Rodriguez, Accounting Branch Chief, Office of Financial Services</w:t>
      </w:r>
    </w:p>
    <w:p>
      <w:pPr>
        <w:sectPr>
          <w:pgSz w:w="11900" w:h="16838" w:orient="portrait"/>
          <w:cols w:equalWidth="0" w:num="1">
            <w:col w:w="11380"/>
          </w:cols>
          <w:pgMar w:left="240" w:top="1440" w:right="279" w:bottom="1440" w:gutter="0" w:footer="0" w:header="0"/>
        </w:sectPr>
      </w:pPr>
    </w:p>
    <w:p>
      <w:pPr>
        <w:spacing w:after="0" w:line="234"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Form 20-F for Fiscal Year Ended December 31, 2015</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April 29, 2016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001-14014</w:t>
      </w:r>
    </w:p>
    <w:p>
      <w:pPr>
        <w:spacing w:after="0" w:line="200" w:lineRule="exact"/>
        <w:rPr>
          <w:sz w:val="24"/>
          <w:szCs w:val="24"/>
          <w:color w:val="auto"/>
        </w:rPr>
      </w:pPr>
    </w:p>
    <w:p>
      <w:pPr>
        <w:sectPr>
          <w:pgSz w:w="11900" w:h="16838" w:orient="portrait"/>
          <w:cols w:equalWidth="0" w:num="2">
            <w:col w:w="260" w:space="400"/>
            <w:col w:w="10720"/>
          </w:cols>
          <w:pgMar w:left="240" w:top="1440" w:right="27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Rodriguez:</w:t>
      </w:r>
    </w:p>
    <w:p>
      <w:pPr>
        <w:spacing w:after="0" w:line="225" w:lineRule="exact"/>
        <w:rPr>
          <w:sz w:val="24"/>
          <w:szCs w:val="24"/>
          <w:color w:val="auto"/>
        </w:rPr>
      </w:pPr>
    </w:p>
    <w:p>
      <w:pPr>
        <w:ind w:firstLine="648"/>
        <w:spacing w:after="0" w:line="308" w:lineRule="auto"/>
        <w:rPr>
          <w:sz w:val="20"/>
          <w:szCs w:val="20"/>
          <w:color w:val="auto"/>
        </w:rPr>
      </w:pPr>
      <w:r>
        <w:rPr>
          <w:rFonts w:ascii="Arial" w:cs="Arial" w:eastAsia="Arial" w:hAnsi="Arial"/>
          <w:sz w:val="17"/>
          <w:szCs w:val="17"/>
          <w:color w:val="auto"/>
        </w:rPr>
        <w:t>On behalf of Credicorp Ltd. (“Credicorp” or the “Company”), we are responding to the letter of the Staff of the Division of Corporation Finance (the “Staff”) dated July 27, 2016. For your convenience, we have included the Staff’s comment below in bold followed by our related response.</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20-F for the Year Ended December 31,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18. Financial Statements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 F-1</w:t>
      </w:r>
    </w:p>
    <w:p>
      <w:pPr>
        <w:spacing w:after="0" w:line="207" w:lineRule="exact"/>
        <w:rPr>
          <w:sz w:val="24"/>
          <w:szCs w:val="24"/>
          <w:color w:val="auto"/>
        </w:rPr>
      </w:pPr>
    </w:p>
    <w:p>
      <w:pPr>
        <w:ind w:firstLine="8"/>
        <w:spacing w:after="0" w:line="282"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to have your independent auditor include the city and state where the audit report was issued as required by Rule 2-02 or Regulation S-X.</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Company Response</w:t>
      </w:r>
    </w:p>
    <w:p>
      <w:pPr>
        <w:spacing w:after="0" w:line="229" w:lineRule="exact"/>
        <w:rPr>
          <w:sz w:val="24"/>
          <w:szCs w:val="24"/>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In response to the Staff’s comment, we note that the Report of Independent Registered Public Accounting Firm, on page F-1, was issued in Lima, Peru. In future filings, we will ensure that all signed audit reports include the city and state, or applicable equivalent, where such audit report was issued, in accordance with Rule 2-02(a) of Regulation S-X.</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The Company acknowledges that:</w:t>
      </w:r>
    </w:p>
    <w:p>
      <w:pPr>
        <w:spacing w:after="0" w:line="225"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25" w:lineRule="exact"/>
        <w:rPr>
          <w:rFonts w:ascii="Arial" w:cs="Arial" w:eastAsia="Arial" w:hAnsi="Arial"/>
          <w:sz w:val="18"/>
          <w:szCs w:val="18"/>
          <w:color w:val="auto"/>
        </w:rPr>
      </w:pPr>
    </w:p>
    <w:p>
      <w:pPr>
        <w:ind w:left="340" w:right="66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United States Securities and Exchange Commission (“Commission”) from taking any action with respect to the filing; and</w:t>
      </w:r>
    </w:p>
    <w:p>
      <w:pPr>
        <w:spacing w:after="0" w:line="197"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Please do not hesitate to contact us at (511) 313-2140 to discuss this letter.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Fernando Dasso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80"/>
      </w:cols>
      <w:pgMar w:left="240" w:top="1440"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2019-12-06T08:40:14Z</dcterms:created>
  <dcterms:modified xsi:type="dcterms:W3CDTF">2019-12-06T08:40:14Z</dcterms:modified>
</cp:coreProperties>
</file>