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Pursuant to Rule 13a-16 or 15d-16 under the</w:t>
      </w:r>
    </w:p>
    <w:p>
      <w:pPr>
        <w:jc w:val="center"/>
        <w:ind w:right="-159"/>
        <w:spacing w:after="0"/>
        <w:rPr>
          <w:sz w:val="20"/>
          <w:szCs w:val="20"/>
          <w:color w:val="auto"/>
        </w:rPr>
      </w:pPr>
      <w:r>
        <w:rPr>
          <w:rFonts w:ascii="Times New Roman" w:cs="Times New Roman" w:eastAsia="Times New Roman" w:hAnsi="Times New Roman"/>
          <w:sz w:val="22"/>
          <w:szCs w:val="22"/>
          <w:color w:val="auto"/>
        </w:rPr>
        <w:t>Securities Exchange Act of 1934</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For the month of April 2022</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Commission File Number: 001-14014</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0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our subsidiary</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Banco de Credito del Peru:</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Calle Centenario 156</w:t>
      </w:r>
    </w:p>
    <w:p>
      <w:pPr>
        <w:jc w:val="center"/>
        <w:ind w:right="-159"/>
        <w:spacing w:after="0" w:line="231" w:lineRule="auto"/>
        <w:rPr>
          <w:sz w:val="20"/>
          <w:szCs w:val="20"/>
          <w:color w:val="auto"/>
        </w:rPr>
      </w:pPr>
      <w:r>
        <w:rPr>
          <w:rFonts w:ascii="Times New Roman" w:cs="Times New Roman" w:eastAsia="Times New Roman" w:hAnsi="Times New Roman"/>
          <w:sz w:val="22"/>
          <w:szCs w:val="22"/>
          <w:b w:val="1"/>
          <w:bCs w:val="1"/>
          <w:color w:val="auto"/>
        </w:rPr>
        <w:t>La Molina</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Lima 12, Peru</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213" w:lineRule="exact"/>
        <w:rPr>
          <w:sz w:val="24"/>
          <w:szCs w:val="24"/>
          <w:color w:val="auto"/>
        </w:rPr>
      </w:pPr>
    </w:p>
    <w:p>
      <w:pPr>
        <w:jc w:val="center"/>
        <w:ind w:right="-159"/>
        <w:spacing w:after="0" w:line="253" w:lineRule="exact"/>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40-F </w:t>
      </w:r>
      <w:r>
        <w:rPr>
          <w:rFonts w:ascii="MS PGothic" w:cs="MS PGothic" w:eastAsia="MS PGothic" w:hAnsi="MS PGothic"/>
          <w:sz w:val="22"/>
          <w:szCs w:val="22"/>
          <w:color w:val="auto"/>
        </w:rPr>
        <w:t>☐</w:t>
      </w:r>
    </w:p>
    <w:p>
      <w:pPr>
        <w:spacing w:after="0" w:line="247"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101(b)(1): </w:t>
      </w:r>
      <w:r>
        <w:rPr>
          <w:rFonts w:ascii="MS PGothic" w:cs="MS PGothic" w:eastAsia="MS PGothic" w:hAnsi="MS PGothic"/>
          <w:sz w:val="21"/>
          <w:szCs w:val="21"/>
          <w:color w:val="auto"/>
        </w:rPr>
        <w:t>☐</w:t>
      </w:r>
    </w:p>
    <w:p>
      <w:pPr>
        <w:spacing w:after="0" w:line="258" w:lineRule="exact"/>
        <w:rPr>
          <w:sz w:val="24"/>
          <w:szCs w:val="24"/>
          <w:color w:val="auto"/>
        </w:rPr>
      </w:pPr>
    </w:p>
    <w:p>
      <w:pPr>
        <w:jc w:val="center"/>
        <w:spacing w:after="0" w:line="242" w:lineRule="exact"/>
        <w:rPr>
          <w:sz w:val="20"/>
          <w:szCs w:val="20"/>
          <w:color w:val="auto"/>
        </w:rPr>
      </w:pPr>
      <w:r>
        <w:rPr>
          <w:rFonts w:ascii="Times New Roman" w:cs="Times New Roman" w:eastAsia="Times New Roman" w:hAnsi="Times New Roman"/>
          <w:sz w:val="21"/>
          <w:szCs w:val="21"/>
          <w:color w:val="auto"/>
        </w:rPr>
        <w:t xml:space="preserve">Indicate by check mark if the registrant is submitting the Form 6-K in paper as permitted by Regulation S-T Rule 101(b)(7):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262890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356870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502920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80" w:top="529"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75145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751455" cy="420370"/>
                    </a:xfrm>
                    <a:prstGeom prst="rect">
                      <a:avLst/>
                    </a:prstGeom>
                    <a:noFill/>
                  </pic:spPr>
                </pic:pic>
              </a:graphicData>
            </a:graphic>
          </wp:anchor>
        </w:drawing>
        <w:t>April 28, 2022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 SEC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MATERIAL EVENT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hereby notify you as a Material Event that the Board of Directors of Credicorp Ltd. (‘Credicorp’), in its session held today April 28, 2022, has accepted the resignation submitted by Mrs. Miriam Böttger Egg to the position of Deputy General Secretary of Credicorp, and has appointed Mr. Guillermo Morales to take over that position, effective as from May 1, 2022.</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22"/>
          <w:szCs w:val="22"/>
          <w:u w:val="single" w:color="auto"/>
          <w:color w:val="auto"/>
        </w:rPr>
        <w:t>Miriam Böttger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Authorized Representative</w:t>
      </w:r>
    </w:p>
    <w:p>
      <w:pPr>
        <w:spacing w:after="0"/>
        <w:rPr>
          <w:sz w:val="20"/>
          <w:szCs w:val="20"/>
          <w:color w:val="auto"/>
        </w:rPr>
      </w:pPr>
      <w:r>
        <w:rPr>
          <w:rFonts w:ascii="Times New Roman" w:cs="Times New Roman" w:eastAsia="Times New Roman" w:hAnsi="Times New Roman"/>
          <w:sz w:val="22"/>
          <w:szCs w:val="22"/>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firstLine="535"/>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Date: April 28, 2022</w:t>
      </w:r>
    </w:p>
    <w:p>
      <w:pPr>
        <w:spacing w:after="0" w:line="24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0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21513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1380" cy="1714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2022-04-28T18:31:05Z</dcterms:created>
  <dcterms:modified xsi:type="dcterms:W3CDTF">2022-04-28T18:31:05Z</dcterms:modified>
</cp:coreProperties>
</file>