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210820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63" w:right="619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6117590</wp:posOffset>
            </wp:positionH>
            <wp:positionV relativeFrom="page">
              <wp:posOffset>88900</wp:posOffset>
            </wp:positionV>
            <wp:extent cx="1286510" cy="37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La Molina, December 17, 2009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COMISIÓN NACIONAL SUPERVISORA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 EMPRESAS Y VALORES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</w:t>
        <w:tab/>
        <w:t>MATERIAL EVENT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LTD., in accordance with article 10 of CONASEV Resolution N° 09-2006-EF/94.10 “Acquisition Public Offering and Acquisition by Exclusion”, Capital Markets Law and CONASEV Resolution 107-2002-EF/94.10 for “Material Events and Reserved Information and Other Communications”, complies with notifying you of the following Material Event: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December 16, 2009 and through the Lima Stock Exchange, Credicorp acquired 19’115,182 shares of Inversiones Centenario S.A. that represent 11.24% of the company’s total stock for a total amount of S/. 76’460,728.00 (S/.4.00 per share). The shares were transferred by Credicorp’s subsidiary Grupo Crédito S.A. This operation represented a re-distribution between companies of the same economic group without altering the control group.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transaction was made using own funds and financing obtained by Credicorp from third parties.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Giuliana Cuzquén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7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17, 2009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14605</wp:posOffset>
            </wp:positionV>
            <wp:extent cx="35077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226695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60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2019-12-10T13:35:47Z</dcterms:created>
  <dcterms:modified xsi:type="dcterms:W3CDTF">2019-12-10T13:35:47Z</dcterms:modified>
</cp:coreProperties>
</file>