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194310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January 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206375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o No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455930</wp:posOffset>
            </wp:positionV>
            <wp:extent cx="7246620" cy="26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700" w:top="472" w:right="599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5320030</wp:posOffset>
            </wp:positionH>
            <wp:positionV relativeFrom="page">
              <wp:posOffset>586105</wp:posOffset>
            </wp:positionV>
            <wp:extent cx="2058035" cy="574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57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January 26, 2012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COMISIÓN NACIONAL SUPERVISORA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 EMPRESAS Y VALORES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CONASEV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article 28 of the Capital Markets Law approved by Law N° 093-2002-EF and CONASEV Resolution for Material Events and Reserved Information and Other Communications number 107-2002-EF/94.10, as modified by CONASEV Resolution number 009-2003-EF/94.10, Credicorp Ltd. complies with notifying you of the following Material Event: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Credicorp’s Board of Directors, in its session held on January 25, 2012, agreed to create the Remuneration and Compensation Committee whose main responsibilities, among others, will be: to define the remuneration, compensation and other benefits policies that should be applied in all Credicorp’s subsidiaries; to delineate the remuneration and compensation policies of the main executives of Credicorp and its subsidiaries; and to outline the compensation policy of the Board of Directors of all Credicorp’s subsidiaries.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Credicorp’s subsidiaries should be aligned to such policies.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Committee will be composed by Mr. Dionisio Romero P. (Chairman of the Board of Directors), Mr. Raimundo Morales (Vice- Chairman of the Board of Directors), Mr. Reynaldo Llosa Barber (member of the Board of Directors) and Mr. Walter Bayly (Chief Operating Officer).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</w:t>
            </w: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Mario Ferrari</w:t>
            </w:r>
          </w:p>
        </w:tc>
        <w:tc>
          <w:tcPr>
            <w:tcW w:w="7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Credicorp Ltd.</w:t>
            </w:r>
          </w:p>
        </w:tc>
        <w:tc>
          <w:tcPr>
            <w:tcW w:w="7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54"/>
        </w:trPr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January 26, 2012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Mario Ferrari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Mario Ferrari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246620" cy="260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80"/>
      </w:cols>
      <w:pgMar w:left="240" w:top="904" w:right="8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2019-12-09T11:15:31Z</dcterms:created>
  <dcterms:modified xsi:type="dcterms:W3CDTF">2019-12-09T11:15:31Z</dcterms:modified>
</cp:coreProperties>
</file>