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8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For the month of February 2013</w:t>
      </w:r>
    </w:p>
    <w:p>
      <w:pPr>
        <w:spacing w:after="0" w:line="229"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Commission File Number: 001-14014</w:t>
      </w:r>
    </w:p>
    <w:p>
      <w:pPr>
        <w:spacing w:after="0" w:line="221" w:lineRule="exact"/>
        <w:rPr>
          <w:sz w:val="24"/>
          <w:szCs w:val="24"/>
          <w:color w:val="auto"/>
        </w:rPr>
      </w:pPr>
    </w:p>
    <w:p>
      <w:pPr>
        <w:ind w:left="3740"/>
        <w:spacing w:after="0"/>
        <w:rPr>
          <w:sz w:val="20"/>
          <w:szCs w:val="20"/>
          <w:color w:val="auto"/>
        </w:rPr>
      </w:pPr>
      <w:r>
        <w:rPr>
          <w:rFonts w:ascii="Arial" w:cs="Arial" w:eastAsia="Arial" w:hAnsi="Arial"/>
          <w:sz w:val="18"/>
          <w:szCs w:val="18"/>
          <w:b w:val="1"/>
          <w:bCs w:val="1"/>
          <w:color w:val="auto"/>
        </w:rPr>
        <w:t>CREDICORP LTD.</w:t>
      </w:r>
    </w:p>
    <w:p>
      <w:pPr>
        <w:spacing w:after="0" w:line="22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(Translation of registrant’s name into English))</w:t>
      </w:r>
    </w:p>
    <w:p>
      <w:pPr>
        <w:spacing w:after="0" w:line="221"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jc w:val="center"/>
        <w:ind w:right="560"/>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48" w:lineRule="exact"/>
        <w:rPr>
          <w:sz w:val="24"/>
          <w:szCs w:val="24"/>
          <w:color w:val="auto"/>
        </w:rPr>
      </w:pPr>
    </w:p>
    <w:p>
      <w:pPr>
        <w:ind w:left="3560"/>
        <w:spacing w:after="0"/>
        <w:rPr>
          <w:sz w:val="20"/>
          <w:szCs w:val="20"/>
          <w:color w:val="auto"/>
        </w:rPr>
      </w:pPr>
      <w:r>
        <w:rPr>
          <w:rFonts w:ascii="Arial" w:cs="Arial" w:eastAsia="Arial" w:hAnsi="Arial"/>
          <w:sz w:val="18"/>
          <w:szCs w:val="18"/>
          <w:color w:val="auto"/>
        </w:rPr>
        <w:t>Form 20-F x Form 40-F o</w:t>
      </w:r>
    </w:p>
    <w:p>
      <w:pPr>
        <w:spacing w:after="0" w:line="200" w:lineRule="exact"/>
        <w:rPr>
          <w:sz w:val="24"/>
          <w:szCs w:val="24"/>
          <w:color w:val="auto"/>
        </w:rPr>
      </w:pPr>
    </w:p>
    <w:p>
      <w:pPr>
        <w:spacing w:after="0" w:line="241" w:lineRule="exact"/>
        <w:rPr>
          <w:sz w:val="24"/>
          <w:szCs w:val="24"/>
          <w:color w:val="auto"/>
        </w:rPr>
      </w:pPr>
    </w:p>
    <w:p>
      <w:pPr>
        <w:ind w:left="16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____</w:t>
      </w:r>
    </w:p>
    <w:p>
      <w:pPr>
        <w:spacing w:after="0" w:line="200" w:lineRule="exact"/>
        <w:rPr>
          <w:sz w:val="24"/>
          <w:szCs w:val="24"/>
          <w:color w:val="auto"/>
        </w:rPr>
      </w:pPr>
    </w:p>
    <w:p>
      <w:pPr>
        <w:spacing w:after="0" w:line="264" w:lineRule="exact"/>
        <w:rPr>
          <w:sz w:val="24"/>
          <w:szCs w:val="24"/>
          <w:color w:val="auto"/>
        </w:rPr>
      </w:pPr>
    </w:p>
    <w:p>
      <w:pPr>
        <w:ind w:left="16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-756285</wp:posOffset>
            </wp:positionH>
            <wp:positionV relativeFrom="paragraph">
              <wp:posOffset>441325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00"/>
          </w:cols>
          <w:pgMar w:left="1440" w:top="229" w:right="959" w:bottom="1440" w:gutter="0" w:footer="0" w:header="0"/>
        </w:sectPr>
      </w:pPr>
    </w:p>
    <w:bookmarkStart w:id="1" w:name="page2"/>
    <w:bookmarkEnd w:id="1"/>
    <w:p>
      <w:pPr>
        <w:jc w:val="center"/>
        <w:ind w:left="3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808990</wp:posOffset>
            </wp:positionV>
            <wp:extent cx="1637665" cy="72891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637665" cy="7289165"/>
                    </a:xfrm>
                    <a:prstGeom prst="rect">
                      <a:avLst/>
                    </a:prstGeom>
                    <a:noFill/>
                  </pic:spPr>
                </pic:pic>
              </a:graphicData>
            </a:graphic>
          </wp:anchor>
        </w:drawing>
        <w:drawing>
          <wp:anchor simplePos="0" relativeHeight="251657728" behindDoc="1" locked="0" layoutInCell="0" allowOverlap="1">
            <wp:simplePos x="0" y="0"/>
            <wp:positionH relativeFrom="page">
              <wp:posOffset>4128135</wp:posOffset>
            </wp:positionH>
            <wp:positionV relativeFrom="page">
              <wp:posOffset>448945</wp:posOffset>
            </wp:positionV>
            <wp:extent cx="1346200" cy="274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346200" cy="274320"/>
                    </a:xfrm>
                    <a:prstGeom prst="rect">
                      <a:avLst/>
                    </a:prstGeom>
                    <a:noFill/>
                  </pic:spPr>
                </pic:pic>
              </a:graphicData>
            </a:graphic>
          </wp:anchor>
        </w:drawing>
        <w:t>Fourth Quarter 2012 Results</w:t>
      </w:r>
    </w:p>
    <w:p>
      <w:pPr>
        <w:spacing w:after="0" w:line="225" w:lineRule="exact"/>
        <w:rPr>
          <w:sz w:val="20"/>
          <w:szCs w:val="20"/>
          <w:color w:val="auto"/>
        </w:rPr>
      </w:pPr>
    </w:p>
    <w:p>
      <w:pPr>
        <w:jc w:val="both"/>
        <w:ind w:left="2000"/>
        <w:spacing w:after="0" w:line="266" w:lineRule="auto"/>
        <w:rPr>
          <w:sz w:val="20"/>
          <w:szCs w:val="20"/>
          <w:color w:val="auto"/>
        </w:rPr>
      </w:pPr>
      <w:r>
        <w:rPr>
          <w:rFonts w:ascii="Arial" w:cs="Arial" w:eastAsia="Arial" w:hAnsi="Arial"/>
          <w:sz w:val="18"/>
          <w:szCs w:val="18"/>
          <w:b w:val="1"/>
          <w:bCs w:val="1"/>
          <w:color w:val="auto"/>
        </w:rPr>
        <w:t xml:space="preserve">Lima, Peru, February 04, 2013 - </w:t>
      </w:r>
      <w:r>
        <w:rPr>
          <w:rFonts w:ascii="Arial" w:cs="Arial" w:eastAsia="Arial" w:hAnsi="Arial"/>
          <w:sz w:val="18"/>
          <w:szCs w:val="18"/>
          <w:color w:val="auto"/>
        </w:rPr>
        <w:t>Credicorp (NYSE:BAP) announced today its unaudited results for the fourth</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of 2012. These results are reported on a consolidated basis in accordance with IFRS in nominal U.S. Dollars.</w:t>
      </w:r>
    </w:p>
    <w:p>
      <w:pPr>
        <w:spacing w:after="0" w:line="176"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HIGHLIGHTS</w:t>
      </w:r>
    </w:p>
    <w:p>
      <w:pPr>
        <w:spacing w:after="0" w:line="229" w:lineRule="exact"/>
        <w:rPr>
          <w:sz w:val="20"/>
          <w:szCs w:val="20"/>
          <w:color w:val="auto"/>
        </w:rPr>
      </w:pPr>
    </w:p>
    <w:p>
      <w:pPr>
        <w:jc w:val="both"/>
        <w:ind w:left="2340" w:hanging="331"/>
        <w:spacing w:after="0" w:line="285" w:lineRule="auto"/>
        <w:tabs>
          <w:tab w:leader="none" w:pos="2367" w:val="left"/>
        </w:tabs>
        <w:numPr>
          <w:ilvl w:val="0"/>
          <w:numId w:val="1"/>
        </w:numPr>
        <w:rPr>
          <w:rFonts w:ascii="Arial" w:cs="Arial" w:eastAsia="Arial" w:hAnsi="Arial"/>
          <w:sz w:val="16"/>
          <w:szCs w:val="16"/>
          <w:color w:val="auto"/>
        </w:rPr>
      </w:pPr>
      <w:r>
        <w:rPr>
          <w:rFonts w:ascii="Arial" w:cs="Arial" w:eastAsia="Arial" w:hAnsi="Arial"/>
          <w:sz w:val="16"/>
          <w:szCs w:val="16"/>
          <w:color w:val="auto"/>
        </w:rPr>
        <w:t>Credicorp reported strong net earnings after minority interest of US$200.2 million for the last Q of 2012, which led to the US$ 788.8 million net earnings reported for the full year 2012. This number, though below the extraordinarily high results of 3Q, reflects an excellent 11.2% increase in net income for the year, a result we are proud of given the strong expansion and related higher costs incurred. Consequently, ROAE in 4Q slipped back slightly below the 20% threshold, but the return for the year was within expectations at 21.1%.</w:t>
      </w:r>
    </w:p>
    <w:p>
      <w:pPr>
        <w:spacing w:after="0" w:line="2" w:lineRule="exact"/>
        <w:rPr>
          <w:rFonts w:ascii="Arial" w:cs="Arial" w:eastAsia="Arial" w:hAnsi="Arial"/>
          <w:sz w:val="16"/>
          <w:szCs w:val="16"/>
          <w:color w:val="auto"/>
        </w:rPr>
      </w:pPr>
    </w:p>
    <w:p>
      <w:pPr>
        <w:jc w:val="both"/>
        <w:ind w:left="2340" w:hanging="331"/>
        <w:spacing w:after="0" w:line="250" w:lineRule="auto"/>
        <w:tabs>
          <w:tab w:leader="none" w:pos="2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Operating trends were strong with 5.9% loan book growth for the Q and 23.1% for the full year. However, operating income dropped a significant 12.2% for the Q as year-end operating expenses grew 19.2% for the Q, more than offsetting the excellent income expansion both in net interest income (+3.7% QoQ) and non financial income (+5.4% QoQ), as well as the improved contribution to income from the insurance business (up 29% QoQ).</w:t>
      </w:r>
    </w:p>
    <w:p>
      <w:pPr>
        <w:spacing w:after="0" w:line="2" w:lineRule="exact"/>
        <w:rPr>
          <w:rFonts w:ascii="Arial" w:cs="Arial" w:eastAsia="Arial" w:hAnsi="Arial"/>
          <w:sz w:val="18"/>
          <w:szCs w:val="18"/>
          <w:color w:val="auto"/>
        </w:rPr>
      </w:pPr>
    </w:p>
    <w:p>
      <w:pPr>
        <w:jc w:val="both"/>
        <w:ind w:left="2340" w:hanging="331"/>
        <w:spacing w:after="0" w:line="281" w:lineRule="auto"/>
        <w:tabs>
          <w:tab w:leader="none" w:pos="238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Though strong portfolio performance was reported, NII growth was slightly squeezed and expanded only 3.7% for the Q given 4.9% expansion in interest income and 7.4% growth in interest expenses. Nevertheless, a 12bp increase in NIM was reported for the year, which led this indicator to situate at 5.09% in 2012.</w:t>
      </w:r>
    </w:p>
    <w:p>
      <w:pPr>
        <w:spacing w:after="0" w:line="2" w:lineRule="exact"/>
        <w:rPr>
          <w:rFonts w:ascii="Arial" w:cs="Arial" w:eastAsia="Arial" w:hAnsi="Arial"/>
          <w:sz w:val="16"/>
          <w:szCs w:val="16"/>
          <w:color w:val="auto"/>
        </w:rPr>
      </w:pPr>
    </w:p>
    <w:p>
      <w:pPr>
        <w:jc w:val="both"/>
        <w:ind w:left="2340" w:hanging="331"/>
        <w:spacing w:after="0" w:line="281" w:lineRule="auto"/>
        <w:tabs>
          <w:tab w:leader="none" w:pos="2367"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evolution of non-financial income was excellent given that Banking services commissions grew 5.5% and earnings on FX transaction 10.6% for the Q. The latter, coupled with some additional gains on the sale of securities, led to 5.4% QoQ growth and an overall 27.6% expansion of non-financial income in 2012.</w:t>
      </w:r>
    </w:p>
    <w:p>
      <w:pPr>
        <w:spacing w:after="0" w:line="2" w:lineRule="exact"/>
        <w:rPr>
          <w:rFonts w:ascii="Arial" w:cs="Arial" w:eastAsia="Arial" w:hAnsi="Arial"/>
          <w:sz w:val="16"/>
          <w:szCs w:val="16"/>
          <w:color w:val="auto"/>
        </w:rPr>
      </w:pPr>
    </w:p>
    <w:p>
      <w:pPr>
        <w:jc w:val="both"/>
        <w:ind w:left="2340" w:hanging="331"/>
        <w:spacing w:after="0" w:line="250" w:lineRule="auto"/>
        <w:tabs>
          <w:tab w:leader="none" w:pos="2421"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insurance business (excluding the medical venture), reported a staggering 29% QoQ increase in its underwriting result for a total of US$60.3 million. This improved the overall performance of this business for the year, which was reflected in the yearly expansion of 28.4% posted for the underwriting result. Furthermore, medical services reported a smaller loss than in 3Q of US$1.8 million that nonetheless led to a total loss for this business of US$2.1 million.</w:t>
      </w:r>
    </w:p>
    <w:p>
      <w:pPr>
        <w:spacing w:after="0" w:line="2" w:lineRule="exact"/>
        <w:rPr>
          <w:rFonts w:ascii="Arial" w:cs="Arial" w:eastAsia="Arial" w:hAnsi="Arial"/>
          <w:sz w:val="18"/>
          <w:szCs w:val="18"/>
          <w:color w:val="auto"/>
        </w:rPr>
      </w:pPr>
    </w:p>
    <w:p>
      <w:pPr>
        <w:jc w:val="both"/>
        <w:ind w:left="2340" w:hanging="331"/>
        <w:spacing w:after="0" w:line="265" w:lineRule="auto"/>
        <w:tabs>
          <w:tab w:leader="none" w:pos="2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Portfolio quality remained sound and stable despite strong growth in the retail business. Delinquency ratios showed little to no variations from 3Q to 4Q for the total book, though some retail lines showed improvements. As expected, the level of provisions has remained high at approx. 1.9% of portfolio in 4Q, which brings the provisioning level for the year to 1.78% of the book. This level is still low given the strong growth in the retail book, which currently represents 51.2% of the portfolio.</w:t>
      </w:r>
    </w:p>
    <w:p>
      <w:pPr>
        <w:spacing w:after="0" w:line="1" w:lineRule="exact"/>
        <w:rPr>
          <w:rFonts w:ascii="Arial" w:cs="Arial" w:eastAsia="Arial" w:hAnsi="Arial"/>
          <w:sz w:val="17"/>
          <w:szCs w:val="17"/>
          <w:color w:val="auto"/>
        </w:rPr>
      </w:pPr>
    </w:p>
    <w:p>
      <w:pPr>
        <w:jc w:val="both"/>
        <w:ind w:left="2340" w:hanging="331"/>
        <w:spacing w:after="0" w:line="250" w:lineRule="auto"/>
        <w:tabs>
          <w:tab w:leader="none" w:pos="2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Operating expenses were indeed the fastest growing line and reflect the strong expansion and investment needs of all our businesses. Overall expenses were up 19.2% for the Q and expanded 27.5% for the whole year. This certainly reflects the important investments in personnel, marketing, advisory &amp; legal fees. The revaluation in local currency also partially explains this growth.</w:t>
      </w:r>
    </w:p>
    <w:p>
      <w:pPr>
        <w:spacing w:after="0" w:line="1" w:lineRule="exact"/>
        <w:rPr>
          <w:rFonts w:ascii="Arial" w:cs="Arial" w:eastAsia="Arial" w:hAnsi="Arial"/>
          <w:sz w:val="18"/>
          <w:szCs w:val="18"/>
          <w:color w:val="auto"/>
        </w:rPr>
      </w:pPr>
    </w:p>
    <w:p>
      <w:pPr>
        <w:jc w:val="both"/>
        <w:ind w:left="2340" w:hanging="331"/>
        <w:spacing w:after="0" w:line="250" w:lineRule="auto"/>
        <w:tabs>
          <w:tab w:leader="none" w:pos="2313" w:val="left"/>
        </w:tabs>
        <w:numPr>
          <w:ilvl w:val="0"/>
          <w:numId w:val="1"/>
        </w:numPr>
        <w:rPr>
          <w:rFonts w:ascii="Arial" w:cs="Arial" w:eastAsia="Arial" w:hAnsi="Arial"/>
          <w:sz w:val="18"/>
          <w:szCs w:val="18"/>
          <w:color w:val="auto"/>
        </w:rPr>
      </w:pPr>
      <w:r>
        <w:rPr>
          <w:rFonts w:ascii="Arial" w:cs="Arial" w:eastAsia="Arial" w:hAnsi="Arial"/>
          <w:sz w:val="18"/>
          <w:szCs w:val="18"/>
          <w:color w:val="auto"/>
        </w:rPr>
        <w:t>As in the previous Q, in 4Q the local currency maintained its strong revaluation trend, which once again led to translation gains and a lower effective tax rate, both of which contributed to offsetting the sharp rise in costs.</w:t>
      </w:r>
    </w:p>
    <w:p>
      <w:pPr>
        <w:spacing w:after="0" w:line="1" w:lineRule="exact"/>
        <w:rPr>
          <w:rFonts w:ascii="Arial" w:cs="Arial" w:eastAsia="Arial" w:hAnsi="Arial"/>
          <w:sz w:val="18"/>
          <w:szCs w:val="18"/>
          <w:color w:val="auto"/>
        </w:rPr>
      </w:pPr>
    </w:p>
    <w:p>
      <w:pPr>
        <w:jc w:val="both"/>
        <w:ind w:left="2340" w:hanging="331"/>
        <w:spacing w:after="0" w:line="250" w:lineRule="auto"/>
        <w:tabs>
          <w:tab w:leader="none" w:pos="2313" w:val="left"/>
        </w:tabs>
        <w:numPr>
          <w:ilvl w:val="0"/>
          <w:numId w:val="1"/>
        </w:numPr>
        <w:rPr>
          <w:rFonts w:ascii="Arial" w:cs="Arial" w:eastAsia="Arial" w:hAnsi="Arial"/>
          <w:sz w:val="18"/>
          <w:szCs w:val="18"/>
          <w:color w:val="auto"/>
        </w:rPr>
      </w:pPr>
      <w:r>
        <w:rPr>
          <w:rFonts w:ascii="Arial" w:cs="Arial" w:eastAsia="Arial" w:hAnsi="Arial"/>
          <w:sz w:val="18"/>
          <w:szCs w:val="18"/>
          <w:color w:val="auto"/>
        </w:rPr>
        <w:t>This 4Q12, BCP reported US$171 million in net income, which led to an 11% decrease in its contribution to Credicorp, which totaled US$166.7 million. This reflects the spin-off of certain subsidiaries, which are being consolidated into the new investment bank that is in turn held by Credicorp, and the high cost line, which is mainly carried by BCP. Nevertheless, total contribution for the year reached US$ 645.8 million, showing an excellent 15% YoY increase.</w:t>
      </w:r>
    </w:p>
    <w:p>
      <w:pPr>
        <w:spacing w:after="0" w:line="2" w:lineRule="exact"/>
        <w:rPr>
          <w:rFonts w:ascii="Arial" w:cs="Arial" w:eastAsia="Arial" w:hAnsi="Arial"/>
          <w:sz w:val="18"/>
          <w:szCs w:val="18"/>
          <w:color w:val="auto"/>
        </w:rPr>
      </w:pPr>
    </w:p>
    <w:p>
      <w:pPr>
        <w:jc w:val="both"/>
        <w:ind w:left="2340" w:hanging="331"/>
        <w:spacing w:after="0" w:line="250" w:lineRule="auto"/>
        <w:tabs>
          <w:tab w:leader="none" w:pos="2286" w:val="left"/>
        </w:tabs>
        <w:numPr>
          <w:ilvl w:val="0"/>
          <w:numId w:val="1"/>
        </w:numPr>
        <w:rPr>
          <w:rFonts w:ascii="Arial" w:cs="Arial" w:eastAsia="Arial" w:hAnsi="Arial"/>
          <w:sz w:val="18"/>
          <w:szCs w:val="18"/>
          <w:color w:val="auto"/>
        </w:rPr>
      </w:pPr>
      <w:r>
        <w:rPr>
          <w:rFonts w:ascii="Arial" w:cs="Arial" w:eastAsia="Arial" w:hAnsi="Arial"/>
          <w:sz w:val="18"/>
          <w:szCs w:val="18"/>
          <w:color w:val="auto"/>
        </w:rPr>
        <w:t>BCP Bolivia showed excellent operating trends with good loan book growth, low delinquencies and increases in financial income; nevertheless, the bank’s results have been continuously affected by higher taxes and provisions for tax contingencies. Net contribution to Credicorp dropped to US$3.9 million for 4Q and totaled US$20.1 million for 2012.</w:t>
      </w:r>
    </w:p>
    <w:p>
      <w:pPr>
        <w:spacing w:after="0" w:line="1" w:lineRule="exact"/>
        <w:rPr>
          <w:rFonts w:ascii="Arial" w:cs="Arial" w:eastAsia="Arial" w:hAnsi="Arial"/>
          <w:sz w:val="18"/>
          <w:szCs w:val="18"/>
          <w:color w:val="auto"/>
        </w:rPr>
      </w:pPr>
    </w:p>
    <w:p>
      <w:pPr>
        <w:jc w:val="both"/>
        <w:ind w:left="2340" w:hanging="331"/>
        <w:spacing w:after="0" w:line="302" w:lineRule="auto"/>
        <w:tabs>
          <w:tab w:leader="none" w:pos="2326" w:val="left"/>
        </w:tabs>
        <w:numPr>
          <w:ilvl w:val="0"/>
          <w:numId w:val="1"/>
        </w:numPr>
        <w:rPr>
          <w:rFonts w:ascii="Arial" w:cs="Arial" w:eastAsia="Arial" w:hAnsi="Arial"/>
          <w:sz w:val="16"/>
          <w:szCs w:val="16"/>
          <w:color w:val="auto"/>
        </w:rPr>
      </w:pPr>
      <w:r>
        <w:rPr>
          <w:rFonts w:ascii="Arial" w:cs="Arial" w:eastAsia="Arial" w:hAnsi="Arial"/>
          <w:sz w:val="16"/>
          <w:szCs w:val="16"/>
          <w:color w:val="auto"/>
        </w:rPr>
        <w:t>ASB’s contribution to Credicorp this 4Q12 was up 9.3% and reached US$13.7 million. This in turn led to a total contribution for the year of US$ 48.4 million. ASB posted excellent performance both for the Q and the year, with a mature NIM of 2.4% but a high efficiency ratio of 15.5% and a ROAE of 25.8% in this 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382270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337" w:right="239" w:bottom="1440" w:gutter="0" w:footer="0" w:header="0"/>
        </w:sectPr>
      </w:pPr>
    </w:p>
    <w:bookmarkStart w:id="2" w:name="page3"/>
    <w:bookmarkEnd w:id="2"/>
    <w:p>
      <w:pPr>
        <w:jc w:val="both"/>
        <w:ind w:left="340" w:hanging="332"/>
        <w:spacing w:after="0" w:line="268" w:lineRule="auto"/>
        <w:tabs>
          <w:tab w:leader="none" w:pos="340" w:val="left"/>
        </w:tabs>
        <w:numPr>
          <w:ilvl w:val="0"/>
          <w:numId w:val="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7266940</wp:posOffset>
            </wp:positionH>
            <wp:positionV relativeFrom="page">
              <wp:posOffset>568960</wp:posOffset>
            </wp:positionV>
            <wp:extent cx="13716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37160" cy="137160"/>
                    </a:xfrm>
                    <a:prstGeom prst="rect">
                      <a:avLst/>
                    </a:prstGeom>
                    <a:noFill/>
                  </pic:spPr>
                </pic:pic>
              </a:graphicData>
            </a:graphic>
          </wp:anchor>
        </w:drawing>
        <w:t>Pacifico (Pacifico Insurance Group) reported excellent underwriting results in 4Q that topped last quarter’s figure by 11.5%. In this context, net premium generation was up 3.2% for the Q. The underwriting result posted by the medical services reflected a smaller loss this Q of $1.8 million vs. $3.9 million in 3Q12. However operating expenses climbed, which meant the PPS’s contribution to Credicorp fell 18% to total US$16.9 million for the Q. Year-end numbers however show flat performance with a total contribution of US$66 million that, given on-going business expansion and continuous investments in the medical services business, is highly satisfactory and reflects a ROAE of 16.7%.</w:t>
      </w:r>
    </w:p>
    <w:p>
      <w:pPr>
        <w:spacing w:after="0" w:line="3" w:lineRule="exact"/>
        <w:rPr>
          <w:rFonts w:ascii="Arial" w:cs="Arial" w:eastAsia="Arial" w:hAnsi="Arial"/>
          <w:sz w:val="17"/>
          <w:szCs w:val="17"/>
          <w:color w:val="auto"/>
        </w:rPr>
      </w:pPr>
    </w:p>
    <w:p>
      <w:pPr>
        <w:jc w:val="both"/>
        <w:ind w:left="340" w:right="20" w:hanging="332"/>
        <w:spacing w:after="0" w:line="250"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Prima’s performance and contribution was down this 4Q by 14% as the impact of the new reforms and the cost of adapting to the new fee calculations and new regulations on fee recognition took their toll. Notwithstanding, after a downward adjustment in its equity levels, this result still reflects an excellent ROAE of 23%.</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6"/>
          <w:szCs w:val="16"/>
          <w:color w:val="auto"/>
        </w:rPr>
      </w:pPr>
      <w:r>
        <w:rPr>
          <w:rFonts w:ascii="Arial" w:cs="Arial" w:eastAsia="Arial" w:hAnsi="Arial"/>
          <w:sz w:val="16"/>
          <w:szCs w:val="16"/>
          <w:color w:val="auto"/>
        </w:rPr>
        <w:t>Overall, Credicorp posted excellent growth once again this 4Q12 that allowed the corporation to close the year with earnings above market consensus.</w:t>
      </w: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14"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7266940</wp:posOffset>
            </wp:positionH>
            <wp:positionV relativeFrom="page">
              <wp:posOffset>568960</wp:posOffset>
            </wp:positionV>
            <wp:extent cx="13716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37160" cy="137160"/>
                    </a:xfrm>
                    <a:prstGeom prst="rect">
                      <a:avLst/>
                    </a:prstGeom>
                    <a:noFill/>
                  </pic:spPr>
                </pic:pic>
              </a:graphicData>
            </a:graphic>
          </wp:anchor>
        </w:drawing>
        <w:t>I. Credicorp Ltd.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Continuing its excellent business development in a dynamic economy, Credicorp reported strong net earnings after minority interest of US$200.2 million for the fourth Q of 2012. Although this result was below the extraordinarily high results of 3Q, it represents a significant contribution that allowed the company to report US$ 788.8 million in net earnings for the full year of 2012. This bottom line number reflects an excellent 11.2% increase in net income for the year, a result we are proud of given the strong expansion and growth we are experiencing, which imply significant investments and costs. Consequently, ROAE in 4Q slipped back slightly below the 20% threshold, but the return for the year was within expectations at 21.1%.</w:t>
      </w:r>
    </w:p>
    <w:p>
      <w:pPr>
        <w:spacing w:after="0" w:line="1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Operating trends were strong with 5.9% loan book growth for the Q and 23.1% for the full year. However, operating income dropped a significant 12.2% for the Q as year-end operating expenses grew 19.2% for the Q and more than offset the excellent income expansion both in net interest income (+3.7% QoQ) and non financial income (+5.4% QoQ), as well as the improvement in the insurance business’s contribution to income (up 29% QoQ).</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Loan book expansion was once again concentrated in our retail products, which continued to grow in some cases at rates beyond 30%. This contributed to the on-going re-composition of the loan book to favor of retail loans. In fact, the retail book surpassed the 50% target for total loan share that was set a few years ago to reach 51.2% of the total loan book by year end. This constitutes an important achievement for an organization that has historically been a corporate bank. This strong loan book expansion is in line with the performance of the Peruvian economy, which posted higher growth than all its Latin American peers and certainly all developed markets with approximately 6.3% GDP growth for 2012.</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good loan book evolution was mainly carried by certain fast-growing segments, such as: the SME segment or PYME &amp; Business Loan (+9% QoQ), mortgages (+7.2% QoQ) and Edyficar (+12.6 % QoQ). Average daily balances increased 5.1% QoQ and growth was concentrated in the retail segment (+7.5% QaQ). In the wholesale business, average daily balances were up 2.4%.</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this context, where expansion in the high yield portfolio has been significant, NII growth was slightly squeezed and expanded only 3.7% for the Q due to a 4.9% expansion in interest and 7.4% growth in interest expenses. Nevertheless, a yearly increase of 11 bps in NIM led this indicator to rise from 4.96% in 2011 to 5.09% in 2012. This was possible despite extended competitive pressures as well as higher costs for funds due to changes in our funding structure.</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evolution of non-financial income was excellent, boasting 5.5% growth in Banking services commissions and 10.6% earnings on FX transactions this Q. The latter, coupled with some additional gains on the sale of securities, led to 5.4% QoQ growth and an overall 27.6% expansion in non-financial income for 2012.</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Portfolio quality remained sound and stable despite strong growth in the retail business. Delinquency ratios for the whole book showed little to no variation from 3Q to 4Q with delinquencies over 90 days stable at 1.14% while the PDL ratio for all delinquencies held steady at 1.73%. The increasing delinquencies reported in 2Q in the low-income retail business leveled out during the rest of the year and even further improvements in delinquency ratios could be reported, though the mix of the book continues to shift towards these assets. The latter has set a trend of increasing PDLs that should in time reflects the new portfolio mix, in which retail banking currently holds approximately a 51% share, and the percentage of higher risk assets within each segment is also increasing. Therefore, and as expected, the level of provisions has remained high at approx. 1.9% of the loan portfolio in 4Q, which brings the provisioning level for the year to 1.78% of the book, still a low level given the strong growth in the retail book.</w:t>
      </w:r>
    </w:p>
    <w:p>
      <w:pPr>
        <w:spacing w:after="0" w:line="3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10" w:right="239" w:bottom="1440" w:gutter="0" w:footer="0" w:header="0"/>
        </w:sectPr>
      </w:pPr>
    </w:p>
    <w:bookmarkStart w:id="4" w:name="page5"/>
    <w:bookmarkEnd w:id="4"/>
    <w:p>
      <w:pPr>
        <w:jc w:val="both"/>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7266940</wp:posOffset>
            </wp:positionH>
            <wp:positionV relativeFrom="page">
              <wp:posOffset>568960</wp:posOffset>
            </wp:positionV>
            <wp:extent cx="13716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37160" cy="137160"/>
                    </a:xfrm>
                    <a:prstGeom prst="rect">
                      <a:avLst/>
                    </a:prstGeom>
                    <a:noFill/>
                  </pic:spPr>
                </pic:pic>
              </a:graphicData>
            </a:graphic>
          </wp:anchor>
        </w:drawing>
        <w:t>The insurance business (excluding the medical venture), reported a staggering 29% increase in underwriting results for Credicorp (includes earnings related to the insurance business at all subs), which totaled US$60.3 million for the 4Q. This was the result of better risk assessment in the P&amp;C business and excellent life business, both of which contributed to raising the overall performance of the insurance operation for the year, in which the insurance business posted a 29% increase in its underwriting result. Furthermore, medical services reported a smaller loss than in 3Q of US$1.8 million, which nonetheless led to a total loss of US$2.1 million for the year in this business line. The medical service line is still in the midst of implementing its new business model and as such, has yet to reach the break-even point.</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 more negative note, operating expenses were the fastest growing line and reflect the strong expansion and investment needs of all our businesses. Overall expenses were up 19.2% for the Q and posted a 27.5% increase for the whole year. This certainly reflects the significant investments we have made in people, advisory roles, branch expansion, acquisitions, business development and investments to prepare the corporation for the strong growth that lies ahead. The revaluation in local currency also partially explains this growth.</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in the previous Q, this Q the local currency maintained its strong revaluation trend. This led again to translation gains and a lower effective tax rate, both of which contributed to offsetting the sharp rise in costs.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Therefore, in a year marked by strong costs as we enter a period of growth and adjustments to institute higher provisioning to cover the change in the portfolio mix, we are more than pleased with the results achieved, which also meet the market’s high expectations.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40" w:type="dxa"/>
            <w:vAlign w:val="bottom"/>
            <w:gridSpan w:val="2"/>
          </w:tcPr>
          <w:p>
            <w:pPr>
              <w:spacing w:after="0"/>
              <w:rPr>
                <w:sz w:val="20"/>
                <w:szCs w:val="20"/>
                <w:color w:val="auto"/>
              </w:rPr>
            </w:pPr>
            <w:r>
              <w:rPr>
                <w:rFonts w:ascii="Arial" w:cs="Arial" w:eastAsia="Arial" w:hAnsi="Arial"/>
                <w:sz w:val="13"/>
                <w:szCs w:val="13"/>
                <w:b w:val="1"/>
                <w:bCs w:val="1"/>
                <w:color w:val="auto"/>
              </w:rPr>
              <w:t>Credicorp Ltd.</w:t>
            </w: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Quarter</w:t>
            </w: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gridSpan w:val="3"/>
          </w:tcPr>
          <w:p>
            <w:pPr>
              <w:ind w:left="500"/>
              <w:spacing w:after="0"/>
              <w:rPr>
                <w:sz w:val="20"/>
                <w:szCs w:val="20"/>
                <w:color w:val="auto"/>
              </w:rPr>
            </w:pPr>
            <w:r>
              <w:rPr>
                <w:rFonts w:ascii="Arial" w:cs="Arial" w:eastAsia="Arial" w:hAnsi="Arial"/>
                <w:sz w:val="13"/>
                <w:szCs w:val="13"/>
                <w:b w:val="1"/>
                <w:bCs w:val="1"/>
                <w:color w:val="auto"/>
                <w:w w:val="92"/>
              </w:rPr>
              <w:t>Change %</w:t>
            </w: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80" w:type="dxa"/>
            <w:vAlign w:val="bottom"/>
            <w:gridSpan w:val="4"/>
          </w:tcPr>
          <w:p>
            <w:pPr>
              <w:jc w:val="right"/>
              <w:ind w:right="680"/>
              <w:spacing w:after="0"/>
              <w:rPr>
                <w:sz w:val="20"/>
                <w:szCs w:val="20"/>
                <w:color w:val="auto"/>
              </w:rPr>
            </w:pPr>
            <w:r>
              <w:rPr>
                <w:rFonts w:ascii="Arial" w:cs="Arial" w:eastAsia="Arial" w:hAnsi="Arial"/>
                <w:sz w:val="13"/>
                <w:szCs w:val="13"/>
                <w:b w:val="1"/>
                <w:bCs w:val="1"/>
                <w:color w:val="auto"/>
              </w:rPr>
              <w:t>Year ended</w:t>
            </w:r>
          </w:p>
        </w:tc>
        <w:tc>
          <w:tcPr>
            <w:tcW w:w="8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Change %</w:t>
            </w:r>
          </w:p>
        </w:tc>
        <w:tc>
          <w:tcPr>
            <w:tcW w:w="0" w:type="dxa"/>
            <w:vAlign w:val="bottom"/>
          </w:tcPr>
          <w:p>
            <w:pPr>
              <w:spacing w:after="0"/>
              <w:rPr>
                <w:sz w:val="1"/>
                <w:szCs w:val="1"/>
                <w:color w:val="auto"/>
              </w:rPr>
            </w:pPr>
          </w:p>
        </w:tc>
      </w:tr>
      <w:tr>
        <w:trPr>
          <w:trHeight w:val="153"/>
        </w:trPr>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US$ 000</w:t>
            </w:r>
          </w:p>
        </w:tc>
        <w:tc>
          <w:tcPr>
            <w:tcW w:w="120" w:type="dxa"/>
            <w:vAlign w:val="bottom"/>
            <w:tcBorders>
              <w:bottom w:val="single" w:sz="8" w:color="CCFFCC"/>
            </w:tcBorders>
          </w:tcPr>
          <w:p>
            <w:pPr>
              <w:spacing w:after="0"/>
              <w:rPr>
                <w:sz w:val="13"/>
                <w:szCs w:val="13"/>
                <w:color w:val="auto"/>
              </w:rPr>
            </w:pPr>
          </w:p>
        </w:tc>
        <w:tc>
          <w:tcPr>
            <w:tcW w:w="72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4Q12</w:t>
            </w:r>
          </w:p>
        </w:tc>
        <w:tc>
          <w:tcPr>
            <w:tcW w:w="240" w:type="dxa"/>
            <w:vAlign w:val="bottom"/>
            <w:tcBorders>
              <w:bottom w:val="single" w:sz="8" w:color="CCFFCC"/>
            </w:tcBorders>
          </w:tcPr>
          <w:p>
            <w:pPr>
              <w:spacing w:after="0"/>
              <w:rPr>
                <w:sz w:val="13"/>
                <w:szCs w:val="13"/>
                <w:color w:val="auto"/>
              </w:rPr>
            </w:pPr>
          </w:p>
        </w:tc>
        <w:tc>
          <w:tcPr>
            <w:tcW w:w="6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3Q12</w:t>
            </w:r>
          </w:p>
        </w:tc>
        <w:tc>
          <w:tcPr>
            <w:tcW w:w="220" w:type="dxa"/>
            <w:vAlign w:val="bottom"/>
            <w:tcBorders>
              <w:bottom w:val="single" w:sz="8" w:color="CCFFCC"/>
            </w:tcBorders>
          </w:tcPr>
          <w:p>
            <w:pPr>
              <w:spacing w:after="0"/>
              <w:rPr>
                <w:sz w:val="13"/>
                <w:szCs w:val="13"/>
                <w:color w:val="auto"/>
              </w:rPr>
            </w:pPr>
          </w:p>
        </w:tc>
        <w:tc>
          <w:tcPr>
            <w:tcW w:w="6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4Q11</w:t>
            </w:r>
          </w:p>
        </w:tc>
        <w:tc>
          <w:tcPr>
            <w:tcW w:w="220" w:type="dxa"/>
            <w:vAlign w:val="bottom"/>
            <w:tcBorders>
              <w:bottom w:val="single" w:sz="8" w:color="CCFFCC"/>
            </w:tcBorders>
          </w:tcPr>
          <w:p>
            <w:pPr>
              <w:spacing w:after="0"/>
              <w:rPr>
                <w:sz w:val="13"/>
                <w:szCs w:val="13"/>
                <w:color w:val="auto"/>
              </w:rPr>
            </w:pPr>
          </w:p>
        </w:tc>
        <w:tc>
          <w:tcPr>
            <w:tcW w:w="66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QoQ</w:t>
            </w:r>
          </w:p>
        </w:tc>
        <w:tc>
          <w:tcPr>
            <w:tcW w:w="240" w:type="dxa"/>
            <w:vAlign w:val="bottom"/>
            <w:tcBorders>
              <w:bottom w:val="single" w:sz="8" w:color="CCFFC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YoY</w:t>
            </w:r>
          </w:p>
        </w:tc>
        <w:tc>
          <w:tcPr>
            <w:tcW w:w="240" w:type="dxa"/>
            <w:vAlign w:val="bottom"/>
            <w:tcBorders>
              <w:bottom w:val="single" w:sz="8" w:color="CCFFCC"/>
            </w:tcBorders>
          </w:tcPr>
          <w:p>
            <w:pPr>
              <w:spacing w:after="0"/>
              <w:rPr>
                <w:sz w:val="13"/>
                <w:szCs w:val="13"/>
                <w:color w:val="auto"/>
              </w:rPr>
            </w:pPr>
          </w:p>
        </w:tc>
        <w:tc>
          <w:tcPr>
            <w:tcW w:w="6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Dec 12</w:t>
            </w:r>
          </w:p>
        </w:tc>
        <w:tc>
          <w:tcPr>
            <w:tcW w:w="220" w:type="dxa"/>
            <w:vAlign w:val="bottom"/>
            <w:tcBorders>
              <w:bottom w:val="single" w:sz="8" w:color="CCFFCC"/>
            </w:tcBorders>
          </w:tcPr>
          <w:p>
            <w:pPr>
              <w:spacing w:after="0"/>
              <w:rPr>
                <w:sz w:val="13"/>
                <w:szCs w:val="13"/>
                <w:color w:val="auto"/>
              </w:rPr>
            </w:pPr>
          </w:p>
        </w:tc>
        <w:tc>
          <w:tcPr>
            <w:tcW w:w="6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Dec 11</w:t>
            </w:r>
          </w:p>
        </w:tc>
        <w:tc>
          <w:tcPr>
            <w:tcW w:w="200" w:type="dxa"/>
            <w:vAlign w:val="bottom"/>
            <w:tcBorders>
              <w:bottom w:val="single" w:sz="8" w:color="CCFFCC"/>
            </w:tcBorders>
          </w:tcPr>
          <w:p>
            <w:pPr>
              <w:spacing w:after="0"/>
              <w:rPr>
                <w:sz w:val="13"/>
                <w:szCs w:val="13"/>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YoY</w:t>
            </w:r>
          </w:p>
        </w:tc>
        <w:tc>
          <w:tcPr>
            <w:tcW w:w="140" w:type="dxa"/>
            <w:vAlign w:val="bottom"/>
            <w:tcBorders>
              <w:bottom w:val="single" w:sz="8" w:color="CCFFCC"/>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4120" w:type="dxa"/>
            <w:vAlign w:val="bottom"/>
            <w:shd w:val="clear" w:color="auto" w:fill="CCFFCC"/>
          </w:tcPr>
          <w:p>
            <w:pPr>
              <w:spacing w:after="0" w:line="129" w:lineRule="exact"/>
              <w:rPr>
                <w:sz w:val="20"/>
                <w:szCs w:val="20"/>
                <w:color w:val="auto"/>
              </w:rPr>
            </w:pPr>
            <w:r>
              <w:rPr>
                <w:rFonts w:ascii="Arial" w:cs="Arial" w:eastAsia="Arial" w:hAnsi="Arial"/>
                <w:sz w:val="13"/>
                <w:szCs w:val="13"/>
                <w:color w:val="auto"/>
              </w:rPr>
              <w:t>Net Interest income</w:t>
            </w:r>
          </w:p>
        </w:tc>
        <w:tc>
          <w:tcPr>
            <w:tcW w:w="120" w:type="dxa"/>
            <w:vAlign w:val="bottom"/>
            <w:shd w:val="clear" w:color="auto" w:fill="CCFFCC"/>
          </w:tcPr>
          <w:p>
            <w:pPr>
              <w:spacing w:after="0"/>
              <w:rPr>
                <w:sz w:val="11"/>
                <w:szCs w:val="11"/>
                <w:color w:val="auto"/>
              </w:rPr>
            </w:pPr>
          </w:p>
        </w:tc>
        <w:tc>
          <w:tcPr>
            <w:tcW w:w="72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430,736</w:t>
            </w:r>
          </w:p>
        </w:tc>
        <w:tc>
          <w:tcPr>
            <w:tcW w:w="240" w:type="dxa"/>
            <w:vAlign w:val="bottom"/>
            <w:shd w:val="clear" w:color="auto" w:fill="CCFFCC"/>
          </w:tcPr>
          <w:p>
            <w:pPr>
              <w:spacing w:after="0"/>
              <w:rPr>
                <w:sz w:val="11"/>
                <w:szCs w:val="11"/>
                <w:color w:val="auto"/>
              </w:rPr>
            </w:pPr>
          </w:p>
        </w:tc>
        <w:tc>
          <w:tcPr>
            <w:tcW w:w="68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415,203</w:t>
            </w:r>
          </w:p>
        </w:tc>
        <w:tc>
          <w:tcPr>
            <w:tcW w:w="220" w:type="dxa"/>
            <w:vAlign w:val="bottom"/>
            <w:shd w:val="clear" w:color="auto" w:fill="CCFFCC"/>
          </w:tcPr>
          <w:p>
            <w:pPr>
              <w:spacing w:after="0"/>
              <w:rPr>
                <w:sz w:val="11"/>
                <w:szCs w:val="11"/>
                <w:color w:val="auto"/>
              </w:rPr>
            </w:pPr>
          </w:p>
        </w:tc>
        <w:tc>
          <w:tcPr>
            <w:tcW w:w="68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355,290</w:t>
            </w:r>
          </w:p>
        </w:tc>
        <w:tc>
          <w:tcPr>
            <w:tcW w:w="220" w:type="dxa"/>
            <w:vAlign w:val="bottom"/>
            <w:shd w:val="clear" w:color="auto" w:fill="CCFFCC"/>
          </w:tcPr>
          <w:p>
            <w:pPr>
              <w:spacing w:after="0"/>
              <w:rPr>
                <w:sz w:val="11"/>
                <w:szCs w:val="11"/>
                <w:color w:val="auto"/>
              </w:rPr>
            </w:pPr>
          </w:p>
        </w:tc>
        <w:tc>
          <w:tcPr>
            <w:tcW w:w="900" w:type="dxa"/>
            <w:vAlign w:val="bottom"/>
            <w:gridSpan w:val="2"/>
            <w:shd w:val="clear" w:color="auto" w:fill="CCFFCC"/>
          </w:tcPr>
          <w:p>
            <w:pPr>
              <w:jc w:val="right"/>
              <w:ind w:right="120"/>
              <w:spacing w:after="0" w:line="129" w:lineRule="exact"/>
              <w:rPr>
                <w:sz w:val="20"/>
                <w:szCs w:val="20"/>
                <w:color w:val="auto"/>
              </w:rPr>
            </w:pPr>
            <w:r>
              <w:rPr>
                <w:rFonts w:ascii="Arial" w:cs="Arial" w:eastAsia="Arial" w:hAnsi="Arial"/>
                <w:sz w:val="13"/>
                <w:szCs w:val="13"/>
                <w:color w:val="auto"/>
              </w:rPr>
              <w:t>3.7%</w:t>
            </w:r>
          </w:p>
        </w:tc>
        <w:tc>
          <w:tcPr>
            <w:tcW w:w="20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140"/>
              <w:spacing w:after="0" w:line="129" w:lineRule="exact"/>
              <w:rPr>
                <w:sz w:val="20"/>
                <w:szCs w:val="20"/>
                <w:color w:val="auto"/>
              </w:rPr>
            </w:pPr>
            <w:r>
              <w:rPr>
                <w:rFonts w:ascii="Arial" w:cs="Arial" w:eastAsia="Arial" w:hAnsi="Arial"/>
                <w:sz w:val="13"/>
                <w:szCs w:val="13"/>
                <w:color w:val="auto"/>
              </w:rPr>
              <w:t>21.2%</w:t>
            </w:r>
          </w:p>
        </w:tc>
        <w:tc>
          <w:tcPr>
            <w:tcW w:w="68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1,612,126</w:t>
            </w:r>
          </w:p>
        </w:tc>
        <w:tc>
          <w:tcPr>
            <w:tcW w:w="220" w:type="dxa"/>
            <w:vAlign w:val="bottom"/>
            <w:shd w:val="clear" w:color="auto" w:fill="CCFFCC"/>
          </w:tcPr>
          <w:p>
            <w:pPr>
              <w:spacing w:after="0"/>
              <w:rPr>
                <w:sz w:val="11"/>
                <w:szCs w:val="11"/>
                <w:color w:val="auto"/>
              </w:rPr>
            </w:pPr>
          </w:p>
        </w:tc>
        <w:tc>
          <w:tcPr>
            <w:tcW w:w="68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1,306,297</w:t>
            </w:r>
          </w:p>
        </w:tc>
        <w:tc>
          <w:tcPr>
            <w:tcW w:w="20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40"/>
              <w:spacing w:after="0" w:line="129" w:lineRule="exact"/>
              <w:rPr>
                <w:sz w:val="20"/>
                <w:szCs w:val="20"/>
                <w:color w:val="auto"/>
              </w:rPr>
            </w:pPr>
            <w:r>
              <w:rPr>
                <w:rFonts w:ascii="Arial" w:cs="Arial" w:eastAsia="Arial" w:hAnsi="Arial"/>
                <w:sz w:val="13"/>
                <w:szCs w:val="13"/>
                <w:color w:val="auto"/>
              </w:rPr>
              <w:t>23.4%</w:t>
            </w:r>
          </w:p>
        </w:tc>
        <w:tc>
          <w:tcPr>
            <w:tcW w:w="0" w:type="dxa"/>
            <w:vAlign w:val="bottom"/>
          </w:tcPr>
          <w:p>
            <w:pPr>
              <w:spacing w:after="0"/>
              <w:rPr>
                <w:sz w:val="1"/>
                <w:szCs w:val="1"/>
                <w:color w:val="auto"/>
              </w:rPr>
            </w:pPr>
          </w:p>
        </w:tc>
      </w:tr>
      <w:tr>
        <w:trPr>
          <w:trHeight w:val="135"/>
        </w:trPr>
        <w:tc>
          <w:tcPr>
            <w:tcW w:w="4240" w:type="dxa"/>
            <w:vAlign w:val="bottom"/>
            <w:gridSpan w:val="2"/>
          </w:tcPr>
          <w:p>
            <w:pPr>
              <w:spacing w:after="0" w:line="135" w:lineRule="exact"/>
              <w:rPr>
                <w:sz w:val="20"/>
                <w:szCs w:val="20"/>
                <w:color w:val="auto"/>
              </w:rPr>
            </w:pPr>
            <w:r>
              <w:rPr>
                <w:rFonts w:ascii="Arial" w:cs="Arial" w:eastAsia="Arial" w:hAnsi="Arial"/>
                <w:sz w:val="13"/>
                <w:szCs w:val="13"/>
                <w:color w:val="auto"/>
              </w:rPr>
              <w:t>Net provisions for loan losses</w:t>
            </w:r>
          </w:p>
        </w:tc>
        <w:tc>
          <w:tcPr>
            <w:tcW w:w="9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(102,964)</w:t>
            </w: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(94,389)</w:t>
            </w: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(70,447)</w:t>
            </w: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9.1%</w:t>
            </w:r>
          </w:p>
        </w:tc>
        <w:tc>
          <w:tcPr>
            <w:tcW w:w="200" w:type="dxa"/>
            <w:vAlign w:val="bottom"/>
          </w:tcPr>
          <w:p>
            <w:pPr>
              <w:spacing w:after="0"/>
              <w:rPr>
                <w:sz w:val="11"/>
                <w:szCs w:val="11"/>
                <w:color w:val="auto"/>
              </w:rPr>
            </w:pPr>
          </w:p>
        </w:tc>
        <w:tc>
          <w:tcPr>
            <w:tcW w:w="7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46.2%</w:t>
            </w: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(377,841)</w:t>
            </w: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(214,898)</w:t>
            </w:r>
          </w:p>
        </w:tc>
        <w:tc>
          <w:tcPr>
            <w:tcW w:w="8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75.8%</w:t>
            </w:r>
          </w:p>
        </w:tc>
        <w:tc>
          <w:tcPr>
            <w:tcW w:w="0" w:type="dxa"/>
            <w:vAlign w:val="bottom"/>
          </w:tcPr>
          <w:p>
            <w:pPr>
              <w:spacing w:after="0"/>
              <w:rPr>
                <w:sz w:val="1"/>
                <w:szCs w:val="1"/>
                <w:color w:val="auto"/>
              </w:rPr>
            </w:pPr>
          </w:p>
        </w:tc>
      </w:tr>
      <w:tr>
        <w:trPr>
          <w:trHeight w:val="135"/>
        </w:trPr>
        <w:tc>
          <w:tcPr>
            <w:tcW w:w="424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Non financial income</w:t>
            </w:r>
          </w:p>
        </w:tc>
        <w:tc>
          <w:tcPr>
            <w:tcW w:w="96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290,576</w:t>
            </w:r>
          </w:p>
        </w:tc>
        <w:tc>
          <w:tcPr>
            <w:tcW w:w="6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275,636</w:t>
            </w:r>
          </w:p>
        </w:tc>
        <w:tc>
          <w:tcPr>
            <w:tcW w:w="220" w:type="dxa"/>
            <w:vAlign w:val="bottom"/>
            <w:shd w:val="clear" w:color="auto" w:fill="CCFFCC"/>
          </w:tcPr>
          <w:p>
            <w:pPr>
              <w:spacing w:after="0"/>
              <w:rPr>
                <w:sz w:val="11"/>
                <w:szCs w:val="11"/>
                <w:color w:val="auto"/>
              </w:rPr>
            </w:pP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223,600</w:t>
            </w:r>
          </w:p>
        </w:tc>
        <w:tc>
          <w:tcPr>
            <w:tcW w:w="9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5.4%</w:t>
            </w:r>
          </w:p>
        </w:tc>
        <w:tc>
          <w:tcPr>
            <w:tcW w:w="20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30.0%</w:t>
            </w:r>
          </w:p>
        </w:tc>
        <w:tc>
          <w:tcPr>
            <w:tcW w:w="6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1,054,788</w:t>
            </w:r>
          </w:p>
        </w:tc>
        <w:tc>
          <w:tcPr>
            <w:tcW w:w="220" w:type="dxa"/>
            <w:vAlign w:val="bottom"/>
            <w:shd w:val="clear" w:color="auto" w:fill="CCFFCC"/>
          </w:tcPr>
          <w:p>
            <w:pPr>
              <w:spacing w:after="0"/>
              <w:rPr>
                <w:sz w:val="11"/>
                <w:szCs w:val="11"/>
                <w:color w:val="auto"/>
              </w:rPr>
            </w:pPr>
          </w:p>
        </w:tc>
        <w:tc>
          <w:tcPr>
            <w:tcW w:w="88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826,391</w:t>
            </w:r>
          </w:p>
        </w:tc>
        <w:tc>
          <w:tcPr>
            <w:tcW w:w="82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27.6%</w:t>
            </w:r>
          </w:p>
        </w:tc>
        <w:tc>
          <w:tcPr>
            <w:tcW w:w="0" w:type="dxa"/>
            <w:vAlign w:val="bottom"/>
          </w:tcPr>
          <w:p>
            <w:pPr>
              <w:spacing w:after="0"/>
              <w:rPr>
                <w:sz w:val="1"/>
                <w:szCs w:val="1"/>
                <w:color w:val="auto"/>
              </w:rPr>
            </w:pPr>
          </w:p>
        </w:tc>
      </w:tr>
      <w:tr>
        <w:trPr>
          <w:trHeight w:val="135"/>
        </w:trPr>
        <w:tc>
          <w:tcPr>
            <w:tcW w:w="4240" w:type="dxa"/>
            <w:vAlign w:val="bottom"/>
            <w:gridSpan w:val="2"/>
          </w:tcPr>
          <w:p>
            <w:pPr>
              <w:spacing w:after="0" w:line="135" w:lineRule="exact"/>
              <w:rPr>
                <w:sz w:val="20"/>
                <w:szCs w:val="20"/>
                <w:color w:val="auto"/>
              </w:rPr>
            </w:pPr>
            <w:r>
              <w:rPr>
                <w:rFonts w:ascii="Arial" w:cs="Arial" w:eastAsia="Arial" w:hAnsi="Arial"/>
                <w:sz w:val="13"/>
                <w:szCs w:val="13"/>
                <w:color w:val="auto"/>
              </w:rPr>
              <w:t>Insurance services technical result</w:t>
            </w:r>
          </w:p>
        </w:tc>
        <w:tc>
          <w:tcPr>
            <w:tcW w:w="9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60,261</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46,718</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26,201</w:t>
            </w: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29.0%</w:t>
            </w:r>
          </w:p>
        </w:tc>
        <w:tc>
          <w:tcPr>
            <w:tcW w:w="200" w:type="dxa"/>
            <w:vAlign w:val="bottom"/>
          </w:tcPr>
          <w:p>
            <w:pPr>
              <w:spacing w:after="0"/>
              <w:rPr>
                <w:sz w:val="11"/>
                <w:szCs w:val="11"/>
                <w:color w:val="auto"/>
              </w:rPr>
            </w:pPr>
          </w:p>
        </w:tc>
        <w:tc>
          <w:tcPr>
            <w:tcW w:w="7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130.0%</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152,233</w:t>
            </w:r>
          </w:p>
        </w:tc>
        <w:tc>
          <w:tcPr>
            <w:tcW w:w="220" w:type="dxa"/>
            <w:vAlign w:val="bottom"/>
          </w:tcPr>
          <w:p>
            <w:pPr>
              <w:spacing w:after="0"/>
              <w:rPr>
                <w:sz w:val="11"/>
                <w:szCs w:val="11"/>
                <w:color w:val="auto"/>
              </w:rPr>
            </w:pP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118,525</w:t>
            </w:r>
          </w:p>
        </w:tc>
        <w:tc>
          <w:tcPr>
            <w:tcW w:w="8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28.4%</w:t>
            </w:r>
          </w:p>
        </w:tc>
        <w:tc>
          <w:tcPr>
            <w:tcW w:w="0" w:type="dxa"/>
            <w:vAlign w:val="bottom"/>
          </w:tcPr>
          <w:p>
            <w:pPr>
              <w:spacing w:after="0"/>
              <w:rPr>
                <w:sz w:val="1"/>
                <w:szCs w:val="1"/>
                <w:color w:val="auto"/>
              </w:rPr>
            </w:pPr>
          </w:p>
        </w:tc>
      </w:tr>
      <w:tr>
        <w:trPr>
          <w:trHeight w:val="135"/>
        </w:trPr>
        <w:tc>
          <w:tcPr>
            <w:tcW w:w="424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Medical Services Technical Result</w:t>
            </w:r>
          </w:p>
        </w:tc>
        <w:tc>
          <w:tcPr>
            <w:tcW w:w="9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(1,829)</w:t>
            </w:r>
          </w:p>
        </w:tc>
        <w:tc>
          <w:tcPr>
            <w:tcW w:w="9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(3,894)</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1,344</w:t>
            </w:r>
          </w:p>
        </w:tc>
        <w:tc>
          <w:tcPr>
            <w:tcW w:w="9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-53.0%</w:t>
            </w:r>
          </w:p>
        </w:tc>
        <w:tc>
          <w:tcPr>
            <w:tcW w:w="20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-236.1%</w:t>
            </w:r>
          </w:p>
        </w:tc>
        <w:tc>
          <w:tcPr>
            <w:tcW w:w="9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(2,134)</w:t>
            </w:r>
          </w:p>
        </w:tc>
        <w:tc>
          <w:tcPr>
            <w:tcW w:w="88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1,250</w:t>
            </w:r>
          </w:p>
        </w:tc>
        <w:tc>
          <w:tcPr>
            <w:tcW w:w="82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-270.7%</w:t>
            </w:r>
          </w:p>
        </w:tc>
        <w:tc>
          <w:tcPr>
            <w:tcW w:w="0" w:type="dxa"/>
            <w:vAlign w:val="bottom"/>
          </w:tcPr>
          <w:p>
            <w:pPr>
              <w:spacing w:after="0"/>
              <w:rPr>
                <w:sz w:val="1"/>
                <w:szCs w:val="1"/>
                <w:color w:val="auto"/>
              </w:rPr>
            </w:pPr>
          </w:p>
        </w:tc>
      </w:tr>
      <w:tr>
        <w:trPr>
          <w:trHeight w:val="135"/>
        </w:trPr>
        <w:tc>
          <w:tcPr>
            <w:tcW w:w="4240" w:type="dxa"/>
            <w:vAlign w:val="bottom"/>
            <w:gridSpan w:val="2"/>
          </w:tcPr>
          <w:p>
            <w:pPr>
              <w:spacing w:after="0" w:line="135" w:lineRule="exact"/>
              <w:rPr>
                <w:sz w:val="20"/>
                <w:szCs w:val="20"/>
                <w:color w:val="auto"/>
              </w:rPr>
            </w:pPr>
            <w:r>
              <w:rPr>
                <w:rFonts w:ascii="Arial" w:cs="Arial" w:eastAsia="Arial" w:hAnsi="Arial"/>
                <w:sz w:val="13"/>
                <w:szCs w:val="13"/>
                <w:color w:val="auto"/>
              </w:rPr>
              <w:t>Operating expenses (1)</w:t>
            </w:r>
          </w:p>
        </w:tc>
        <w:tc>
          <w:tcPr>
            <w:tcW w:w="9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(438,465)</w:t>
            </w: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(367,816)</w:t>
            </w: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(326,942)</w:t>
            </w: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19.2%</w:t>
            </w:r>
          </w:p>
        </w:tc>
        <w:tc>
          <w:tcPr>
            <w:tcW w:w="200" w:type="dxa"/>
            <w:vAlign w:val="bottom"/>
          </w:tcPr>
          <w:p>
            <w:pPr>
              <w:spacing w:after="0"/>
              <w:rPr>
                <w:sz w:val="11"/>
                <w:szCs w:val="11"/>
                <w:color w:val="auto"/>
              </w:rPr>
            </w:pPr>
          </w:p>
        </w:tc>
        <w:tc>
          <w:tcPr>
            <w:tcW w:w="7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34.1%</w:t>
            </w: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(1,454,441)</w:t>
            </w: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(1,141,148)</w:t>
            </w:r>
          </w:p>
        </w:tc>
        <w:tc>
          <w:tcPr>
            <w:tcW w:w="8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27.5%</w:t>
            </w:r>
          </w:p>
        </w:tc>
        <w:tc>
          <w:tcPr>
            <w:tcW w:w="0" w:type="dxa"/>
            <w:vAlign w:val="bottom"/>
          </w:tcPr>
          <w:p>
            <w:pPr>
              <w:spacing w:after="0"/>
              <w:rPr>
                <w:sz w:val="1"/>
                <w:szCs w:val="1"/>
                <w:color w:val="auto"/>
              </w:rPr>
            </w:pPr>
          </w:p>
        </w:tc>
      </w:tr>
      <w:tr>
        <w:trPr>
          <w:trHeight w:val="135"/>
        </w:trPr>
        <w:tc>
          <w:tcPr>
            <w:tcW w:w="424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Operating income (2)</w:t>
            </w:r>
          </w:p>
        </w:tc>
        <w:tc>
          <w:tcPr>
            <w:tcW w:w="96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238,315</w:t>
            </w:r>
          </w:p>
        </w:tc>
        <w:tc>
          <w:tcPr>
            <w:tcW w:w="6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271,458</w:t>
            </w:r>
          </w:p>
        </w:tc>
        <w:tc>
          <w:tcPr>
            <w:tcW w:w="220" w:type="dxa"/>
            <w:vAlign w:val="bottom"/>
            <w:shd w:val="clear" w:color="auto" w:fill="CCFFCC"/>
          </w:tcPr>
          <w:p>
            <w:pPr>
              <w:spacing w:after="0"/>
              <w:rPr>
                <w:sz w:val="11"/>
                <w:szCs w:val="11"/>
                <w:color w:val="auto"/>
              </w:rPr>
            </w:pP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209,046</w:t>
            </w:r>
          </w:p>
        </w:tc>
        <w:tc>
          <w:tcPr>
            <w:tcW w:w="90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b w:val="1"/>
                <w:bCs w:val="1"/>
                <w:color w:val="auto"/>
              </w:rPr>
              <w:t>-12.2%</w:t>
            </w:r>
          </w:p>
        </w:tc>
        <w:tc>
          <w:tcPr>
            <w:tcW w:w="20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14.0%</w:t>
            </w:r>
          </w:p>
        </w:tc>
        <w:tc>
          <w:tcPr>
            <w:tcW w:w="6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984,732</w:t>
            </w:r>
          </w:p>
        </w:tc>
        <w:tc>
          <w:tcPr>
            <w:tcW w:w="220" w:type="dxa"/>
            <w:vAlign w:val="bottom"/>
            <w:shd w:val="clear" w:color="auto" w:fill="CCFFCC"/>
          </w:tcPr>
          <w:p>
            <w:pPr>
              <w:spacing w:after="0"/>
              <w:rPr>
                <w:sz w:val="11"/>
                <w:szCs w:val="11"/>
                <w:color w:val="auto"/>
              </w:rPr>
            </w:pPr>
          </w:p>
        </w:tc>
        <w:tc>
          <w:tcPr>
            <w:tcW w:w="88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b w:val="1"/>
                <w:bCs w:val="1"/>
                <w:color w:val="auto"/>
              </w:rPr>
              <w:t>896,416</w:t>
            </w:r>
          </w:p>
        </w:tc>
        <w:tc>
          <w:tcPr>
            <w:tcW w:w="82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9.9%</w:t>
            </w:r>
          </w:p>
        </w:tc>
        <w:tc>
          <w:tcPr>
            <w:tcW w:w="0" w:type="dxa"/>
            <w:vAlign w:val="bottom"/>
          </w:tcPr>
          <w:p>
            <w:pPr>
              <w:spacing w:after="0"/>
              <w:rPr>
                <w:sz w:val="1"/>
                <w:szCs w:val="1"/>
                <w:color w:val="auto"/>
              </w:rPr>
            </w:pPr>
          </w:p>
        </w:tc>
      </w:tr>
      <w:tr>
        <w:trPr>
          <w:trHeight w:val="135"/>
        </w:trPr>
        <w:tc>
          <w:tcPr>
            <w:tcW w:w="4240" w:type="dxa"/>
            <w:vAlign w:val="bottom"/>
            <w:gridSpan w:val="2"/>
          </w:tcPr>
          <w:p>
            <w:pPr>
              <w:ind w:left="180"/>
              <w:spacing w:after="0" w:line="135" w:lineRule="exact"/>
              <w:rPr>
                <w:sz w:val="20"/>
                <w:szCs w:val="20"/>
                <w:color w:val="auto"/>
              </w:rPr>
            </w:pPr>
            <w:r>
              <w:rPr>
                <w:rFonts w:ascii="Arial" w:cs="Arial" w:eastAsia="Arial" w:hAnsi="Arial"/>
                <w:sz w:val="13"/>
                <w:szCs w:val="13"/>
                <w:color w:val="auto"/>
              </w:rPr>
              <w:t>Core operating income</w:t>
            </w:r>
          </w:p>
        </w:tc>
        <w:tc>
          <w:tcPr>
            <w:tcW w:w="9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238,315</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271,458</w:t>
            </w:r>
          </w:p>
        </w:tc>
        <w:tc>
          <w:tcPr>
            <w:tcW w:w="220" w:type="dxa"/>
            <w:vAlign w:val="bottom"/>
          </w:tcPr>
          <w:p>
            <w:pPr>
              <w:spacing w:after="0"/>
              <w:rPr>
                <w:sz w:val="11"/>
                <w:szCs w:val="11"/>
                <w:color w:val="auto"/>
              </w:rPr>
            </w:pP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209,046</w:t>
            </w: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-12.2%</w:t>
            </w:r>
          </w:p>
        </w:tc>
        <w:tc>
          <w:tcPr>
            <w:tcW w:w="200" w:type="dxa"/>
            <w:vAlign w:val="bottom"/>
          </w:tcPr>
          <w:p>
            <w:pPr>
              <w:spacing w:after="0"/>
              <w:rPr>
                <w:sz w:val="11"/>
                <w:szCs w:val="11"/>
                <w:color w:val="auto"/>
              </w:rPr>
            </w:pPr>
          </w:p>
        </w:tc>
        <w:tc>
          <w:tcPr>
            <w:tcW w:w="7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14.0%</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984,732</w:t>
            </w:r>
          </w:p>
        </w:tc>
        <w:tc>
          <w:tcPr>
            <w:tcW w:w="220" w:type="dxa"/>
            <w:vAlign w:val="bottom"/>
          </w:tcPr>
          <w:p>
            <w:pPr>
              <w:spacing w:after="0"/>
              <w:rPr>
                <w:sz w:val="11"/>
                <w:szCs w:val="11"/>
                <w:color w:val="auto"/>
              </w:rPr>
            </w:pP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883,479</w:t>
            </w:r>
          </w:p>
        </w:tc>
        <w:tc>
          <w:tcPr>
            <w:tcW w:w="8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11.5%</w:t>
            </w:r>
          </w:p>
        </w:tc>
        <w:tc>
          <w:tcPr>
            <w:tcW w:w="0" w:type="dxa"/>
            <w:vAlign w:val="bottom"/>
          </w:tcPr>
          <w:p>
            <w:pPr>
              <w:spacing w:after="0"/>
              <w:rPr>
                <w:sz w:val="1"/>
                <w:szCs w:val="1"/>
                <w:color w:val="auto"/>
              </w:rPr>
            </w:pPr>
          </w:p>
        </w:tc>
      </w:tr>
      <w:tr>
        <w:trPr>
          <w:trHeight w:val="135"/>
        </w:trPr>
        <w:tc>
          <w:tcPr>
            <w:tcW w:w="4240" w:type="dxa"/>
            <w:vAlign w:val="bottom"/>
            <w:gridSpan w:val="2"/>
            <w:shd w:val="clear" w:color="auto" w:fill="CCFFCC"/>
          </w:tcPr>
          <w:p>
            <w:pPr>
              <w:ind w:left="180"/>
              <w:spacing w:after="0" w:line="135" w:lineRule="exact"/>
              <w:rPr>
                <w:sz w:val="20"/>
                <w:szCs w:val="20"/>
                <w:color w:val="auto"/>
              </w:rPr>
            </w:pPr>
            <w:r>
              <w:rPr>
                <w:rFonts w:ascii="Arial" w:cs="Arial" w:eastAsia="Arial" w:hAnsi="Arial"/>
                <w:sz w:val="13"/>
                <w:szCs w:val="13"/>
                <w:color w:val="auto"/>
              </w:rPr>
              <w:t>Non core operating income</w:t>
            </w:r>
          </w:p>
        </w:tc>
        <w:tc>
          <w:tcPr>
            <w:tcW w:w="96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12,937</w:t>
            </w:r>
          </w:p>
        </w:tc>
        <w:tc>
          <w:tcPr>
            <w:tcW w:w="82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135"/>
        </w:trPr>
        <w:tc>
          <w:tcPr>
            <w:tcW w:w="4240" w:type="dxa"/>
            <w:vAlign w:val="bottom"/>
            <w:gridSpan w:val="2"/>
          </w:tcPr>
          <w:p>
            <w:pPr>
              <w:spacing w:after="0" w:line="135" w:lineRule="exact"/>
              <w:rPr>
                <w:sz w:val="20"/>
                <w:szCs w:val="20"/>
                <w:color w:val="auto"/>
              </w:rPr>
            </w:pPr>
            <w:r>
              <w:rPr>
                <w:rFonts w:ascii="Arial" w:cs="Arial" w:eastAsia="Arial" w:hAnsi="Arial"/>
                <w:sz w:val="13"/>
                <w:szCs w:val="13"/>
                <w:color w:val="auto"/>
              </w:rPr>
              <w:t>Translation results</w:t>
            </w:r>
          </w:p>
        </w:tc>
        <w:tc>
          <w:tcPr>
            <w:tcW w:w="9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30,475</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33,105</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31,433</w:t>
            </w: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-7.9%</w:t>
            </w:r>
          </w:p>
        </w:tc>
        <w:tc>
          <w:tcPr>
            <w:tcW w:w="200" w:type="dxa"/>
            <w:vAlign w:val="bottom"/>
          </w:tcPr>
          <w:p>
            <w:pPr>
              <w:spacing w:after="0"/>
              <w:rPr>
                <w:sz w:val="11"/>
                <w:szCs w:val="11"/>
                <w:color w:val="auto"/>
              </w:rPr>
            </w:pPr>
          </w:p>
        </w:tc>
        <w:tc>
          <w:tcPr>
            <w:tcW w:w="7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-3.0%</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75,079</w:t>
            </w: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37,881</w:t>
            </w:r>
          </w:p>
        </w:tc>
        <w:tc>
          <w:tcPr>
            <w:tcW w:w="8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98.2%</w:t>
            </w:r>
          </w:p>
        </w:tc>
        <w:tc>
          <w:tcPr>
            <w:tcW w:w="0" w:type="dxa"/>
            <w:vAlign w:val="bottom"/>
          </w:tcPr>
          <w:p>
            <w:pPr>
              <w:spacing w:after="0"/>
              <w:rPr>
                <w:sz w:val="1"/>
                <w:szCs w:val="1"/>
                <w:color w:val="auto"/>
              </w:rPr>
            </w:pPr>
          </w:p>
        </w:tc>
      </w:tr>
      <w:tr>
        <w:trPr>
          <w:trHeight w:val="135"/>
        </w:trPr>
        <w:tc>
          <w:tcPr>
            <w:tcW w:w="424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Income taxes</w:t>
            </w:r>
          </w:p>
        </w:tc>
        <w:tc>
          <w:tcPr>
            <w:tcW w:w="9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(61,585)</w:t>
            </w:r>
          </w:p>
        </w:tc>
        <w:tc>
          <w:tcPr>
            <w:tcW w:w="9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(71,351)</w:t>
            </w:r>
          </w:p>
        </w:tc>
        <w:tc>
          <w:tcPr>
            <w:tcW w:w="9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(48,021)</w:t>
            </w:r>
          </w:p>
        </w:tc>
        <w:tc>
          <w:tcPr>
            <w:tcW w:w="9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-13.7%</w:t>
            </w:r>
          </w:p>
        </w:tc>
        <w:tc>
          <w:tcPr>
            <w:tcW w:w="20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28.2%</w:t>
            </w:r>
          </w:p>
        </w:tc>
        <w:tc>
          <w:tcPr>
            <w:tcW w:w="9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(251,583)</w:t>
            </w:r>
          </w:p>
        </w:tc>
        <w:tc>
          <w:tcPr>
            <w:tcW w:w="880" w:type="dxa"/>
            <w:vAlign w:val="bottom"/>
            <w:gridSpan w:val="2"/>
            <w:shd w:val="clear" w:color="auto" w:fill="CCFFCC"/>
          </w:tcPr>
          <w:p>
            <w:pPr>
              <w:jc w:val="right"/>
              <w:ind w:right="160"/>
              <w:spacing w:after="0" w:line="135" w:lineRule="exact"/>
              <w:rPr>
                <w:sz w:val="20"/>
                <w:szCs w:val="20"/>
                <w:color w:val="auto"/>
              </w:rPr>
            </w:pPr>
            <w:r>
              <w:rPr>
                <w:rFonts w:ascii="Arial" w:cs="Arial" w:eastAsia="Arial" w:hAnsi="Arial"/>
                <w:sz w:val="13"/>
                <w:szCs w:val="13"/>
                <w:color w:val="auto"/>
              </w:rPr>
              <w:t>(210,508)</w:t>
            </w:r>
          </w:p>
        </w:tc>
        <w:tc>
          <w:tcPr>
            <w:tcW w:w="82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19.5%</w:t>
            </w:r>
          </w:p>
        </w:tc>
        <w:tc>
          <w:tcPr>
            <w:tcW w:w="0" w:type="dxa"/>
            <w:vAlign w:val="bottom"/>
          </w:tcPr>
          <w:p>
            <w:pPr>
              <w:spacing w:after="0"/>
              <w:rPr>
                <w:sz w:val="1"/>
                <w:szCs w:val="1"/>
                <w:color w:val="auto"/>
              </w:rPr>
            </w:pPr>
          </w:p>
        </w:tc>
      </w:tr>
      <w:tr>
        <w:trPr>
          <w:trHeight w:val="135"/>
        </w:trPr>
        <w:tc>
          <w:tcPr>
            <w:tcW w:w="424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Net income</w:t>
            </w:r>
          </w:p>
        </w:tc>
        <w:tc>
          <w:tcPr>
            <w:tcW w:w="96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207,204</w:t>
            </w:r>
          </w:p>
        </w:tc>
        <w:tc>
          <w:tcPr>
            <w:tcW w:w="6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233,212</w:t>
            </w:r>
          </w:p>
        </w:tc>
        <w:tc>
          <w:tcPr>
            <w:tcW w:w="220" w:type="dxa"/>
            <w:vAlign w:val="bottom"/>
          </w:tcPr>
          <w:p>
            <w:pPr>
              <w:spacing w:after="0"/>
              <w:rPr>
                <w:sz w:val="11"/>
                <w:szCs w:val="11"/>
                <w:color w:val="auto"/>
              </w:rPr>
            </w:pP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192,458</w:t>
            </w: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b w:val="1"/>
                <w:bCs w:val="1"/>
                <w:color w:val="auto"/>
              </w:rPr>
              <w:t>-11.2%</w:t>
            </w:r>
          </w:p>
        </w:tc>
        <w:tc>
          <w:tcPr>
            <w:tcW w:w="200" w:type="dxa"/>
            <w:vAlign w:val="bottom"/>
          </w:tcPr>
          <w:p>
            <w:pPr>
              <w:spacing w:after="0"/>
              <w:rPr>
                <w:sz w:val="11"/>
                <w:szCs w:val="11"/>
                <w:color w:val="auto"/>
              </w:rPr>
            </w:pPr>
          </w:p>
        </w:tc>
        <w:tc>
          <w:tcPr>
            <w:tcW w:w="72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7.7%</w:t>
            </w:r>
          </w:p>
        </w:tc>
        <w:tc>
          <w:tcPr>
            <w:tcW w:w="6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808,228</w:t>
            </w:r>
          </w:p>
        </w:tc>
        <w:tc>
          <w:tcPr>
            <w:tcW w:w="220" w:type="dxa"/>
            <w:vAlign w:val="bottom"/>
          </w:tcPr>
          <w:p>
            <w:pPr>
              <w:spacing w:after="0"/>
              <w:rPr>
                <w:sz w:val="11"/>
                <w:szCs w:val="11"/>
                <w:color w:val="auto"/>
              </w:rPr>
            </w:pP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auto"/>
              </w:rPr>
              <w:t>723,790</w:t>
            </w:r>
          </w:p>
        </w:tc>
        <w:tc>
          <w:tcPr>
            <w:tcW w:w="82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11.7%</w:t>
            </w:r>
          </w:p>
        </w:tc>
        <w:tc>
          <w:tcPr>
            <w:tcW w:w="0" w:type="dxa"/>
            <w:vAlign w:val="bottom"/>
          </w:tcPr>
          <w:p>
            <w:pPr>
              <w:spacing w:after="0"/>
              <w:rPr>
                <w:sz w:val="1"/>
                <w:szCs w:val="1"/>
                <w:color w:val="auto"/>
              </w:rPr>
            </w:pPr>
          </w:p>
        </w:tc>
      </w:tr>
      <w:tr>
        <w:trPr>
          <w:trHeight w:val="135"/>
        </w:trPr>
        <w:tc>
          <w:tcPr>
            <w:tcW w:w="424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Minority Interest</w:t>
            </w:r>
          </w:p>
        </w:tc>
        <w:tc>
          <w:tcPr>
            <w:tcW w:w="96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7,016</w:t>
            </w:r>
          </w:p>
        </w:tc>
        <w:tc>
          <w:tcPr>
            <w:tcW w:w="6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5,681</w:t>
            </w:r>
          </w:p>
        </w:tc>
        <w:tc>
          <w:tcPr>
            <w:tcW w:w="220" w:type="dxa"/>
            <w:vAlign w:val="bottom"/>
            <w:shd w:val="clear" w:color="auto" w:fill="CCFFCC"/>
          </w:tcPr>
          <w:p>
            <w:pPr>
              <w:spacing w:after="0"/>
              <w:rPr>
                <w:sz w:val="11"/>
                <w:szCs w:val="11"/>
                <w:color w:val="auto"/>
              </w:rPr>
            </w:pP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3,277</w:t>
            </w:r>
          </w:p>
        </w:tc>
        <w:tc>
          <w:tcPr>
            <w:tcW w:w="9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23.5%</w:t>
            </w:r>
          </w:p>
        </w:tc>
        <w:tc>
          <w:tcPr>
            <w:tcW w:w="20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114.1%</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19,449</w:t>
            </w:r>
          </w:p>
        </w:tc>
        <w:tc>
          <w:tcPr>
            <w:tcW w:w="88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14,518</w:t>
            </w:r>
          </w:p>
        </w:tc>
        <w:tc>
          <w:tcPr>
            <w:tcW w:w="82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34.0%</w:t>
            </w:r>
          </w:p>
        </w:tc>
        <w:tc>
          <w:tcPr>
            <w:tcW w:w="0" w:type="dxa"/>
            <w:vAlign w:val="bottom"/>
          </w:tcPr>
          <w:p>
            <w:pPr>
              <w:spacing w:after="0"/>
              <w:rPr>
                <w:sz w:val="1"/>
                <w:szCs w:val="1"/>
                <w:color w:val="auto"/>
              </w:rPr>
            </w:pPr>
          </w:p>
        </w:tc>
      </w:tr>
      <w:tr>
        <w:trPr>
          <w:trHeight w:val="135"/>
        </w:trPr>
        <w:tc>
          <w:tcPr>
            <w:tcW w:w="424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Net income attributed to Credicorp</w:t>
            </w:r>
          </w:p>
        </w:tc>
        <w:tc>
          <w:tcPr>
            <w:tcW w:w="96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200,189</w:t>
            </w:r>
          </w:p>
        </w:tc>
        <w:tc>
          <w:tcPr>
            <w:tcW w:w="6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227,531</w:t>
            </w:r>
          </w:p>
        </w:tc>
        <w:tc>
          <w:tcPr>
            <w:tcW w:w="220" w:type="dxa"/>
            <w:vAlign w:val="bottom"/>
          </w:tcPr>
          <w:p>
            <w:pPr>
              <w:spacing w:after="0"/>
              <w:rPr>
                <w:sz w:val="11"/>
                <w:szCs w:val="11"/>
                <w:color w:val="auto"/>
              </w:rPr>
            </w:pP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189,180</w:t>
            </w: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b w:val="1"/>
                <w:bCs w:val="1"/>
                <w:color w:val="auto"/>
              </w:rPr>
              <w:t>-12.0%</w:t>
            </w:r>
          </w:p>
        </w:tc>
        <w:tc>
          <w:tcPr>
            <w:tcW w:w="200" w:type="dxa"/>
            <w:vAlign w:val="bottom"/>
          </w:tcPr>
          <w:p>
            <w:pPr>
              <w:spacing w:after="0"/>
              <w:rPr>
                <w:sz w:val="11"/>
                <w:szCs w:val="11"/>
                <w:color w:val="auto"/>
              </w:rPr>
            </w:pPr>
          </w:p>
        </w:tc>
        <w:tc>
          <w:tcPr>
            <w:tcW w:w="72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5.8%</w:t>
            </w:r>
          </w:p>
        </w:tc>
        <w:tc>
          <w:tcPr>
            <w:tcW w:w="6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788,779</w:t>
            </w:r>
          </w:p>
        </w:tc>
        <w:tc>
          <w:tcPr>
            <w:tcW w:w="220" w:type="dxa"/>
            <w:vAlign w:val="bottom"/>
          </w:tcPr>
          <w:p>
            <w:pPr>
              <w:spacing w:after="0"/>
              <w:rPr>
                <w:sz w:val="11"/>
                <w:szCs w:val="11"/>
                <w:color w:val="auto"/>
              </w:rPr>
            </w:pP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auto"/>
              </w:rPr>
              <w:t>709,272</w:t>
            </w:r>
          </w:p>
        </w:tc>
        <w:tc>
          <w:tcPr>
            <w:tcW w:w="82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11.2%</w:t>
            </w:r>
          </w:p>
        </w:tc>
        <w:tc>
          <w:tcPr>
            <w:tcW w:w="0" w:type="dxa"/>
            <w:vAlign w:val="bottom"/>
          </w:tcPr>
          <w:p>
            <w:pPr>
              <w:spacing w:after="0"/>
              <w:rPr>
                <w:sz w:val="1"/>
                <w:szCs w:val="1"/>
                <w:color w:val="auto"/>
              </w:rPr>
            </w:pPr>
          </w:p>
        </w:tc>
      </w:tr>
      <w:tr>
        <w:trPr>
          <w:trHeight w:val="149"/>
        </w:trPr>
        <w:tc>
          <w:tcPr>
            <w:tcW w:w="4240" w:type="dxa"/>
            <w:vAlign w:val="bottom"/>
            <w:gridSpan w:val="2"/>
            <w:shd w:val="clear" w:color="auto" w:fill="CCFFCC"/>
          </w:tcPr>
          <w:p>
            <w:pPr>
              <w:spacing w:after="0"/>
              <w:rPr>
                <w:sz w:val="20"/>
                <w:szCs w:val="20"/>
                <w:color w:val="auto"/>
              </w:rPr>
            </w:pPr>
            <w:r>
              <w:rPr>
                <w:rFonts w:ascii="Arial" w:cs="Arial" w:eastAsia="Arial" w:hAnsi="Arial"/>
                <w:sz w:val="13"/>
                <w:szCs w:val="13"/>
                <w:color w:val="auto"/>
              </w:rPr>
              <w:t>Net income / share (US$)</w:t>
            </w:r>
          </w:p>
        </w:tc>
        <w:tc>
          <w:tcPr>
            <w:tcW w:w="720" w:type="dxa"/>
            <w:vAlign w:val="bottom"/>
            <w:shd w:val="clear" w:color="auto" w:fill="CCFFCC"/>
          </w:tcPr>
          <w:p>
            <w:pPr>
              <w:jc w:val="right"/>
              <w:spacing w:after="0"/>
              <w:rPr>
                <w:sz w:val="20"/>
                <w:szCs w:val="20"/>
                <w:color w:val="auto"/>
              </w:rPr>
            </w:pPr>
            <w:r>
              <w:rPr>
                <w:rFonts w:ascii="Arial" w:cs="Arial" w:eastAsia="Arial" w:hAnsi="Arial"/>
                <w:sz w:val="13"/>
                <w:szCs w:val="13"/>
                <w:color w:val="auto"/>
              </w:rPr>
              <w:t>2.51</w:t>
            </w:r>
          </w:p>
        </w:tc>
        <w:tc>
          <w:tcPr>
            <w:tcW w:w="24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2.85</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2.37</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-12.0%</w:t>
            </w:r>
          </w:p>
        </w:tc>
        <w:tc>
          <w:tcPr>
            <w:tcW w:w="20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5.8%</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9.89</w:t>
            </w:r>
          </w:p>
        </w:tc>
        <w:tc>
          <w:tcPr>
            <w:tcW w:w="88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8.89</w:t>
            </w: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3"/>
                <w:szCs w:val="13"/>
                <w:color w:val="auto"/>
              </w:rPr>
              <w:t>11.2%</w:t>
            </w:r>
          </w:p>
        </w:tc>
        <w:tc>
          <w:tcPr>
            <w:tcW w:w="0" w:type="dxa"/>
            <w:vAlign w:val="bottom"/>
          </w:tcPr>
          <w:p>
            <w:pPr>
              <w:spacing w:after="0"/>
              <w:rPr>
                <w:sz w:val="1"/>
                <w:szCs w:val="1"/>
                <w:color w:val="auto"/>
              </w:rPr>
            </w:pPr>
          </w:p>
        </w:tc>
      </w:tr>
      <w:tr>
        <w:trPr>
          <w:trHeight w:val="20"/>
        </w:trPr>
        <w:tc>
          <w:tcPr>
            <w:tcW w:w="4240" w:type="dxa"/>
            <w:vAlign w:val="bottom"/>
            <w:gridSpan w:val="2"/>
            <w:vMerge w:val="restart"/>
          </w:tcPr>
          <w:p>
            <w:pPr>
              <w:spacing w:after="0"/>
              <w:rPr>
                <w:sz w:val="20"/>
                <w:szCs w:val="20"/>
                <w:color w:val="auto"/>
              </w:rPr>
            </w:pPr>
            <w:r>
              <w:rPr>
                <w:rFonts w:ascii="Arial" w:cs="Arial" w:eastAsia="Arial" w:hAnsi="Arial"/>
                <w:sz w:val="13"/>
                <w:szCs w:val="13"/>
                <w:color w:val="auto"/>
              </w:rPr>
              <w:t>Total loans</w:t>
            </w:r>
          </w:p>
        </w:tc>
        <w:tc>
          <w:tcPr>
            <w:tcW w:w="7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240" w:type="dxa"/>
            <w:vAlign w:val="bottom"/>
            <w:gridSpan w:val="2"/>
            <w:vMerge w:val="continue"/>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Arial" w:cs="Arial" w:eastAsia="Arial" w:hAnsi="Arial"/>
                <w:sz w:val="13"/>
                <w:szCs w:val="13"/>
                <w:color w:val="auto"/>
              </w:rPr>
              <w:t>21,476,520</w:t>
            </w:r>
          </w:p>
        </w:tc>
        <w:tc>
          <w:tcPr>
            <w:tcW w:w="240" w:type="dxa"/>
            <w:vAlign w:val="bottom"/>
            <w:vMerge w:val="continue"/>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3"/>
                <w:szCs w:val="13"/>
                <w:color w:val="auto"/>
              </w:rPr>
              <w:t>20,287,468</w:t>
            </w:r>
          </w:p>
        </w:tc>
        <w:tc>
          <w:tcPr>
            <w:tcW w:w="220" w:type="dxa"/>
            <w:vAlign w:val="bottom"/>
            <w:vMerge w:val="continue"/>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3"/>
                <w:szCs w:val="13"/>
                <w:color w:val="auto"/>
              </w:rPr>
              <w:t>17,442,766</w:t>
            </w:r>
          </w:p>
        </w:tc>
        <w:tc>
          <w:tcPr>
            <w:tcW w:w="220" w:type="dxa"/>
            <w:vAlign w:val="bottom"/>
            <w:vMerge w:val="continue"/>
          </w:tcPr>
          <w:p>
            <w:pPr>
              <w:spacing w:after="0"/>
              <w:rPr>
                <w:sz w:val="11"/>
                <w:szCs w:val="11"/>
                <w:color w:val="auto"/>
              </w:rPr>
            </w:pPr>
          </w:p>
        </w:tc>
        <w:tc>
          <w:tcPr>
            <w:tcW w:w="900" w:type="dxa"/>
            <w:vAlign w:val="bottom"/>
            <w:gridSpan w:val="2"/>
          </w:tcPr>
          <w:p>
            <w:pPr>
              <w:jc w:val="right"/>
              <w:ind w:right="120"/>
              <w:spacing w:after="0" w:line="129" w:lineRule="exact"/>
              <w:rPr>
                <w:sz w:val="20"/>
                <w:szCs w:val="20"/>
                <w:color w:val="auto"/>
              </w:rPr>
            </w:pPr>
            <w:r>
              <w:rPr>
                <w:rFonts w:ascii="Arial" w:cs="Arial" w:eastAsia="Arial" w:hAnsi="Arial"/>
                <w:sz w:val="13"/>
                <w:szCs w:val="13"/>
                <w:color w:val="auto"/>
              </w:rPr>
              <w:t>5.9%</w:t>
            </w:r>
          </w:p>
        </w:tc>
        <w:tc>
          <w:tcPr>
            <w:tcW w:w="200" w:type="dxa"/>
            <w:vAlign w:val="bottom"/>
          </w:tcPr>
          <w:p>
            <w:pPr>
              <w:spacing w:after="0"/>
              <w:rPr>
                <w:sz w:val="11"/>
                <w:szCs w:val="11"/>
                <w:color w:val="auto"/>
              </w:rPr>
            </w:pPr>
          </w:p>
        </w:tc>
        <w:tc>
          <w:tcPr>
            <w:tcW w:w="720" w:type="dxa"/>
            <w:vAlign w:val="bottom"/>
            <w:gridSpan w:val="2"/>
          </w:tcPr>
          <w:p>
            <w:pPr>
              <w:jc w:val="right"/>
              <w:ind w:right="140"/>
              <w:spacing w:after="0" w:line="129" w:lineRule="exact"/>
              <w:rPr>
                <w:sz w:val="20"/>
                <w:szCs w:val="20"/>
                <w:color w:val="auto"/>
              </w:rPr>
            </w:pPr>
            <w:r>
              <w:rPr>
                <w:rFonts w:ascii="Arial" w:cs="Arial" w:eastAsia="Arial" w:hAnsi="Arial"/>
                <w:sz w:val="13"/>
                <w:szCs w:val="13"/>
                <w:color w:val="auto"/>
              </w:rPr>
              <w:t>23.1%</w:t>
            </w:r>
          </w:p>
        </w:tc>
        <w:tc>
          <w:tcPr>
            <w:tcW w:w="680" w:type="dxa"/>
            <w:vAlign w:val="bottom"/>
          </w:tcPr>
          <w:p>
            <w:pPr>
              <w:jc w:val="right"/>
              <w:spacing w:after="0" w:line="129" w:lineRule="exact"/>
              <w:rPr>
                <w:sz w:val="20"/>
                <w:szCs w:val="20"/>
                <w:color w:val="auto"/>
              </w:rPr>
            </w:pPr>
            <w:r>
              <w:rPr>
                <w:rFonts w:ascii="Arial" w:cs="Arial" w:eastAsia="Arial" w:hAnsi="Arial"/>
                <w:sz w:val="13"/>
                <w:szCs w:val="13"/>
                <w:color w:val="auto"/>
              </w:rPr>
              <w:t>21,476,520</w:t>
            </w:r>
          </w:p>
        </w:tc>
        <w:tc>
          <w:tcPr>
            <w:tcW w:w="220" w:type="dxa"/>
            <w:vAlign w:val="bottom"/>
            <w:vMerge w:val="continue"/>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3"/>
                <w:szCs w:val="13"/>
                <w:color w:val="auto"/>
              </w:rPr>
              <w:t>17,442,766</w:t>
            </w:r>
          </w:p>
        </w:tc>
        <w:tc>
          <w:tcPr>
            <w:tcW w:w="200" w:type="dxa"/>
            <w:vAlign w:val="bottom"/>
            <w:vMerge w:val="continue"/>
          </w:tcPr>
          <w:p>
            <w:pPr>
              <w:spacing w:after="0"/>
              <w:rPr>
                <w:sz w:val="11"/>
                <w:szCs w:val="11"/>
                <w:color w:val="auto"/>
              </w:rPr>
            </w:pPr>
          </w:p>
        </w:tc>
        <w:tc>
          <w:tcPr>
            <w:tcW w:w="820" w:type="dxa"/>
            <w:vAlign w:val="bottom"/>
            <w:gridSpan w:val="2"/>
          </w:tcPr>
          <w:p>
            <w:pPr>
              <w:jc w:val="right"/>
              <w:ind w:right="40"/>
              <w:spacing w:after="0" w:line="129" w:lineRule="exact"/>
              <w:rPr>
                <w:sz w:val="20"/>
                <w:szCs w:val="20"/>
                <w:color w:val="auto"/>
              </w:rPr>
            </w:pPr>
            <w:r>
              <w:rPr>
                <w:rFonts w:ascii="Arial" w:cs="Arial" w:eastAsia="Arial" w:hAnsi="Arial"/>
                <w:sz w:val="13"/>
                <w:szCs w:val="13"/>
                <w:color w:val="auto"/>
              </w:rPr>
              <w:t>23.1%</w:t>
            </w:r>
          </w:p>
        </w:tc>
        <w:tc>
          <w:tcPr>
            <w:tcW w:w="0" w:type="dxa"/>
            <w:vAlign w:val="bottom"/>
          </w:tcPr>
          <w:p>
            <w:pPr>
              <w:spacing w:after="0"/>
              <w:rPr>
                <w:sz w:val="1"/>
                <w:szCs w:val="1"/>
                <w:color w:val="auto"/>
              </w:rPr>
            </w:pPr>
          </w:p>
        </w:tc>
      </w:tr>
      <w:tr>
        <w:trPr>
          <w:trHeight w:val="135"/>
        </w:trPr>
        <w:tc>
          <w:tcPr>
            <w:tcW w:w="424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Deposits and obligations</w:t>
            </w:r>
          </w:p>
        </w:tc>
        <w:tc>
          <w:tcPr>
            <w:tcW w:w="96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24,050,779</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22,047,452</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18,987,734</w:t>
            </w:r>
          </w:p>
        </w:tc>
        <w:tc>
          <w:tcPr>
            <w:tcW w:w="9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9.1%</w:t>
            </w:r>
          </w:p>
        </w:tc>
        <w:tc>
          <w:tcPr>
            <w:tcW w:w="20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26.7%</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24,050,779</w:t>
            </w:r>
          </w:p>
        </w:tc>
        <w:tc>
          <w:tcPr>
            <w:tcW w:w="88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18,987,734</w:t>
            </w:r>
          </w:p>
        </w:tc>
        <w:tc>
          <w:tcPr>
            <w:tcW w:w="82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26.7%</w:t>
            </w:r>
          </w:p>
        </w:tc>
        <w:tc>
          <w:tcPr>
            <w:tcW w:w="0" w:type="dxa"/>
            <w:vAlign w:val="bottom"/>
          </w:tcPr>
          <w:p>
            <w:pPr>
              <w:spacing w:after="0"/>
              <w:rPr>
                <w:sz w:val="1"/>
                <w:szCs w:val="1"/>
                <w:color w:val="auto"/>
              </w:rPr>
            </w:pPr>
          </w:p>
        </w:tc>
      </w:tr>
      <w:tr>
        <w:trPr>
          <w:trHeight w:val="149"/>
        </w:trPr>
        <w:tc>
          <w:tcPr>
            <w:tcW w:w="4240" w:type="dxa"/>
            <w:vAlign w:val="bottom"/>
            <w:gridSpan w:val="2"/>
          </w:tcPr>
          <w:p>
            <w:pPr>
              <w:spacing w:after="0"/>
              <w:rPr>
                <w:sz w:val="20"/>
                <w:szCs w:val="20"/>
                <w:color w:val="auto"/>
              </w:rPr>
            </w:pPr>
            <w:r>
              <w:rPr>
                <w:rFonts w:ascii="Arial" w:cs="Arial" w:eastAsia="Arial" w:hAnsi="Arial"/>
                <w:sz w:val="13"/>
                <w:szCs w:val="13"/>
                <w:color w:val="auto"/>
              </w:rPr>
              <w:t>Net shareholders' equity</w:t>
            </w:r>
          </w:p>
        </w:tc>
        <w:tc>
          <w:tcPr>
            <w:tcW w:w="720" w:type="dxa"/>
            <w:vAlign w:val="bottom"/>
          </w:tcPr>
          <w:p>
            <w:pPr>
              <w:jc w:val="right"/>
              <w:spacing w:after="0"/>
              <w:rPr>
                <w:sz w:val="20"/>
                <w:szCs w:val="20"/>
                <w:color w:val="auto"/>
              </w:rPr>
            </w:pPr>
            <w:r>
              <w:rPr>
                <w:rFonts w:ascii="Arial" w:cs="Arial" w:eastAsia="Arial" w:hAnsi="Arial"/>
                <w:sz w:val="13"/>
                <w:szCs w:val="13"/>
                <w:color w:val="auto"/>
              </w:rPr>
              <w:t>4,167,968</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4,007,654</w:t>
            </w:r>
          </w:p>
        </w:tc>
        <w:tc>
          <w:tcPr>
            <w:tcW w:w="2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3,375,742</w:t>
            </w:r>
          </w:p>
        </w:tc>
        <w:tc>
          <w:tcPr>
            <w:tcW w:w="22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4.0%</w:t>
            </w:r>
          </w:p>
        </w:tc>
        <w:tc>
          <w:tcPr>
            <w:tcW w:w="20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23.5%</w:t>
            </w:r>
          </w:p>
        </w:tc>
        <w:tc>
          <w:tcPr>
            <w:tcW w:w="680" w:type="dxa"/>
            <w:vAlign w:val="bottom"/>
          </w:tcPr>
          <w:p>
            <w:pPr>
              <w:jc w:val="right"/>
              <w:spacing w:after="0"/>
              <w:rPr>
                <w:sz w:val="20"/>
                <w:szCs w:val="20"/>
                <w:color w:val="auto"/>
              </w:rPr>
            </w:pPr>
            <w:r>
              <w:rPr>
                <w:rFonts w:ascii="Arial" w:cs="Arial" w:eastAsia="Arial" w:hAnsi="Arial"/>
                <w:sz w:val="13"/>
                <w:szCs w:val="13"/>
                <w:color w:val="auto"/>
              </w:rPr>
              <w:t>4,167,968</w:t>
            </w:r>
          </w:p>
        </w:tc>
        <w:tc>
          <w:tcPr>
            <w:tcW w:w="220" w:type="dxa"/>
            <w:vAlign w:val="bottom"/>
          </w:tcPr>
          <w:p>
            <w:pPr>
              <w:spacing w:after="0"/>
              <w:rPr>
                <w:sz w:val="12"/>
                <w:szCs w:val="1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3,375,742</w:t>
            </w:r>
          </w:p>
        </w:tc>
        <w:tc>
          <w:tcPr>
            <w:tcW w:w="820" w:type="dxa"/>
            <w:vAlign w:val="bottom"/>
            <w:gridSpan w:val="2"/>
          </w:tcPr>
          <w:p>
            <w:pPr>
              <w:jc w:val="right"/>
              <w:ind w:right="40"/>
              <w:spacing w:after="0"/>
              <w:rPr>
                <w:sz w:val="20"/>
                <w:szCs w:val="20"/>
                <w:color w:val="auto"/>
              </w:rPr>
            </w:pPr>
            <w:r>
              <w:rPr>
                <w:rFonts w:ascii="Arial" w:cs="Arial" w:eastAsia="Arial" w:hAnsi="Arial"/>
                <w:sz w:val="13"/>
                <w:szCs w:val="13"/>
                <w:color w:val="auto"/>
              </w:rPr>
              <w:t>23.5%</w:t>
            </w:r>
          </w:p>
        </w:tc>
        <w:tc>
          <w:tcPr>
            <w:tcW w:w="0" w:type="dxa"/>
            <w:vAlign w:val="bottom"/>
          </w:tcPr>
          <w:p>
            <w:pPr>
              <w:spacing w:after="0"/>
              <w:rPr>
                <w:sz w:val="1"/>
                <w:szCs w:val="1"/>
                <w:color w:val="auto"/>
              </w:rPr>
            </w:pPr>
          </w:p>
        </w:tc>
      </w:tr>
      <w:tr>
        <w:trPr>
          <w:trHeight w:val="20"/>
        </w:trPr>
        <w:tc>
          <w:tcPr>
            <w:tcW w:w="4240" w:type="dxa"/>
            <w:vAlign w:val="bottom"/>
            <w:gridSpan w:val="2"/>
            <w:vMerge w:val="restart"/>
            <w:shd w:val="clear" w:color="auto" w:fill="CCFFCC"/>
          </w:tcPr>
          <w:p>
            <w:pPr>
              <w:spacing w:after="0"/>
              <w:rPr>
                <w:sz w:val="20"/>
                <w:szCs w:val="20"/>
                <w:color w:val="auto"/>
              </w:rPr>
            </w:pPr>
            <w:r>
              <w:rPr>
                <w:rFonts w:ascii="Arial" w:cs="Arial" w:eastAsia="Arial" w:hAnsi="Arial"/>
                <w:sz w:val="13"/>
                <w:szCs w:val="13"/>
                <w:color w:val="auto"/>
              </w:rPr>
              <w:t>Net interest margin</w:t>
            </w: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240" w:type="dxa"/>
            <w:vAlign w:val="bottom"/>
            <w:gridSpan w:val="2"/>
            <w:vMerge w:val="continue"/>
            <w:shd w:val="clear" w:color="auto" w:fill="CCFFCC"/>
          </w:tcPr>
          <w:p>
            <w:pPr>
              <w:spacing w:after="0"/>
              <w:rPr>
                <w:sz w:val="11"/>
                <w:szCs w:val="11"/>
                <w:color w:val="auto"/>
              </w:rPr>
            </w:pPr>
          </w:p>
        </w:tc>
        <w:tc>
          <w:tcPr>
            <w:tcW w:w="960" w:type="dxa"/>
            <w:vAlign w:val="bottom"/>
            <w:gridSpan w:val="2"/>
            <w:shd w:val="clear" w:color="auto" w:fill="CCFFCC"/>
          </w:tcPr>
          <w:p>
            <w:pPr>
              <w:jc w:val="right"/>
              <w:ind w:right="140"/>
              <w:spacing w:after="0" w:line="129" w:lineRule="exact"/>
              <w:rPr>
                <w:sz w:val="20"/>
                <w:szCs w:val="20"/>
                <w:color w:val="auto"/>
              </w:rPr>
            </w:pPr>
            <w:r>
              <w:rPr>
                <w:rFonts w:ascii="Arial" w:cs="Arial" w:eastAsia="Arial" w:hAnsi="Arial"/>
                <w:sz w:val="13"/>
                <w:szCs w:val="13"/>
                <w:color w:val="auto"/>
              </w:rPr>
              <w:t>5.01%</w:t>
            </w:r>
          </w:p>
        </w:tc>
        <w:tc>
          <w:tcPr>
            <w:tcW w:w="900" w:type="dxa"/>
            <w:vAlign w:val="bottom"/>
            <w:gridSpan w:val="2"/>
            <w:shd w:val="clear" w:color="auto" w:fill="CCFFCC"/>
          </w:tcPr>
          <w:p>
            <w:pPr>
              <w:jc w:val="right"/>
              <w:ind w:right="120"/>
              <w:spacing w:after="0" w:line="129" w:lineRule="exact"/>
              <w:rPr>
                <w:sz w:val="20"/>
                <w:szCs w:val="20"/>
                <w:color w:val="auto"/>
              </w:rPr>
            </w:pPr>
            <w:r>
              <w:rPr>
                <w:rFonts w:ascii="Arial" w:cs="Arial" w:eastAsia="Arial" w:hAnsi="Arial"/>
                <w:sz w:val="13"/>
                <w:szCs w:val="13"/>
                <w:color w:val="auto"/>
              </w:rPr>
              <w:t>5.19%</w:t>
            </w:r>
          </w:p>
        </w:tc>
        <w:tc>
          <w:tcPr>
            <w:tcW w:w="900" w:type="dxa"/>
            <w:vAlign w:val="bottom"/>
            <w:gridSpan w:val="2"/>
            <w:shd w:val="clear" w:color="auto" w:fill="CCFFCC"/>
          </w:tcPr>
          <w:p>
            <w:pPr>
              <w:jc w:val="right"/>
              <w:ind w:right="120"/>
              <w:spacing w:after="0" w:line="129" w:lineRule="exact"/>
              <w:rPr>
                <w:sz w:val="20"/>
                <w:szCs w:val="20"/>
                <w:color w:val="auto"/>
              </w:rPr>
            </w:pPr>
            <w:r>
              <w:rPr>
                <w:rFonts w:ascii="Arial" w:cs="Arial" w:eastAsia="Arial" w:hAnsi="Arial"/>
                <w:sz w:val="13"/>
                <w:szCs w:val="13"/>
                <w:color w:val="auto"/>
              </w:rPr>
              <w:t>5.23%</w:t>
            </w:r>
          </w:p>
        </w:tc>
        <w:tc>
          <w:tcPr>
            <w:tcW w:w="6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4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900" w:type="dxa"/>
            <w:vAlign w:val="bottom"/>
            <w:gridSpan w:val="2"/>
            <w:shd w:val="clear" w:color="auto" w:fill="CCFFCC"/>
          </w:tcPr>
          <w:p>
            <w:pPr>
              <w:jc w:val="right"/>
              <w:ind w:right="120"/>
              <w:spacing w:after="0" w:line="129" w:lineRule="exact"/>
              <w:rPr>
                <w:sz w:val="20"/>
                <w:szCs w:val="20"/>
                <w:color w:val="auto"/>
              </w:rPr>
            </w:pPr>
            <w:r>
              <w:rPr>
                <w:rFonts w:ascii="Arial" w:cs="Arial" w:eastAsia="Arial" w:hAnsi="Arial"/>
                <w:sz w:val="13"/>
                <w:szCs w:val="13"/>
                <w:color w:val="auto"/>
              </w:rPr>
              <w:t>5.09%</w:t>
            </w:r>
          </w:p>
        </w:tc>
        <w:tc>
          <w:tcPr>
            <w:tcW w:w="880" w:type="dxa"/>
            <w:vAlign w:val="bottom"/>
            <w:gridSpan w:val="2"/>
            <w:shd w:val="clear" w:color="auto" w:fill="CCFFCC"/>
          </w:tcPr>
          <w:p>
            <w:pPr>
              <w:jc w:val="right"/>
              <w:ind w:right="100"/>
              <w:spacing w:after="0" w:line="129" w:lineRule="exact"/>
              <w:rPr>
                <w:sz w:val="20"/>
                <w:szCs w:val="20"/>
                <w:color w:val="auto"/>
              </w:rPr>
            </w:pPr>
            <w:r>
              <w:rPr>
                <w:rFonts w:ascii="Arial" w:cs="Arial" w:eastAsia="Arial" w:hAnsi="Arial"/>
                <w:sz w:val="13"/>
                <w:szCs w:val="13"/>
                <w:color w:val="auto"/>
              </w:rPr>
              <w:t>4.96%</w:t>
            </w:r>
          </w:p>
        </w:tc>
        <w:tc>
          <w:tcPr>
            <w:tcW w:w="68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gridSpan w:val="2"/>
          </w:tcPr>
          <w:p>
            <w:pPr>
              <w:spacing w:after="0" w:line="135" w:lineRule="exact"/>
              <w:rPr>
                <w:sz w:val="20"/>
                <w:szCs w:val="20"/>
                <w:color w:val="auto"/>
              </w:rPr>
            </w:pPr>
            <w:r>
              <w:rPr>
                <w:rFonts w:ascii="Arial" w:cs="Arial" w:eastAsia="Arial" w:hAnsi="Arial"/>
                <w:sz w:val="13"/>
                <w:szCs w:val="13"/>
                <w:color w:val="auto"/>
              </w:rPr>
              <w:t>Efficiency ratio</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48.3%</w:t>
            </w: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43.4%</w:t>
            </w: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44.9%</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43.7%</w:t>
            </w:r>
          </w:p>
        </w:tc>
        <w:tc>
          <w:tcPr>
            <w:tcW w:w="8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41.6%</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Return on average shareholders' equity</w:t>
            </w:r>
          </w:p>
        </w:tc>
        <w:tc>
          <w:tcPr>
            <w:tcW w:w="96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19.6%</w:t>
            </w:r>
          </w:p>
        </w:tc>
        <w:tc>
          <w:tcPr>
            <w:tcW w:w="9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23.7%</w:t>
            </w:r>
          </w:p>
        </w:tc>
        <w:tc>
          <w:tcPr>
            <w:tcW w:w="9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23.4%</w:t>
            </w:r>
          </w:p>
        </w:tc>
        <w:tc>
          <w:tcPr>
            <w:tcW w:w="6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4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9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21.1%</w:t>
            </w:r>
          </w:p>
        </w:tc>
        <w:tc>
          <w:tcPr>
            <w:tcW w:w="88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23.5%</w:t>
            </w:r>
          </w:p>
        </w:tc>
        <w:tc>
          <w:tcPr>
            <w:tcW w:w="68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gridSpan w:val="2"/>
          </w:tcPr>
          <w:p>
            <w:pPr>
              <w:spacing w:after="0" w:line="135" w:lineRule="exact"/>
              <w:rPr>
                <w:sz w:val="20"/>
                <w:szCs w:val="20"/>
                <w:color w:val="auto"/>
              </w:rPr>
            </w:pPr>
            <w:r>
              <w:rPr>
                <w:rFonts w:ascii="Arial" w:cs="Arial" w:eastAsia="Arial" w:hAnsi="Arial"/>
                <w:sz w:val="13"/>
                <w:szCs w:val="13"/>
                <w:color w:val="auto"/>
              </w:rPr>
              <w:t>PDL ratio</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1.73%</w:t>
            </w: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1.73%</w:t>
            </w: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1.49%</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1.73%</w:t>
            </w:r>
          </w:p>
        </w:tc>
        <w:tc>
          <w:tcPr>
            <w:tcW w:w="8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1.49%</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PDL over 90 days</w:t>
            </w:r>
          </w:p>
        </w:tc>
        <w:tc>
          <w:tcPr>
            <w:tcW w:w="96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1.14%</w:t>
            </w:r>
          </w:p>
        </w:tc>
        <w:tc>
          <w:tcPr>
            <w:tcW w:w="9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1.15%</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4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9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1.14%</w:t>
            </w:r>
          </w:p>
        </w:tc>
        <w:tc>
          <w:tcPr>
            <w:tcW w:w="88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gridSpan w:val="2"/>
          </w:tcPr>
          <w:p>
            <w:pPr>
              <w:spacing w:after="0" w:line="135" w:lineRule="exact"/>
              <w:rPr>
                <w:sz w:val="20"/>
                <w:szCs w:val="20"/>
                <w:color w:val="auto"/>
              </w:rPr>
            </w:pPr>
            <w:r>
              <w:rPr>
                <w:rFonts w:ascii="Arial" w:cs="Arial" w:eastAsia="Arial" w:hAnsi="Arial"/>
                <w:sz w:val="13"/>
                <w:szCs w:val="13"/>
                <w:color w:val="auto"/>
              </w:rPr>
              <w:t>NPL ratio (3)</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2.39%</w:t>
            </w: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2.39%</w:t>
            </w: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2.03%</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2.39%</w:t>
            </w:r>
          </w:p>
        </w:tc>
        <w:tc>
          <w:tcPr>
            <w:tcW w:w="8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2.03%</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Coverage ratio of PDLs</w:t>
            </w:r>
          </w:p>
        </w:tc>
        <w:tc>
          <w:tcPr>
            <w:tcW w:w="96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187.7%</w:t>
            </w:r>
          </w:p>
        </w:tc>
        <w:tc>
          <w:tcPr>
            <w:tcW w:w="9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191.3%</w:t>
            </w:r>
          </w:p>
        </w:tc>
        <w:tc>
          <w:tcPr>
            <w:tcW w:w="9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200.5%</w:t>
            </w:r>
          </w:p>
        </w:tc>
        <w:tc>
          <w:tcPr>
            <w:tcW w:w="6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4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9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187.7%</w:t>
            </w:r>
          </w:p>
        </w:tc>
        <w:tc>
          <w:tcPr>
            <w:tcW w:w="88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200.5%</w:t>
            </w:r>
          </w:p>
        </w:tc>
        <w:tc>
          <w:tcPr>
            <w:tcW w:w="68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gridSpan w:val="2"/>
          </w:tcPr>
          <w:p>
            <w:pPr>
              <w:spacing w:after="0" w:line="135" w:lineRule="exact"/>
              <w:rPr>
                <w:sz w:val="20"/>
                <w:szCs w:val="20"/>
                <w:color w:val="auto"/>
              </w:rPr>
            </w:pPr>
            <w:r>
              <w:rPr>
                <w:rFonts w:ascii="Arial" w:cs="Arial" w:eastAsia="Arial" w:hAnsi="Arial"/>
                <w:sz w:val="13"/>
                <w:szCs w:val="13"/>
                <w:color w:val="auto"/>
              </w:rPr>
              <w:t>Coverage of NPLs</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136.0%</w:t>
            </w: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138.6%</w:t>
            </w: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146.6%</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136.0%</w:t>
            </w:r>
          </w:p>
        </w:tc>
        <w:tc>
          <w:tcPr>
            <w:tcW w:w="8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146.6%</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240" w:type="dxa"/>
            <w:vAlign w:val="bottom"/>
            <w:gridSpan w:val="2"/>
            <w:shd w:val="clear" w:color="auto" w:fill="CCFFCC"/>
          </w:tcPr>
          <w:p>
            <w:pPr>
              <w:spacing w:after="0"/>
              <w:rPr>
                <w:sz w:val="20"/>
                <w:szCs w:val="20"/>
                <w:color w:val="auto"/>
              </w:rPr>
            </w:pPr>
            <w:r>
              <w:rPr>
                <w:rFonts w:ascii="Arial" w:cs="Arial" w:eastAsia="Arial" w:hAnsi="Arial"/>
                <w:sz w:val="13"/>
                <w:szCs w:val="13"/>
                <w:color w:val="auto"/>
              </w:rPr>
              <w:t>Employees</w:t>
            </w:r>
          </w:p>
        </w:tc>
        <w:tc>
          <w:tcPr>
            <w:tcW w:w="720" w:type="dxa"/>
            <w:vAlign w:val="bottom"/>
            <w:shd w:val="clear" w:color="auto" w:fill="CCFFCC"/>
          </w:tcPr>
          <w:p>
            <w:pPr>
              <w:jc w:val="right"/>
              <w:spacing w:after="0"/>
              <w:rPr>
                <w:sz w:val="20"/>
                <w:szCs w:val="20"/>
                <w:color w:val="auto"/>
              </w:rPr>
            </w:pPr>
            <w:r>
              <w:rPr>
                <w:rFonts w:ascii="Arial" w:cs="Arial" w:eastAsia="Arial" w:hAnsi="Arial"/>
                <w:sz w:val="13"/>
                <w:szCs w:val="13"/>
                <w:color w:val="auto"/>
              </w:rPr>
              <w:t>26,541</w:t>
            </w:r>
          </w:p>
        </w:tc>
        <w:tc>
          <w:tcPr>
            <w:tcW w:w="24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25,149</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22,276</w:t>
            </w:r>
          </w:p>
        </w:tc>
        <w:tc>
          <w:tcPr>
            <w:tcW w:w="66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48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26,541</w:t>
            </w:r>
          </w:p>
        </w:tc>
        <w:tc>
          <w:tcPr>
            <w:tcW w:w="88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22,276</w:t>
            </w:r>
          </w:p>
        </w:tc>
        <w:tc>
          <w:tcPr>
            <w:tcW w:w="6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60" w:hanging="252"/>
        <w:spacing w:after="0"/>
        <w:tabs>
          <w:tab w:leader="none" w:pos="2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Employees' profit sharing is regisered in Salaries and Employees Benefits since 1Q11 due to local regulator's decision.</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Income before translation results and income taxes.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Includes non core operating income from net gain of sale of securities.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NPLs: Non-performing loans = Past due loans + Refinanced and restructued loans. NPL Ratio = NPLs / Total loans.</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1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7266940</wp:posOffset>
            </wp:positionH>
            <wp:positionV relativeFrom="page">
              <wp:posOffset>568960</wp:posOffset>
            </wp:positionV>
            <wp:extent cx="13716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37160" cy="137160"/>
                    </a:xfrm>
                    <a:prstGeom prst="rect">
                      <a:avLst/>
                    </a:prstGeom>
                    <a:noFill/>
                  </pic:spPr>
                </pic:pic>
              </a:graphicData>
            </a:graphic>
          </wp:anchor>
        </w:drawing>
        <w:t>Credicorp – The Sum of Its Parts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Credicorp’s business development in 4Q12 continued to be very strong. In fact, significant growth was seen in all segments with correspondingly strong income generation. However, significant investments and costs are also being incurred to enhance our capacity to respond to fast-growing demand and support growth for the next several years. Therefore, our cost line expanded significantly given the growing marketing, advisory, acquisition &amp; legal costs as well as increased personnel and branch expansion, all of which are in line with business evolution. This last Q also includes the effect of seasonally concentrated costs at year-end, as well as the impact of the revaluation of the local currency, in which most costs are incurred. But in general and for the whole year, costs are up for the reasons explained above. Another effect of the business expansion, especially in the retail business, is the need for higher provisioning, which is also reflected in the numbers this Q and for the year as a whole. However, we are confident that we are taking an adequate approach to expanding our retail business as we strive to implement cutting-edge tools for retail risk management. Furthermore, regulatory changes, especially in the pension fund business, represent additional challenges for the business and increase our costs as we move to adjust our operating systems to fulfill the new regulations. Despite higher costs, Credicorp has reported very good performance for the 4Q as well as for the year as a whole, delivering a 21.1% ROAE with very sound and robust portfolio quality indicators. However, challenges lay ahead in the process to get our new Regional Investment Bank up and running as we face the difficulties of merging three organizations and cultures and take on the considerable task of adapting our pension fund business to the new regulatory environment.</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This 4Q12 BCP reported US$170.9 million in net income, which led to a contribution to Credicorp of US$166.7 million and reflects an excellent ROAE of 25.2% and a ROAA of 2%. Although this number is 11% below the extraordinary results reported in 3Q, a comparison does not seem appropriate given that 4Q’s result excludes the income related to the investment banking businesses, which were separated from BCP and consolidated in a separate entity for the subsequent merger into the new Investment Bank of Credicorp. As previously explained, our business expansion was excellent and income generation remained strong, which allowed us to absorb higher provisioning. However, the strong expansion posted in our network and overall operating capacities is reflected in a high cost line, which nevertheless allowed for very strong growth of 15% in net earnings for the year.</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40" w:type="dxa"/>
            <w:vAlign w:val="bottom"/>
            <w:gridSpan w:val="2"/>
          </w:tcPr>
          <w:p>
            <w:pPr>
              <w:spacing w:after="0"/>
              <w:rPr>
                <w:sz w:val="20"/>
                <w:szCs w:val="20"/>
                <w:color w:val="auto"/>
              </w:rPr>
            </w:pPr>
            <w:r>
              <w:rPr>
                <w:rFonts w:ascii="Arial" w:cs="Arial" w:eastAsia="Arial" w:hAnsi="Arial"/>
                <w:sz w:val="13"/>
                <w:szCs w:val="13"/>
                <w:b w:val="1"/>
                <w:bCs w:val="1"/>
                <w:color w:val="auto"/>
              </w:rPr>
              <w:t>Earnings contribution to Credicorp</w:t>
            </w: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Quarter</w:t>
            </w: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gridSpan w:val="3"/>
          </w:tcPr>
          <w:p>
            <w:pPr>
              <w:ind w:left="20"/>
              <w:spacing w:after="0"/>
              <w:rPr>
                <w:sz w:val="20"/>
                <w:szCs w:val="20"/>
                <w:color w:val="auto"/>
              </w:rPr>
            </w:pPr>
            <w:r>
              <w:rPr>
                <w:rFonts w:ascii="Arial" w:cs="Arial" w:eastAsia="Arial" w:hAnsi="Arial"/>
                <w:sz w:val="13"/>
                <w:szCs w:val="13"/>
                <w:b w:val="1"/>
                <w:bCs w:val="1"/>
                <w:color w:val="auto"/>
                <w:w w:val="92"/>
              </w:rPr>
              <w:t>Change %</w:t>
            </w: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80" w:type="dxa"/>
            <w:vAlign w:val="bottom"/>
            <w:gridSpan w:val="4"/>
          </w:tcPr>
          <w:p>
            <w:pPr>
              <w:jc w:val="right"/>
              <w:ind w:right="680"/>
              <w:spacing w:after="0"/>
              <w:rPr>
                <w:sz w:val="20"/>
                <w:szCs w:val="20"/>
                <w:color w:val="auto"/>
              </w:rPr>
            </w:pPr>
            <w:r>
              <w:rPr>
                <w:rFonts w:ascii="Arial" w:cs="Arial" w:eastAsia="Arial" w:hAnsi="Arial"/>
                <w:sz w:val="13"/>
                <w:szCs w:val="13"/>
                <w:b w:val="1"/>
                <w:bCs w:val="1"/>
                <w:color w:val="auto"/>
              </w:rPr>
              <w:t>Year ended</w:t>
            </w:r>
          </w:p>
        </w:tc>
        <w:tc>
          <w:tcPr>
            <w:tcW w:w="8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Change %</w:t>
            </w:r>
          </w:p>
        </w:tc>
      </w:tr>
      <w:tr>
        <w:trPr>
          <w:trHeight w:val="153"/>
        </w:trPr>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US$ 000</w:t>
            </w:r>
          </w:p>
        </w:tc>
        <w:tc>
          <w:tcPr>
            <w:tcW w:w="120" w:type="dxa"/>
            <w:vAlign w:val="bottom"/>
            <w:tcBorders>
              <w:bottom w:val="single" w:sz="8" w:color="CCFFCC"/>
            </w:tcBorders>
          </w:tcPr>
          <w:p>
            <w:pPr>
              <w:spacing w:after="0"/>
              <w:rPr>
                <w:sz w:val="13"/>
                <w:szCs w:val="13"/>
                <w:color w:val="auto"/>
              </w:rPr>
            </w:pPr>
          </w:p>
        </w:tc>
        <w:tc>
          <w:tcPr>
            <w:tcW w:w="72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4Q12</w:t>
            </w:r>
          </w:p>
        </w:tc>
        <w:tc>
          <w:tcPr>
            <w:tcW w:w="240" w:type="dxa"/>
            <w:vAlign w:val="bottom"/>
            <w:tcBorders>
              <w:bottom w:val="single" w:sz="8" w:color="CCFFCC"/>
            </w:tcBorders>
          </w:tcPr>
          <w:p>
            <w:pPr>
              <w:spacing w:after="0"/>
              <w:rPr>
                <w:sz w:val="13"/>
                <w:szCs w:val="13"/>
                <w:color w:val="auto"/>
              </w:rPr>
            </w:pPr>
          </w:p>
        </w:tc>
        <w:tc>
          <w:tcPr>
            <w:tcW w:w="6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3Q12</w:t>
            </w:r>
          </w:p>
        </w:tc>
        <w:tc>
          <w:tcPr>
            <w:tcW w:w="220" w:type="dxa"/>
            <w:vAlign w:val="bottom"/>
            <w:tcBorders>
              <w:bottom w:val="single" w:sz="8" w:color="CCFFCC"/>
            </w:tcBorders>
          </w:tcPr>
          <w:p>
            <w:pPr>
              <w:spacing w:after="0"/>
              <w:rPr>
                <w:sz w:val="13"/>
                <w:szCs w:val="13"/>
                <w:color w:val="auto"/>
              </w:rPr>
            </w:pPr>
          </w:p>
        </w:tc>
        <w:tc>
          <w:tcPr>
            <w:tcW w:w="6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4Q11</w:t>
            </w:r>
          </w:p>
        </w:tc>
        <w:tc>
          <w:tcPr>
            <w:tcW w:w="220" w:type="dxa"/>
            <w:vAlign w:val="bottom"/>
            <w:tcBorders>
              <w:bottom w:val="single" w:sz="8" w:color="CCFFCC"/>
            </w:tcBorders>
          </w:tcPr>
          <w:p>
            <w:pPr>
              <w:spacing w:after="0"/>
              <w:rPr>
                <w:sz w:val="13"/>
                <w:szCs w:val="13"/>
                <w:color w:val="auto"/>
              </w:rPr>
            </w:pPr>
          </w:p>
        </w:tc>
        <w:tc>
          <w:tcPr>
            <w:tcW w:w="48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w w:val="92"/>
              </w:rPr>
              <w:t>QoQ</w:t>
            </w:r>
          </w:p>
        </w:tc>
        <w:tc>
          <w:tcPr>
            <w:tcW w:w="180" w:type="dxa"/>
            <w:vAlign w:val="bottom"/>
            <w:tcBorders>
              <w:bottom w:val="single" w:sz="8" w:color="auto"/>
            </w:tcBorders>
          </w:tcPr>
          <w:p>
            <w:pPr>
              <w:spacing w:after="0"/>
              <w:rPr>
                <w:sz w:val="13"/>
                <w:szCs w:val="13"/>
                <w:color w:val="auto"/>
              </w:rPr>
            </w:pPr>
          </w:p>
        </w:tc>
        <w:tc>
          <w:tcPr>
            <w:tcW w:w="240" w:type="dxa"/>
            <w:vAlign w:val="bottom"/>
            <w:tcBorders>
              <w:bottom w:val="single" w:sz="8" w:color="CCFFC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YoY</w:t>
            </w:r>
          </w:p>
        </w:tc>
        <w:tc>
          <w:tcPr>
            <w:tcW w:w="240" w:type="dxa"/>
            <w:vAlign w:val="bottom"/>
            <w:tcBorders>
              <w:bottom w:val="single" w:sz="8" w:color="CCFFCC"/>
            </w:tcBorders>
          </w:tcPr>
          <w:p>
            <w:pPr>
              <w:spacing w:after="0"/>
              <w:rPr>
                <w:sz w:val="13"/>
                <w:szCs w:val="13"/>
                <w:color w:val="auto"/>
              </w:rPr>
            </w:pPr>
          </w:p>
        </w:tc>
        <w:tc>
          <w:tcPr>
            <w:tcW w:w="6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Dec 12</w:t>
            </w:r>
          </w:p>
        </w:tc>
        <w:tc>
          <w:tcPr>
            <w:tcW w:w="220" w:type="dxa"/>
            <w:vAlign w:val="bottom"/>
            <w:tcBorders>
              <w:bottom w:val="single" w:sz="8" w:color="CCFFCC"/>
            </w:tcBorders>
          </w:tcPr>
          <w:p>
            <w:pPr>
              <w:spacing w:after="0"/>
              <w:rPr>
                <w:sz w:val="13"/>
                <w:szCs w:val="13"/>
                <w:color w:val="auto"/>
              </w:rPr>
            </w:pPr>
          </w:p>
        </w:tc>
        <w:tc>
          <w:tcPr>
            <w:tcW w:w="6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Dec 11</w:t>
            </w:r>
          </w:p>
        </w:tc>
        <w:tc>
          <w:tcPr>
            <w:tcW w:w="200" w:type="dxa"/>
            <w:vAlign w:val="bottom"/>
            <w:tcBorders>
              <w:bottom w:val="single" w:sz="8" w:color="CCFFCC"/>
            </w:tcBorders>
          </w:tcPr>
          <w:p>
            <w:pPr>
              <w:spacing w:after="0"/>
              <w:rPr>
                <w:sz w:val="13"/>
                <w:szCs w:val="13"/>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YoY</w:t>
            </w:r>
          </w:p>
        </w:tc>
        <w:tc>
          <w:tcPr>
            <w:tcW w:w="140" w:type="dxa"/>
            <w:vAlign w:val="bottom"/>
            <w:tcBorders>
              <w:bottom w:val="single" w:sz="8" w:color="CCFFCC"/>
            </w:tcBorders>
          </w:tcPr>
          <w:p>
            <w:pPr>
              <w:spacing w:after="0"/>
              <w:rPr>
                <w:sz w:val="13"/>
                <w:szCs w:val="13"/>
                <w:color w:val="auto"/>
              </w:rPr>
            </w:pPr>
          </w:p>
        </w:tc>
      </w:tr>
      <w:tr>
        <w:trPr>
          <w:trHeight w:val="129"/>
        </w:trPr>
        <w:tc>
          <w:tcPr>
            <w:tcW w:w="4120" w:type="dxa"/>
            <w:vAlign w:val="bottom"/>
            <w:shd w:val="clear" w:color="auto" w:fill="CCFFCC"/>
          </w:tcPr>
          <w:p>
            <w:pPr>
              <w:spacing w:after="0" w:line="129" w:lineRule="exact"/>
              <w:rPr>
                <w:sz w:val="20"/>
                <w:szCs w:val="20"/>
                <w:color w:val="auto"/>
              </w:rPr>
            </w:pPr>
            <w:r>
              <w:rPr>
                <w:rFonts w:ascii="Arial" w:cs="Arial" w:eastAsia="Arial" w:hAnsi="Arial"/>
                <w:sz w:val="13"/>
                <w:szCs w:val="13"/>
                <w:color w:val="auto"/>
              </w:rPr>
              <w:t>Banco de Crédito BCP (1)</w:t>
            </w:r>
          </w:p>
        </w:tc>
        <w:tc>
          <w:tcPr>
            <w:tcW w:w="120" w:type="dxa"/>
            <w:vAlign w:val="bottom"/>
            <w:shd w:val="clear" w:color="auto" w:fill="CCFFCC"/>
          </w:tcPr>
          <w:p>
            <w:pPr>
              <w:spacing w:after="0"/>
              <w:rPr>
                <w:sz w:val="11"/>
                <w:szCs w:val="11"/>
                <w:color w:val="auto"/>
              </w:rPr>
            </w:pPr>
          </w:p>
        </w:tc>
        <w:tc>
          <w:tcPr>
            <w:tcW w:w="72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166,701</w:t>
            </w:r>
          </w:p>
        </w:tc>
        <w:tc>
          <w:tcPr>
            <w:tcW w:w="240" w:type="dxa"/>
            <w:vAlign w:val="bottom"/>
            <w:shd w:val="clear" w:color="auto" w:fill="CCFFCC"/>
          </w:tcPr>
          <w:p>
            <w:pPr>
              <w:spacing w:after="0"/>
              <w:rPr>
                <w:sz w:val="11"/>
                <w:szCs w:val="11"/>
                <w:color w:val="auto"/>
              </w:rPr>
            </w:pPr>
          </w:p>
        </w:tc>
        <w:tc>
          <w:tcPr>
            <w:tcW w:w="68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188,225</w:t>
            </w:r>
          </w:p>
        </w:tc>
        <w:tc>
          <w:tcPr>
            <w:tcW w:w="220" w:type="dxa"/>
            <w:vAlign w:val="bottom"/>
            <w:shd w:val="clear" w:color="auto" w:fill="CCFFCC"/>
          </w:tcPr>
          <w:p>
            <w:pPr>
              <w:spacing w:after="0"/>
              <w:rPr>
                <w:sz w:val="11"/>
                <w:szCs w:val="11"/>
                <w:color w:val="auto"/>
              </w:rPr>
            </w:pPr>
          </w:p>
        </w:tc>
        <w:tc>
          <w:tcPr>
            <w:tcW w:w="68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161,007</w:t>
            </w:r>
          </w:p>
        </w:tc>
        <w:tc>
          <w:tcPr>
            <w:tcW w:w="220" w:type="dxa"/>
            <w:vAlign w:val="bottom"/>
            <w:shd w:val="clear" w:color="auto" w:fill="CCFFCC"/>
          </w:tcPr>
          <w:p>
            <w:pPr>
              <w:spacing w:after="0"/>
              <w:rPr>
                <w:sz w:val="11"/>
                <w:szCs w:val="11"/>
                <w:color w:val="auto"/>
              </w:rPr>
            </w:pPr>
          </w:p>
        </w:tc>
        <w:tc>
          <w:tcPr>
            <w:tcW w:w="480" w:type="dxa"/>
            <w:vAlign w:val="bottom"/>
            <w:shd w:val="clear" w:color="auto" w:fill="CCFFCC"/>
          </w:tcPr>
          <w:p>
            <w:pPr>
              <w:spacing w:after="0"/>
              <w:rPr>
                <w:sz w:val="11"/>
                <w:szCs w:val="11"/>
                <w:color w:val="auto"/>
              </w:rPr>
            </w:pPr>
          </w:p>
        </w:tc>
        <w:tc>
          <w:tcPr>
            <w:tcW w:w="420" w:type="dxa"/>
            <w:vAlign w:val="bottom"/>
            <w:gridSpan w:val="2"/>
            <w:shd w:val="clear" w:color="auto" w:fill="CCFFCC"/>
          </w:tcPr>
          <w:p>
            <w:pPr>
              <w:jc w:val="right"/>
              <w:ind w:right="120"/>
              <w:spacing w:after="0" w:line="129" w:lineRule="exact"/>
              <w:rPr>
                <w:sz w:val="20"/>
                <w:szCs w:val="20"/>
                <w:color w:val="auto"/>
              </w:rPr>
            </w:pPr>
            <w:r>
              <w:rPr>
                <w:rFonts w:ascii="Arial" w:cs="Arial" w:eastAsia="Arial" w:hAnsi="Arial"/>
                <w:sz w:val="13"/>
                <w:szCs w:val="13"/>
                <w:color w:val="auto"/>
                <w:w w:val="92"/>
              </w:rPr>
              <w:t>-11%</w:t>
            </w:r>
          </w:p>
        </w:tc>
        <w:tc>
          <w:tcPr>
            <w:tcW w:w="20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140"/>
              <w:spacing w:after="0" w:line="129" w:lineRule="exact"/>
              <w:rPr>
                <w:sz w:val="20"/>
                <w:szCs w:val="20"/>
                <w:color w:val="auto"/>
              </w:rPr>
            </w:pPr>
            <w:r>
              <w:rPr>
                <w:rFonts w:ascii="Arial" w:cs="Arial" w:eastAsia="Arial" w:hAnsi="Arial"/>
                <w:sz w:val="13"/>
                <w:szCs w:val="13"/>
                <w:color w:val="auto"/>
              </w:rPr>
              <w:t>4%</w:t>
            </w:r>
          </w:p>
        </w:tc>
        <w:tc>
          <w:tcPr>
            <w:tcW w:w="68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645,750</w:t>
            </w:r>
          </w:p>
        </w:tc>
        <w:tc>
          <w:tcPr>
            <w:tcW w:w="220" w:type="dxa"/>
            <w:vAlign w:val="bottom"/>
            <w:shd w:val="clear" w:color="auto" w:fill="CCFFCC"/>
          </w:tcPr>
          <w:p>
            <w:pPr>
              <w:spacing w:after="0"/>
              <w:rPr>
                <w:sz w:val="11"/>
                <w:szCs w:val="11"/>
                <w:color w:val="auto"/>
              </w:rPr>
            </w:pPr>
          </w:p>
        </w:tc>
        <w:tc>
          <w:tcPr>
            <w:tcW w:w="68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563,968</w:t>
            </w:r>
          </w:p>
        </w:tc>
        <w:tc>
          <w:tcPr>
            <w:tcW w:w="20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40"/>
              <w:spacing w:after="0" w:line="129" w:lineRule="exact"/>
              <w:rPr>
                <w:sz w:val="20"/>
                <w:szCs w:val="20"/>
                <w:color w:val="auto"/>
              </w:rPr>
            </w:pPr>
            <w:r>
              <w:rPr>
                <w:rFonts w:ascii="Arial" w:cs="Arial" w:eastAsia="Arial" w:hAnsi="Arial"/>
                <w:sz w:val="13"/>
                <w:szCs w:val="13"/>
                <w:color w:val="auto"/>
              </w:rPr>
              <w:t>15%</w:t>
            </w:r>
          </w:p>
        </w:tc>
      </w:tr>
      <w:tr>
        <w:trPr>
          <w:trHeight w:val="135"/>
        </w:trPr>
        <w:tc>
          <w:tcPr>
            <w:tcW w:w="4240" w:type="dxa"/>
            <w:vAlign w:val="bottom"/>
            <w:gridSpan w:val="2"/>
          </w:tcPr>
          <w:p>
            <w:pPr>
              <w:ind w:left="180"/>
              <w:spacing w:after="0" w:line="135" w:lineRule="exact"/>
              <w:rPr>
                <w:sz w:val="20"/>
                <w:szCs w:val="20"/>
                <w:color w:val="auto"/>
              </w:rPr>
            </w:pPr>
            <w:r>
              <w:rPr>
                <w:rFonts w:ascii="Arial" w:cs="Arial" w:eastAsia="Arial" w:hAnsi="Arial"/>
                <w:sz w:val="13"/>
                <w:szCs w:val="13"/>
                <w:i w:val="1"/>
                <w:iCs w:val="1"/>
                <w:color w:val="auto"/>
              </w:rPr>
              <w:t>BCB (2)</w:t>
            </w:r>
          </w:p>
        </w:tc>
        <w:tc>
          <w:tcPr>
            <w:tcW w:w="9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3,904</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5,274</w:t>
            </w:r>
          </w:p>
        </w:tc>
        <w:tc>
          <w:tcPr>
            <w:tcW w:w="220" w:type="dxa"/>
            <w:vAlign w:val="bottom"/>
          </w:tcPr>
          <w:p>
            <w:pPr>
              <w:spacing w:after="0"/>
              <w:rPr>
                <w:sz w:val="11"/>
                <w:szCs w:val="11"/>
                <w:color w:val="auto"/>
              </w:rPr>
            </w:pP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7,966</w:t>
            </w:r>
          </w:p>
        </w:tc>
        <w:tc>
          <w:tcPr>
            <w:tcW w:w="480" w:type="dxa"/>
            <w:vAlign w:val="bottom"/>
          </w:tcPr>
          <w:p>
            <w:pPr>
              <w:spacing w:after="0"/>
              <w:rPr>
                <w:sz w:val="11"/>
                <w:szCs w:val="11"/>
                <w:color w:val="auto"/>
              </w:rPr>
            </w:pPr>
          </w:p>
        </w:tc>
        <w:tc>
          <w:tcPr>
            <w:tcW w:w="4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2"/>
              </w:rPr>
              <w:t>-26%</w:t>
            </w:r>
          </w:p>
        </w:tc>
        <w:tc>
          <w:tcPr>
            <w:tcW w:w="200" w:type="dxa"/>
            <w:vAlign w:val="bottom"/>
          </w:tcPr>
          <w:p>
            <w:pPr>
              <w:spacing w:after="0"/>
              <w:rPr>
                <w:sz w:val="11"/>
                <w:szCs w:val="11"/>
                <w:color w:val="auto"/>
              </w:rPr>
            </w:pPr>
          </w:p>
        </w:tc>
        <w:tc>
          <w:tcPr>
            <w:tcW w:w="7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-51%</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20,082</w:t>
            </w: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21,766</w:t>
            </w:r>
          </w:p>
        </w:tc>
        <w:tc>
          <w:tcPr>
            <w:tcW w:w="8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-8%</w:t>
            </w:r>
          </w:p>
        </w:tc>
      </w:tr>
      <w:tr>
        <w:trPr>
          <w:trHeight w:val="135"/>
        </w:trPr>
        <w:tc>
          <w:tcPr>
            <w:tcW w:w="4240" w:type="dxa"/>
            <w:vAlign w:val="bottom"/>
            <w:gridSpan w:val="2"/>
            <w:shd w:val="clear" w:color="auto" w:fill="CCFFCC"/>
          </w:tcPr>
          <w:p>
            <w:pPr>
              <w:ind w:left="180"/>
              <w:spacing w:after="0" w:line="135" w:lineRule="exact"/>
              <w:rPr>
                <w:sz w:val="20"/>
                <w:szCs w:val="20"/>
                <w:color w:val="auto"/>
              </w:rPr>
            </w:pPr>
            <w:r>
              <w:rPr>
                <w:rFonts w:ascii="Arial" w:cs="Arial" w:eastAsia="Arial" w:hAnsi="Arial"/>
                <w:sz w:val="13"/>
                <w:szCs w:val="13"/>
                <w:i w:val="1"/>
                <w:iCs w:val="1"/>
                <w:color w:val="auto"/>
              </w:rPr>
              <w:t>Edyficar</w:t>
            </w:r>
          </w:p>
        </w:tc>
        <w:tc>
          <w:tcPr>
            <w:tcW w:w="96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10,942</w:t>
            </w:r>
          </w:p>
        </w:tc>
        <w:tc>
          <w:tcPr>
            <w:tcW w:w="6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9,671</w:t>
            </w:r>
          </w:p>
        </w:tc>
        <w:tc>
          <w:tcPr>
            <w:tcW w:w="220" w:type="dxa"/>
            <w:vAlign w:val="bottom"/>
            <w:shd w:val="clear" w:color="auto" w:fill="CCFFCC"/>
          </w:tcPr>
          <w:p>
            <w:pPr>
              <w:spacing w:after="0"/>
              <w:rPr>
                <w:sz w:val="11"/>
                <w:szCs w:val="11"/>
                <w:color w:val="auto"/>
              </w:rPr>
            </w:pP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7,376</w:t>
            </w:r>
          </w:p>
        </w:tc>
        <w:tc>
          <w:tcPr>
            <w:tcW w:w="480" w:type="dxa"/>
            <w:vAlign w:val="bottom"/>
            <w:shd w:val="clear" w:color="auto" w:fill="CCFFCC"/>
          </w:tcPr>
          <w:p>
            <w:pPr>
              <w:spacing w:after="0"/>
              <w:rPr>
                <w:sz w:val="11"/>
                <w:szCs w:val="11"/>
                <w:color w:val="auto"/>
              </w:rPr>
            </w:pPr>
          </w:p>
        </w:tc>
        <w:tc>
          <w:tcPr>
            <w:tcW w:w="4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13%</w:t>
            </w:r>
          </w:p>
        </w:tc>
        <w:tc>
          <w:tcPr>
            <w:tcW w:w="20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48%</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35,546</w:t>
            </w:r>
          </w:p>
        </w:tc>
        <w:tc>
          <w:tcPr>
            <w:tcW w:w="88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25,564</w:t>
            </w:r>
          </w:p>
        </w:tc>
        <w:tc>
          <w:tcPr>
            <w:tcW w:w="82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39%</w:t>
            </w:r>
          </w:p>
        </w:tc>
      </w:tr>
      <w:tr>
        <w:trPr>
          <w:trHeight w:val="135"/>
        </w:trPr>
        <w:tc>
          <w:tcPr>
            <w:tcW w:w="4240" w:type="dxa"/>
            <w:vAlign w:val="bottom"/>
            <w:gridSpan w:val="2"/>
          </w:tcPr>
          <w:p>
            <w:pPr>
              <w:spacing w:after="0" w:line="135" w:lineRule="exact"/>
              <w:rPr>
                <w:sz w:val="20"/>
                <w:szCs w:val="20"/>
                <w:color w:val="auto"/>
              </w:rPr>
            </w:pPr>
            <w:r>
              <w:rPr>
                <w:rFonts w:ascii="Arial" w:cs="Arial" w:eastAsia="Arial" w:hAnsi="Arial"/>
                <w:sz w:val="13"/>
                <w:szCs w:val="13"/>
                <w:color w:val="auto"/>
              </w:rPr>
              <w:t>BCP Capital (5)</w:t>
            </w:r>
          </w:p>
        </w:tc>
        <w:tc>
          <w:tcPr>
            <w:tcW w:w="9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3,059</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spacing w:after="0"/>
              <w:rPr>
                <w:sz w:val="11"/>
                <w:szCs w:val="11"/>
                <w:color w:val="auto"/>
              </w:rPr>
            </w:pPr>
          </w:p>
        </w:tc>
        <w:tc>
          <w:tcPr>
            <w:tcW w:w="4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7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3,059</w:t>
            </w:r>
          </w:p>
        </w:tc>
        <w:tc>
          <w:tcPr>
            <w:tcW w:w="220" w:type="dxa"/>
            <w:vAlign w:val="bottom"/>
          </w:tcPr>
          <w:p>
            <w:pPr>
              <w:spacing w:after="0"/>
              <w:rPr>
                <w:sz w:val="11"/>
                <w:szCs w:val="11"/>
                <w:color w:val="auto"/>
              </w:rPr>
            </w:pP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r>
      <w:tr>
        <w:trPr>
          <w:trHeight w:val="135"/>
        </w:trPr>
        <w:tc>
          <w:tcPr>
            <w:tcW w:w="424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Pacifico Grupo Asegurador</w:t>
            </w:r>
          </w:p>
        </w:tc>
        <w:tc>
          <w:tcPr>
            <w:tcW w:w="96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16,895</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20,617</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11,945</w:t>
            </w:r>
          </w:p>
        </w:tc>
        <w:tc>
          <w:tcPr>
            <w:tcW w:w="480" w:type="dxa"/>
            <w:vAlign w:val="bottom"/>
            <w:shd w:val="clear" w:color="auto" w:fill="CCFFCC"/>
          </w:tcPr>
          <w:p>
            <w:pPr>
              <w:spacing w:after="0"/>
              <w:rPr>
                <w:sz w:val="11"/>
                <w:szCs w:val="11"/>
                <w:color w:val="auto"/>
              </w:rPr>
            </w:pPr>
          </w:p>
        </w:tc>
        <w:tc>
          <w:tcPr>
            <w:tcW w:w="4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w w:val="92"/>
              </w:rPr>
              <w:t>-18%</w:t>
            </w:r>
          </w:p>
        </w:tc>
        <w:tc>
          <w:tcPr>
            <w:tcW w:w="20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41%</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65,998</w:t>
            </w:r>
          </w:p>
        </w:tc>
        <w:tc>
          <w:tcPr>
            <w:tcW w:w="88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65,613</w:t>
            </w:r>
          </w:p>
        </w:tc>
        <w:tc>
          <w:tcPr>
            <w:tcW w:w="82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1%</w:t>
            </w:r>
          </w:p>
        </w:tc>
      </w:tr>
      <w:tr>
        <w:trPr>
          <w:trHeight w:val="135"/>
        </w:trPr>
        <w:tc>
          <w:tcPr>
            <w:tcW w:w="4240" w:type="dxa"/>
            <w:vAlign w:val="bottom"/>
            <w:gridSpan w:val="2"/>
          </w:tcPr>
          <w:p>
            <w:pPr>
              <w:spacing w:after="0" w:line="135" w:lineRule="exact"/>
              <w:rPr>
                <w:sz w:val="20"/>
                <w:szCs w:val="20"/>
                <w:color w:val="auto"/>
              </w:rPr>
            </w:pPr>
            <w:r>
              <w:rPr>
                <w:rFonts w:ascii="Arial" w:cs="Arial" w:eastAsia="Arial" w:hAnsi="Arial"/>
                <w:sz w:val="13"/>
                <w:szCs w:val="13"/>
                <w:color w:val="auto"/>
              </w:rPr>
              <w:t>Atlantic Security Bank</w:t>
            </w:r>
          </w:p>
        </w:tc>
        <w:tc>
          <w:tcPr>
            <w:tcW w:w="9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13,706</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12,534</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9,162</w:t>
            </w:r>
          </w:p>
        </w:tc>
        <w:tc>
          <w:tcPr>
            <w:tcW w:w="480" w:type="dxa"/>
            <w:vAlign w:val="bottom"/>
          </w:tcPr>
          <w:p>
            <w:pPr>
              <w:spacing w:after="0"/>
              <w:rPr>
                <w:sz w:val="11"/>
                <w:szCs w:val="11"/>
                <w:color w:val="auto"/>
              </w:rPr>
            </w:pPr>
          </w:p>
        </w:tc>
        <w:tc>
          <w:tcPr>
            <w:tcW w:w="4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9%</w:t>
            </w:r>
          </w:p>
        </w:tc>
        <w:tc>
          <w:tcPr>
            <w:tcW w:w="200" w:type="dxa"/>
            <w:vAlign w:val="bottom"/>
          </w:tcPr>
          <w:p>
            <w:pPr>
              <w:spacing w:after="0"/>
              <w:rPr>
                <w:sz w:val="11"/>
                <w:szCs w:val="11"/>
                <w:color w:val="auto"/>
              </w:rPr>
            </w:pPr>
          </w:p>
        </w:tc>
        <w:tc>
          <w:tcPr>
            <w:tcW w:w="7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50%</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48,402</w:t>
            </w: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41,091</w:t>
            </w:r>
          </w:p>
        </w:tc>
        <w:tc>
          <w:tcPr>
            <w:tcW w:w="8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18%</w:t>
            </w:r>
          </w:p>
        </w:tc>
      </w:tr>
      <w:tr>
        <w:trPr>
          <w:trHeight w:val="135"/>
        </w:trPr>
        <w:tc>
          <w:tcPr>
            <w:tcW w:w="424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Prima</w:t>
            </w:r>
          </w:p>
        </w:tc>
        <w:tc>
          <w:tcPr>
            <w:tcW w:w="96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8,123</w:t>
            </w:r>
          </w:p>
        </w:tc>
        <w:tc>
          <w:tcPr>
            <w:tcW w:w="6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9,450</w:t>
            </w:r>
          </w:p>
        </w:tc>
        <w:tc>
          <w:tcPr>
            <w:tcW w:w="220" w:type="dxa"/>
            <w:vAlign w:val="bottom"/>
            <w:shd w:val="clear" w:color="auto" w:fill="CCFFCC"/>
          </w:tcPr>
          <w:p>
            <w:pPr>
              <w:spacing w:after="0"/>
              <w:rPr>
                <w:sz w:val="11"/>
                <w:szCs w:val="11"/>
                <w:color w:val="auto"/>
              </w:rPr>
            </w:pP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8,854</w:t>
            </w:r>
          </w:p>
        </w:tc>
        <w:tc>
          <w:tcPr>
            <w:tcW w:w="480" w:type="dxa"/>
            <w:vAlign w:val="bottom"/>
            <w:shd w:val="clear" w:color="auto" w:fill="CCFFCC"/>
          </w:tcPr>
          <w:p>
            <w:pPr>
              <w:spacing w:after="0"/>
              <w:rPr>
                <w:sz w:val="11"/>
                <w:szCs w:val="11"/>
                <w:color w:val="auto"/>
              </w:rPr>
            </w:pPr>
          </w:p>
        </w:tc>
        <w:tc>
          <w:tcPr>
            <w:tcW w:w="4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w w:val="92"/>
              </w:rPr>
              <w:t>-14%</w:t>
            </w:r>
          </w:p>
        </w:tc>
        <w:tc>
          <w:tcPr>
            <w:tcW w:w="20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-8%</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38,183</w:t>
            </w:r>
          </w:p>
        </w:tc>
        <w:tc>
          <w:tcPr>
            <w:tcW w:w="88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32,397</w:t>
            </w:r>
          </w:p>
        </w:tc>
        <w:tc>
          <w:tcPr>
            <w:tcW w:w="82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18%</w:t>
            </w:r>
          </w:p>
        </w:tc>
      </w:tr>
      <w:tr>
        <w:trPr>
          <w:trHeight w:val="135"/>
        </w:trPr>
        <w:tc>
          <w:tcPr>
            <w:tcW w:w="4240" w:type="dxa"/>
            <w:vAlign w:val="bottom"/>
            <w:gridSpan w:val="2"/>
          </w:tcPr>
          <w:p>
            <w:pPr>
              <w:ind w:left="180"/>
              <w:spacing w:after="0" w:line="135" w:lineRule="exact"/>
              <w:rPr>
                <w:sz w:val="20"/>
                <w:szCs w:val="20"/>
                <w:color w:val="auto"/>
              </w:rPr>
            </w:pPr>
            <w:r>
              <w:rPr>
                <w:rFonts w:ascii="Arial" w:cs="Arial" w:eastAsia="Arial" w:hAnsi="Arial"/>
                <w:sz w:val="13"/>
                <w:szCs w:val="13"/>
                <w:i w:val="1"/>
                <w:iCs w:val="1"/>
                <w:color w:val="auto"/>
              </w:rPr>
              <w:t>Eliminations (7)</w:t>
            </w:r>
          </w:p>
        </w:tc>
        <w:tc>
          <w:tcPr>
            <w:tcW w:w="9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(3,587)</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spacing w:after="0"/>
              <w:rPr>
                <w:sz w:val="11"/>
                <w:szCs w:val="11"/>
                <w:color w:val="auto"/>
              </w:rPr>
            </w:pPr>
          </w:p>
        </w:tc>
        <w:tc>
          <w:tcPr>
            <w:tcW w:w="4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7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(3,587)</w:t>
            </w: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r>
      <w:tr>
        <w:trPr>
          <w:trHeight w:val="135"/>
        </w:trPr>
        <w:tc>
          <w:tcPr>
            <w:tcW w:w="424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Credicorp Ltd. (3)</w:t>
            </w:r>
          </w:p>
        </w:tc>
        <w:tc>
          <w:tcPr>
            <w:tcW w:w="9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(5,681)</w:t>
            </w:r>
          </w:p>
        </w:tc>
        <w:tc>
          <w:tcPr>
            <w:tcW w:w="9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(5,620)</w:t>
            </w:r>
          </w:p>
        </w:tc>
        <w:tc>
          <w:tcPr>
            <w:tcW w:w="9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(1,388)</w:t>
            </w:r>
          </w:p>
        </w:tc>
        <w:tc>
          <w:tcPr>
            <w:tcW w:w="480" w:type="dxa"/>
            <w:vAlign w:val="bottom"/>
            <w:shd w:val="clear" w:color="auto" w:fill="CCFFCC"/>
          </w:tcPr>
          <w:p>
            <w:pPr>
              <w:spacing w:after="0"/>
              <w:rPr>
                <w:sz w:val="11"/>
                <w:szCs w:val="11"/>
                <w:color w:val="auto"/>
              </w:rPr>
            </w:pPr>
          </w:p>
        </w:tc>
        <w:tc>
          <w:tcPr>
            <w:tcW w:w="4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1%</w:t>
            </w:r>
          </w:p>
        </w:tc>
        <w:tc>
          <w:tcPr>
            <w:tcW w:w="20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309%</w:t>
            </w:r>
          </w:p>
        </w:tc>
        <w:tc>
          <w:tcPr>
            <w:tcW w:w="9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(10,285)</w:t>
            </w:r>
          </w:p>
        </w:tc>
        <w:tc>
          <w:tcPr>
            <w:tcW w:w="880" w:type="dxa"/>
            <w:vAlign w:val="bottom"/>
            <w:gridSpan w:val="2"/>
            <w:shd w:val="clear" w:color="auto" w:fill="CCFFCC"/>
          </w:tcPr>
          <w:p>
            <w:pPr>
              <w:jc w:val="right"/>
              <w:ind w:right="160"/>
              <w:spacing w:after="0" w:line="135" w:lineRule="exact"/>
              <w:rPr>
                <w:sz w:val="20"/>
                <w:szCs w:val="20"/>
                <w:color w:val="auto"/>
              </w:rPr>
            </w:pPr>
            <w:r>
              <w:rPr>
                <w:rFonts w:ascii="Arial" w:cs="Arial" w:eastAsia="Arial" w:hAnsi="Arial"/>
                <w:sz w:val="13"/>
                <w:szCs w:val="13"/>
                <w:color w:val="auto"/>
              </w:rPr>
              <w:t>(1,181)</w:t>
            </w:r>
          </w:p>
        </w:tc>
        <w:tc>
          <w:tcPr>
            <w:tcW w:w="82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771%</w:t>
            </w:r>
          </w:p>
        </w:tc>
      </w:tr>
      <w:tr>
        <w:trPr>
          <w:trHeight w:val="135"/>
        </w:trPr>
        <w:tc>
          <w:tcPr>
            <w:tcW w:w="4240" w:type="dxa"/>
            <w:vAlign w:val="bottom"/>
            <w:gridSpan w:val="2"/>
          </w:tcPr>
          <w:p>
            <w:pPr>
              <w:spacing w:after="0" w:line="135" w:lineRule="exact"/>
              <w:rPr>
                <w:sz w:val="20"/>
                <w:szCs w:val="20"/>
                <w:color w:val="auto"/>
              </w:rPr>
            </w:pPr>
            <w:r>
              <w:rPr>
                <w:rFonts w:ascii="Arial" w:cs="Arial" w:eastAsia="Arial" w:hAnsi="Arial"/>
                <w:sz w:val="13"/>
                <w:szCs w:val="13"/>
                <w:color w:val="auto"/>
              </w:rPr>
              <w:t>Others (4)</w:t>
            </w:r>
          </w:p>
        </w:tc>
        <w:tc>
          <w:tcPr>
            <w:tcW w:w="9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973</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2,326</w:t>
            </w:r>
          </w:p>
        </w:tc>
        <w:tc>
          <w:tcPr>
            <w:tcW w:w="220" w:type="dxa"/>
            <w:vAlign w:val="bottom"/>
          </w:tcPr>
          <w:p>
            <w:pPr>
              <w:spacing w:after="0"/>
              <w:rPr>
                <w:sz w:val="11"/>
                <w:szCs w:val="11"/>
                <w:color w:val="auto"/>
              </w:rPr>
            </w:pP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(400)</w:t>
            </w:r>
          </w:p>
        </w:tc>
        <w:tc>
          <w:tcPr>
            <w:tcW w:w="480" w:type="dxa"/>
            <w:vAlign w:val="bottom"/>
          </w:tcPr>
          <w:p>
            <w:pPr>
              <w:spacing w:after="0"/>
              <w:rPr>
                <w:sz w:val="11"/>
                <w:szCs w:val="11"/>
                <w:color w:val="auto"/>
              </w:rPr>
            </w:pPr>
          </w:p>
        </w:tc>
        <w:tc>
          <w:tcPr>
            <w:tcW w:w="4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2"/>
              </w:rPr>
              <w:t>-58%</w:t>
            </w:r>
          </w:p>
        </w:tc>
        <w:tc>
          <w:tcPr>
            <w:tcW w:w="200" w:type="dxa"/>
            <w:vAlign w:val="bottom"/>
          </w:tcPr>
          <w:p>
            <w:pPr>
              <w:spacing w:after="0"/>
              <w:rPr>
                <w:sz w:val="11"/>
                <w:szCs w:val="11"/>
                <w:color w:val="auto"/>
              </w:rPr>
            </w:pPr>
          </w:p>
        </w:tc>
        <w:tc>
          <w:tcPr>
            <w:tcW w:w="7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-343%</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1,258</w:t>
            </w:r>
          </w:p>
        </w:tc>
        <w:tc>
          <w:tcPr>
            <w:tcW w:w="220" w:type="dxa"/>
            <w:vAlign w:val="bottom"/>
          </w:tcPr>
          <w:p>
            <w:pPr>
              <w:spacing w:after="0"/>
              <w:rPr>
                <w:sz w:val="11"/>
                <w:szCs w:val="11"/>
                <w:color w:val="auto"/>
              </w:rPr>
            </w:pP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7,383</w:t>
            </w:r>
          </w:p>
        </w:tc>
        <w:tc>
          <w:tcPr>
            <w:tcW w:w="8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-22%</w:t>
            </w:r>
          </w:p>
        </w:tc>
      </w:tr>
      <w:tr>
        <w:trPr>
          <w:trHeight w:val="149"/>
        </w:trPr>
        <w:tc>
          <w:tcPr>
            <w:tcW w:w="4240" w:type="dxa"/>
            <w:vAlign w:val="bottom"/>
            <w:gridSpan w:val="2"/>
            <w:shd w:val="clear" w:color="auto" w:fill="CCFFCC"/>
          </w:tcPr>
          <w:p>
            <w:pPr>
              <w:spacing w:after="0"/>
              <w:rPr>
                <w:sz w:val="20"/>
                <w:szCs w:val="20"/>
                <w:color w:val="auto"/>
              </w:rPr>
            </w:pPr>
            <w:r>
              <w:rPr>
                <w:rFonts w:ascii="Arial" w:cs="Arial" w:eastAsia="Arial" w:hAnsi="Arial"/>
                <w:sz w:val="13"/>
                <w:szCs w:val="13"/>
                <w:b w:val="1"/>
                <w:bCs w:val="1"/>
                <w:color w:val="auto"/>
              </w:rPr>
              <w:t>Net income attributable to Credicorp</w:t>
            </w:r>
          </w:p>
        </w:tc>
        <w:tc>
          <w:tcPr>
            <w:tcW w:w="720" w:type="dxa"/>
            <w:vAlign w:val="bottom"/>
            <w:shd w:val="clear" w:color="auto" w:fill="CCFFCC"/>
          </w:tcPr>
          <w:p>
            <w:pPr>
              <w:jc w:val="right"/>
              <w:spacing w:after="0"/>
              <w:rPr>
                <w:sz w:val="20"/>
                <w:szCs w:val="20"/>
                <w:color w:val="auto"/>
              </w:rPr>
            </w:pPr>
            <w:r>
              <w:rPr>
                <w:rFonts w:ascii="Arial" w:cs="Arial" w:eastAsia="Arial" w:hAnsi="Arial"/>
                <w:sz w:val="13"/>
                <w:szCs w:val="13"/>
                <w:b w:val="1"/>
                <w:bCs w:val="1"/>
                <w:color w:val="auto"/>
              </w:rPr>
              <w:t>200,189</w:t>
            </w:r>
          </w:p>
        </w:tc>
        <w:tc>
          <w:tcPr>
            <w:tcW w:w="240" w:type="dxa"/>
            <w:vAlign w:val="bottom"/>
            <w:shd w:val="clear" w:color="auto" w:fill="CCFFCC"/>
          </w:tcPr>
          <w:p>
            <w:pPr>
              <w:spacing w:after="0"/>
              <w:rPr>
                <w:sz w:val="12"/>
                <w:szCs w:val="12"/>
                <w:color w:val="auto"/>
              </w:rPr>
            </w:pPr>
          </w:p>
        </w:tc>
        <w:tc>
          <w:tcPr>
            <w:tcW w:w="680" w:type="dxa"/>
            <w:vAlign w:val="bottom"/>
            <w:shd w:val="clear" w:color="auto" w:fill="CCFFCC"/>
          </w:tcPr>
          <w:p>
            <w:pPr>
              <w:jc w:val="right"/>
              <w:spacing w:after="0"/>
              <w:rPr>
                <w:sz w:val="20"/>
                <w:szCs w:val="20"/>
                <w:color w:val="auto"/>
              </w:rPr>
            </w:pPr>
            <w:r>
              <w:rPr>
                <w:rFonts w:ascii="Arial" w:cs="Arial" w:eastAsia="Arial" w:hAnsi="Arial"/>
                <w:sz w:val="13"/>
                <w:szCs w:val="13"/>
                <w:b w:val="1"/>
                <w:bCs w:val="1"/>
                <w:color w:val="auto"/>
              </w:rPr>
              <w:t>227,531</w:t>
            </w:r>
          </w:p>
        </w:tc>
        <w:tc>
          <w:tcPr>
            <w:tcW w:w="220" w:type="dxa"/>
            <w:vAlign w:val="bottom"/>
            <w:shd w:val="clear" w:color="auto" w:fill="CCFFCC"/>
          </w:tcPr>
          <w:p>
            <w:pPr>
              <w:spacing w:after="0"/>
              <w:rPr>
                <w:sz w:val="12"/>
                <w:szCs w:val="12"/>
                <w:color w:val="auto"/>
              </w:rPr>
            </w:pPr>
          </w:p>
        </w:tc>
        <w:tc>
          <w:tcPr>
            <w:tcW w:w="680" w:type="dxa"/>
            <w:vAlign w:val="bottom"/>
            <w:shd w:val="clear" w:color="auto" w:fill="CCFFCC"/>
          </w:tcPr>
          <w:p>
            <w:pPr>
              <w:jc w:val="right"/>
              <w:spacing w:after="0"/>
              <w:rPr>
                <w:sz w:val="20"/>
                <w:szCs w:val="20"/>
                <w:color w:val="auto"/>
              </w:rPr>
            </w:pPr>
            <w:r>
              <w:rPr>
                <w:rFonts w:ascii="Arial" w:cs="Arial" w:eastAsia="Arial" w:hAnsi="Arial"/>
                <w:sz w:val="13"/>
                <w:szCs w:val="13"/>
                <w:b w:val="1"/>
                <w:bCs w:val="1"/>
                <w:color w:val="auto"/>
              </w:rPr>
              <w:t>189,180</w:t>
            </w:r>
          </w:p>
        </w:tc>
        <w:tc>
          <w:tcPr>
            <w:tcW w:w="220" w:type="dxa"/>
            <w:vAlign w:val="bottom"/>
            <w:shd w:val="clear" w:color="auto" w:fill="CCFFCC"/>
          </w:tcPr>
          <w:p>
            <w:pPr>
              <w:spacing w:after="0"/>
              <w:rPr>
                <w:sz w:val="12"/>
                <w:szCs w:val="12"/>
                <w:color w:val="auto"/>
              </w:rPr>
            </w:pPr>
          </w:p>
        </w:tc>
        <w:tc>
          <w:tcPr>
            <w:tcW w:w="480" w:type="dxa"/>
            <w:vAlign w:val="bottom"/>
            <w:shd w:val="clear" w:color="auto" w:fill="CCFFCC"/>
          </w:tcPr>
          <w:p>
            <w:pPr>
              <w:spacing w:after="0"/>
              <w:rPr>
                <w:sz w:val="12"/>
                <w:szCs w:val="12"/>
                <w:color w:val="auto"/>
              </w:rPr>
            </w:pPr>
          </w:p>
        </w:tc>
        <w:tc>
          <w:tcPr>
            <w:tcW w:w="4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b w:val="1"/>
                <w:bCs w:val="1"/>
                <w:color w:val="auto"/>
                <w:w w:val="98"/>
              </w:rPr>
              <w:t>-12%</w:t>
            </w:r>
          </w:p>
        </w:tc>
        <w:tc>
          <w:tcPr>
            <w:tcW w:w="20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b w:val="1"/>
                <w:bCs w:val="1"/>
                <w:color w:val="auto"/>
              </w:rPr>
              <w:t>6%</w:t>
            </w:r>
          </w:p>
        </w:tc>
        <w:tc>
          <w:tcPr>
            <w:tcW w:w="680" w:type="dxa"/>
            <w:vAlign w:val="bottom"/>
            <w:shd w:val="clear" w:color="auto" w:fill="CCFFCC"/>
          </w:tcPr>
          <w:p>
            <w:pPr>
              <w:jc w:val="right"/>
              <w:spacing w:after="0"/>
              <w:rPr>
                <w:sz w:val="20"/>
                <w:szCs w:val="20"/>
                <w:color w:val="auto"/>
              </w:rPr>
            </w:pPr>
            <w:r>
              <w:rPr>
                <w:rFonts w:ascii="Arial" w:cs="Arial" w:eastAsia="Arial" w:hAnsi="Arial"/>
                <w:sz w:val="13"/>
                <w:szCs w:val="13"/>
                <w:b w:val="1"/>
                <w:bCs w:val="1"/>
                <w:color w:val="auto"/>
              </w:rPr>
              <w:t>788,779</w:t>
            </w:r>
          </w:p>
        </w:tc>
        <w:tc>
          <w:tcPr>
            <w:tcW w:w="22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b w:val="1"/>
                <w:bCs w:val="1"/>
                <w:color w:val="auto"/>
              </w:rPr>
              <w:t>709,272</w:t>
            </w: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3"/>
                <w:szCs w:val="13"/>
                <w:b w:val="1"/>
                <w:bCs w:val="1"/>
                <w:color w:val="auto"/>
              </w:rPr>
              <w:t>11%</w:t>
            </w: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ind w:left="260" w:hanging="252"/>
        <w:spacing w:after="0"/>
        <w:tabs>
          <w:tab w:leader="none" w:pos="2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Includes Banco de Crédito de Bolivia and Edyficar.</w:t>
      </w:r>
    </w:p>
    <w:p>
      <w:pPr>
        <w:spacing w:after="0" w:line="9" w:lineRule="exact"/>
        <w:rPr>
          <w:rFonts w:ascii="Arial" w:cs="Arial" w:eastAsia="Arial" w:hAnsi="Arial"/>
          <w:sz w:val="18"/>
          <w:szCs w:val="18"/>
          <w:i w:val="1"/>
          <w:iCs w:val="1"/>
          <w:color w:val="auto"/>
        </w:rPr>
      </w:pPr>
    </w:p>
    <w:p>
      <w:pPr>
        <w:ind w:right="320" w:firstLine="8"/>
        <w:spacing w:after="0" w:line="250" w:lineRule="auto"/>
        <w:tabs>
          <w:tab w:leader="none" w:pos="255"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Figure is lower than the net income generated by BCB because Credicorp owns directly and indirectly 97.7% of BCP. (3) Includes taxes on BCP's and PPS's dividends, and other expenses at the holding company level.</w:t>
      </w:r>
    </w:p>
    <w:p>
      <w:pPr>
        <w:ind w:right="60" w:firstLine="8"/>
        <w:spacing w:after="0" w:line="250" w:lineRule="auto"/>
        <w:tabs>
          <w:tab w:leader="none" w:pos="255"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Includes Grupo Crédito excluding Prima (Servicorp and Emisiones BCP Latam), others of Atlantic Security Holding Corporation, Credicorp Investments (excluding Correval) and others of Credicorp Ltd. (5) BCP Capital is composed of Credibolsa, Credifondo, and Credititulos.</w:t>
      </w:r>
    </w:p>
    <w:p>
      <w:pPr>
        <w:ind w:left="260" w:hanging="252"/>
        <w:spacing w:after="0"/>
        <w:tabs>
          <w:tab w:leader="none" w:pos="26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Credicorp Investments is composed of BCP Chile, IMTrust, Credicorp Inv Individual. (7) Elimination resulted from Prima's sale of property to PPS.</w:t>
      </w: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14" w:right="239" w:bottom="1440" w:gutter="0" w:footer="0" w:header="0"/>
        </w:sectPr>
      </w:pPr>
    </w:p>
    <w:bookmarkStart w:id="6" w:name="page7"/>
    <w:bookmarkEnd w:id="6"/>
    <w:p>
      <w:pPr>
        <w:jc w:val="both"/>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7266940</wp:posOffset>
            </wp:positionH>
            <wp:positionV relativeFrom="page">
              <wp:posOffset>568960</wp:posOffset>
            </wp:positionV>
            <wp:extent cx="13716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37160" cy="137160"/>
                    </a:xfrm>
                    <a:prstGeom prst="rect">
                      <a:avLst/>
                    </a:prstGeom>
                    <a:noFill/>
                  </pic:spPr>
                </pic:pic>
              </a:graphicData>
            </a:graphic>
          </wp:anchor>
        </w:drawing>
        <w:t>BCP Bolivia’s performance was good despite the pressures in the Bolivian financial sector as the Bolivian government introduced higher taxes for financial institutions. This pressure continues to suppress BCP Bolivia’s ROAE, which reached a low of 12.1% vs. 17% the previous Q and 30.4% a year ago. In this context, the bank’s net contribution to Credicorp totaled US$3.9 million. However, organic growth was still sound at 7.4% for the Q and the retail business was the Bank’s strongest growth sector. Despite these pressures, BCP Bolivia’s annual contribution to Credicorp reached US$20 million which reflect an ROAE of 16.6 %.</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4Q12, Edyficar obtained net income of US$ 11.2 million, which represents an increase of 13.1% QoQ and an ROAE of 31.3%. In terms of the portfolio’s volume and quality, loans grew 13.7% QoQ to top US$ 749.8 million, which represents growth of 47.9% YoY. For the year, net income grew 48.3% due to an increase in NII (+40.8%), which was attributable to the excellent evolution of loans and an adequate approach to managing portfolio quality. Another item that stands out is the increase in non-financial income (+27.5%), which absorbed the increase in operating expenses (+28.7%) and higher net provisions for losses (+75.6%) due to expansion in the loan portfolio. Thus, Edyficar’s net income grew 39.0% with regard to 2011 to contribute US$35.5 million to Credicorp, a number that represents a ROAE of 26.5% with a delinquency ratio of 3.9%.</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ASB’s contribution to Credicorp this 4Q12 was US$ 13.7 million, up 9% vs. 3Q12’s earnings. This brings ASB´s contribution to Credicorp for the year to US$48.4 million, which represents a significant 18% increase in income that clearly reflects improved market conditions and the fact that our services and products are highly competitive. ASB’s numbers are excellent given the mature market in which it operates; in this context, NIM was 2.4% and the efficiency ratio and ROAE were high at 15.5% and 25.8% respectively.</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Pacifico Grupo Asegurador (PGA), Net premium growth was sound, increasing 3.2% for the Q, contributing to better underwriting results for the insurance business (ex-medical insurance/EPS), which improved significantly and were up 29%. This reveals strong growth in this business as Premiums for the year 2012 grew at a very dynamic 24% p.a. Furthermore, underwriting Result improved from US$ 34.6 million in 3Q12 to US$ 41.1 million this quarter (+18.7% QoQ).</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Despite this excellent operating performance, PGA obtained net income before minority interest of US$ 16.9 million in 4Q12, which represents a 19.6% decline with regard to last quarter’s figure. This was primarily due to higher General Expenses and lower Financial and Other Income. The net result, although lower than last quarter’s, is evidence that the positive trend seen since the second quarter of the year remains in effect. The good results obtained in the last three quarters (US$ 24.2 million in 2Q12, US$ 21.0 million in 3Q12 and US$ 16.9 million in 4Q12) helped reverse the impact of the 3 severe claims reported in the first quarter of the year and which cost the company US$ 11.1 million. Therefore, Pacifico was able to close the 2012 year with the same level of results and contribution of the previous year reaching US$66 million, which reflects a 16.7% ROAE, and a combined ratio of 106%.</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Prima’s contribution dropped again in 4Q and posted a 14% decline to total US$8.1 million. This decrease was due to the reserves and costs that must be absorbed in the process to adjust to the new regulatory framework. Nevertheless, this result reflects an excellent ROAE of 23%. It is important to note that Prima won the first assigning process under this new system, thus ensuring the affiliation of all new comers until the end of the year.</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Credicorp Ltd’s </w:t>
      </w:r>
      <w:r>
        <w:rPr>
          <w:rFonts w:ascii="Arial" w:cs="Arial" w:eastAsia="Arial" w:hAnsi="Arial"/>
          <w:sz w:val="18"/>
          <w:szCs w:val="18"/>
          <w:color w:val="auto"/>
        </w:rPr>
        <w:t>line mainly includes provisions for tax retention on dividends paid to Credicorp and interest on investments in specific Peruvian companies,</w:t>
      </w:r>
      <w:r>
        <w:rPr>
          <w:rFonts w:ascii="Arial" w:cs="Arial" w:eastAsia="Arial" w:hAnsi="Arial"/>
          <w:sz w:val="18"/>
          <w:szCs w:val="18"/>
          <w:i w:val="1"/>
          <w:iCs w:val="1"/>
          <w:color w:val="auto"/>
        </w:rPr>
        <w:t xml:space="preserve"> </w:t>
      </w:r>
      <w:r>
        <w:rPr>
          <w:rFonts w:ascii="Arial" w:cs="Arial" w:eastAsia="Arial" w:hAnsi="Arial"/>
          <w:sz w:val="18"/>
          <w:szCs w:val="18"/>
          <w:color w:val="auto"/>
        </w:rPr>
        <w:t>which at this time of year are minimal. Therefore, tax provisions have no off-setting interest income and are almost fully reflected in this line, which is therefore higher compared to 3Q.</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14" w:right="239" w:bottom="1440" w:gutter="0" w:footer="0" w:header="0"/>
        </w:sectPr>
      </w:pPr>
    </w:p>
    <w:bookmarkStart w:id="7" w:name="page8"/>
    <w:bookmarkEnd w:id="7"/>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7266940</wp:posOffset>
            </wp:positionH>
            <wp:positionV relativeFrom="page">
              <wp:posOffset>568960</wp:posOffset>
            </wp:positionV>
            <wp:extent cx="13716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37160" cy="137160"/>
                    </a:xfrm>
                    <a:prstGeom prst="rect">
                      <a:avLst/>
                    </a:prstGeom>
                    <a:noFill/>
                  </pic:spPr>
                </pic:pic>
              </a:graphicData>
            </a:graphic>
          </wp:anchor>
        </w:drawing>
        <w:t xml:space="preserve">The </w:t>
      </w:r>
      <w:r>
        <w:rPr>
          <w:rFonts w:ascii="Arial" w:cs="Arial" w:eastAsia="Arial" w:hAnsi="Arial"/>
          <w:sz w:val="18"/>
          <w:szCs w:val="18"/>
          <w:i w:val="1"/>
          <w:iCs w:val="1"/>
          <w:color w:val="auto"/>
        </w:rPr>
        <w:t>Others</w:t>
      </w:r>
      <w:r>
        <w:rPr>
          <w:rFonts w:ascii="Arial" w:cs="Arial" w:eastAsia="Arial" w:hAnsi="Arial"/>
          <w:sz w:val="18"/>
          <w:szCs w:val="18"/>
          <w:color w:val="auto"/>
        </w:rPr>
        <w:t xml:space="preserve"> account encompasses the holding’s different companies, including Grupo Crédito, which controls start-up operations such as Tarjeta Naranja (which are still in the red) and temporarily holds BCP Capital, which encompasses the investment banking activities separated from BCP and its subs (Credibolsa, Credifondo and Credititulos). </w:t>
      </w:r>
      <w:r>
        <w:rPr>
          <w:rFonts w:ascii="Arial" w:cs="Arial" w:eastAsia="Arial" w:hAnsi="Arial"/>
          <w:sz w:val="18"/>
          <w:szCs w:val="18"/>
          <w:i w:val="1"/>
          <w:iCs w:val="1"/>
          <w:color w:val="auto"/>
        </w:rPr>
        <w:t>Others</w:t>
      </w:r>
      <w:r>
        <w:rPr>
          <w:rFonts w:ascii="Arial" w:cs="Arial" w:eastAsia="Arial" w:hAnsi="Arial"/>
          <w:sz w:val="18"/>
          <w:szCs w:val="18"/>
          <w:color w:val="auto"/>
        </w:rPr>
        <w:t xml:space="preserve"> includes Credicorp Investments, which holds IM Trust</w:t>
      </w:r>
      <w:r>
        <w:rPr>
          <w:rFonts w:ascii="Arial" w:cs="Arial" w:eastAsia="Arial" w:hAnsi="Arial"/>
          <w:sz w:val="18"/>
          <w:szCs w:val="18"/>
          <w:i w:val="1"/>
          <w:iCs w:val="1"/>
          <w:color w:val="auto"/>
        </w:rPr>
        <w:t>.</w:t>
      </w:r>
      <w:r>
        <w:rPr>
          <w:rFonts w:ascii="Arial" w:cs="Arial" w:eastAsia="Arial" w:hAnsi="Arial"/>
          <w:sz w:val="18"/>
          <w:szCs w:val="18"/>
          <w:color w:val="auto"/>
        </w:rPr>
        <w:t xml:space="preserve"> The process to create the Regional investment bank will result in a clearer structure, which will be made public shortly.</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Overall, Credicorp posted excellent growth for the year 2012. Its earnings generation was robust despite significant investments and cost expansion and ROAE was strong at 21.1%.</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1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7266940</wp:posOffset>
            </wp:positionH>
            <wp:positionV relativeFrom="page">
              <wp:posOffset>568960</wp:posOffset>
            </wp:positionV>
            <wp:extent cx="13716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37160" cy="137160"/>
                    </a:xfrm>
                    <a:prstGeom prst="rect">
                      <a:avLst/>
                    </a:prstGeom>
                    <a:noFill/>
                  </pic:spPr>
                </pic:pic>
              </a:graphicData>
            </a:graphic>
          </wp:anchor>
        </w:drawing>
        <w:t>II. Banco de Crédito del Perú Consolidated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4Q12</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4Q12 BCP reported net income of US$ 170.9 million, which led to an excellent ROAE of 25.2% and ROAA of 2%. Although this figure falls 11% short of the extraordinary performance posted last quarter, the comparison is distorted given that this 4Q reflects a decrease in Banking services commissions stemming from the spinoff of BCP’s investment banking business as well as the sale of IM Trust to Credicorp Investments, which is the subsidiary of Credicorp that will operate the investment banking regional platform.</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Great business evolution this quarter reflects growth of 3.1% in net interest income (NII). This was due primarily to a 5.5% QoQ expansion in loans, which was in turn attributable to excellent dynamism in all business segments. The increase in net interest income offset higher interest expenses (+5.7% QoQ), which rose primarily due to growth in interest on deposits and, to a lesser extent, due to expansion in interest on due to banks and bonds, as well as, the slight increase in net provisions for loan losses (+9% QoQ). Nevertheless NIM fell slightly QoQ (from 5.36% to 5.13%), primarily due to investments in sovereign bonds and BCR instruments that generate minimal margins but provide tax shield.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This good NII performance and lower taxes attenuated:</w:t>
      </w:r>
    </w:p>
    <w:p>
      <w:pPr>
        <w:spacing w:after="0" w:line="225" w:lineRule="exact"/>
        <w:rPr>
          <w:sz w:val="20"/>
          <w:szCs w:val="20"/>
          <w:color w:val="auto"/>
        </w:rPr>
      </w:pPr>
    </w:p>
    <w:p>
      <w:pPr>
        <w:jc w:val="both"/>
        <w:ind w:left="760" w:hanging="374"/>
        <w:spacing w:after="0" w:line="264" w:lineRule="auto"/>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2.4% decline in non-financial income mainly as a result of lower commissions for investment banking business in line with the spinoff aforementioned, which was in turn significantly mitigated by growth in net gains on sales of securities (+27.4% QoQ) and gains on foreign exchange transactions (+9.4% QoQ); and</w:t>
      </w:r>
    </w:p>
    <w:p>
      <w:pPr>
        <w:spacing w:after="0" w:line="181" w:lineRule="exact"/>
        <w:rPr>
          <w:rFonts w:ascii="Arial" w:cs="Arial" w:eastAsia="Arial" w:hAnsi="Arial"/>
          <w:sz w:val="18"/>
          <w:szCs w:val="18"/>
          <w:color w:val="auto"/>
        </w:rPr>
      </w:pPr>
    </w:p>
    <w:p>
      <w:pPr>
        <w:jc w:val="both"/>
        <w:ind w:left="760" w:right="20" w:hanging="374"/>
        <w:spacing w:after="0" w:line="264" w:lineRule="auto"/>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9.6% QoQ increase in operating expenses given the seasonal effect that these expenditures incorporate at year-end, which are reflected primarily in administrative expenses and salaries and employee benefits, and the effect on operating expenses of a 1.8% appreciation of the Nuevo Sol against the US Dollar.</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10"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49"/>
        </w:trPr>
        <w:tc>
          <w:tcPr>
            <w:tcW w:w="4180" w:type="dxa"/>
            <w:vAlign w:val="bottom"/>
            <w:gridSpan w:val="2"/>
          </w:tcPr>
          <w:p>
            <w:pPr>
              <w:spacing w:after="0"/>
              <w:rPr>
                <w:sz w:val="20"/>
                <w:szCs w:val="20"/>
                <w:color w:val="auto"/>
              </w:rPr>
            </w:pPr>
            <w:r>
              <w:rPr>
                <w:rFonts w:ascii="Arial" w:cs="Arial" w:eastAsia="Arial" w:hAnsi="Arial"/>
                <w:sz w:val="13"/>
                <w:szCs w:val="13"/>
                <w:b w:val="1"/>
                <w:bCs w:val="1"/>
                <w:color w:val="auto"/>
              </w:rPr>
              <w:t>Banco de Credito and Subsidiaries</w:t>
            </w: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Quarter</w:t>
            </w: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gridSpan w:val="3"/>
          </w:tcPr>
          <w:p>
            <w:pPr>
              <w:ind w:left="500"/>
              <w:spacing w:after="0"/>
              <w:rPr>
                <w:sz w:val="20"/>
                <w:szCs w:val="20"/>
                <w:color w:val="auto"/>
              </w:rPr>
            </w:pPr>
            <w:r>
              <w:rPr>
                <w:rFonts w:ascii="Arial" w:cs="Arial" w:eastAsia="Arial" w:hAnsi="Arial"/>
                <w:sz w:val="13"/>
                <w:szCs w:val="13"/>
                <w:b w:val="1"/>
                <w:bCs w:val="1"/>
                <w:color w:val="auto"/>
                <w:w w:val="92"/>
              </w:rPr>
              <w:t>Change %</w:t>
            </w: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80" w:type="dxa"/>
            <w:vAlign w:val="bottom"/>
            <w:gridSpan w:val="4"/>
          </w:tcPr>
          <w:p>
            <w:pPr>
              <w:jc w:val="right"/>
              <w:ind w:right="700"/>
              <w:spacing w:after="0"/>
              <w:rPr>
                <w:sz w:val="20"/>
                <w:szCs w:val="20"/>
                <w:color w:val="auto"/>
              </w:rPr>
            </w:pPr>
            <w:r>
              <w:rPr>
                <w:rFonts w:ascii="Arial" w:cs="Arial" w:eastAsia="Arial" w:hAnsi="Arial"/>
                <w:sz w:val="13"/>
                <w:szCs w:val="13"/>
                <w:b w:val="1"/>
                <w:bCs w:val="1"/>
                <w:color w:val="auto"/>
              </w:rPr>
              <w:t>Year ended</w:t>
            </w:r>
          </w:p>
        </w:tc>
        <w:tc>
          <w:tcPr>
            <w:tcW w:w="940" w:type="dxa"/>
            <w:vAlign w:val="bottom"/>
            <w:gridSpan w:val="2"/>
          </w:tcPr>
          <w:p>
            <w:pPr>
              <w:jc w:val="right"/>
              <w:ind w:right="202"/>
              <w:spacing w:after="0"/>
              <w:rPr>
                <w:sz w:val="20"/>
                <w:szCs w:val="20"/>
                <w:color w:val="auto"/>
              </w:rPr>
            </w:pPr>
            <w:r>
              <w:rPr>
                <w:rFonts w:ascii="Arial" w:cs="Arial" w:eastAsia="Arial" w:hAnsi="Arial"/>
                <w:sz w:val="13"/>
                <w:szCs w:val="13"/>
                <w:b w:val="1"/>
                <w:bCs w:val="1"/>
                <w:color w:val="auto"/>
              </w:rPr>
              <w:t>Change %</w:t>
            </w:r>
          </w:p>
        </w:tc>
        <w:tc>
          <w:tcPr>
            <w:tcW w:w="0" w:type="dxa"/>
            <w:vAlign w:val="bottom"/>
          </w:tcPr>
          <w:p>
            <w:pPr>
              <w:spacing w:after="0"/>
              <w:rPr>
                <w:sz w:val="1"/>
                <w:szCs w:val="1"/>
                <w:color w:val="auto"/>
              </w:rPr>
            </w:pPr>
          </w:p>
        </w:tc>
      </w:tr>
      <w:tr>
        <w:trPr>
          <w:trHeight w:val="153"/>
        </w:trPr>
        <w:tc>
          <w:tcPr>
            <w:tcW w:w="4080" w:type="dxa"/>
            <w:vAlign w:val="bottom"/>
          </w:tcPr>
          <w:p>
            <w:pPr>
              <w:spacing w:after="0"/>
              <w:rPr>
                <w:sz w:val="20"/>
                <w:szCs w:val="20"/>
                <w:color w:val="auto"/>
              </w:rPr>
            </w:pPr>
            <w:r>
              <w:rPr>
                <w:rFonts w:ascii="Arial" w:cs="Arial" w:eastAsia="Arial" w:hAnsi="Arial"/>
                <w:sz w:val="13"/>
                <w:szCs w:val="13"/>
                <w:color w:val="auto"/>
              </w:rPr>
              <w:t>US$ 000</w:t>
            </w:r>
          </w:p>
        </w:tc>
        <w:tc>
          <w:tcPr>
            <w:tcW w:w="100" w:type="dxa"/>
            <w:vAlign w:val="bottom"/>
          </w:tcPr>
          <w:p>
            <w:pPr>
              <w:spacing w:after="0"/>
              <w:rPr>
                <w:sz w:val="13"/>
                <w:szCs w:val="13"/>
                <w:color w:val="auto"/>
              </w:rPr>
            </w:pPr>
          </w:p>
        </w:tc>
        <w:tc>
          <w:tcPr>
            <w:tcW w:w="680" w:type="dxa"/>
            <w:vAlign w:val="bottom"/>
          </w:tcPr>
          <w:p>
            <w:pPr>
              <w:jc w:val="right"/>
              <w:ind w:right="137"/>
              <w:spacing w:after="0"/>
              <w:rPr>
                <w:sz w:val="20"/>
                <w:szCs w:val="20"/>
                <w:color w:val="auto"/>
              </w:rPr>
            </w:pPr>
            <w:r>
              <w:rPr>
                <w:rFonts w:ascii="Arial" w:cs="Arial" w:eastAsia="Arial" w:hAnsi="Arial"/>
                <w:sz w:val="13"/>
                <w:szCs w:val="13"/>
                <w:b w:val="1"/>
                <w:bCs w:val="1"/>
                <w:color w:val="auto"/>
              </w:rPr>
              <w:t>4Q12</w:t>
            </w:r>
          </w:p>
        </w:tc>
        <w:tc>
          <w:tcPr>
            <w:tcW w:w="220" w:type="dxa"/>
            <w:vAlign w:val="bottom"/>
          </w:tcPr>
          <w:p>
            <w:pPr>
              <w:spacing w:after="0"/>
              <w:rPr>
                <w:sz w:val="13"/>
                <w:szCs w:val="13"/>
                <w:color w:val="auto"/>
              </w:rPr>
            </w:pPr>
          </w:p>
        </w:tc>
        <w:tc>
          <w:tcPr>
            <w:tcW w:w="660" w:type="dxa"/>
            <w:vAlign w:val="bottom"/>
          </w:tcPr>
          <w:p>
            <w:pPr>
              <w:jc w:val="right"/>
              <w:ind w:right="117"/>
              <w:spacing w:after="0"/>
              <w:rPr>
                <w:sz w:val="20"/>
                <w:szCs w:val="20"/>
                <w:color w:val="auto"/>
              </w:rPr>
            </w:pPr>
            <w:r>
              <w:rPr>
                <w:rFonts w:ascii="Arial" w:cs="Arial" w:eastAsia="Arial" w:hAnsi="Arial"/>
                <w:sz w:val="13"/>
                <w:szCs w:val="13"/>
                <w:b w:val="1"/>
                <w:bCs w:val="1"/>
                <w:color w:val="auto"/>
              </w:rPr>
              <w:t>3Q12</w:t>
            </w:r>
          </w:p>
        </w:tc>
        <w:tc>
          <w:tcPr>
            <w:tcW w:w="220" w:type="dxa"/>
            <w:vAlign w:val="bottom"/>
          </w:tcPr>
          <w:p>
            <w:pPr>
              <w:spacing w:after="0"/>
              <w:rPr>
                <w:sz w:val="13"/>
                <w:szCs w:val="13"/>
                <w:color w:val="auto"/>
              </w:rPr>
            </w:pPr>
          </w:p>
        </w:tc>
        <w:tc>
          <w:tcPr>
            <w:tcW w:w="680" w:type="dxa"/>
            <w:vAlign w:val="bottom"/>
          </w:tcPr>
          <w:p>
            <w:pPr>
              <w:jc w:val="right"/>
              <w:ind w:right="137"/>
              <w:spacing w:after="0"/>
              <w:rPr>
                <w:sz w:val="20"/>
                <w:szCs w:val="20"/>
                <w:color w:val="auto"/>
              </w:rPr>
            </w:pPr>
            <w:r>
              <w:rPr>
                <w:rFonts w:ascii="Arial" w:cs="Arial" w:eastAsia="Arial" w:hAnsi="Arial"/>
                <w:sz w:val="13"/>
                <w:szCs w:val="13"/>
                <w:b w:val="1"/>
                <w:bCs w:val="1"/>
                <w:color w:val="auto"/>
              </w:rPr>
              <w:t>4Q11</w:t>
            </w:r>
          </w:p>
        </w:tc>
        <w:tc>
          <w:tcPr>
            <w:tcW w:w="220" w:type="dxa"/>
            <w:vAlign w:val="bottom"/>
          </w:tcPr>
          <w:p>
            <w:pPr>
              <w:spacing w:after="0"/>
              <w:rPr>
                <w:sz w:val="13"/>
                <w:szCs w:val="13"/>
                <w:color w:val="auto"/>
              </w:rPr>
            </w:pPr>
          </w:p>
        </w:tc>
        <w:tc>
          <w:tcPr>
            <w:tcW w:w="680" w:type="dxa"/>
            <w:vAlign w:val="bottom"/>
          </w:tcPr>
          <w:p>
            <w:pPr>
              <w:jc w:val="right"/>
              <w:ind w:right="157"/>
              <w:spacing w:after="0"/>
              <w:rPr>
                <w:sz w:val="20"/>
                <w:szCs w:val="20"/>
                <w:color w:val="auto"/>
              </w:rPr>
            </w:pPr>
            <w:r>
              <w:rPr>
                <w:rFonts w:ascii="Arial" w:cs="Arial" w:eastAsia="Arial" w:hAnsi="Arial"/>
                <w:sz w:val="13"/>
                <w:szCs w:val="13"/>
                <w:b w:val="1"/>
                <w:bCs w:val="1"/>
                <w:color w:val="auto"/>
              </w:rPr>
              <w:t>QoQ</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jc w:val="right"/>
              <w:ind w:right="157"/>
              <w:spacing w:after="0"/>
              <w:rPr>
                <w:sz w:val="20"/>
                <w:szCs w:val="20"/>
                <w:color w:val="auto"/>
              </w:rPr>
            </w:pPr>
            <w:r>
              <w:rPr>
                <w:rFonts w:ascii="Arial" w:cs="Arial" w:eastAsia="Arial" w:hAnsi="Arial"/>
                <w:sz w:val="13"/>
                <w:szCs w:val="13"/>
                <w:b w:val="1"/>
                <w:bCs w:val="1"/>
                <w:color w:val="auto"/>
                <w:w w:val="94"/>
              </w:rPr>
              <w:t>YoY</w:t>
            </w:r>
          </w:p>
        </w:tc>
        <w:tc>
          <w:tcPr>
            <w:tcW w:w="260" w:type="dxa"/>
            <w:vAlign w:val="bottom"/>
          </w:tcPr>
          <w:p>
            <w:pPr>
              <w:spacing w:after="0"/>
              <w:rPr>
                <w:sz w:val="13"/>
                <w:szCs w:val="13"/>
                <w:color w:val="auto"/>
              </w:rPr>
            </w:pPr>
          </w:p>
        </w:tc>
        <w:tc>
          <w:tcPr>
            <w:tcW w:w="660" w:type="dxa"/>
            <w:vAlign w:val="bottom"/>
          </w:tcPr>
          <w:p>
            <w:pPr>
              <w:jc w:val="right"/>
              <w:ind w:right="97"/>
              <w:spacing w:after="0"/>
              <w:rPr>
                <w:sz w:val="20"/>
                <w:szCs w:val="20"/>
                <w:color w:val="auto"/>
              </w:rPr>
            </w:pPr>
            <w:r>
              <w:rPr>
                <w:rFonts w:ascii="Arial" w:cs="Arial" w:eastAsia="Arial" w:hAnsi="Arial"/>
                <w:sz w:val="13"/>
                <w:szCs w:val="13"/>
                <w:b w:val="1"/>
                <w:bCs w:val="1"/>
                <w:color w:val="auto"/>
              </w:rPr>
              <w:t>Dec 12</w:t>
            </w:r>
          </w:p>
        </w:tc>
        <w:tc>
          <w:tcPr>
            <w:tcW w:w="220" w:type="dxa"/>
            <w:vAlign w:val="bottom"/>
          </w:tcPr>
          <w:p>
            <w:pPr>
              <w:spacing w:after="0"/>
              <w:rPr>
                <w:sz w:val="13"/>
                <w:szCs w:val="13"/>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b w:val="1"/>
                <w:bCs w:val="1"/>
                <w:color w:val="auto"/>
              </w:rPr>
              <w:t>Dec 11</w:t>
            </w:r>
          </w:p>
        </w:tc>
        <w:tc>
          <w:tcPr>
            <w:tcW w:w="220" w:type="dxa"/>
            <w:vAlign w:val="bottom"/>
          </w:tcPr>
          <w:p>
            <w:pPr>
              <w:spacing w:after="0"/>
              <w:rPr>
                <w:sz w:val="13"/>
                <w:szCs w:val="13"/>
                <w:color w:val="auto"/>
              </w:rPr>
            </w:pPr>
          </w:p>
        </w:tc>
        <w:tc>
          <w:tcPr>
            <w:tcW w:w="940" w:type="dxa"/>
            <w:vAlign w:val="bottom"/>
            <w:gridSpan w:val="2"/>
          </w:tcPr>
          <w:p>
            <w:pPr>
              <w:jc w:val="right"/>
              <w:ind w:right="82"/>
              <w:spacing w:after="0"/>
              <w:rPr>
                <w:sz w:val="20"/>
                <w:szCs w:val="20"/>
                <w:color w:val="auto"/>
              </w:rPr>
            </w:pPr>
            <w:r>
              <w:rPr>
                <w:rFonts w:ascii="Arial" w:cs="Arial" w:eastAsia="Arial" w:hAnsi="Arial"/>
                <w:sz w:val="13"/>
                <w:szCs w:val="13"/>
                <w:b w:val="1"/>
                <w:bCs w:val="1"/>
                <w:color w:val="auto"/>
                <w:w w:val="82"/>
              </w:rPr>
              <w:t>Dec 12 / Dec 11</w:t>
            </w:r>
          </w:p>
        </w:tc>
        <w:tc>
          <w:tcPr>
            <w:tcW w:w="0" w:type="dxa"/>
            <w:vAlign w:val="bottom"/>
          </w:tcPr>
          <w:p>
            <w:pPr>
              <w:spacing w:after="0"/>
              <w:rPr>
                <w:sz w:val="1"/>
                <w:szCs w:val="1"/>
                <w:color w:val="auto"/>
              </w:rPr>
            </w:pPr>
          </w:p>
        </w:tc>
      </w:tr>
      <w:tr>
        <w:trPr>
          <w:trHeight w:val="20"/>
        </w:trPr>
        <w:tc>
          <w:tcPr>
            <w:tcW w:w="40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80" w:type="dxa"/>
            <w:vAlign w:val="bottom"/>
            <w:shd w:val="clear" w:color="auto" w:fill="CCFFCC"/>
          </w:tcPr>
          <w:p>
            <w:pPr>
              <w:spacing w:after="0" w:line="129" w:lineRule="exact"/>
              <w:rPr>
                <w:sz w:val="20"/>
                <w:szCs w:val="20"/>
                <w:color w:val="auto"/>
              </w:rPr>
            </w:pPr>
            <w:r>
              <w:rPr>
                <w:rFonts w:ascii="Arial" w:cs="Arial" w:eastAsia="Arial" w:hAnsi="Arial"/>
                <w:sz w:val="13"/>
                <w:szCs w:val="13"/>
                <w:color w:val="auto"/>
              </w:rPr>
              <w:t>Net financial income</w:t>
            </w:r>
          </w:p>
        </w:tc>
        <w:tc>
          <w:tcPr>
            <w:tcW w:w="100" w:type="dxa"/>
            <w:vAlign w:val="bottom"/>
            <w:vMerge w:val="continue"/>
            <w:shd w:val="clear" w:color="auto" w:fill="CCFFCC"/>
          </w:tcPr>
          <w:p>
            <w:pPr>
              <w:spacing w:after="0"/>
              <w:rPr>
                <w:sz w:val="11"/>
                <w:szCs w:val="11"/>
                <w:color w:val="auto"/>
              </w:rPr>
            </w:pPr>
          </w:p>
        </w:tc>
        <w:tc>
          <w:tcPr>
            <w:tcW w:w="68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394,419</w:t>
            </w:r>
          </w:p>
        </w:tc>
        <w:tc>
          <w:tcPr>
            <w:tcW w:w="220" w:type="dxa"/>
            <w:vAlign w:val="bottom"/>
            <w:shd w:val="clear" w:color="auto" w:fill="CCFFCC"/>
          </w:tcPr>
          <w:p>
            <w:pPr>
              <w:spacing w:after="0"/>
              <w:rPr>
                <w:sz w:val="11"/>
                <w:szCs w:val="11"/>
                <w:color w:val="auto"/>
              </w:rPr>
            </w:pPr>
          </w:p>
        </w:tc>
        <w:tc>
          <w:tcPr>
            <w:tcW w:w="66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382,426</w:t>
            </w:r>
          </w:p>
        </w:tc>
        <w:tc>
          <w:tcPr>
            <w:tcW w:w="220" w:type="dxa"/>
            <w:vAlign w:val="bottom"/>
            <w:vMerge w:val="continue"/>
            <w:shd w:val="clear" w:color="auto" w:fill="CCFFCC"/>
          </w:tcPr>
          <w:p>
            <w:pPr>
              <w:spacing w:after="0"/>
              <w:rPr>
                <w:sz w:val="11"/>
                <w:szCs w:val="11"/>
                <w:color w:val="auto"/>
              </w:rPr>
            </w:pPr>
          </w:p>
        </w:tc>
        <w:tc>
          <w:tcPr>
            <w:tcW w:w="68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323,393</w:t>
            </w:r>
          </w:p>
        </w:tc>
        <w:tc>
          <w:tcPr>
            <w:tcW w:w="220" w:type="dxa"/>
            <w:vAlign w:val="bottom"/>
            <w:vMerge w:val="continue"/>
            <w:shd w:val="clear" w:color="auto" w:fill="CCFFCC"/>
          </w:tcPr>
          <w:p>
            <w:pPr>
              <w:spacing w:after="0"/>
              <w:rPr>
                <w:sz w:val="11"/>
                <w:szCs w:val="11"/>
                <w:color w:val="auto"/>
              </w:rPr>
            </w:pPr>
          </w:p>
        </w:tc>
        <w:tc>
          <w:tcPr>
            <w:tcW w:w="920" w:type="dxa"/>
            <w:vAlign w:val="bottom"/>
            <w:gridSpan w:val="2"/>
            <w:shd w:val="clear" w:color="auto" w:fill="CCFFCC"/>
          </w:tcPr>
          <w:p>
            <w:pPr>
              <w:jc w:val="right"/>
              <w:ind w:right="82"/>
              <w:spacing w:after="0" w:line="129" w:lineRule="exact"/>
              <w:rPr>
                <w:sz w:val="20"/>
                <w:szCs w:val="20"/>
                <w:color w:val="auto"/>
              </w:rPr>
            </w:pPr>
            <w:r>
              <w:rPr>
                <w:rFonts w:ascii="Arial" w:cs="Arial" w:eastAsia="Arial" w:hAnsi="Arial"/>
                <w:sz w:val="13"/>
                <w:szCs w:val="13"/>
                <w:color w:val="auto"/>
              </w:rPr>
              <w:t>3.1%</w:t>
            </w:r>
          </w:p>
        </w:tc>
        <w:tc>
          <w:tcPr>
            <w:tcW w:w="18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77"/>
              <w:spacing w:after="0" w:line="129" w:lineRule="exact"/>
              <w:rPr>
                <w:sz w:val="20"/>
                <w:szCs w:val="20"/>
                <w:color w:val="auto"/>
              </w:rPr>
            </w:pPr>
            <w:r>
              <w:rPr>
                <w:rFonts w:ascii="Arial" w:cs="Arial" w:eastAsia="Arial" w:hAnsi="Arial"/>
                <w:sz w:val="13"/>
                <w:szCs w:val="13"/>
                <w:color w:val="auto"/>
              </w:rPr>
              <w:t>22.0%</w:t>
            </w:r>
          </w:p>
        </w:tc>
        <w:tc>
          <w:tcPr>
            <w:tcW w:w="66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1,473,639</w:t>
            </w:r>
          </w:p>
        </w:tc>
        <w:tc>
          <w:tcPr>
            <w:tcW w:w="220" w:type="dxa"/>
            <w:vAlign w:val="bottom"/>
            <w:vMerge w:val="continue"/>
            <w:shd w:val="clear" w:color="auto" w:fill="CCFFCC"/>
          </w:tcPr>
          <w:p>
            <w:pPr>
              <w:spacing w:after="0"/>
              <w:rPr>
                <w:sz w:val="11"/>
                <w:szCs w:val="11"/>
                <w:color w:val="auto"/>
              </w:rPr>
            </w:pPr>
          </w:p>
        </w:tc>
        <w:tc>
          <w:tcPr>
            <w:tcW w:w="68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1,183,688</w:t>
            </w:r>
          </w:p>
        </w:tc>
        <w:tc>
          <w:tcPr>
            <w:tcW w:w="220" w:type="dxa"/>
            <w:vAlign w:val="bottom"/>
            <w:vMerge w:val="continue"/>
            <w:shd w:val="clear" w:color="auto" w:fill="CCFFCC"/>
          </w:tcPr>
          <w:p>
            <w:pPr>
              <w:spacing w:after="0"/>
              <w:rPr>
                <w:sz w:val="11"/>
                <w:szCs w:val="11"/>
                <w:color w:val="auto"/>
              </w:rPr>
            </w:pPr>
          </w:p>
        </w:tc>
        <w:tc>
          <w:tcPr>
            <w:tcW w:w="940" w:type="dxa"/>
            <w:vAlign w:val="bottom"/>
            <w:gridSpan w:val="2"/>
            <w:shd w:val="clear" w:color="auto" w:fill="CCFFCC"/>
          </w:tcPr>
          <w:p>
            <w:pPr>
              <w:jc w:val="right"/>
              <w:spacing w:after="0" w:line="129" w:lineRule="exact"/>
              <w:rPr>
                <w:sz w:val="20"/>
                <w:szCs w:val="20"/>
                <w:color w:val="auto"/>
              </w:rPr>
            </w:pPr>
            <w:r>
              <w:rPr>
                <w:rFonts w:ascii="Arial" w:cs="Arial" w:eastAsia="Arial" w:hAnsi="Arial"/>
                <w:sz w:val="13"/>
                <w:szCs w:val="13"/>
                <w:color w:val="auto"/>
              </w:rPr>
              <w:t>24.5%</w:t>
            </w:r>
          </w:p>
        </w:tc>
        <w:tc>
          <w:tcPr>
            <w:tcW w:w="0" w:type="dxa"/>
            <w:vAlign w:val="bottom"/>
          </w:tcPr>
          <w:p>
            <w:pPr>
              <w:spacing w:after="0"/>
              <w:rPr>
                <w:sz w:val="1"/>
                <w:szCs w:val="1"/>
                <w:color w:val="auto"/>
              </w:rPr>
            </w:pPr>
          </w:p>
        </w:tc>
      </w:tr>
      <w:tr>
        <w:trPr>
          <w:trHeight w:val="135"/>
        </w:trPr>
        <w:tc>
          <w:tcPr>
            <w:tcW w:w="4180" w:type="dxa"/>
            <w:vAlign w:val="bottom"/>
            <w:gridSpan w:val="2"/>
          </w:tcPr>
          <w:p>
            <w:pPr>
              <w:spacing w:after="0" w:line="135" w:lineRule="exact"/>
              <w:rPr>
                <w:sz w:val="20"/>
                <w:szCs w:val="20"/>
                <w:color w:val="auto"/>
              </w:rPr>
            </w:pPr>
            <w:r>
              <w:rPr>
                <w:rFonts w:ascii="Arial" w:cs="Arial" w:eastAsia="Arial" w:hAnsi="Arial"/>
                <w:sz w:val="13"/>
                <w:szCs w:val="13"/>
                <w:color w:val="auto"/>
              </w:rPr>
              <w:t>Total provisions for loan loasses</w:t>
            </w: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(103,083)</w:t>
            </w: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(94,604)</w:t>
            </w: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(70,490)</w:t>
            </w:r>
          </w:p>
        </w:tc>
        <w:tc>
          <w:tcPr>
            <w:tcW w:w="920" w:type="dxa"/>
            <w:vAlign w:val="bottom"/>
            <w:gridSpan w:val="2"/>
          </w:tcPr>
          <w:p>
            <w:pPr>
              <w:jc w:val="right"/>
              <w:ind w:right="82"/>
              <w:spacing w:after="0" w:line="135" w:lineRule="exact"/>
              <w:rPr>
                <w:sz w:val="20"/>
                <w:szCs w:val="20"/>
                <w:color w:val="auto"/>
              </w:rPr>
            </w:pPr>
            <w:r>
              <w:rPr>
                <w:rFonts w:ascii="Arial" w:cs="Arial" w:eastAsia="Arial" w:hAnsi="Arial"/>
                <w:sz w:val="13"/>
                <w:szCs w:val="13"/>
                <w:color w:val="auto"/>
              </w:rPr>
              <w:t>9.0%</w:t>
            </w:r>
          </w:p>
        </w:tc>
        <w:tc>
          <w:tcPr>
            <w:tcW w:w="180" w:type="dxa"/>
            <w:vAlign w:val="bottom"/>
          </w:tcPr>
          <w:p>
            <w:pPr>
              <w:spacing w:after="0"/>
              <w:rPr>
                <w:sz w:val="11"/>
                <w:szCs w:val="11"/>
                <w:color w:val="auto"/>
              </w:rPr>
            </w:pPr>
          </w:p>
        </w:tc>
        <w:tc>
          <w:tcPr>
            <w:tcW w:w="74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46.2%</w:t>
            </w: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(378,620)</w:t>
            </w: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(215,513)</w:t>
            </w:r>
          </w:p>
        </w:tc>
        <w:tc>
          <w:tcPr>
            <w:tcW w:w="9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75.7%</w:t>
            </w:r>
          </w:p>
        </w:tc>
        <w:tc>
          <w:tcPr>
            <w:tcW w:w="0" w:type="dxa"/>
            <w:vAlign w:val="bottom"/>
          </w:tcPr>
          <w:p>
            <w:pPr>
              <w:spacing w:after="0"/>
              <w:rPr>
                <w:sz w:val="1"/>
                <w:szCs w:val="1"/>
                <w:color w:val="auto"/>
              </w:rPr>
            </w:pPr>
          </w:p>
        </w:tc>
      </w:tr>
      <w:tr>
        <w:trPr>
          <w:trHeight w:val="135"/>
        </w:trPr>
        <w:tc>
          <w:tcPr>
            <w:tcW w:w="418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Non financial income</w:t>
            </w:r>
          </w:p>
        </w:tc>
        <w:tc>
          <w:tcPr>
            <w:tcW w:w="6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242,145</w:t>
            </w:r>
          </w:p>
        </w:tc>
        <w:tc>
          <w:tcPr>
            <w:tcW w:w="220" w:type="dxa"/>
            <w:vAlign w:val="bottom"/>
            <w:shd w:val="clear" w:color="auto" w:fill="CCFFCC"/>
          </w:tcPr>
          <w:p>
            <w:pPr>
              <w:spacing w:after="0"/>
              <w:rPr>
                <w:sz w:val="11"/>
                <w:szCs w:val="11"/>
                <w:color w:val="auto"/>
              </w:rPr>
            </w:pPr>
          </w:p>
        </w:tc>
        <w:tc>
          <w:tcPr>
            <w:tcW w:w="8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247,991</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197,610</w:t>
            </w:r>
          </w:p>
        </w:tc>
        <w:tc>
          <w:tcPr>
            <w:tcW w:w="920" w:type="dxa"/>
            <w:vAlign w:val="bottom"/>
            <w:gridSpan w:val="2"/>
            <w:shd w:val="clear" w:color="auto" w:fill="CCFFCC"/>
          </w:tcPr>
          <w:p>
            <w:pPr>
              <w:jc w:val="right"/>
              <w:ind w:right="82"/>
              <w:spacing w:after="0" w:line="135" w:lineRule="exact"/>
              <w:rPr>
                <w:sz w:val="20"/>
                <w:szCs w:val="20"/>
                <w:color w:val="auto"/>
              </w:rPr>
            </w:pPr>
            <w:r>
              <w:rPr>
                <w:rFonts w:ascii="Arial" w:cs="Arial" w:eastAsia="Arial" w:hAnsi="Arial"/>
                <w:sz w:val="13"/>
                <w:szCs w:val="13"/>
                <w:color w:val="auto"/>
              </w:rPr>
              <w:t>-2.4%</w:t>
            </w:r>
          </w:p>
        </w:tc>
        <w:tc>
          <w:tcPr>
            <w:tcW w:w="18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77"/>
              <w:spacing w:after="0" w:line="135" w:lineRule="exact"/>
              <w:rPr>
                <w:sz w:val="20"/>
                <w:szCs w:val="20"/>
                <w:color w:val="auto"/>
              </w:rPr>
            </w:pPr>
            <w:r>
              <w:rPr>
                <w:rFonts w:ascii="Arial" w:cs="Arial" w:eastAsia="Arial" w:hAnsi="Arial"/>
                <w:sz w:val="13"/>
                <w:szCs w:val="13"/>
                <w:color w:val="auto"/>
              </w:rPr>
              <w:t>22.5%</w:t>
            </w:r>
          </w:p>
        </w:tc>
        <w:tc>
          <w:tcPr>
            <w:tcW w:w="8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906,554</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708,534</w:t>
            </w:r>
          </w:p>
        </w:tc>
        <w:tc>
          <w:tcPr>
            <w:tcW w:w="94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27.9%</w:t>
            </w:r>
          </w:p>
        </w:tc>
        <w:tc>
          <w:tcPr>
            <w:tcW w:w="0" w:type="dxa"/>
            <w:vAlign w:val="bottom"/>
          </w:tcPr>
          <w:p>
            <w:pPr>
              <w:spacing w:after="0"/>
              <w:rPr>
                <w:sz w:val="1"/>
                <w:szCs w:val="1"/>
                <w:color w:val="auto"/>
              </w:rPr>
            </w:pPr>
          </w:p>
        </w:tc>
      </w:tr>
      <w:tr>
        <w:trPr>
          <w:trHeight w:val="135"/>
        </w:trPr>
        <w:tc>
          <w:tcPr>
            <w:tcW w:w="4180" w:type="dxa"/>
            <w:vAlign w:val="bottom"/>
            <w:gridSpan w:val="2"/>
          </w:tcPr>
          <w:p>
            <w:pPr>
              <w:spacing w:after="0" w:line="135" w:lineRule="exact"/>
              <w:rPr>
                <w:sz w:val="20"/>
                <w:szCs w:val="20"/>
                <w:color w:val="auto"/>
              </w:rPr>
            </w:pPr>
            <w:r>
              <w:rPr>
                <w:rFonts w:ascii="Arial" w:cs="Arial" w:eastAsia="Arial" w:hAnsi="Arial"/>
                <w:sz w:val="13"/>
                <w:szCs w:val="13"/>
                <w:color w:val="auto"/>
              </w:rPr>
              <w:t>Operating expenses (1)</w:t>
            </w: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(343,561)</w:t>
            </w: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(313,443)</w:t>
            </w: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(269,604)</w:t>
            </w:r>
          </w:p>
        </w:tc>
        <w:tc>
          <w:tcPr>
            <w:tcW w:w="920" w:type="dxa"/>
            <w:vAlign w:val="bottom"/>
            <w:gridSpan w:val="2"/>
          </w:tcPr>
          <w:p>
            <w:pPr>
              <w:jc w:val="right"/>
              <w:ind w:right="82"/>
              <w:spacing w:after="0" w:line="135" w:lineRule="exact"/>
              <w:rPr>
                <w:sz w:val="20"/>
                <w:szCs w:val="20"/>
                <w:color w:val="auto"/>
              </w:rPr>
            </w:pPr>
            <w:r>
              <w:rPr>
                <w:rFonts w:ascii="Arial" w:cs="Arial" w:eastAsia="Arial" w:hAnsi="Arial"/>
                <w:sz w:val="13"/>
                <w:szCs w:val="13"/>
                <w:color w:val="auto"/>
              </w:rPr>
              <w:t>9.6%</w:t>
            </w:r>
          </w:p>
        </w:tc>
        <w:tc>
          <w:tcPr>
            <w:tcW w:w="180" w:type="dxa"/>
            <w:vAlign w:val="bottom"/>
          </w:tcPr>
          <w:p>
            <w:pPr>
              <w:spacing w:after="0"/>
              <w:rPr>
                <w:sz w:val="11"/>
                <w:szCs w:val="11"/>
                <w:color w:val="auto"/>
              </w:rPr>
            </w:pPr>
          </w:p>
        </w:tc>
        <w:tc>
          <w:tcPr>
            <w:tcW w:w="74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27.4%</w:t>
            </w: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(1,196,596)</w:t>
            </w: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(952,158)</w:t>
            </w:r>
          </w:p>
        </w:tc>
        <w:tc>
          <w:tcPr>
            <w:tcW w:w="9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25.7%</w:t>
            </w:r>
          </w:p>
        </w:tc>
        <w:tc>
          <w:tcPr>
            <w:tcW w:w="0" w:type="dxa"/>
            <w:vAlign w:val="bottom"/>
          </w:tcPr>
          <w:p>
            <w:pPr>
              <w:spacing w:after="0"/>
              <w:rPr>
                <w:sz w:val="1"/>
                <w:szCs w:val="1"/>
                <w:color w:val="auto"/>
              </w:rPr>
            </w:pPr>
          </w:p>
        </w:tc>
      </w:tr>
      <w:tr>
        <w:trPr>
          <w:trHeight w:val="135"/>
        </w:trPr>
        <w:tc>
          <w:tcPr>
            <w:tcW w:w="418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Operating income (2)</w:t>
            </w:r>
          </w:p>
        </w:tc>
        <w:tc>
          <w:tcPr>
            <w:tcW w:w="6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189,920</w:t>
            </w:r>
          </w:p>
        </w:tc>
        <w:tc>
          <w:tcPr>
            <w:tcW w:w="220" w:type="dxa"/>
            <w:vAlign w:val="bottom"/>
            <w:shd w:val="clear" w:color="auto" w:fill="CCFFCC"/>
          </w:tcPr>
          <w:p>
            <w:pPr>
              <w:spacing w:after="0"/>
              <w:rPr>
                <w:sz w:val="11"/>
                <w:szCs w:val="11"/>
                <w:color w:val="auto"/>
              </w:rPr>
            </w:pPr>
          </w:p>
        </w:tc>
        <w:tc>
          <w:tcPr>
            <w:tcW w:w="8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222,370</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180,909</w:t>
            </w:r>
          </w:p>
        </w:tc>
        <w:tc>
          <w:tcPr>
            <w:tcW w:w="920" w:type="dxa"/>
            <w:vAlign w:val="bottom"/>
            <w:gridSpan w:val="2"/>
            <w:shd w:val="clear" w:color="auto" w:fill="CCFFCC"/>
          </w:tcPr>
          <w:p>
            <w:pPr>
              <w:jc w:val="right"/>
              <w:ind w:right="82"/>
              <w:spacing w:after="0" w:line="135" w:lineRule="exact"/>
              <w:rPr>
                <w:sz w:val="20"/>
                <w:szCs w:val="20"/>
                <w:color w:val="auto"/>
              </w:rPr>
            </w:pPr>
            <w:r>
              <w:rPr>
                <w:rFonts w:ascii="Arial" w:cs="Arial" w:eastAsia="Arial" w:hAnsi="Arial"/>
                <w:sz w:val="13"/>
                <w:szCs w:val="13"/>
                <w:color w:val="auto"/>
              </w:rPr>
              <w:t>-14.6%</w:t>
            </w:r>
          </w:p>
        </w:tc>
        <w:tc>
          <w:tcPr>
            <w:tcW w:w="18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77"/>
              <w:spacing w:after="0" w:line="135" w:lineRule="exact"/>
              <w:rPr>
                <w:sz w:val="20"/>
                <w:szCs w:val="20"/>
                <w:color w:val="auto"/>
              </w:rPr>
            </w:pPr>
            <w:r>
              <w:rPr>
                <w:rFonts w:ascii="Arial" w:cs="Arial" w:eastAsia="Arial" w:hAnsi="Arial"/>
                <w:sz w:val="13"/>
                <w:szCs w:val="13"/>
                <w:color w:val="auto"/>
              </w:rPr>
              <w:t>5.0%</w:t>
            </w:r>
          </w:p>
        </w:tc>
        <w:tc>
          <w:tcPr>
            <w:tcW w:w="8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804,977</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724,551</w:t>
            </w:r>
          </w:p>
        </w:tc>
        <w:tc>
          <w:tcPr>
            <w:tcW w:w="94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11.1%</w:t>
            </w:r>
          </w:p>
        </w:tc>
        <w:tc>
          <w:tcPr>
            <w:tcW w:w="0" w:type="dxa"/>
            <w:vAlign w:val="bottom"/>
          </w:tcPr>
          <w:p>
            <w:pPr>
              <w:spacing w:after="0"/>
              <w:rPr>
                <w:sz w:val="1"/>
                <w:szCs w:val="1"/>
                <w:color w:val="auto"/>
              </w:rPr>
            </w:pPr>
          </w:p>
        </w:tc>
      </w:tr>
      <w:tr>
        <w:trPr>
          <w:trHeight w:val="135"/>
        </w:trPr>
        <w:tc>
          <w:tcPr>
            <w:tcW w:w="4180" w:type="dxa"/>
            <w:vAlign w:val="bottom"/>
            <w:gridSpan w:val="2"/>
          </w:tcPr>
          <w:p>
            <w:pPr>
              <w:ind w:left="180"/>
              <w:spacing w:after="0" w:line="135" w:lineRule="exact"/>
              <w:rPr>
                <w:sz w:val="20"/>
                <w:szCs w:val="20"/>
                <w:color w:val="auto"/>
              </w:rPr>
            </w:pPr>
            <w:r>
              <w:rPr>
                <w:rFonts w:ascii="Arial" w:cs="Arial" w:eastAsia="Arial" w:hAnsi="Arial"/>
                <w:sz w:val="13"/>
                <w:szCs w:val="13"/>
                <w:color w:val="auto"/>
              </w:rPr>
              <w:t>Core operating income</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189,920</w:t>
            </w:r>
          </w:p>
        </w:tc>
        <w:tc>
          <w:tcPr>
            <w:tcW w:w="22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222,370</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180,909</w:t>
            </w:r>
          </w:p>
        </w:tc>
        <w:tc>
          <w:tcPr>
            <w:tcW w:w="920" w:type="dxa"/>
            <w:vAlign w:val="bottom"/>
            <w:gridSpan w:val="2"/>
          </w:tcPr>
          <w:p>
            <w:pPr>
              <w:jc w:val="right"/>
              <w:ind w:right="82"/>
              <w:spacing w:after="0" w:line="135" w:lineRule="exact"/>
              <w:rPr>
                <w:sz w:val="20"/>
                <w:szCs w:val="20"/>
                <w:color w:val="auto"/>
              </w:rPr>
            </w:pPr>
            <w:r>
              <w:rPr>
                <w:rFonts w:ascii="Arial" w:cs="Arial" w:eastAsia="Arial" w:hAnsi="Arial"/>
                <w:sz w:val="13"/>
                <w:szCs w:val="13"/>
                <w:color w:val="auto"/>
              </w:rPr>
              <w:t>-14.6%</w:t>
            </w:r>
          </w:p>
        </w:tc>
        <w:tc>
          <w:tcPr>
            <w:tcW w:w="180" w:type="dxa"/>
            <w:vAlign w:val="bottom"/>
          </w:tcPr>
          <w:p>
            <w:pPr>
              <w:spacing w:after="0"/>
              <w:rPr>
                <w:sz w:val="11"/>
                <w:szCs w:val="11"/>
                <w:color w:val="auto"/>
              </w:rPr>
            </w:pPr>
          </w:p>
        </w:tc>
        <w:tc>
          <w:tcPr>
            <w:tcW w:w="74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5.0%</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804,977</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724,551</w:t>
            </w:r>
          </w:p>
        </w:tc>
        <w:tc>
          <w:tcPr>
            <w:tcW w:w="9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11.1%</w:t>
            </w:r>
          </w:p>
        </w:tc>
        <w:tc>
          <w:tcPr>
            <w:tcW w:w="0" w:type="dxa"/>
            <w:vAlign w:val="bottom"/>
          </w:tcPr>
          <w:p>
            <w:pPr>
              <w:spacing w:after="0"/>
              <w:rPr>
                <w:sz w:val="1"/>
                <w:szCs w:val="1"/>
                <w:color w:val="auto"/>
              </w:rPr>
            </w:pPr>
          </w:p>
        </w:tc>
      </w:tr>
      <w:tr>
        <w:trPr>
          <w:trHeight w:val="135"/>
        </w:trPr>
        <w:tc>
          <w:tcPr>
            <w:tcW w:w="4180" w:type="dxa"/>
            <w:vAlign w:val="bottom"/>
            <w:gridSpan w:val="2"/>
            <w:shd w:val="clear" w:color="auto" w:fill="CCFFCC"/>
          </w:tcPr>
          <w:p>
            <w:pPr>
              <w:ind w:left="180"/>
              <w:spacing w:after="0" w:line="135" w:lineRule="exact"/>
              <w:rPr>
                <w:sz w:val="20"/>
                <w:szCs w:val="20"/>
                <w:color w:val="auto"/>
              </w:rPr>
            </w:pPr>
            <w:r>
              <w:rPr>
                <w:rFonts w:ascii="Arial" w:cs="Arial" w:eastAsia="Arial" w:hAnsi="Arial"/>
                <w:sz w:val="13"/>
                <w:szCs w:val="13"/>
                <w:color w:val="auto"/>
              </w:rPr>
              <w:t>Non core operating income (3)</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CCFFCC"/>
          </w:tcPr>
          <w:p>
            <w:pPr>
              <w:jc w:val="right"/>
              <w:ind w:right="82"/>
              <w:spacing w:after="0" w:line="135" w:lineRule="exact"/>
              <w:rPr>
                <w:sz w:val="20"/>
                <w:szCs w:val="20"/>
                <w:color w:val="auto"/>
              </w:rPr>
            </w:pPr>
            <w:r>
              <w:rPr>
                <w:rFonts w:ascii="Arial" w:cs="Arial" w:eastAsia="Arial" w:hAnsi="Arial"/>
                <w:sz w:val="13"/>
                <w:szCs w:val="13"/>
                <w:color w:val="auto"/>
              </w:rPr>
              <w:t>0.0%</w:t>
            </w:r>
          </w:p>
        </w:tc>
        <w:tc>
          <w:tcPr>
            <w:tcW w:w="18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77"/>
              <w:spacing w:after="0" w:line="135" w:lineRule="exact"/>
              <w:rPr>
                <w:sz w:val="20"/>
                <w:szCs w:val="20"/>
                <w:color w:val="auto"/>
              </w:rPr>
            </w:pPr>
            <w:r>
              <w:rPr>
                <w:rFonts w:ascii="Arial" w:cs="Arial" w:eastAsia="Arial" w:hAnsi="Arial"/>
                <w:sz w:val="13"/>
                <w:szCs w:val="13"/>
                <w:color w:val="auto"/>
              </w:rPr>
              <w:t>0.0%</w:t>
            </w:r>
          </w:p>
        </w:tc>
        <w:tc>
          <w:tcPr>
            <w:tcW w:w="8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35"/>
        </w:trPr>
        <w:tc>
          <w:tcPr>
            <w:tcW w:w="4180" w:type="dxa"/>
            <w:vAlign w:val="bottom"/>
            <w:gridSpan w:val="2"/>
          </w:tcPr>
          <w:p>
            <w:pPr>
              <w:spacing w:after="0" w:line="135" w:lineRule="exact"/>
              <w:rPr>
                <w:sz w:val="20"/>
                <w:szCs w:val="20"/>
                <w:color w:val="auto"/>
              </w:rPr>
            </w:pPr>
            <w:r>
              <w:rPr>
                <w:rFonts w:ascii="Arial" w:cs="Arial" w:eastAsia="Arial" w:hAnsi="Arial"/>
                <w:sz w:val="13"/>
                <w:szCs w:val="13"/>
                <w:color w:val="auto"/>
              </w:rPr>
              <w:t>Translation results</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26,132</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27,799</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27,498</w:t>
            </w:r>
          </w:p>
        </w:tc>
        <w:tc>
          <w:tcPr>
            <w:tcW w:w="920" w:type="dxa"/>
            <w:vAlign w:val="bottom"/>
            <w:gridSpan w:val="2"/>
          </w:tcPr>
          <w:p>
            <w:pPr>
              <w:jc w:val="right"/>
              <w:ind w:right="82"/>
              <w:spacing w:after="0" w:line="135" w:lineRule="exact"/>
              <w:rPr>
                <w:sz w:val="20"/>
                <w:szCs w:val="20"/>
                <w:color w:val="auto"/>
              </w:rPr>
            </w:pPr>
            <w:r>
              <w:rPr>
                <w:rFonts w:ascii="Arial" w:cs="Arial" w:eastAsia="Arial" w:hAnsi="Arial"/>
                <w:sz w:val="13"/>
                <w:szCs w:val="13"/>
                <w:color w:val="auto"/>
              </w:rPr>
              <w:t>-6.0%</w:t>
            </w:r>
          </w:p>
        </w:tc>
        <w:tc>
          <w:tcPr>
            <w:tcW w:w="180" w:type="dxa"/>
            <w:vAlign w:val="bottom"/>
          </w:tcPr>
          <w:p>
            <w:pPr>
              <w:spacing w:after="0"/>
              <w:rPr>
                <w:sz w:val="11"/>
                <w:szCs w:val="11"/>
                <w:color w:val="auto"/>
              </w:rPr>
            </w:pPr>
          </w:p>
        </w:tc>
        <w:tc>
          <w:tcPr>
            <w:tcW w:w="74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-5.0%</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62,283</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34,459</w:t>
            </w:r>
          </w:p>
        </w:tc>
        <w:tc>
          <w:tcPr>
            <w:tcW w:w="9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80.7%</w:t>
            </w:r>
          </w:p>
        </w:tc>
        <w:tc>
          <w:tcPr>
            <w:tcW w:w="0" w:type="dxa"/>
            <w:vAlign w:val="bottom"/>
          </w:tcPr>
          <w:p>
            <w:pPr>
              <w:spacing w:after="0"/>
              <w:rPr>
                <w:sz w:val="1"/>
                <w:szCs w:val="1"/>
                <w:color w:val="auto"/>
              </w:rPr>
            </w:pPr>
          </w:p>
        </w:tc>
      </w:tr>
      <w:tr>
        <w:trPr>
          <w:trHeight w:val="135"/>
        </w:trPr>
        <w:tc>
          <w:tcPr>
            <w:tcW w:w="418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Income taxes</w:t>
            </w:r>
          </w:p>
        </w:tc>
        <w:tc>
          <w:tcPr>
            <w:tcW w:w="9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(44,102)</w:t>
            </w:r>
          </w:p>
        </w:tc>
        <w:tc>
          <w:tcPr>
            <w:tcW w:w="88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(55,980)</w:t>
            </w:r>
          </w:p>
        </w:tc>
        <w:tc>
          <w:tcPr>
            <w:tcW w:w="9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(43,151)</w:t>
            </w:r>
          </w:p>
        </w:tc>
        <w:tc>
          <w:tcPr>
            <w:tcW w:w="920" w:type="dxa"/>
            <w:vAlign w:val="bottom"/>
            <w:gridSpan w:val="2"/>
            <w:shd w:val="clear" w:color="auto" w:fill="CCFFCC"/>
          </w:tcPr>
          <w:p>
            <w:pPr>
              <w:jc w:val="right"/>
              <w:ind w:right="82"/>
              <w:spacing w:after="0" w:line="135" w:lineRule="exact"/>
              <w:rPr>
                <w:sz w:val="20"/>
                <w:szCs w:val="20"/>
                <w:color w:val="auto"/>
              </w:rPr>
            </w:pPr>
            <w:r>
              <w:rPr>
                <w:rFonts w:ascii="Arial" w:cs="Arial" w:eastAsia="Arial" w:hAnsi="Arial"/>
                <w:sz w:val="13"/>
                <w:szCs w:val="13"/>
                <w:color w:val="auto"/>
              </w:rPr>
              <w:t>-21.2%</w:t>
            </w:r>
          </w:p>
        </w:tc>
        <w:tc>
          <w:tcPr>
            <w:tcW w:w="18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77"/>
              <w:spacing w:after="0" w:line="135" w:lineRule="exact"/>
              <w:rPr>
                <w:sz w:val="20"/>
                <w:szCs w:val="20"/>
                <w:color w:val="auto"/>
              </w:rPr>
            </w:pPr>
            <w:r>
              <w:rPr>
                <w:rFonts w:ascii="Arial" w:cs="Arial" w:eastAsia="Arial" w:hAnsi="Arial"/>
                <w:sz w:val="13"/>
                <w:szCs w:val="13"/>
                <w:color w:val="auto"/>
              </w:rPr>
              <w:t>2.2%</w:t>
            </w:r>
          </w:p>
        </w:tc>
        <w:tc>
          <w:tcPr>
            <w:tcW w:w="88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(202,701)</w:t>
            </w:r>
          </w:p>
        </w:tc>
        <w:tc>
          <w:tcPr>
            <w:tcW w:w="9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(180,333)</w:t>
            </w:r>
          </w:p>
        </w:tc>
        <w:tc>
          <w:tcPr>
            <w:tcW w:w="94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12.4%</w:t>
            </w:r>
          </w:p>
        </w:tc>
        <w:tc>
          <w:tcPr>
            <w:tcW w:w="0" w:type="dxa"/>
            <w:vAlign w:val="bottom"/>
          </w:tcPr>
          <w:p>
            <w:pPr>
              <w:spacing w:after="0"/>
              <w:rPr>
                <w:sz w:val="1"/>
                <w:szCs w:val="1"/>
                <w:color w:val="auto"/>
              </w:rPr>
            </w:pPr>
          </w:p>
        </w:tc>
      </w:tr>
      <w:tr>
        <w:trPr>
          <w:trHeight w:val="149"/>
        </w:trPr>
        <w:tc>
          <w:tcPr>
            <w:tcW w:w="4180" w:type="dxa"/>
            <w:vAlign w:val="bottom"/>
            <w:gridSpan w:val="2"/>
          </w:tcPr>
          <w:p>
            <w:pPr>
              <w:spacing w:after="0"/>
              <w:rPr>
                <w:sz w:val="20"/>
                <w:szCs w:val="20"/>
                <w:color w:val="auto"/>
              </w:rPr>
            </w:pPr>
            <w:r>
              <w:rPr>
                <w:rFonts w:ascii="Arial" w:cs="Arial" w:eastAsia="Arial" w:hAnsi="Arial"/>
                <w:sz w:val="13"/>
                <w:szCs w:val="13"/>
                <w:b w:val="1"/>
                <w:bCs w:val="1"/>
                <w:color w:val="auto"/>
              </w:rPr>
              <w:t>Net income</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170,956</w:t>
            </w:r>
          </w:p>
        </w:tc>
        <w:tc>
          <w:tcPr>
            <w:tcW w:w="22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192,048</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164,782</w:t>
            </w:r>
          </w:p>
        </w:tc>
        <w:tc>
          <w:tcPr>
            <w:tcW w:w="920" w:type="dxa"/>
            <w:vAlign w:val="bottom"/>
            <w:gridSpan w:val="2"/>
          </w:tcPr>
          <w:p>
            <w:pPr>
              <w:jc w:val="right"/>
              <w:ind w:right="62"/>
              <w:spacing w:after="0"/>
              <w:rPr>
                <w:sz w:val="20"/>
                <w:szCs w:val="20"/>
                <w:color w:val="auto"/>
              </w:rPr>
            </w:pPr>
            <w:r>
              <w:rPr>
                <w:rFonts w:ascii="Arial" w:cs="Arial" w:eastAsia="Arial" w:hAnsi="Arial"/>
                <w:sz w:val="13"/>
                <w:szCs w:val="13"/>
                <w:b w:val="1"/>
                <w:bCs w:val="1"/>
                <w:color w:val="auto"/>
              </w:rPr>
              <w:t>-11.0%</w:t>
            </w:r>
          </w:p>
        </w:tc>
        <w:tc>
          <w:tcPr>
            <w:tcW w:w="180" w:type="dxa"/>
            <w:vAlign w:val="bottom"/>
          </w:tcPr>
          <w:p>
            <w:pPr>
              <w:spacing w:after="0"/>
              <w:rPr>
                <w:sz w:val="12"/>
                <w:szCs w:val="12"/>
                <w:color w:val="auto"/>
              </w:rPr>
            </w:pPr>
          </w:p>
        </w:tc>
        <w:tc>
          <w:tcPr>
            <w:tcW w:w="740" w:type="dxa"/>
            <w:vAlign w:val="bottom"/>
            <w:gridSpan w:val="2"/>
          </w:tcPr>
          <w:p>
            <w:pPr>
              <w:jc w:val="right"/>
              <w:ind w:right="57"/>
              <w:spacing w:after="0"/>
              <w:rPr>
                <w:sz w:val="20"/>
                <w:szCs w:val="20"/>
                <w:color w:val="auto"/>
              </w:rPr>
            </w:pPr>
            <w:r>
              <w:rPr>
                <w:rFonts w:ascii="Arial" w:cs="Arial" w:eastAsia="Arial" w:hAnsi="Arial"/>
                <w:sz w:val="13"/>
                <w:szCs w:val="13"/>
                <w:b w:val="1"/>
                <w:bCs w:val="1"/>
                <w:color w:val="auto"/>
              </w:rPr>
              <w:t>3.7%</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661,358</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577,712</w:t>
            </w:r>
          </w:p>
        </w:tc>
        <w:tc>
          <w:tcPr>
            <w:tcW w:w="940" w:type="dxa"/>
            <w:vAlign w:val="bottom"/>
            <w:gridSpan w:val="2"/>
          </w:tcPr>
          <w:p>
            <w:pPr>
              <w:jc w:val="right"/>
              <w:spacing w:after="0"/>
              <w:rPr>
                <w:sz w:val="20"/>
                <w:szCs w:val="20"/>
                <w:color w:val="auto"/>
              </w:rPr>
            </w:pPr>
            <w:r>
              <w:rPr>
                <w:rFonts w:ascii="Arial" w:cs="Arial" w:eastAsia="Arial" w:hAnsi="Arial"/>
                <w:sz w:val="13"/>
                <w:szCs w:val="13"/>
                <w:b w:val="1"/>
                <w:bCs w:val="1"/>
                <w:color w:val="auto"/>
              </w:rPr>
              <w:t>14.5%</w:t>
            </w:r>
          </w:p>
        </w:tc>
        <w:tc>
          <w:tcPr>
            <w:tcW w:w="0" w:type="dxa"/>
            <w:vAlign w:val="bottom"/>
          </w:tcPr>
          <w:p>
            <w:pPr>
              <w:spacing w:after="0"/>
              <w:rPr>
                <w:sz w:val="1"/>
                <w:szCs w:val="1"/>
                <w:color w:val="auto"/>
              </w:rPr>
            </w:pPr>
          </w:p>
        </w:tc>
      </w:tr>
      <w:tr>
        <w:trPr>
          <w:trHeight w:val="129"/>
        </w:trPr>
        <w:tc>
          <w:tcPr>
            <w:tcW w:w="4180" w:type="dxa"/>
            <w:vAlign w:val="bottom"/>
            <w:tcBorders>
              <w:top w:val="single" w:sz="8" w:color="CCFFCC"/>
            </w:tcBorders>
            <w:gridSpan w:val="2"/>
            <w:shd w:val="clear" w:color="auto" w:fill="CCFFCC"/>
          </w:tcPr>
          <w:p>
            <w:pPr>
              <w:spacing w:after="0" w:line="129" w:lineRule="exact"/>
              <w:rPr>
                <w:sz w:val="20"/>
                <w:szCs w:val="20"/>
                <w:color w:val="auto"/>
              </w:rPr>
            </w:pPr>
            <w:r>
              <w:rPr>
                <w:rFonts w:ascii="Arial" w:cs="Arial" w:eastAsia="Arial" w:hAnsi="Arial"/>
                <w:sz w:val="13"/>
                <w:szCs w:val="13"/>
                <w:color w:val="auto"/>
              </w:rPr>
              <w:t>Net income / share (US$)</w:t>
            </w:r>
          </w:p>
        </w:tc>
        <w:tc>
          <w:tcPr>
            <w:tcW w:w="680" w:type="dxa"/>
            <w:vAlign w:val="bottom"/>
            <w:tcBorders>
              <w:top w:val="single" w:sz="8" w:color="auto"/>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0.055</w:t>
            </w:r>
          </w:p>
        </w:tc>
        <w:tc>
          <w:tcPr>
            <w:tcW w:w="220" w:type="dxa"/>
            <w:vAlign w:val="bottom"/>
            <w:tcBorders>
              <w:top w:val="single" w:sz="8" w:color="CCFFCC"/>
            </w:tcBorders>
            <w:shd w:val="clear" w:color="auto" w:fill="CCFFCC"/>
          </w:tcPr>
          <w:p>
            <w:pPr>
              <w:spacing w:after="0"/>
              <w:rPr>
                <w:sz w:val="11"/>
                <w:szCs w:val="11"/>
                <w:color w:val="auto"/>
              </w:rPr>
            </w:pPr>
          </w:p>
        </w:tc>
        <w:tc>
          <w:tcPr>
            <w:tcW w:w="660" w:type="dxa"/>
            <w:vAlign w:val="bottom"/>
            <w:tcBorders>
              <w:top w:val="single" w:sz="8" w:color="auto"/>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0.062</w:t>
            </w:r>
          </w:p>
        </w:tc>
        <w:tc>
          <w:tcPr>
            <w:tcW w:w="220" w:type="dxa"/>
            <w:vAlign w:val="bottom"/>
            <w:tcBorders>
              <w:top w:val="single" w:sz="8" w:color="CCFFCC"/>
            </w:tcBorders>
            <w:shd w:val="clear" w:color="auto" w:fill="CCFFCC"/>
          </w:tcPr>
          <w:p>
            <w:pPr>
              <w:spacing w:after="0"/>
              <w:rPr>
                <w:sz w:val="11"/>
                <w:szCs w:val="11"/>
                <w:color w:val="auto"/>
              </w:rPr>
            </w:pPr>
          </w:p>
        </w:tc>
        <w:tc>
          <w:tcPr>
            <w:tcW w:w="680" w:type="dxa"/>
            <w:vAlign w:val="bottom"/>
            <w:tcBorders>
              <w:top w:val="single" w:sz="8" w:color="auto"/>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0.053</w:t>
            </w:r>
          </w:p>
        </w:tc>
        <w:tc>
          <w:tcPr>
            <w:tcW w:w="220" w:type="dxa"/>
            <w:vAlign w:val="bottom"/>
            <w:tcBorders>
              <w:top w:val="single" w:sz="8" w:color="CCFFCC"/>
            </w:tcBorders>
            <w:shd w:val="clear" w:color="auto" w:fill="CCFFCC"/>
          </w:tcPr>
          <w:p>
            <w:pPr>
              <w:spacing w:after="0"/>
              <w:rPr>
                <w:sz w:val="11"/>
                <w:szCs w:val="11"/>
                <w:color w:val="auto"/>
              </w:rPr>
            </w:pPr>
          </w:p>
        </w:tc>
        <w:tc>
          <w:tcPr>
            <w:tcW w:w="680" w:type="dxa"/>
            <w:vAlign w:val="bottom"/>
            <w:tcBorders>
              <w:top w:val="single" w:sz="8" w:color="auto"/>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-11.0</w:t>
            </w:r>
          </w:p>
        </w:tc>
        <w:tc>
          <w:tcPr>
            <w:tcW w:w="240" w:type="dxa"/>
            <w:vAlign w:val="bottom"/>
            <w:tcBorders>
              <w:top w:val="single" w:sz="8" w:color="CCFFCC"/>
            </w:tcBorders>
            <w:shd w:val="clear" w:color="auto" w:fill="CCFFCC"/>
          </w:tcPr>
          <w:p>
            <w:pPr>
              <w:jc w:val="right"/>
              <w:ind w:right="82"/>
              <w:spacing w:after="0" w:line="129" w:lineRule="exact"/>
              <w:rPr>
                <w:sz w:val="20"/>
                <w:szCs w:val="20"/>
                <w:color w:val="auto"/>
              </w:rPr>
            </w:pPr>
            <w:r>
              <w:rPr>
                <w:rFonts w:ascii="Arial" w:cs="Arial" w:eastAsia="Arial" w:hAnsi="Arial"/>
                <w:sz w:val="12"/>
                <w:szCs w:val="12"/>
                <w:color w:val="auto"/>
                <w:w w:val="74"/>
              </w:rPr>
              <w:t>%</w:t>
            </w:r>
          </w:p>
        </w:tc>
        <w:tc>
          <w:tcPr>
            <w:tcW w:w="180" w:type="dxa"/>
            <w:vAlign w:val="bottom"/>
            <w:tcBorders>
              <w:top w:val="single" w:sz="8" w:color="auto"/>
              <w:bottom w:val="single" w:sz="8" w:color="auto"/>
            </w:tcBorders>
            <w:shd w:val="clear" w:color="auto" w:fill="CCFFCC"/>
          </w:tcPr>
          <w:p>
            <w:pPr>
              <w:spacing w:after="0"/>
              <w:rPr>
                <w:sz w:val="11"/>
                <w:szCs w:val="11"/>
                <w:color w:val="auto"/>
              </w:rPr>
            </w:pPr>
          </w:p>
        </w:tc>
        <w:tc>
          <w:tcPr>
            <w:tcW w:w="480" w:type="dxa"/>
            <w:vAlign w:val="bottom"/>
            <w:tcBorders>
              <w:top w:val="single" w:sz="8" w:color="auto"/>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3.8</w:t>
            </w:r>
          </w:p>
        </w:tc>
        <w:tc>
          <w:tcPr>
            <w:tcW w:w="260" w:type="dxa"/>
            <w:vAlign w:val="bottom"/>
            <w:tcBorders>
              <w:top w:val="single" w:sz="8" w:color="CCFFCC"/>
            </w:tcBorders>
            <w:shd w:val="clear" w:color="auto" w:fill="CCFFCC"/>
          </w:tcPr>
          <w:p>
            <w:pPr>
              <w:jc w:val="right"/>
              <w:ind w:right="77"/>
              <w:spacing w:after="0" w:line="129" w:lineRule="exact"/>
              <w:rPr>
                <w:sz w:val="20"/>
                <w:szCs w:val="20"/>
                <w:color w:val="auto"/>
              </w:rPr>
            </w:pPr>
            <w:r>
              <w:rPr>
                <w:rFonts w:ascii="Arial" w:cs="Arial" w:eastAsia="Arial" w:hAnsi="Arial"/>
                <w:sz w:val="13"/>
                <w:szCs w:val="13"/>
                <w:color w:val="auto"/>
                <w:w w:val="86"/>
              </w:rPr>
              <w:t>%</w:t>
            </w:r>
          </w:p>
        </w:tc>
        <w:tc>
          <w:tcPr>
            <w:tcW w:w="660" w:type="dxa"/>
            <w:vAlign w:val="bottom"/>
            <w:tcBorders>
              <w:top w:val="single" w:sz="8" w:color="auto"/>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0.213</w:t>
            </w:r>
          </w:p>
        </w:tc>
        <w:tc>
          <w:tcPr>
            <w:tcW w:w="220" w:type="dxa"/>
            <w:vAlign w:val="bottom"/>
            <w:tcBorders>
              <w:top w:val="single" w:sz="8" w:color="CCFFCC"/>
            </w:tcBorders>
            <w:shd w:val="clear" w:color="auto" w:fill="CCFFCC"/>
          </w:tcPr>
          <w:p>
            <w:pPr>
              <w:spacing w:after="0"/>
              <w:rPr>
                <w:sz w:val="11"/>
                <w:szCs w:val="11"/>
                <w:color w:val="auto"/>
              </w:rPr>
            </w:pPr>
          </w:p>
        </w:tc>
        <w:tc>
          <w:tcPr>
            <w:tcW w:w="680" w:type="dxa"/>
            <w:vAlign w:val="bottom"/>
            <w:tcBorders>
              <w:top w:val="single" w:sz="8" w:color="auto"/>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0.186</w:t>
            </w:r>
          </w:p>
        </w:tc>
        <w:tc>
          <w:tcPr>
            <w:tcW w:w="220" w:type="dxa"/>
            <w:vAlign w:val="bottom"/>
            <w:tcBorders>
              <w:top w:val="single" w:sz="8" w:color="CCFFCC"/>
            </w:tcBorders>
            <w:shd w:val="clear" w:color="auto" w:fill="CCFFCC"/>
          </w:tcPr>
          <w:p>
            <w:pPr>
              <w:spacing w:after="0"/>
              <w:rPr>
                <w:sz w:val="11"/>
                <w:szCs w:val="11"/>
                <w:color w:val="auto"/>
              </w:rPr>
            </w:pPr>
          </w:p>
        </w:tc>
        <w:tc>
          <w:tcPr>
            <w:tcW w:w="800" w:type="dxa"/>
            <w:vAlign w:val="bottom"/>
            <w:tcBorders>
              <w:top w:val="single" w:sz="8" w:color="auto"/>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14.4</w:t>
            </w:r>
          </w:p>
        </w:tc>
        <w:tc>
          <w:tcPr>
            <w:tcW w:w="140" w:type="dxa"/>
            <w:vAlign w:val="bottom"/>
            <w:tcBorders>
              <w:top w:val="single" w:sz="8" w:color="CCFFCC"/>
            </w:tcBorders>
            <w:shd w:val="clear" w:color="auto" w:fill="CCFFCC"/>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9"/>
        </w:trPr>
        <w:tc>
          <w:tcPr>
            <w:tcW w:w="4180" w:type="dxa"/>
            <w:vAlign w:val="bottom"/>
            <w:gridSpan w:val="2"/>
          </w:tcPr>
          <w:p>
            <w:pPr>
              <w:spacing w:after="0" w:line="129" w:lineRule="exact"/>
              <w:rPr>
                <w:sz w:val="20"/>
                <w:szCs w:val="20"/>
                <w:color w:val="auto"/>
              </w:rPr>
            </w:pPr>
            <w:r>
              <w:rPr>
                <w:rFonts w:ascii="Arial" w:cs="Arial" w:eastAsia="Arial" w:hAnsi="Arial"/>
                <w:sz w:val="13"/>
                <w:szCs w:val="13"/>
                <w:color w:val="auto"/>
              </w:rPr>
              <w:t>Total loans</w:t>
            </w:r>
          </w:p>
        </w:tc>
        <w:tc>
          <w:tcPr>
            <w:tcW w:w="680" w:type="dxa"/>
            <w:vAlign w:val="bottom"/>
          </w:tcPr>
          <w:p>
            <w:pPr>
              <w:jc w:val="right"/>
              <w:spacing w:after="0" w:line="129" w:lineRule="exact"/>
              <w:rPr>
                <w:sz w:val="20"/>
                <w:szCs w:val="20"/>
                <w:color w:val="auto"/>
              </w:rPr>
            </w:pPr>
            <w:r>
              <w:rPr>
                <w:rFonts w:ascii="Arial" w:cs="Arial" w:eastAsia="Arial" w:hAnsi="Arial"/>
                <w:sz w:val="13"/>
                <w:szCs w:val="13"/>
                <w:color w:val="auto"/>
              </w:rPr>
              <w:t>20,754,941</w:t>
            </w:r>
          </w:p>
        </w:tc>
        <w:tc>
          <w:tcPr>
            <w:tcW w:w="22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Arial" w:cs="Arial" w:eastAsia="Arial" w:hAnsi="Arial"/>
                <w:sz w:val="13"/>
                <w:szCs w:val="13"/>
                <w:color w:val="auto"/>
                <w:w w:val="98"/>
              </w:rPr>
              <w:t>19,672,680</w:t>
            </w:r>
          </w:p>
        </w:tc>
        <w:tc>
          <w:tcPr>
            <w:tcW w:w="22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3"/>
                <w:szCs w:val="13"/>
                <w:color w:val="auto"/>
              </w:rPr>
              <w:t>16,934,911</w:t>
            </w:r>
          </w:p>
        </w:tc>
        <w:tc>
          <w:tcPr>
            <w:tcW w:w="220" w:type="dxa"/>
            <w:vAlign w:val="bottom"/>
          </w:tcPr>
          <w:p>
            <w:pPr>
              <w:spacing w:after="0"/>
              <w:rPr>
                <w:sz w:val="11"/>
                <w:szCs w:val="11"/>
                <w:color w:val="auto"/>
              </w:rPr>
            </w:pPr>
          </w:p>
        </w:tc>
        <w:tc>
          <w:tcPr>
            <w:tcW w:w="920" w:type="dxa"/>
            <w:vAlign w:val="bottom"/>
            <w:gridSpan w:val="2"/>
          </w:tcPr>
          <w:p>
            <w:pPr>
              <w:jc w:val="right"/>
              <w:ind w:right="82"/>
              <w:spacing w:after="0" w:line="129" w:lineRule="exact"/>
              <w:rPr>
                <w:sz w:val="20"/>
                <w:szCs w:val="20"/>
                <w:color w:val="auto"/>
              </w:rPr>
            </w:pPr>
            <w:r>
              <w:rPr>
                <w:rFonts w:ascii="Arial" w:cs="Arial" w:eastAsia="Arial" w:hAnsi="Arial"/>
                <w:sz w:val="13"/>
                <w:szCs w:val="13"/>
                <w:color w:val="auto"/>
              </w:rPr>
              <w:t>5.5%</w:t>
            </w:r>
          </w:p>
        </w:tc>
        <w:tc>
          <w:tcPr>
            <w:tcW w:w="180" w:type="dxa"/>
            <w:vAlign w:val="bottom"/>
          </w:tcPr>
          <w:p>
            <w:pPr>
              <w:spacing w:after="0"/>
              <w:rPr>
                <w:sz w:val="11"/>
                <w:szCs w:val="11"/>
                <w:color w:val="auto"/>
              </w:rPr>
            </w:pPr>
          </w:p>
        </w:tc>
        <w:tc>
          <w:tcPr>
            <w:tcW w:w="740" w:type="dxa"/>
            <w:vAlign w:val="bottom"/>
            <w:gridSpan w:val="2"/>
          </w:tcPr>
          <w:p>
            <w:pPr>
              <w:jc w:val="right"/>
              <w:ind w:right="77"/>
              <w:spacing w:after="0" w:line="129" w:lineRule="exact"/>
              <w:rPr>
                <w:sz w:val="20"/>
                <w:szCs w:val="20"/>
                <w:color w:val="auto"/>
              </w:rPr>
            </w:pPr>
            <w:r>
              <w:rPr>
                <w:rFonts w:ascii="Arial" w:cs="Arial" w:eastAsia="Arial" w:hAnsi="Arial"/>
                <w:sz w:val="13"/>
                <w:szCs w:val="13"/>
                <w:color w:val="auto"/>
              </w:rPr>
              <w:t>22.6%</w:t>
            </w:r>
          </w:p>
        </w:tc>
        <w:tc>
          <w:tcPr>
            <w:tcW w:w="660" w:type="dxa"/>
            <w:vAlign w:val="bottom"/>
          </w:tcPr>
          <w:p>
            <w:pPr>
              <w:jc w:val="right"/>
              <w:spacing w:after="0" w:line="129" w:lineRule="exact"/>
              <w:rPr>
                <w:sz w:val="20"/>
                <w:szCs w:val="20"/>
                <w:color w:val="auto"/>
              </w:rPr>
            </w:pPr>
            <w:r>
              <w:rPr>
                <w:rFonts w:ascii="Arial" w:cs="Arial" w:eastAsia="Arial" w:hAnsi="Arial"/>
                <w:sz w:val="13"/>
                <w:szCs w:val="13"/>
                <w:color w:val="auto"/>
                <w:w w:val="98"/>
              </w:rPr>
              <w:t>20,754,941</w:t>
            </w:r>
          </w:p>
        </w:tc>
        <w:tc>
          <w:tcPr>
            <w:tcW w:w="22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3"/>
                <w:szCs w:val="13"/>
                <w:color w:val="auto"/>
              </w:rPr>
              <w:t>16,934,911</w:t>
            </w:r>
          </w:p>
        </w:tc>
        <w:tc>
          <w:tcPr>
            <w:tcW w:w="220" w:type="dxa"/>
            <w:vAlign w:val="bottom"/>
          </w:tcPr>
          <w:p>
            <w:pPr>
              <w:spacing w:after="0"/>
              <w:rPr>
                <w:sz w:val="11"/>
                <w:szCs w:val="11"/>
                <w:color w:val="auto"/>
              </w:rPr>
            </w:pPr>
          </w:p>
        </w:tc>
        <w:tc>
          <w:tcPr>
            <w:tcW w:w="94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22.6%</w:t>
            </w:r>
          </w:p>
        </w:tc>
        <w:tc>
          <w:tcPr>
            <w:tcW w:w="0" w:type="dxa"/>
            <w:vAlign w:val="bottom"/>
          </w:tcPr>
          <w:p>
            <w:pPr>
              <w:spacing w:after="0"/>
              <w:rPr>
                <w:sz w:val="1"/>
                <w:szCs w:val="1"/>
                <w:color w:val="auto"/>
              </w:rPr>
            </w:pPr>
          </w:p>
        </w:tc>
      </w:tr>
      <w:tr>
        <w:trPr>
          <w:trHeight w:val="135"/>
        </w:trPr>
        <w:tc>
          <w:tcPr>
            <w:tcW w:w="418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Deposits and obligations</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22,838,084</w:t>
            </w:r>
          </w:p>
        </w:tc>
        <w:tc>
          <w:tcPr>
            <w:tcW w:w="8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w w:val="98"/>
              </w:rPr>
              <w:t>20,804,889</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17,835,960</w:t>
            </w:r>
          </w:p>
        </w:tc>
        <w:tc>
          <w:tcPr>
            <w:tcW w:w="920" w:type="dxa"/>
            <w:vAlign w:val="bottom"/>
            <w:gridSpan w:val="2"/>
            <w:shd w:val="clear" w:color="auto" w:fill="CCFFCC"/>
          </w:tcPr>
          <w:p>
            <w:pPr>
              <w:jc w:val="right"/>
              <w:ind w:right="82"/>
              <w:spacing w:after="0" w:line="135" w:lineRule="exact"/>
              <w:rPr>
                <w:sz w:val="20"/>
                <w:szCs w:val="20"/>
                <w:color w:val="auto"/>
              </w:rPr>
            </w:pPr>
            <w:r>
              <w:rPr>
                <w:rFonts w:ascii="Arial" w:cs="Arial" w:eastAsia="Arial" w:hAnsi="Arial"/>
                <w:sz w:val="13"/>
                <w:szCs w:val="13"/>
                <w:color w:val="auto"/>
              </w:rPr>
              <w:t>9.8%</w:t>
            </w:r>
          </w:p>
        </w:tc>
        <w:tc>
          <w:tcPr>
            <w:tcW w:w="18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77"/>
              <w:spacing w:after="0" w:line="135" w:lineRule="exact"/>
              <w:rPr>
                <w:sz w:val="20"/>
                <w:szCs w:val="20"/>
                <w:color w:val="auto"/>
              </w:rPr>
            </w:pPr>
            <w:r>
              <w:rPr>
                <w:rFonts w:ascii="Arial" w:cs="Arial" w:eastAsia="Arial" w:hAnsi="Arial"/>
                <w:sz w:val="13"/>
                <w:szCs w:val="13"/>
                <w:color w:val="auto"/>
              </w:rPr>
              <w:t>28.0%</w:t>
            </w:r>
          </w:p>
        </w:tc>
        <w:tc>
          <w:tcPr>
            <w:tcW w:w="8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w w:val="98"/>
              </w:rPr>
              <w:t>22,838,084</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17,835,960</w:t>
            </w:r>
          </w:p>
        </w:tc>
        <w:tc>
          <w:tcPr>
            <w:tcW w:w="94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28.0%</w:t>
            </w:r>
          </w:p>
        </w:tc>
        <w:tc>
          <w:tcPr>
            <w:tcW w:w="0" w:type="dxa"/>
            <w:vAlign w:val="bottom"/>
          </w:tcPr>
          <w:p>
            <w:pPr>
              <w:spacing w:after="0"/>
              <w:rPr>
                <w:sz w:val="1"/>
                <w:szCs w:val="1"/>
                <w:color w:val="auto"/>
              </w:rPr>
            </w:pPr>
          </w:p>
        </w:tc>
      </w:tr>
      <w:tr>
        <w:trPr>
          <w:trHeight w:val="149"/>
        </w:trPr>
        <w:tc>
          <w:tcPr>
            <w:tcW w:w="4180" w:type="dxa"/>
            <w:vAlign w:val="bottom"/>
            <w:gridSpan w:val="2"/>
          </w:tcPr>
          <w:p>
            <w:pPr>
              <w:spacing w:after="0"/>
              <w:rPr>
                <w:sz w:val="20"/>
                <w:szCs w:val="20"/>
                <w:color w:val="auto"/>
              </w:rPr>
            </w:pPr>
            <w:r>
              <w:rPr>
                <w:rFonts w:ascii="Arial" w:cs="Arial" w:eastAsia="Arial" w:hAnsi="Arial"/>
                <w:sz w:val="13"/>
                <w:szCs w:val="13"/>
                <w:color w:val="auto"/>
              </w:rPr>
              <w:t>Net shareholders' equity</w:t>
            </w:r>
          </w:p>
        </w:tc>
        <w:tc>
          <w:tcPr>
            <w:tcW w:w="680" w:type="dxa"/>
            <w:vAlign w:val="bottom"/>
          </w:tcPr>
          <w:p>
            <w:pPr>
              <w:jc w:val="right"/>
              <w:spacing w:after="0"/>
              <w:rPr>
                <w:sz w:val="20"/>
                <w:szCs w:val="20"/>
                <w:color w:val="auto"/>
              </w:rPr>
            </w:pPr>
            <w:r>
              <w:rPr>
                <w:rFonts w:ascii="Arial" w:cs="Arial" w:eastAsia="Arial" w:hAnsi="Arial"/>
                <w:sz w:val="13"/>
                <w:szCs w:val="13"/>
                <w:color w:val="auto"/>
              </w:rPr>
              <w:t>2,775,351</w:t>
            </w:r>
          </w:p>
        </w:tc>
        <w:tc>
          <w:tcPr>
            <w:tcW w:w="22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2,644,881</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2,341,409</w:t>
            </w:r>
          </w:p>
        </w:tc>
        <w:tc>
          <w:tcPr>
            <w:tcW w:w="920" w:type="dxa"/>
            <w:vAlign w:val="bottom"/>
            <w:gridSpan w:val="2"/>
          </w:tcPr>
          <w:p>
            <w:pPr>
              <w:jc w:val="right"/>
              <w:ind w:right="82"/>
              <w:spacing w:after="0"/>
              <w:rPr>
                <w:sz w:val="20"/>
                <w:szCs w:val="20"/>
                <w:color w:val="auto"/>
              </w:rPr>
            </w:pPr>
            <w:r>
              <w:rPr>
                <w:rFonts w:ascii="Arial" w:cs="Arial" w:eastAsia="Arial" w:hAnsi="Arial"/>
                <w:sz w:val="13"/>
                <w:szCs w:val="13"/>
                <w:color w:val="auto"/>
              </w:rPr>
              <w:t>4.9%</w:t>
            </w:r>
          </w:p>
        </w:tc>
        <w:tc>
          <w:tcPr>
            <w:tcW w:w="180" w:type="dxa"/>
            <w:vAlign w:val="bottom"/>
          </w:tcPr>
          <w:p>
            <w:pPr>
              <w:spacing w:after="0"/>
              <w:rPr>
                <w:sz w:val="12"/>
                <w:szCs w:val="12"/>
                <w:color w:val="auto"/>
              </w:rPr>
            </w:pPr>
          </w:p>
        </w:tc>
        <w:tc>
          <w:tcPr>
            <w:tcW w:w="740" w:type="dxa"/>
            <w:vAlign w:val="bottom"/>
            <w:gridSpan w:val="2"/>
          </w:tcPr>
          <w:p>
            <w:pPr>
              <w:jc w:val="right"/>
              <w:ind w:right="77"/>
              <w:spacing w:after="0"/>
              <w:rPr>
                <w:sz w:val="20"/>
                <w:szCs w:val="20"/>
                <w:color w:val="auto"/>
              </w:rPr>
            </w:pPr>
            <w:r>
              <w:rPr>
                <w:rFonts w:ascii="Arial" w:cs="Arial" w:eastAsia="Arial" w:hAnsi="Arial"/>
                <w:sz w:val="13"/>
                <w:szCs w:val="13"/>
                <w:color w:val="auto"/>
              </w:rPr>
              <w:t>18.5%</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2,775,351</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2,341,409</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18.5%</w:t>
            </w:r>
          </w:p>
        </w:tc>
        <w:tc>
          <w:tcPr>
            <w:tcW w:w="0" w:type="dxa"/>
            <w:vAlign w:val="bottom"/>
          </w:tcPr>
          <w:p>
            <w:pPr>
              <w:spacing w:after="0"/>
              <w:rPr>
                <w:sz w:val="1"/>
                <w:szCs w:val="1"/>
                <w:color w:val="auto"/>
              </w:rPr>
            </w:pPr>
          </w:p>
        </w:tc>
      </w:tr>
      <w:tr>
        <w:trPr>
          <w:trHeight w:val="20"/>
        </w:trPr>
        <w:tc>
          <w:tcPr>
            <w:tcW w:w="4180" w:type="dxa"/>
            <w:vAlign w:val="bottom"/>
            <w:gridSpan w:val="2"/>
            <w:vMerge w:val="restart"/>
            <w:shd w:val="clear" w:color="auto" w:fill="CCFFCC"/>
          </w:tcPr>
          <w:p>
            <w:pPr>
              <w:spacing w:after="0"/>
              <w:rPr>
                <w:sz w:val="20"/>
                <w:szCs w:val="20"/>
                <w:color w:val="auto"/>
              </w:rPr>
            </w:pPr>
            <w:r>
              <w:rPr>
                <w:rFonts w:ascii="Arial" w:cs="Arial" w:eastAsia="Arial" w:hAnsi="Arial"/>
                <w:sz w:val="13"/>
                <w:szCs w:val="13"/>
                <w:color w:val="auto"/>
              </w:rPr>
              <w:t>Net financial margin</w:t>
            </w: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180" w:type="dxa"/>
            <w:vAlign w:val="bottom"/>
            <w:gridSpan w:val="2"/>
            <w:vMerge w:val="continue"/>
            <w:shd w:val="clear" w:color="auto" w:fill="CCFFCC"/>
          </w:tcPr>
          <w:p>
            <w:pPr>
              <w:spacing w:after="0"/>
              <w:rPr>
                <w:sz w:val="11"/>
                <w:szCs w:val="11"/>
                <w:color w:val="auto"/>
              </w:rPr>
            </w:pPr>
          </w:p>
        </w:tc>
        <w:tc>
          <w:tcPr>
            <w:tcW w:w="900" w:type="dxa"/>
            <w:vAlign w:val="bottom"/>
            <w:gridSpan w:val="2"/>
            <w:shd w:val="clear" w:color="auto" w:fill="CCFFCC"/>
          </w:tcPr>
          <w:p>
            <w:pPr>
              <w:jc w:val="right"/>
              <w:ind w:right="120"/>
              <w:spacing w:after="0" w:line="129" w:lineRule="exact"/>
              <w:rPr>
                <w:sz w:val="20"/>
                <w:szCs w:val="20"/>
                <w:color w:val="auto"/>
              </w:rPr>
            </w:pPr>
            <w:r>
              <w:rPr>
                <w:rFonts w:ascii="Arial" w:cs="Arial" w:eastAsia="Arial" w:hAnsi="Arial"/>
                <w:sz w:val="13"/>
                <w:szCs w:val="13"/>
                <w:color w:val="auto"/>
              </w:rPr>
              <w:t>5.13%</w:t>
            </w:r>
          </w:p>
        </w:tc>
        <w:tc>
          <w:tcPr>
            <w:tcW w:w="880" w:type="dxa"/>
            <w:vAlign w:val="bottom"/>
            <w:gridSpan w:val="2"/>
            <w:shd w:val="clear" w:color="auto" w:fill="CCFFCC"/>
          </w:tcPr>
          <w:p>
            <w:pPr>
              <w:jc w:val="right"/>
              <w:ind w:right="100"/>
              <w:spacing w:after="0" w:line="129" w:lineRule="exact"/>
              <w:rPr>
                <w:sz w:val="20"/>
                <w:szCs w:val="20"/>
                <w:color w:val="auto"/>
              </w:rPr>
            </w:pPr>
            <w:r>
              <w:rPr>
                <w:rFonts w:ascii="Arial" w:cs="Arial" w:eastAsia="Arial" w:hAnsi="Arial"/>
                <w:sz w:val="13"/>
                <w:szCs w:val="13"/>
                <w:color w:val="auto"/>
              </w:rPr>
              <w:t>5.36%</w:t>
            </w:r>
          </w:p>
        </w:tc>
        <w:tc>
          <w:tcPr>
            <w:tcW w:w="900" w:type="dxa"/>
            <w:vAlign w:val="bottom"/>
            <w:gridSpan w:val="2"/>
            <w:shd w:val="clear" w:color="auto" w:fill="CCFFCC"/>
          </w:tcPr>
          <w:p>
            <w:pPr>
              <w:jc w:val="right"/>
              <w:ind w:right="120"/>
              <w:spacing w:after="0" w:line="129" w:lineRule="exact"/>
              <w:rPr>
                <w:sz w:val="20"/>
                <w:szCs w:val="20"/>
                <w:color w:val="auto"/>
              </w:rPr>
            </w:pPr>
            <w:r>
              <w:rPr>
                <w:rFonts w:ascii="Arial" w:cs="Arial" w:eastAsia="Arial" w:hAnsi="Arial"/>
                <w:sz w:val="13"/>
                <w:szCs w:val="13"/>
                <w:color w:val="auto"/>
              </w:rPr>
              <w:t>5.31%</w:t>
            </w:r>
          </w:p>
        </w:tc>
        <w:tc>
          <w:tcPr>
            <w:tcW w:w="6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48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880" w:type="dxa"/>
            <w:vAlign w:val="bottom"/>
            <w:gridSpan w:val="2"/>
            <w:shd w:val="clear" w:color="auto" w:fill="CCFFCC"/>
          </w:tcPr>
          <w:p>
            <w:pPr>
              <w:jc w:val="right"/>
              <w:ind w:right="100"/>
              <w:spacing w:after="0" w:line="129" w:lineRule="exact"/>
              <w:rPr>
                <w:sz w:val="20"/>
                <w:szCs w:val="20"/>
                <w:color w:val="auto"/>
              </w:rPr>
            </w:pPr>
            <w:r>
              <w:rPr>
                <w:rFonts w:ascii="Arial" w:cs="Arial" w:eastAsia="Arial" w:hAnsi="Arial"/>
                <w:sz w:val="13"/>
                <w:szCs w:val="13"/>
                <w:color w:val="auto"/>
              </w:rPr>
              <w:t>5.20%</w:t>
            </w:r>
          </w:p>
        </w:tc>
        <w:tc>
          <w:tcPr>
            <w:tcW w:w="900" w:type="dxa"/>
            <w:vAlign w:val="bottom"/>
            <w:gridSpan w:val="2"/>
            <w:shd w:val="clear" w:color="auto" w:fill="CCFFCC"/>
          </w:tcPr>
          <w:p>
            <w:pPr>
              <w:jc w:val="right"/>
              <w:ind w:right="120"/>
              <w:spacing w:after="0" w:line="129" w:lineRule="exact"/>
              <w:rPr>
                <w:sz w:val="20"/>
                <w:szCs w:val="20"/>
                <w:color w:val="auto"/>
              </w:rPr>
            </w:pPr>
            <w:r>
              <w:rPr>
                <w:rFonts w:ascii="Arial" w:cs="Arial" w:eastAsia="Arial" w:hAnsi="Arial"/>
                <w:sz w:val="13"/>
                <w:szCs w:val="13"/>
                <w:color w:val="auto"/>
              </w:rPr>
              <w:t>4.92%</w:t>
            </w:r>
          </w:p>
        </w:tc>
        <w:tc>
          <w:tcPr>
            <w:tcW w:w="8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80" w:type="dxa"/>
            <w:vAlign w:val="bottom"/>
            <w:gridSpan w:val="2"/>
          </w:tcPr>
          <w:p>
            <w:pPr>
              <w:spacing w:after="0" w:line="135" w:lineRule="exact"/>
              <w:rPr>
                <w:sz w:val="20"/>
                <w:szCs w:val="20"/>
                <w:color w:val="auto"/>
              </w:rPr>
            </w:pPr>
            <w:r>
              <w:rPr>
                <w:rFonts w:ascii="Arial" w:cs="Arial" w:eastAsia="Arial" w:hAnsi="Arial"/>
                <w:sz w:val="13"/>
                <w:szCs w:val="13"/>
                <w:color w:val="auto"/>
              </w:rPr>
              <w:t>Efficiency ratio</w:t>
            </w: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55.7%</w:t>
            </w:r>
          </w:p>
        </w:tc>
        <w:tc>
          <w:tcPr>
            <w:tcW w:w="8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50.6%</w:t>
            </w: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52.2%</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51.0%</w:t>
            </w: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49.4%</w:t>
            </w: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8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Return on average equity</w:t>
            </w:r>
          </w:p>
        </w:tc>
        <w:tc>
          <w:tcPr>
            <w:tcW w:w="9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25.2%</w:t>
            </w:r>
          </w:p>
        </w:tc>
        <w:tc>
          <w:tcPr>
            <w:tcW w:w="88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30.2%</w:t>
            </w:r>
          </w:p>
        </w:tc>
        <w:tc>
          <w:tcPr>
            <w:tcW w:w="9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29.4%</w:t>
            </w:r>
          </w:p>
        </w:tc>
        <w:tc>
          <w:tcPr>
            <w:tcW w:w="6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48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88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26.4%</w:t>
            </w:r>
          </w:p>
        </w:tc>
        <w:tc>
          <w:tcPr>
            <w:tcW w:w="9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27.6%</w:t>
            </w:r>
          </w:p>
        </w:tc>
        <w:tc>
          <w:tcPr>
            <w:tcW w:w="8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80" w:type="dxa"/>
            <w:vAlign w:val="bottom"/>
            <w:gridSpan w:val="2"/>
          </w:tcPr>
          <w:p>
            <w:pPr>
              <w:spacing w:after="0" w:line="135" w:lineRule="exact"/>
              <w:rPr>
                <w:sz w:val="20"/>
                <w:szCs w:val="20"/>
                <w:color w:val="auto"/>
              </w:rPr>
            </w:pPr>
            <w:r>
              <w:rPr>
                <w:rFonts w:ascii="Arial" w:cs="Arial" w:eastAsia="Arial" w:hAnsi="Arial"/>
                <w:sz w:val="13"/>
                <w:szCs w:val="13"/>
                <w:color w:val="auto"/>
              </w:rPr>
              <w:t>PDL ratio</w:t>
            </w: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1.78%</w:t>
            </w:r>
          </w:p>
        </w:tc>
        <w:tc>
          <w:tcPr>
            <w:tcW w:w="8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1.78%</w:t>
            </w: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1.53%</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1.78%</w:t>
            </w: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1.53%</w:t>
            </w: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8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NPL ratio (4)</w:t>
            </w:r>
          </w:p>
        </w:tc>
        <w:tc>
          <w:tcPr>
            <w:tcW w:w="9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2.47%</w:t>
            </w:r>
          </w:p>
        </w:tc>
        <w:tc>
          <w:tcPr>
            <w:tcW w:w="88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2.46%</w:t>
            </w:r>
          </w:p>
        </w:tc>
        <w:tc>
          <w:tcPr>
            <w:tcW w:w="9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2.09%</w:t>
            </w:r>
          </w:p>
        </w:tc>
        <w:tc>
          <w:tcPr>
            <w:tcW w:w="6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48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88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2.47%</w:t>
            </w:r>
          </w:p>
        </w:tc>
        <w:tc>
          <w:tcPr>
            <w:tcW w:w="9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2.09%</w:t>
            </w:r>
          </w:p>
        </w:tc>
        <w:tc>
          <w:tcPr>
            <w:tcW w:w="8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80" w:type="dxa"/>
            <w:vAlign w:val="bottom"/>
            <w:gridSpan w:val="2"/>
          </w:tcPr>
          <w:p>
            <w:pPr>
              <w:spacing w:after="0" w:line="135" w:lineRule="exact"/>
              <w:rPr>
                <w:sz w:val="20"/>
                <w:szCs w:val="20"/>
                <w:color w:val="auto"/>
              </w:rPr>
            </w:pPr>
            <w:r>
              <w:rPr>
                <w:rFonts w:ascii="Arial" w:cs="Arial" w:eastAsia="Arial" w:hAnsi="Arial"/>
                <w:sz w:val="13"/>
                <w:szCs w:val="13"/>
                <w:color w:val="auto"/>
              </w:rPr>
              <w:t>Coverage ratio of PDLs</w:t>
            </w: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188.6%</w:t>
            </w:r>
          </w:p>
        </w:tc>
        <w:tc>
          <w:tcPr>
            <w:tcW w:w="8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191.5%</w:t>
            </w: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200.8%</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188.6%</w:t>
            </w: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200.8%</w:t>
            </w: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8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Coverage ratio of NPLs</w:t>
            </w:r>
          </w:p>
        </w:tc>
        <w:tc>
          <w:tcPr>
            <w:tcW w:w="9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136.4%</w:t>
            </w:r>
          </w:p>
        </w:tc>
        <w:tc>
          <w:tcPr>
            <w:tcW w:w="88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138.6%</w:t>
            </w:r>
          </w:p>
        </w:tc>
        <w:tc>
          <w:tcPr>
            <w:tcW w:w="9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146.7%</w:t>
            </w:r>
          </w:p>
        </w:tc>
        <w:tc>
          <w:tcPr>
            <w:tcW w:w="6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48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88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136.4%</w:t>
            </w:r>
          </w:p>
        </w:tc>
        <w:tc>
          <w:tcPr>
            <w:tcW w:w="9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146.7%</w:t>
            </w:r>
          </w:p>
        </w:tc>
        <w:tc>
          <w:tcPr>
            <w:tcW w:w="8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80" w:type="dxa"/>
            <w:vAlign w:val="bottom"/>
            <w:gridSpan w:val="2"/>
          </w:tcPr>
          <w:p>
            <w:pPr>
              <w:spacing w:after="0" w:line="135" w:lineRule="exact"/>
              <w:rPr>
                <w:sz w:val="20"/>
                <w:szCs w:val="20"/>
                <w:color w:val="auto"/>
              </w:rPr>
            </w:pPr>
            <w:r>
              <w:rPr>
                <w:rFonts w:ascii="Arial" w:cs="Arial" w:eastAsia="Arial" w:hAnsi="Arial"/>
                <w:sz w:val="13"/>
                <w:szCs w:val="13"/>
                <w:color w:val="auto"/>
              </w:rPr>
              <w:t>BIS ratio</w:t>
            </w: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14.7%</w:t>
            </w:r>
          </w:p>
        </w:tc>
        <w:tc>
          <w:tcPr>
            <w:tcW w:w="8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14.1%</w:t>
            </w: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14.5%</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14.7%</w:t>
            </w: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14.5%</w:t>
            </w: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8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Branches</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365</w:t>
            </w:r>
          </w:p>
        </w:tc>
        <w:tc>
          <w:tcPr>
            <w:tcW w:w="8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359</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342</w:t>
            </w:r>
          </w:p>
        </w:tc>
        <w:tc>
          <w:tcPr>
            <w:tcW w:w="6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48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8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365</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342</w:t>
            </w:r>
          </w:p>
        </w:tc>
        <w:tc>
          <w:tcPr>
            <w:tcW w:w="8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80" w:type="dxa"/>
            <w:vAlign w:val="bottom"/>
            <w:gridSpan w:val="2"/>
          </w:tcPr>
          <w:p>
            <w:pPr>
              <w:spacing w:after="0" w:line="135" w:lineRule="exact"/>
              <w:rPr>
                <w:sz w:val="20"/>
                <w:szCs w:val="20"/>
                <w:color w:val="auto"/>
              </w:rPr>
            </w:pPr>
            <w:r>
              <w:rPr>
                <w:rFonts w:ascii="Arial" w:cs="Arial" w:eastAsia="Arial" w:hAnsi="Arial"/>
                <w:sz w:val="13"/>
                <w:szCs w:val="13"/>
                <w:color w:val="auto"/>
              </w:rPr>
              <w:t>Agentes BCP</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5,713</w:t>
            </w:r>
          </w:p>
        </w:tc>
        <w:tc>
          <w:tcPr>
            <w:tcW w:w="22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5,479</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4,674</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5,713</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4,674</w:t>
            </w: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8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ATMs</w:t>
            </w:r>
          </w:p>
        </w:tc>
        <w:tc>
          <w:tcPr>
            <w:tcW w:w="6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1,844</w:t>
            </w:r>
          </w:p>
        </w:tc>
        <w:tc>
          <w:tcPr>
            <w:tcW w:w="220" w:type="dxa"/>
            <w:vAlign w:val="bottom"/>
            <w:shd w:val="clear" w:color="auto" w:fill="CCFFCC"/>
          </w:tcPr>
          <w:p>
            <w:pPr>
              <w:spacing w:after="0"/>
              <w:rPr>
                <w:sz w:val="11"/>
                <w:szCs w:val="11"/>
                <w:color w:val="auto"/>
              </w:rPr>
            </w:pPr>
          </w:p>
        </w:tc>
        <w:tc>
          <w:tcPr>
            <w:tcW w:w="8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1,752</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1,485</w:t>
            </w:r>
          </w:p>
        </w:tc>
        <w:tc>
          <w:tcPr>
            <w:tcW w:w="6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48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8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1,844</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1,485</w:t>
            </w:r>
          </w:p>
        </w:tc>
        <w:tc>
          <w:tcPr>
            <w:tcW w:w="8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4180" w:type="dxa"/>
            <w:vAlign w:val="bottom"/>
            <w:gridSpan w:val="2"/>
          </w:tcPr>
          <w:p>
            <w:pPr>
              <w:spacing w:after="0"/>
              <w:rPr>
                <w:sz w:val="20"/>
                <w:szCs w:val="20"/>
                <w:color w:val="auto"/>
              </w:rPr>
            </w:pPr>
            <w:r>
              <w:rPr>
                <w:rFonts w:ascii="Arial" w:cs="Arial" w:eastAsia="Arial" w:hAnsi="Arial"/>
                <w:sz w:val="13"/>
                <w:szCs w:val="13"/>
                <w:color w:val="auto"/>
              </w:rPr>
              <w:t>Employees</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22,330</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21,249</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18,616</w:t>
            </w: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22,330</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18,616</w:t>
            </w: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7266940</wp:posOffset>
            </wp:positionH>
            <wp:positionV relativeFrom="page">
              <wp:posOffset>568960</wp:posOffset>
            </wp:positionV>
            <wp:extent cx="13716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-6985</wp:posOffset>
            </wp:positionV>
            <wp:extent cx="9950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95045" cy="8890"/>
                    </a:xfrm>
                    <a:prstGeom prst="rect">
                      <a:avLst/>
                    </a:prstGeom>
                    <a:noFill/>
                  </pic:spPr>
                </pic:pic>
              </a:graphicData>
            </a:graphic>
          </wp:anchor>
        </w:drawing>
        <w:drawing>
          <wp:anchor simplePos="0" relativeHeight="251657728" behindDoc="1" locked="0" layoutInCell="0" allowOverlap="1">
            <wp:simplePos x="0" y="0"/>
            <wp:positionH relativeFrom="column">
              <wp:posOffset>2654935</wp:posOffset>
            </wp:positionH>
            <wp:positionV relativeFrom="paragraph">
              <wp:posOffset>-6985</wp:posOffset>
            </wp:positionV>
            <wp:extent cx="15608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ind w:left="260" w:hanging="252"/>
        <w:spacing w:after="0"/>
        <w:tabs>
          <w:tab w:leader="none" w:pos="2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Employees' profit sharing is regisered in Salaries and Employees Benefits since 1Q11 due to local regulator's decision.</w:t>
      </w:r>
    </w:p>
    <w:p>
      <w:pPr>
        <w:spacing w:after="0" w:line="10" w:lineRule="exact"/>
        <w:rPr>
          <w:rFonts w:ascii="Arial" w:cs="Arial" w:eastAsia="Arial" w:hAnsi="Arial"/>
          <w:sz w:val="18"/>
          <w:szCs w:val="18"/>
          <w:i w:val="1"/>
          <w:iCs w:val="1"/>
          <w:color w:val="auto"/>
        </w:rPr>
      </w:pPr>
    </w:p>
    <w:p>
      <w:pPr>
        <w:ind w:left="260" w:hanging="252"/>
        <w:spacing w:after="0"/>
        <w:tabs>
          <w:tab w:leader="none" w:pos="2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Income before translation results and income taxes.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Includes non core operating income from net gain on sales of securities.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NPLs: Non-performing loans = Past due loans + Refinanced and restructued loans. NPL Ratio = NPLs / Total loans.</w:t>
      </w:r>
    </w:p>
    <w:p>
      <w:pPr>
        <w:spacing w:after="0" w:line="211"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The increase in operating expenses mentioned above and the slight decline (-0.9% QoQ) in core income are the reasons behind the deterioration recorded in the efficiency ratio, which went from 50.6% in 3Q12 to 55.7% in 4Q12.</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terms of assets, loans maintained the dynamism seen throughout the year and reported a 5.5% increase QoQ with excellent performance in all business segments. Average daily balances increased 5.1% QoQ mainly as a result of Retail Banking’s loan growth (+7.5% QoQ), which continued to lead loan expansion, and was reinforced by the evolution in Wholesale Banking (+2.4% QoQ). Within Retail Banking, significant growth was recorded in the SME and Business (+9% QoQ), mortgage (+7.2% QoQ), and Edyficar (+12.6 % QoQ) segments. At year-end, Retail Banking (which includes Edyficar) represented 51.2% of total loans, which tops the 46.9% reported at the end of 2011.</w:t>
      </w:r>
    </w:p>
    <w:p>
      <w:pPr>
        <w:spacing w:after="0" w:line="19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terms of liabilities, deposits posted a higher increase (+9.8% QoQ) than any other funding source, followed by debts to banks and correspondents (+9.5% QoQ) and bonds and subordinated debt (+5.1% QoQ). The higher growth in deposits than that of loans is reflected in this Q’s lower Loan/Deposit ratio, which fell from 95% in 3Q12 to 91% in 4Q12.</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terms of portfolio quality, the ratios for the past-due loans and non-performing loans remained stable at 1.78% and 2.5%, respectively, due to loan growth and an increase in charge-offs. Net provisions for loan losses grew 9% QoQ, which led coverage ratios for the past due and non-performing portfolios to situate at 188.6% and 136.4%, respectively.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80" w:type="dxa"/>
            <w:vAlign w:val="bottom"/>
            <w:gridSpan w:val="2"/>
          </w:tcPr>
          <w:p>
            <w:pPr>
              <w:spacing w:after="0"/>
              <w:rPr>
                <w:sz w:val="20"/>
                <w:szCs w:val="20"/>
                <w:color w:val="auto"/>
              </w:rPr>
            </w:pPr>
            <w:r>
              <w:rPr>
                <w:rFonts w:ascii="Arial" w:cs="Arial" w:eastAsia="Arial" w:hAnsi="Arial"/>
                <w:sz w:val="13"/>
                <w:szCs w:val="13"/>
                <w:b w:val="1"/>
                <w:bCs w:val="1"/>
                <w:color w:val="auto"/>
              </w:rPr>
              <w:t>Core income</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Quarter</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3"/>
          </w:tcPr>
          <w:p>
            <w:pPr>
              <w:ind w:left="500"/>
              <w:spacing w:after="0"/>
              <w:rPr>
                <w:sz w:val="20"/>
                <w:szCs w:val="20"/>
                <w:color w:val="auto"/>
              </w:rPr>
            </w:pPr>
            <w:r>
              <w:rPr>
                <w:rFonts w:ascii="Arial" w:cs="Arial" w:eastAsia="Arial" w:hAnsi="Arial"/>
                <w:sz w:val="13"/>
                <w:szCs w:val="13"/>
                <w:b w:val="1"/>
                <w:bCs w:val="1"/>
                <w:color w:val="auto"/>
                <w:w w:val="92"/>
              </w:rPr>
              <w:t>Change %</w:t>
            </w: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80" w:type="dxa"/>
            <w:vAlign w:val="bottom"/>
            <w:gridSpan w:val="4"/>
          </w:tcPr>
          <w:p>
            <w:pPr>
              <w:ind w:left="480"/>
              <w:spacing w:after="0"/>
              <w:rPr>
                <w:sz w:val="20"/>
                <w:szCs w:val="20"/>
                <w:color w:val="auto"/>
              </w:rPr>
            </w:pPr>
            <w:r>
              <w:rPr>
                <w:rFonts w:ascii="Arial" w:cs="Arial" w:eastAsia="Arial" w:hAnsi="Arial"/>
                <w:sz w:val="13"/>
                <w:szCs w:val="13"/>
                <w:b w:val="1"/>
                <w:bCs w:val="1"/>
                <w:color w:val="auto"/>
              </w:rPr>
              <w:t>Year ended</w:t>
            </w:r>
          </w:p>
        </w:tc>
        <w:tc>
          <w:tcPr>
            <w:tcW w:w="940" w:type="dxa"/>
            <w:vAlign w:val="bottom"/>
            <w:gridSpan w:val="2"/>
          </w:tcPr>
          <w:p>
            <w:pPr>
              <w:ind w:left="120"/>
              <w:spacing w:after="0"/>
              <w:rPr>
                <w:sz w:val="20"/>
                <w:szCs w:val="20"/>
                <w:color w:val="auto"/>
              </w:rPr>
            </w:pPr>
            <w:r>
              <w:rPr>
                <w:rFonts w:ascii="Arial" w:cs="Arial" w:eastAsia="Arial" w:hAnsi="Arial"/>
                <w:sz w:val="13"/>
                <w:szCs w:val="13"/>
                <w:b w:val="1"/>
                <w:bCs w:val="1"/>
                <w:color w:val="auto"/>
              </w:rPr>
              <w:t>Change %</w:t>
            </w:r>
          </w:p>
        </w:tc>
        <w:tc>
          <w:tcPr>
            <w:tcW w:w="0" w:type="dxa"/>
            <w:vAlign w:val="bottom"/>
          </w:tcPr>
          <w:p>
            <w:pPr>
              <w:spacing w:after="0"/>
              <w:rPr>
                <w:sz w:val="1"/>
                <w:szCs w:val="1"/>
                <w:color w:val="auto"/>
              </w:rPr>
            </w:pPr>
          </w:p>
        </w:tc>
      </w:tr>
      <w:tr>
        <w:trPr>
          <w:trHeight w:val="153"/>
        </w:trPr>
        <w:tc>
          <w:tcPr>
            <w:tcW w:w="4080" w:type="dxa"/>
            <w:vAlign w:val="bottom"/>
          </w:tcPr>
          <w:p>
            <w:pPr>
              <w:spacing w:after="0"/>
              <w:rPr>
                <w:sz w:val="20"/>
                <w:szCs w:val="20"/>
                <w:color w:val="auto"/>
              </w:rPr>
            </w:pPr>
            <w:r>
              <w:rPr>
                <w:rFonts w:ascii="Arial" w:cs="Arial" w:eastAsia="Arial" w:hAnsi="Arial"/>
                <w:sz w:val="13"/>
                <w:szCs w:val="13"/>
                <w:color w:val="auto"/>
              </w:rPr>
              <w:t>US$ 000</w:t>
            </w:r>
          </w:p>
        </w:tc>
        <w:tc>
          <w:tcPr>
            <w:tcW w:w="100" w:type="dxa"/>
            <w:vAlign w:val="bottom"/>
          </w:tcPr>
          <w:p>
            <w:pPr>
              <w:spacing w:after="0"/>
              <w:rPr>
                <w:sz w:val="13"/>
                <w:szCs w:val="13"/>
                <w:color w:val="auto"/>
              </w:rPr>
            </w:pPr>
          </w:p>
        </w:tc>
        <w:tc>
          <w:tcPr>
            <w:tcW w:w="680" w:type="dxa"/>
            <w:vAlign w:val="bottom"/>
          </w:tcPr>
          <w:p>
            <w:pPr>
              <w:jc w:val="right"/>
              <w:ind w:right="137"/>
              <w:spacing w:after="0"/>
              <w:rPr>
                <w:sz w:val="20"/>
                <w:szCs w:val="20"/>
                <w:color w:val="auto"/>
              </w:rPr>
            </w:pPr>
            <w:r>
              <w:rPr>
                <w:rFonts w:ascii="Arial" w:cs="Arial" w:eastAsia="Arial" w:hAnsi="Arial"/>
                <w:sz w:val="13"/>
                <w:szCs w:val="13"/>
                <w:b w:val="1"/>
                <w:bCs w:val="1"/>
                <w:color w:val="auto"/>
              </w:rPr>
              <w:t>4Q12</w:t>
            </w:r>
          </w:p>
        </w:tc>
        <w:tc>
          <w:tcPr>
            <w:tcW w:w="22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4"/>
              </w:rPr>
              <w:t>3Q12</w:t>
            </w:r>
          </w:p>
        </w:tc>
        <w:tc>
          <w:tcPr>
            <w:tcW w:w="220" w:type="dxa"/>
            <w:vAlign w:val="bottom"/>
          </w:tcPr>
          <w:p>
            <w:pPr>
              <w:spacing w:after="0"/>
              <w:rPr>
                <w:sz w:val="13"/>
                <w:szCs w:val="13"/>
                <w:color w:val="auto"/>
              </w:rPr>
            </w:pPr>
          </w:p>
        </w:tc>
        <w:tc>
          <w:tcPr>
            <w:tcW w:w="680" w:type="dxa"/>
            <w:vAlign w:val="bottom"/>
          </w:tcPr>
          <w:p>
            <w:pPr>
              <w:jc w:val="right"/>
              <w:ind w:right="137"/>
              <w:spacing w:after="0"/>
              <w:rPr>
                <w:sz w:val="20"/>
                <w:szCs w:val="20"/>
                <w:color w:val="auto"/>
              </w:rPr>
            </w:pPr>
            <w:r>
              <w:rPr>
                <w:rFonts w:ascii="Arial" w:cs="Arial" w:eastAsia="Arial" w:hAnsi="Arial"/>
                <w:sz w:val="13"/>
                <w:szCs w:val="13"/>
                <w:b w:val="1"/>
                <w:bCs w:val="1"/>
                <w:color w:val="auto"/>
              </w:rPr>
              <w:t>4Q11</w:t>
            </w:r>
          </w:p>
        </w:tc>
        <w:tc>
          <w:tcPr>
            <w:tcW w:w="220" w:type="dxa"/>
            <w:vAlign w:val="bottom"/>
          </w:tcPr>
          <w:p>
            <w:pPr>
              <w:spacing w:after="0"/>
              <w:rPr>
                <w:sz w:val="13"/>
                <w:szCs w:val="13"/>
                <w:color w:val="auto"/>
              </w:rPr>
            </w:pPr>
          </w:p>
        </w:tc>
        <w:tc>
          <w:tcPr>
            <w:tcW w:w="680" w:type="dxa"/>
            <w:vAlign w:val="bottom"/>
          </w:tcPr>
          <w:p>
            <w:pPr>
              <w:jc w:val="right"/>
              <w:ind w:right="157"/>
              <w:spacing w:after="0"/>
              <w:rPr>
                <w:sz w:val="20"/>
                <w:szCs w:val="20"/>
                <w:color w:val="auto"/>
              </w:rPr>
            </w:pPr>
            <w:r>
              <w:rPr>
                <w:rFonts w:ascii="Arial" w:cs="Arial" w:eastAsia="Arial" w:hAnsi="Arial"/>
                <w:sz w:val="13"/>
                <w:szCs w:val="13"/>
                <w:b w:val="1"/>
                <w:bCs w:val="1"/>
                <w:color w:val="auto"/>
              </w:rPr>
              <w:t>QoQ</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jc w:val="right"/>
              <w:ind w:right="157"/>
              <w:spacing w:after="0"/>
              <w:rPr>
                <w:sz w:val="20"/>
                <w:szCs w:val="20"/>
                <w:color w:val="auto"/>
              </w:rPr>
            </w:pPr>
            <w:r>
              <w:rPr>
                <w:rFonts w:ascii="Arial" w:cs="Arial" w:eastAsia="Arial" w:hAnsi="Arial"/>
                <w:sz w:val="13"/>
                <w:szCs w:val="13"/>
                <w:b w:val="1"/>
                <w:bCs w:val="1"/>
                <w:color w:val="auto"/>
                <w:w w:val="94"/>
              </w:rPr>
              <w:t>YoY</w:t>
            </w:r>
          </w:p>
        </w:tc>
        <w:tc>
          <w:tcPr>
            <w:tcW w:w="260" w:type="dxa"/>
            <w:vAlign w:val="bottom"/>
          </w:tcPr>
          <w:p>
            <w:pPr>
              <w:spacing w:after="0"/>
              <w:rPr>
                <w:sz w:val="13"/>
                <w:szCs w:val="13"/>
                <w:color w:val="auto"/>
              </w:rPr>
            </w:pPr>
          </w:p>
        </w:tc>
        <w:tc>
          <w:tcPr>
            <w:tcW w:w="660" w:type="dxa"/>
            <w:vAlign w:val="bottom"/>
          </w:tcPr>
          <w:p>
            <w:pPr>
              <w:jc w:val="right"/>
              <w:ind w:right="97"/>
              <w:spacing w:after="0"/>
              <w:rPr>
                <w:sz w:val="20"/>
                <w:szCs w:val="20"/>
                <w:color w:val="auto"/>
              </w:rPr>
            </w:pPr>
            <w:r>
              <w:rPr>
                <w:rFonts w:ascii="Arial" w:cs="Arial" w:eastAsia="Arial" w:hAnsi="Arial"/>
                <w:sz w:val="13"/>
                <w:szCs w:val="13"/>
                <w:b w:val="1"/>
                <w:bCs w:val="1"/>
                <w:color w:val="auto"/>
              </w:rPr>
              <w:t>Dec 12</w:t>
            </w:r>
          </w:p>
        </w:tc>
        <w:tc>
          <w:tcPr>
            <w:tcW w:w="220" w:type="dxa"/>
            <w:vAlign w:val="bottom"/>
          </w:tcPr>
          <w:p>
            <w:pPr>
              <w:spacing w:after="0"/>
              <w:rPr>
                <w:sz w:val="13"/>
                <w:szCs w:val="13"/>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b w:val="1"/>
                <w:bCs w:val="1"/>
                <w:color w:val="auto"/>
              </w:rPr>
              <w:t>Dec 11</w:t>
            </w:r>
          </w:p>
        </w:tc>
        <w:tc>
          <w:tcPr>
            <w:tcW w:w="220" w:type="dxa"/>
            <w:vAlign w:val="bottom"/>
          </w:tcPr>
          <w:p>
            <w:pPr>
              <w:spacing w:after="0"/>
              <w:rPr>
                <w:sz w:val="13"/>
                <w:szCs w:val="13"/>
                <w:color w:val="auto"/>
              </w:rPr>
            </w:pPr>
          </w:p>
        </w:tc>
        <w:tc>
          <w:tcPr>
            <w:tcW w:w="940" w:type="dxa"/>
            <w:vAlign w:val="bottom"/>
            <w:gridSpan w:val="2"/>
          </w:tcPr>
          <w:p>
            <w:pPr>
              <w:spacing w:after="0"/>
              <w:rPr>
                <w:sz w:val="20"/>
                <w:szCs w:val="20"/>
                <w:color w:val="auto"/>
              </w:rPr>
            </w:pPr>
            <w:r>
              <w:rPr>
                <w:rFonts w:ascii="Arial" w:cs="Arial" w:eastAsia="Arial" w:hAnsi="Arial"/>
                <w:sz w:val="13"/>
                <w:szCs w:val="13"/>
                <w:b w:val="1"/>
                <w:bCs w:val="1"/>
                <w:color w:val="auto"/>
                <w:w w:val="97"/>
              </w:rPr>
              <w:t>Dec 12 / Dec 11</w:t>
            </w:r>
          </w:p>
        </w:tc>
        <w:tc>
          <w:tcPr>
            <w:tcW w:w="0" w:type="dxa"/>
            <w:vAlign w:val="bottom"/>
          </w:tcPr>
          <w:p>
            <w:pPr>
              <w:spacing w:after="0"/>
              <w:rPr>
                <w:sz w:val="1"/>
                <w:szCs w:val="1"/>
                <w:color w:val="auto"/>
              </w:rPr>
            </w:pPr>
          </w:p>
        </w:tc>
      </w:tr>
      <w:tr>
        <w:trPr>
          <w:trHeight w:val="20"/>
        </w:trPr>
        <w:tc>
          <w:tcPr>
            <w:tcW w:w="40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820" w:type="dxa"/>
            <w:vAlign w:val="bottom"/>
            <w:tcBorders>
              <w:right w:val="single" w:sz="8" w:color="CCFFCC"/>
            </w:tcBorders>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80" w:type="dxa"/>
            <w:vAlign w:val="bottom"/>
            <w:shd w:val="clear" w:color="auto" w:fill="CCFFCC"/>
          </w:tcPr>
          <w:p>
            <w:pPr>
              <w:spacing w:after="0" w:line="129" w:lineRule="exact"/>
              <w:rPr>
                <w:sz w:val="20"/>
                <w:szCs w:val="20"/>
                <w:color w:val="auto"/>
              </w:rPr>
            </w:pPr>
            <w:r>
              <w:rPr>
                <w:rFonts w:ascii="Arial" w:cs="Arial" w:eastAsia="Arial" w:hAnsi="Arial"/>
                <w:sz w:val="13"/>
                <w:szCs w:val="13"/>
                <w:color w:val="auto"/>
              </w:rPr>
              <w:t>Net interest and dividend income</w:t>
            </w:r>
          </w:p>
        </w:tc>
        <w:tc>
          <w:tcPr>
            <w:tcW w:w="100" w:type="dxa"/>
            <w:vAlign w:val="bottom"/>
            <w:vMerge w:val="continue"/>
            <w:shd w:val="clear" w:color="auto" w:fill="CCFFCC"/>
          </w:tcPr>
          <w:p>
            <w:pPr>
              <w:spacing w:after="0"/>
              <w:rPr>
                <w:sz w:val="11"/>
                <w:szCs w:val="11"/>
                <w:color w:val="auto"/>
              </w:rPr>
            </w:pPr>
          </w:p>
        </w:tc>
        <w:tc>
          <w:tcPr>
            <w:tcW w:w="68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394,419</w:t>
            </w:r>
          </w:p>
        </w:tc>
        <w:tc>
          <w:tcPr>
            <w:tcW w:w="220" w:type="dxa"/>
            <w:vAlign w:val="bottom"/>
            <w:shd w:val="clear" w:color="auto" w:fill="CCFFCC"/>
          </w:tcPr>
          <w:p>
            <w:pPr>
              <w:spacing w:after="0"/>
              <w:rPr>
                <w:sz w:val="11"/>
                <w:szCs w:val="11"/>
                <w:color w:val="auto"/>
              </w:rPr>
            </w:pPr>
          </w:p>
        </w:tc>
        <w:tc>
          <w:tcPr>
            <w:tcW w:w="660" w:type="dxa"/>
            <w:vAlign w:val="bottom"/>
            <w:shd w:val="clear" w:color="auto" w:fill="CCFFCC"/>
          </w:tcPr>
          <w:p>
            <w:pPr>
              <w:ind w:left="260"/>
              <w:spacing w:after="0" w:line="129" w:lineRule="exact"/>
              <w:rPr>
                <w:sz w:val="20"/>
                <w:szCs w:val="20"/>
                <w:color w:val="auto"/>
              </w:rPr>
            </w:pPr>
            <w:r>
              <w:rPr>
                <w:rFonts w:ascii="Arial" w:cs="Arial" w:eastAsia="Arial" w:hAnsi="Arial"/>
                <w:sz w:val="13"/>
                <w:szCs w:val="13"/>
                <w:color w:val="auto"/>
                <w:w w:val="80"/>
              </w:rPr>
              <w:t>382,426</w:t>
            </w:r>
          </w:p>
        </w:tc>
        <w:tc>
          <w:tcPr>
            <w:tcW w:w="220" w:type="dxa"/>
            <w:vAlign w:val="bottom"/>
            <w:vMerge w:val="continue"/>
            <w:shd w:val="clear" w:color="auto" w:fill="CCFFCC"/>
          </w:tcPr>
          <w:p>
            <w:pPr>
              <w:spacing w:after="0"/>
              <w:rPr>
                <w:sz w:val="11"/>
                <w:szCs w:val="11"/>
                <w:color w:val="auto"/>
              </w:rPr>
            </w:pPr>
          </w:p>
        </w:tc>
        <w:tc>
          <w:tcPr>
            <w:tcW w:w="68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323,393</w:t>
            </w:r>
          </w:p>
        </w:tc>
        <w:tc>
          <w:tcPr>
            <w:tcW w:w="220" w:type="dxa"/>
            <w:vAlign w:val="bottom"/>
            <w:vMerge w:val="continue"/>
            <w:shd w:val="clear" w:color="auto" w:fill="CCFFCC"/>
          </w:tcPr>
          <w:p>
            <w:pPr>
              <w:spacing w:after="0"/>
              <w:rPr>
                <w:sz w:val="11"/>
                <w:szCs w:val="11"/>
                <w:color w:val="auto"/>
              </w:rPr>
            </w:pPr>
          </w:p>
        </w:tc>
        <w:tc>
          <w:tcPr>
            <w:tcW w:w="920" w:type="dxa"/>
            <w:vAlign w:val="bottom"/>
            <w:gridSpan w:val="2"/>
            <w:shd w:val="clear" w:color="auto" w:fill="CCFFCC"/>
          </w:tcPr>
          <w:p>
            <w:pPr>
              <w:jc w:val="right"/>
              <w:ind w:right="77"/>
              <w:spacing w:after="0" w:line="129" w:lineRule="exact"/>
              <w:rPr>
                <w:sz w:val="20"/>
                <w:szCs w:val="20"/>
                <w:color w:val="auto"/>
              </w:rPr>
            </w:pPr>
            <w:r>
              <w:rPr>
                <w:rFonts w:ascii="Arial" w:cs="Arial" w:eastAsia="Arial" w:hAnsi="Arial"/>
                <w:sz w:val="13"/>
                <w:szCs w:val="13"/>
                <w:color w:val="auto"/>
              </w:rPr>
              <w:t>3.1%</w:t>
            </w:r>
          </w:p>
        </w:tc>
        <w:tc>
          <w:tcPr>
            <w:tcW w:w="18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77"/>
              <w:spacing w:after="0" w:line="129" w:lineRule="exact"/>
              <w:rPr>
                <w:sz w:val="20"/>
                <w:szCs w:val="20"/>
                <w:color w:val="auto"/>
              </w:rPr>
            </w:pPr>
            <w:r>
              <w:rPr>
                <w:rFonts w:ascii="Arial" w:cs="Arial" w:eastAsia="Arial" w:hAnsi="Arial"/>
                <w:sz w:val="13"/>
                <w:szCs w:val="13"/>
                <w:color w:val="auto"/>
              </w:rPr>
              <w:t>22.0%</w:t>
            </w:r>
          </w:p>
        </w:tc>
        <w:tc>
          <w:tcPr>
            <w:tcW w:w="66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1,473,639</w:t>
            </w:r>
          </w:p>
        </w:tc>
        <w:tc>
          <w:tcPr>
            <w:tcW w:w="220" w:type="dxa"/>
            <w:vAlign w:val="bottom"/>
            <w:vMerge w:val="continue"/>
            <w:shd w:val="clear" w:color="auto" w:fill="CCFFCC"/>
          </w:tcPr>
          <w:p>
            <w:pPr>
              <w:spacing w:after="0"/>
              <w:rPr>
                <w:sz w:val="11"/>
                <w:szCs w:val="11"/>
                <w:color w:val="auto"/>
              </w:rPr>
            </w:pPr>
          </w:p>
        </w:tc>
        <w:tc>
          <w:tcPr>
            <w:tcW w:w="68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1,183,688</w:t>
            </w:r>
          </w:p>
        </w:tc>
        <w:tc>
          <w:tcPr>
            <w:tcW w:w="220" w:type="dxa"/>
            <w:vAlign w:val="bottom"/>
            <w:vMerge w:val="continue"/>
            <w:shd w:val="clear" w:color="auto" w:fill="CCFFCC"/>
          </w:tcPr>
          <w:p>
            <w:pPr>
              <w:spacing w:after="0"/>
              <w:rPr>
                <w:sz w:val="11"/>
                <w:szCs w:val="11"/>
                <w:color w:val="auto"/>
              </w:rPr>
            </w:pPr>
          </w:p>
        </w:tc>
        <w:tc>
          <w:tcPr>
            <w:tcW w:w="940" w:type="dxa"/>
            <w:vAlign w:val="bottom"/>
            <w:gridSpan w:val="2"/>
            <w:shd w:val="clear" w:color="auto" w:fill="CCFFCC"/>
          </w:tcPr>
          <w:p>
            <w:pPr>
              <w:ind w:left="580"/>
              <w:spacing w:after="0" w:line="129" w:lineRule="exact"/>
              <w:rPr>
                <w:sz w:val="20"/>
                <w:szCs w:val="20"/>
                <w:color w:val="auto"/>
              </w:rPr>
            </w:pPr>
            <w:r>
              <w:rPr>
                <w:rFonts w:ascii="Arial" w:cs="Arial" w:eastAsia="Arial" w:hAnsi="Arial"/>
                <w:sz w:val="13"/>
                <w:szCs w:val="13"/>
                <w:color w:val="auto"/>
                <w:w w:val="92"/>
              </w:rPr>
              <w:t>24.5%</w:t>
            </w:r>
          </w:p>
        </w:tc>
        <w:tc>
          <w:tcPr>
            <w:tcW w:w="0" w:type="dxa"/>
            <w:vAlign w:val="bottom"/>
          </w:tcPr>
          <w:p>
            <w:pPr>
              <w:spacing w:after="0"/>
              <w:rPr>
                <w:sz w:val="1"/>
                <w:szCs w:val="1"/>
                <w:color w:val="auto"/>
              </w:rPr>
            </w:pPr>
          </w:p>
        </w:tc>
      </w:tr>
      <w:tr>
        <w:trPr>
          <w:trHeight w:val="135"/>
        </w:trPr>
        <w:tc>
          <w:tcPr>
            <w:tcW w:w="4180" w:type="dxa"/>
            <w:vAlign w:val="bottom"/>
            <w:gridSpan w:val="2"/>
          </w:tcPr>
          <w:p>
            <w:pPr>
              <w:spacing w:after="0" w:line="135" w:lineRule="exact"/>
              <w:rPr>
                <w:sz w:val="20"/>
                <w:szCs w:val="20"/>
                <w:color w:val="auto"/>
              </w:rPr>
            </w:pPr>
            <w:r>
              <w:rPr>
                <w:rFonts w:ascii="Arial" w:cs="Arial" w:eastAsia="Arial" w:hAnsi="Arial"/>
                <w:sz w:val="13"/>
                <w:szCs w:val="13"/>
                <w:color w:val="auto"/>
              </w:rPr>
              <w:t>Banking services commissions</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150,940</w:t>
            </w:r>
          </w:p>
        </w:tc>
        <w:tc>
          <w:tcPr>
            <w:tcW w:w="220" w:type="dxa"/>
            <w:vAlign w:val="bottom"/>
          </w:tcPr>
          <w:p>
            <w:pPr>
              <w:spacing w:after="0"/>
              <w:rPr>
                <w:sz w:val="11"/>
                <w:szCs w:val="11"/>
                <w:color w:val="auto"/>
              </w:rPr>
            </w:pPr>
          </w:p>
        </w:tc>
        <w:tc>
          <w:tcPr>
            <w:tcW w:w="88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172,626</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140,896</w:t>
            </w:r>
          </w:p>
        </w:tc>
        <w:tc>
          <w:tcPr>
            <w:tcW w:w="92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-12.6%</w:t>
            </w:r>
          </w:p>
        </w:tc>
        <w:tc>
          <w:tcPr>
            <w:tcW w:w="180" w:type="dxa"/>
            <w:vAlign w:val="bottom"/>
          </w:tcPr>
          <w:p>
            <w:pPr>
              <w:spacing w:after="0"/>
              <w:rPr>
                <w:sz w:val="11"/>
                <w:szCs w:val="11"/>
                <w:color w:val="auto"/>
              </w:rPr>
            </w:pPr>
          </w:p>
        </w:tc>
        <w:tc>
          <w:tcPr>
            <w:tcW w:w="74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7.1%</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617,149</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527,637</w:t>
            </w:r>
          </w:p>
        </w:tc>
        <w:tc>
          <w:tcPr>
            <w:tcW w:w="940" w:type="dxa"/>
            <w:vAlign w:val="bottom"/>
            <w:gridSpan w:val="2"/>
          </w:tcPr>
          <w:p>
            <w:pPr>
              <w:ind w:left="580"/>
              <w:spacing w:after="0" w:line="135" w:lineRule="exact"/>
              <w:rPr>
                <w:sz w:val="20"/>
                <w:szCs w:val="20"/>
                <w:color w:val="auto"/>
              </w:rPr>
            </w:pPr>
            <w:r>
              <w:rPr>
                <w:rFonts w:ascii="Arial" w:cs="Arial" w:eastAsia="Arial" w:hAnsi="Arial"/>
                <w:sz w:val="13"/>
                <w:szCs w:val="13"/>
                <w:color w:val="auto"/>
                <w:w w:val="92"/>
              </w:rPr>
              <w:t>17.0%</w:t>
            </w:r>
          </w:p>
        </w:tc>
        <w:tc>
          <w:tcPr>
            <w:tcW w:w="0" w:type="dxa"/>
            <w:vAlign w:val="bottom"/>
          </w:tcPr>
          <w:p>
            <w:pPr>
              <w:spacing w:after="0"/>
              <w:rPr>
                <w:sz w:val="1"/>
                <w:szCs w:val="1"/>
                <w:color w:val="auto"/>
              </w:rPr>
            </w:pPr>
          </w:p>
        </w:tc>
      </w:tr>
      <w:tr>
        <w:trPr>
          <w:trHeight w:val="149"/>
        </w:trPr>
        <w:tc>
          <w:tcPr>
            <w:tcW w:w="4180" w:type="dxa"/>
            <w:vAlign w:val="bottom"/>
            <w:gridSpan w:val="2"/>
            <w:shd w:val="clear" w:color="auto" w:fill="CCFFCC"/>
          </w:tcPr>
          <w:p>
            <w:pPr>
              <w:spacing w:after="0"/>
              <w:rPr>
                <w:sz w:val="20"/>
                <w:szCs w:val="20"/>
                <w:color w:val="auto"/>
              </w:rPr>
            </w:pPr>
            <w:r>
              <w:rPr>
                <w:rFonts w:ascii="Arial" w:cs="Arial" w:eastAsia="Arial" w:hAnsi="Arial"/>
                <w:sz w:val="13"/>
                <w:szCs w:val="13"/>
                <w:color w:val="auto"/>
              </w:rPr>
              <w:t>Net gain on foreign exchange transactions</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49,178</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44,948</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37,021</w:t>
            </w:r>
          </w:p>
        </w:tc>
        <w:tc>
          <w:tcPr>
            <w:tcW w:w="920" w:type="dxa"/>
            <w:vAlign w:val="bottom"/>
            <w:gridSpan w:val="2"/>
            <w:shd w:val="clear" w:color="auto" w:fill="CCFFCC"/>
          </w:tcPr>
          <w:p>
            <w:pPr>
              <w:jc w:val="right"/>
              <w:ind w:right="77"/>
              <w:spacing w:after="0"/>
              <w:rPr>
                <w:sz w:val="20"/>
                <w:szCs w:val="20"/>
                <w:color w:val="auto"/>
              </w:rPr>
            </w:pPr>
            <w:r>
              <w:rPr>
                <w:rFonts w:ascii="Arial" w:cs="Arial" w:eastAsia="Arial" w:hAnsi="Arial"/>
                <w:sz w:val="13"/>
                <w:szCs w:val="13"/>
                <w:color w:val="auto"/>
              </w:rPr>
              <w:t>9.4%</w:t>
            </w:r>
          </w:p>
        </w:tc>
        <w:tc>
          <w:tcPr>
            <w:tcW w:w="18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77"/>
              <w:spacing w:after="0"/>
              <w:rPr>
                <w:sz w:val="20"/>
                <w:szCs w:val="20"/>
                <w:color w:val="auto"/>
              </w:rPr>
            </w:pPr>
            <w:r>
              <w:rPr>
                <w:rFonts w:ascii="Arial" w:cs="Arial" w:eastAsia="Arial" w:hAnsi="Arial"/>
                <w:sz w:val="13"/>
                <w:szCs w:val="13"/>
                <w:color w:val="auto"/>
              </w:rPr>
              <w:t>32.8%</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177,106</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138,912</w:t>
            </w:r>
          </w:p>
        </w:tc>
        <w:tc>
          <w:tcPr>
            <w:tcW w:w="940" w:type="dxa"/>
            <w:vAlign w:val="bottom"/>
            <w:gridSpan w:val="2"/>
            <w:shd w:val="clear" w:color="auto" w:fill="CCFFCC"/>
          </w:tcPr>
          <w:p>
            <w:pPr>
              <w:ind w:left="580"/>
              <w:spacing w:after="0"/>
              <w:rPr>
                <w:sz w:val="20"/>
                <w:szCs w:val="20"/>
                <w:color w:val="auto"/>
              </w:rPr>
            </w:pPr>
            <w:r>
              <w:rPr>
                <w:rFonts w:ascii="Arial" w:cs="Arial" w:eastAsia="Arial" w:hAnsi="Arial"/>
                <w:sz w:val="13"/>
                <w:szCs w:val="13"/>
                <w:color w:val="auto"/>
                <w:w w:val="92"/>
              </w:rPr>
              <w:t>27.5%</w:t>
            </w:r>
          </w:p>
        </w:tc>
        <w:tc>
          <w:tcPr>
            <w:tcW w:w="0" w:type="dxa"/>
            <w:vAlign w:val="bottom"/>
          </w:tcPr>
          <w:p>
            <w:pPr>
              <w:spacing w:after="0"/>
              <w:rPr>
                <w:sz w:val="1"/>
                <w:szCs w:val="1"/>
                <w:color w:val="auto"/>
              </w:rPr>
            </w:pPr>
          </w:p>
        </w:tc>
      </w:tr>
      <w:tr>
        <w:trPr>
          <w:trHeight w:val="129"/>
        </w:trPr>
        <w:tc>
          <w:tcPr>
            <w:tcW w:w="418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rPr>
              <w:t>Core income</w:t>
            </w:r>
          </w:p>
        </w:tc>
        <w:tc>
          <w:tcPr>
            <w:tcW w:w="6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594,537</w:t>
            </w:r>
          </w:p>
        </w:tc>
        <w:tc>
          <w:tcPr>
            <w:tcW w:w="220" w:type="dxa"/>
            <w:vAlign w:val="bottom"/>
          </w:tcPr>
          <w:p>
            <w:pPr>
              <w:spacing w:after="0"/>
              <w:rPr>
                <w:sz w:val="11"/>
                <w:szCs w:val="11"/>
                <w:color w:val="auto"/>
              </w:rPr>
            </w:pPr>
          </w:p>
        </w:tc>
        <w:tc>
          <w:tcPr>
            <w:tcW w:w="660" w:type="dxa"/>
            <w:vAlign w:val="bottom"/>
            <w:tcBorders>
              <w:top w:val="single" w:sz="8" w:color="auto"/>
            </w:tcBorders>
          </w:tcPr>
          <w:p>
            <w:pPr>
              <w:ind w:left="260"/>
              <w:spacing w:after="0" w:line="129" w:lineRule="exact"/>
              <w:rPr>
                <w:sz w:val="20"/>
                <w:szCs w:val="20"/>
                <w:color w:val="auto"/>
              </w:rPr>
            </w:pPr>
            <w:r>
              <w:rPr>
                <w:rFonts w:ascii="Arial" w:cs="Arial" w:eastAsia="Arial" w:hAnsi="Arial"/>
                <w:sz w:val="13"/>
                <w:szCs w:val="13"/>
                <w:b w:val="1"/>
                <w:bCs w:val="1"/>
                <w:color w:val="auto"/>
                <w:w w:val="80"/>
              </w:rPr>
              <w:t>600,000</w:t>
            </w:r>
          </w:p>
        </w:tc>
        <w:tc>
          <w:tcPr>
            <w:tcW w:w="220" w:type="dxa"/>
            <w:vAlign w:val="bottom"/>
          </w:tcPr>
          <w:p>
            <w:pPr>
              <w:spacing w:after="0"/>
              <w:rPr>
                <w:sz w:val="11"/>
                <w:szCs w:val="11"/>
                <w:color w:val="auto"/>
              </w:rPr>
            </w:pPr>
          </w:p>
        </w:tc>
        <w:tc>
          <w:tcPr>
            <w:tcW w:w="6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501,310</w:t>
            </w:r>
          </w:p>
        </w:tc>
        <w:tc>
          <w:tcPr>
            <w:tcW w:w="220" w:type="dxa"/>
            <w:vAlign w:val="bottom"/>
          </w:tcPr>
          <w:p>
            <w:pPr>
              <w:spacing w:after="0"/>
              <w:rPr>
                <w:sz w:val="11"/>
                <w:szCs w:val="11"/>
                <w:color w:val="auto"/>
              </w:rPr>
            </w:pPr>
          </w:p>
        </w:tc>
        <w:tc>
          <w:tcPr>
            <w:tcW w:w="6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-0.9</w:t>
            </w:r>
          </w:p>
        </w:tc>
        <w:tc>
          <w:tcPr>
            <w:tcW w:w="240" w:type="dxa"/>
            <w:vAlign w:val="bottom"/>
          </w:tcPr>
          <w:p>
            <w:pPr>
              <w:jc w:val="right"/>
              <w:ind w:right="57"/>
              <w:spacing w:after="0" w:line="129" w:lineRule="exact"/>
              <w:rPr>
                <w:sz w:val="20"/>
                <w:szCs w:val="20"/>
                <w:color w:val="auto"/>
              </w:rPr>
            </w:pPr>
            <w:r>
              <w:rPr>
                <w:rFonts w:ascii="Arial" w:cs="Arial" w:eastAsia="Arial" w:hAnsi="Arial"/>
                <w:sz w:val="13"/>
                <w:szCs w:val="13"/>
                <w:b w:val="1"/>
                <w:bCs w:val="1"/>
                <w:color w:val="auto"/>
                <w:w w:val="86"/>
              </w:rPr>
              <w:t>%</w:t>
            </w:r>
          </w:p>
        </w:tc>
        <w:tc>
          <w:tcPr>
            <w:tcW w:w="1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18.6</w:t>
            </w:r>
          </w:p>
        </w:tc>
        <w:tc>
          <w:tcPr>
            <w:tcW w:w="260" w:type="dxa"/>
            <w:vAlign w:val="bottom"/>
          </w:tcPr>
          <w:p>
            <w:pPr>
              <w:jc w:val="right"/>
              <w:ind w:right="57"/>
              <w:spacing w:after="0" w:line="129" w:lineRule="exact"/>
              <w:rPr>
                <w:sz w:val="20"/>
                <w:szCs w:val="20"/>
                <w:color w:val="auto"/>
              </w:rPr>
            </w:pPr>
            <w:r>
              <w:rPr>
                <w:rFonts w:ascii="Arial" w:cs="Arial" w:eastAsia="Arial" w:hAnsi="Arial"/>
                <w:sz w:val="13"/>
                <w:szCs w:val="13"/>
                <w:b w:val="1"/>
                <w:bCs w:val="1"/>
                <w:color w:val="auto"/>
              </w:rPr>
              <w:t>%</w:t>
            </w:r>
          </w:p>
        </w:tc>
        <w:tc>
          <w:tcPr>
            <w:tcW w:w="6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2,267,894</w:t>
            </w:r>
          </w:p>
        </w:tc>
        <w:tc>
          <w:tcPr>
            <w:tcW w:w="220" w:type="dxa"/>
            <w:vAlign w:val="bottom"/>
          </w:tcPr>
          <w:p>
            <w:pPr>
              <w:spacing w:after="0"/>
              <w:rPr>
                <w:sz w:val="11"/>
                <w:szCs w:val="11"/>
                <w:color w:val="auto"/>
              </w:rPr>
            </w:pPr>
          </w:p>
        </w:tc>
        <w:tc>
          <w:tcPr>
            <w:tcW w:w="6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1,850,237</w:t>
            </w:r>
          </w:p>
        </w:tc>
        <w:tc>
          <w:tcPr>
            <w:tcW w:w="220" w:type="dxa"/>
            <w:vAlign w:val="bottom"/>
          </w:tcPr>
          <w:p>
            <w:pPr>
              <w:spacing w:after="0"/>
              <w:rPr>
                <w:sz w:val="11"/>
                <w:szCs w:val="11"/>
                <w:color w:val="auto"/>
              </w:rPr>
            </w:pPr>
          </w:p>
        </w:tc>
        <w:tc>
          <w:tcPr>
            <w:tcW w:w="820" w:type="dxa"/>
            <w:vAlign w:val="bottom"/>
            <w:tcBorders>
              <w:top w:val="single" w:sz="8" w:color="auto"/>
            </w:tcBorders>
          </w:tcPr>
          <w:p>
            <w:pPr>
              <w:ind w:left="580"/>
              <w:spacing w:after="0" w:line="129" w:lineRule="exact"/>
              <w:rPr>
                <w:sz w:val="20"/>
                <w:szCs w:val="20"/>
                <w:color w:val="auto"/>
              </w:rPr>
            </w:pPr>
            <w:r>
              <w:rPr>
                <w:rFonts w:ascii="Arial" w:cs="Arial" w:eastAsia="Arial" w:hAnsi="Arial"/>
                <w:sz w:val="13"/>
                <w:szCs w:val="13"/>
                <w:b w:val="1"/>
                <w:bCs w:val="1"/>
                <w:color w:val="auto"/>
                <w:w w:val="78"/>
              </w:rPr>
              <w:t>22.6</w:t>
            </w:r>
          </w:p>
        </w:tc>
        <w:tc>
          <w:tcPr>
            <w:tcW w:w="120" w:type="dxa"/>
            <w:vAlign w:val="bottom"/>
          </w:tcPr>
          <w:p>
            <w:pPr>
              <w:jc w:val="right"/>
              <w:spacing w:after="0" w:line="129" w:lineRule="exact"/>
              <w:rPr>
                <w:sz w:val="20"/>
                <w:szCs w:val="20"/>
                <w:color w:val="auto"/>
              </w:rPr>
            </w:pPr>
            <w:r>
              <w:rPr>
                <w:rFonts w:ascii="Arial" w:cs="Arial" w:eastAsia="Arial" w:hAnsi="Arial"/>
                <w:sz w:val="13"/>
                <w:szCs w:val="13"/>
                <w:b w:val="1"/>
                <w:bCs w:val="1"/>
                <w:color w:val="auto"/>
                <w:w w:val="86"/>
              </w:rPr>
              <w:t>%</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YoY evolution demonstrates excellent business performance that is reflected in +5% growth in operating income and a +3.7% expansion in net income. All of this was essentially due to +18.6% YoY expansion in core income, which was in turn attributable to a +22% increase in NII; a +32.8% expansion in gains on foreign exchange transactions; and +7.1% growth in banking service commissions. The aforementioned, coupled with higher net gains on sales of securities (+176.1% YoY), offset an increase in net provisions for loan losses (+46.2% YoY) and higher operating expenses (+27.4% YoY).</w:t>
      </w:r>
    </w:p>
    <w:p>
      <w:pPr>
        <w:spacing w:after="0" w:line="370"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09"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7266940</wp:posOffset>
            </wp:positionH>
            <wp:positionV relativeFrom="page">
              <wp:posOffset>568960</wp:posOffset>
            </wp:positionV>
            <wp:extent cx="13716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37160" cy="137160"/>
                    </a:xfrm>
                    <a:prstGeom prst="rect">
                      <a:avLst/>
                    </a:prstGeom>
                    <a:noFill/>
                  </pic:spPr>
                </pic:pic>
              </a:graphicData>
            </a:graphic>
          </wp:anchor>
        </w:drawing>
        <w:t>Results 2012 vs. 2011</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BCP’s performance in 2012 was outstanding, as was evident in the 14.5% growth posted for net income, which totaled US$ 661.4 million. This figure constitutes a record high for the organization. In this context, ROAE was 26.4% (slightly lower than the 27.6% reported in 2011) and ROAA of 2% (vs 2.2% in 2011). This was achieved despite the fact that in 4Q, the results were lower following the transfer of the investment banking business (of BCP and IM Trust), along with their respective income generation for the period, to the new regional investment bank.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excellent yearly evolution was due primarily to:</w:t>
      </w:r>
    </w:p>
    <w:p>
      <w:pPr>
        <w:spacing w:after="0" w:line="225" w:lineRule="exact"/>
        <w:rPr>
          <w:sz w:val="20"/>
          <w:szCs w:val="20"/>
          <w:color w:val="auto"/>
        </w:rPr>
      </w:pPr>
    </w:p>
    <w:p>
      <w:pPr>
        <w:ind w:left="880" w:hanging="494"/>
        <w:spacing w:after="0" w:line="277"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24.5% growth in NII, which was primarily due to the 22.6% expansion posted in loans (led by Retail Banking), which offset the significant increase in net provisions for loan losses (+75.7%) and interest expenses (+28.3%);</w:t>
      </w:r>
    </w:p>
    <w:p>
      <w:pPr>
        <w:spacing w:after="0" w:line="170" w:lineRule="exact"/>
        <w:rPr>
          <w:rFonts w:ascii="Arial" w:cs="Arial" w:eastAsia="Arial" w:hAnsi="Arial"/>
          <w:sz w:val="18"/>
          <w:szCs w:val="18"/>
          <w:color w:val="auto"/>
        </w:rPr>
      </w:pPr>
    </w:p>
    <w:p>
      <w:pPr>
        <w:jc w:val="both"/>
        <w:ind w:left="880" w:hanging="494"/>
        <w:spacing w:after="0" w:line="286" w:lineRule="auto"/>
        <w:tabs>
          <w:tab w:leader="none" w:pos="8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27.9% increase in non-financial income was due to growth in banking service commissions (+17%) and higher net gains on sales of securities (+287.1%), which were thanks to the Bank’s decision to take advantage of market opportunities, primarily in government and BCR instruments; as well as, the increase in earnings on foreign exchange transactions (+27.5%) due to higher trading volumes; and</w:t>
      </w:r>
    </w:p>
    <w:p>
      <w:pPr>
        <w:spacing w:after="0" w:line="165" w:lineRule="exact"/>
        <w:rPr>
          <w:rFonts w:ascii="Arial" w:cs="Arial" w:eastAsia="Arial" w:hAnsi="Arial"/>
          <w:sz w:val="17"/>
          <w:szCs w:val="17"/>
          <w:color w:val="auto"/>
        </w:rPr>
      </w:pPr>
    </w:p>
    <w:p>
      <w:pPr>
        <w:ind w:left="880" w:hanging="494"/>
        <w:spacing w:after="0" w:line="277"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High translation gains (US$ 62.3 million vs US$ 34.5 million in 2011) due to the fact that then Nuevo Sol appreciate more in 2012 (5.4% vs. 4% in 2011).</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All of the aforementioned offset growth in operating expenses (+25.7%) that was due to business expansion (mainly in Retail Banking and to a lesser extent in Investment Banking and which required a move to increase the number of employees from 18,616 to 22,538); the effect of the appreciation of the Nuevo Sol on administrative expenses denominated in Nuevos Soles; the IT outsourcing, which will generate savings in the future and allow the bank to better respond to requirements to support business growth; and expansion in the channel network to cover the significant increase in transactional activity and fulfill BCP’s goals for banking penetration.</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terms of portfolio quality, the past due ratio increased 25 bps this year to situate at 1.53% at the end of 2011 versus 1.78% at the close of 2012. This increase was despite strong growth in Retail Banking portfolio and was the result of the change in the mix of BCP’s portfolio towards higher participation of Retail Banking. This level is very healthy and one of the lowest in the region.</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seen in Retail Banking’s share of total loans also explains growth in the NIM on loans, which rose from 8.12% to 8.15% and contributed to the improvement reported in the global NIM, which increased from 4.92% at the end of 2011 to 5.2% at the end of 2012.</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Finally, it is important to mention that in terms of capitalization, BCP closed the year with a BIS ratio of 14.72%, which tops the 14.53% reported at the end of 2011 and surpasses the regulatory minimum. Additionally, the bank posted Tier I and Tier I Common ratios of 10.11% and 8.52%, respectively.</w:t>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1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7266940</wp:posOffset>
            </wp:positionH>
            <wp:positionV relativeFrom="page">
              <wp:posOffset>568960</wp:posOffset>
            </wp:positionV>
            <wp:extent cx="13716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37160" cy="137160"/>
                    </a:xfrm>
                    <a:prstGeom prst="rect">
                      <a:avLst/>
                    </a:prstGeom>
                    <a:noFill/>
                  </pic:spPr>
                </pic:pic>
              </a:graphicData>
            </a:graphic>
          </wp:anchor>
        </w:drawing>
        <w:t>II.1 Interest-earning assets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Interest-earning assets increased +8.7% QoQ, which is in line with growth in: current loans (+5.5%); deposits in BCRP and other Banks (+19.7%); and investments available for sale (+9.4%).</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00" w:type="dxa"/>
            <w:vAlign w:val="bottom"/>
            <w:gridSpan w:val="2"/>
          </w:tcPr>
          <w:p>
            <w:pPr>
              <w:spacing w:after="0"/>
              <w:rPr>
                <w:sz w:val="20"/>
                <w:szCs w:val="20"/>
                <w:color w:val="auto"/>
              </w:rPr>
            </w:pPr>
            <w:r>
              <w:rPr>
                <w:rFonts w:ascii="Arial" w:cs="Arial" w:eastAsia="Arial" w:hAnsi="Arial"/>
                <w:sz w:val="18"/>
                <w:szCs w:val="18"/>
                <w:b w:val="1"/>
                <w:bCs w:val="1"/>
                <w:color w:val="auto"/>
              </w:rPr>
              <w:t>Interest earning assets</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ind w:left="140"/>
              <w:spacing w:after="0"/>
              <w:rPr>
                <w:sz w:val="20"/>
                <w:szCs w:val="20"/>
                <w:color w:val="auto"/>
              </w:rPr>
            </w:pPr>
            <w:r>
              <w:rPr>
                <w:rFonts w:ascii="Arial" w:cs="Arial" w:eastAsia="Arial" w:hAnsi="Arial"/>
                <w:sz w:val="18"/>
                <w:szCs w:val="18"/>
                <w:b w:val="1"/>
                <w:bCs w:val="1"/>
                <w:color w:val="auto"/>
              </w:rPr>
              <w:t>Quarter</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gridSpan w:val="3"/>
          </w:tcPr>
          <w:p>
            <w:pPr>
              <w:ind w:left="840"/>
              <w:spacing w:after="0"/>
              <w:rPr>
                <w:sz w:val="20"/>
                <w:szCs w:val="20"/>
                <w:color w:val="auto"/>
              </w:rPr>
            </w:pPr>
            <w:r>
              <w:rPr>
                <w:rFonts w:ascii="Arial" w:cs="Arial" w:eastAsia="Arial" w:hAnsi="Arial"/>
                <w:sz w:val="18"/>
                <w:szCs w:val="18"/>
                <w:b w:val="1"/>
                <w:bCs w:val="1"/>
                <w:color w:val="auto"/>
                <w:w w:val="98"/>
              </w:rPr>
              <w:t>Change %</w:t>
            </w: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4"/>
        </w:trPr>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US$ 000</w:t>
            </w:r>
          </w:p>
        </w:tc>
        <w:tc>
          <w:tcPr>
            <w:tcW w:w="120" w:type="dxa"/>
            <w:vAlign w:val="bottom"/>
            <w:tcBorders>
              <w:bottom w:val="single" w:sz="8" w:color="CCFFCC"/>
            </w:tcBorders>
          </w:tcPr>
          <w:p>
            <w:pPr>
              <w:spacing w:after="0"/>
              <w:rPr>
                <w:sz w:val="20"/>
                <w:szCs w:val="20"/>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4Q12</w:t>
            </w:r>
          </w:p>
        </w:tc>
        <w:tc>
          <w:tcPr>
            <w:tcW w:w="220" w:type="dxa"/>
            <w:vAlign w:val="bottom"/>
            <w:tcBorders>
              <w:bottom w:val="single" w:sz="8" w:color="CCFFCC"/>
            </w:tcBorders>
          </w:tcPr>
          <w:p>
            <w:pPr>
              <w:spacing w:after="0"/>
              <w:rPr>
                <w:sz w:val="20"/>
                <w:szCs w:val="20"/>
                <w:color w:val="auto"/>
              </w:rPr>
            </w:pP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3Q12</w:t>
            </w:r>
          </w:p>
        </w:tc>
        <w:tc>
          <w:tcPr>
            <w:tcW w:w="200" w:type="dxa"/>
            <w:vAlign w:val="bottom"/>
            <w:tcBorders>
              <w:bottom w:val="single" w:sz="8" w:color="CCFFCC"/>
            </w:tcBorders>
          </w:tcPr>
          <w:p>
            <w:pPr>
              <w:spacing w:after="0"/>
              <w:rPr>
                <w:sz w:val="20"/>
                <w:szCs w:val="20"/>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4Q11</w:t>
            </w:r>
          </w:p>
        </w:tc>
        <w:tc>
          <w:tcPr>
            <w:tcW w:w="220" w:type="dxa"/>
            <w:vAlign w:val="bottom"/>
            <w:tcBorders>
              <w:bottom w:val="single" w:sz="8" w:color="CCFFCC"/>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FFC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YoY</w:t>
            </w:r>
          </w:p>
        </w:tc>
        <w:tc>
          <w:tcPr>
            <w:tcW w:w="160" w:type="dxa"/>
            <w:vAlign w:val="bottom"/>
            <w:tcBorders>
              <w:bottom w:val="single" w:sz="8" w:color="CCFFCC"/>
            </w:tcBorders>
          </w:tcPr>
          <w:p>
            <w:pPr>
              <w:spacing w:after="0"/>
              <w:rPr>
                <w:sz w:val="20"/>
                <w:szCs w:val="20"/>
                <w:color w:val="auto"/>
              </w:rPr>
            </w:pPr>
          </w:p>
        </w:tc>
      </w:tr>
      <w:tr>
        <w:trPr>
          <w:trHeight w:val="210"/>
        </w:trPr>
        <w:tc>
          <w:tcPr>
            <w:tcW w:w="4780" w:type="dxa"/>
            <w:vAlign w:val="bottom"/>
            <w:shd w:val="clear" w:color="auto" w:fill="CCFFCC"/>
          </w:tcPr>
          <w:p>
            <w:pPr>
              <w:spacing w:after="0"/>
              <w:rPr>
                <w:sz w:val="20"/>
                <w:szCs w:val="20"/>
                <w:color w:val="auto"/>
              </w:rPr>
            </w:pPr>
            <w:r>
              <w:rPr>
                <w:rFonts w:ascii="Arial" w:cs="Arial" w:eastAsia="Arial" w:hAnsi="Arial"/>
                <w:sz w:val="18"/>
                <w:szCs w:val="18"/>
                <w:color w:val="auto"/>
              </w:rPr>
              <w:t>BCRP and other banks</w:t>
            </w: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6,827,621</w:t>
            </w: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5,703,623</w:t>
            </w:r>
          </w:p>
        </w:tc>
        <w:tc>
          <w:tcPr>
            <w:tcW w:w="20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4,553,358</w:t>
            </w:r>
          </w:p>
        </w:tc>
        <w:tc>
          <w:tcPr>
            <w:tcW w:w="22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19.7%</w:t>
            </w:r>
          </w:p>
        </w:tc>
        <w:tc>
          <w:tcPr>
            <w:tcW w:w="32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49.9%</w:t>
            </w: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Interbank funds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17,441</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7,270</w:t>
            </w:r>
          </w:p>
        </w:tc>
        <w:tc>
          <w:tcPr>
            <w:tcW w:w="1140" w:type="dxa"/>
            <w:vAlign w:val="bottom"/>
          </w:tcPr>
          <w:p>
            <w:pPr>
              <w:jc w:val="right"/>
              <w:spacing w:after="0"/>
              <w:rPr>
                <w:sz w:val="20"/>
                <w:szCs w:val="20"/>
                <w:color w:val="auto"/>
              </w:rPr>
            </w:pPr>
            <w:r>
              <w:rPr>
                <w:rFonts w:ascii="Arial" w:cs="Arial" w:eastAsia="Arial" w:hAnsi="Arial"/>
                <w:sz w:val="18"/>
                <w:szCs w:val="18"/>
                <w:color w:val="auto"/>
              </w:rPr>
              <w:t>5,786</w:t>
            </w:r>
          </w:p>
        </w:tc>
        <w:tc>
          <w:tcPr>
            <w:tcW w:w="220" w:type="dxa"/>
            <w:vAlign w:val="bottom"/>
          </w:tcPr>
          <w:p>
            <w:pPr>
              <w:spacing w:after="0"/>
              <w:rPr>
                <w:sz w:val="18"/>
                <w:szCs w:val="18"/>
                <w:color w:val="auto"/>
              </w:rPr>
            </w:pPr>
          </w:p>
        </w:tc>
        <w:tc>
          <w:tcPr>
            <w:tcW w:w="1400" w:type="dxa"/>
            <w:vAlign w:val="bottom"/>
            <w:gridSpan w:val="2"/>
          </w:tcPr>
          <w:p>
            <w:pPr>
              <w:jc w:val="right"/>
              <w:ind w:right="50"/>
              <w:spacing w:after="0"/>
              <w:rPr>
                <w:sz w:val="20"/>
                <w:szCs w:val="20"/>
                <w:color w:val="auto"/>
              </w:rPr>
            </w:pPr>
            <w:r>
              <w:rPr>
                <w:rFonts w:ascii="Arial" w:cs="Arial" w:eastAsia="Arial" w:hAnsi="Arial"/>
                <w:sz w:val="18"/>
                <w:szCs w:val="18"/>
                <w:color w:val="auto"/>
              </w:rPr>
              <w:t>139.9%</w:t>
            </w:r>
          </w:p>
        </w:tc>
        <w:tc>
          <w:tcPr>
            <w:tcW w:w="3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201.4%</w:t>
            </w:r>
          </w:p>
        </w:tc>
      </w:tr>
      <w:tr>
        <w:trPr>
          <w:trHeight w:val="216"/>
        </w:trPr>
        <w:tc>
          <w:tcPr>
            <w:tcW w:w="49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Trading securities</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119,500</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144,566</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75,611</w:t>
            </w:r>
          </w:p>
        </w:tc>
        <w:tc>
          <w:tcPr>
            <w:tcW w:w="22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-17.3%</w:t>
            </w:r>
          </w:p>
        </w:tc>
        <w:tc>
          <w:tcPr>
            <w:tcW w:w="32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58.0%</w:t>
            </w: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Securities available for sale</w:t>
            </w:r>
          </w:p>
        </w:tc>
        <w:tc>
          <w:tcPr>
            <w:tcW w:w="1120" w:type="dxa"/>
            <w:vAlign w:val="bottom"/>
          </w:tcPr>
          <w:p>
            <w:pPr>
              <w:jc w:val="right"/>
              <w:spacing w:after="0"/>
              <w:rPr>
                <w:sz w:val="20"/>
                <w:szCs w:val="20"/>
                <w:color w:val="auto"/>
              </w:rPr>
            </w:pPr>
            <w:r>
              <w:rPr>
                <w:rFonts w:ascii="Arial" w:cs="Arial" w:eastAsia="Arial" w:hAnsi="Arial"/>
                <w:sz w:val="18"/>
                <w:szCs w:val="18"/>
                <w:color w:val="auto"/>
              </w:rPr>
              <w:t>4,719,668</w:t>
            </w: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4,313,659</w:t>
            </w:r>
          </w:p>
        </w:tc>
        <w:tc>
          <w:tcPr>
            <w:tcW w:w="1140" w:type="dxa"/>
            <w:vAlign w:val="bottom"/>
          </w:tcPr>
          <w:p>
            <w:pPr>
              <w:jc w:val="right"/>
              <w:spacing w:after="0"/>
              <w:rPr>
                <w:sz w:val="20"/>
                <w:szCs w:val="20"/>
                <w:color w:val="auto"/>
              </w:rPr>
            </w:pPr>
            <w:r>
              <w:rPr>
                <w:rFonts w:ascii="Arial" w:cs="Arial" w:eastAsia="Arial" w:hAnsi="Arial"/>
                <w:sz w:val="18"/>
                <w:szCs w:val="18"/>
                <w:color w:val="auto"/>
              </w:rPr>
              <w:t>3,476,430</w:t>
            </w:r>
          </w:p>
        </w:tc>
        <w:tc>
          <w:tcPr>
            <w:tcW w:w="220" w:type="dxa"/>
            <w:vAlign w:val="bottom"/>
          </w:tcPr>
          <w:p>
            <w:pPr>
              <w:spacing w:after="0"/>
              <w:rPr>
                <w:sz w:val="18"/>
                <w:szCs w:val="18"/>
                <w:color w:val="auto"/>
              </w:rPr>
            </w:pPr>
          </w:p>
        </w:tc>
        <w:tc>
          <w:tcPr>
            <w:tcW w:w="1400" w:type="dxa"/>
            <w:vAlign w:val="bottom"/>
            <w:gridSpan w:val="2"/>
          </w:tcPr>
          <w:p>
            <w:pPr>
              <w:jc w:val="right"/>
              <w:ind w:right="50"/>
              <w:spacing w:after="0"/>
              <w:rPr>
                <w:sz w:val="20"/>
                <w:szCs w:val="20"/>
                <w:color w:val="auto"/>
              </w:rPr>
            </w:pPr>
            <w:r>
              <w:rPr>
                <w:rFonts w:ascii="Arial" w:cs="Arial" w:eastAsia="Arial" w:hAnsi="Arial"/>
                <w:sz w:val="18"/>
                <w:szCs w:val="18"/>
                <w:color w:val="auto"/>
              </w:rPr>
              <w:t>9.4%</w:t>
            </w:r>
          </w:p>
        </w:tc>
        <w:tc>
          <w:tcPr>
            <w:tcW w:w="3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35.8%</w:t>
            </w:r>
          </w:p>
        </w:tc>
      </w:tr>
      <w:tr>
        <w:trPr>
          <w:trHeight w:val="230"/>
        </w:trPr>
        <w:tc>
          <w:tcPr>
            <w:tcW w:w="49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Current loans</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20,384,603</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w w:val="99"/>
              </w:rPr>
              <w:t>19,322,859</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16,676,479</w:t>
            </w:r>
          </w:p>
        </w:tc>
        <w:tc>
          <w:tcPr>
            <w:tcW w:w="140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5.5%</w:t>
            </w:r>
          </w:p>
        </w:tc>
        <w:tc>
          <w:tcPr>
            <w:tcW w:w="320" w:type="dxa"/>
            <w:vAlign w:val="bottom"/>
            <w:shd w:val="clear" w:color="auto" w:fill="CCFFCC"/>
          </w:tcPr>
          <w:p>
            <w:pPr>
              <w:spacing w:after="0"/>
              <w:rPr>
                <w:sz w:val="19"/>
                <w:szCs w:val="19"/>
                <w:color w:val="auto"/>
              </w:rPr>
            </w:pPr>
          </w:p>
        </w:tc>
        <w:tc>
          <w:tcPr>
            <w:tcW w:w="9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22.2%</w:t>
            </w:r>
          </w:p>
        </w:tc>
      </w:tr>
      <w:tr>
        <w:trPr>
          <w:trHeight w:val="210"/>
        </w:trPr>
        <w:tc>
          <w:tcPr>
            <w:tcW w:w="4900" w:type="dxa"/>
            <w:vAlign w:val="bottom"/>
            <w:gridSpan w:val="2"/>
          </w:tcPr>
          <w:p>
            <w:pPr>
              <w:spacing w:after="0"/>
              <w:rPr>
                <w:sz w:val="20"/>
                <w:szCs w:val="20"/>
                <w:color w:val="auto"/>
              </w:rPr>
            </w:pPr>
            <w:r>
              <w:rPr>
                <w:rFonts w:ascii="Arial" w:cs="Arial" w:eastAsia="Arial" w:hAnsi="Arial"/>
                <w:sz w:val="18"/>
                <w:szCs w:val="18"/>
                <w:b w:val="1"/>
                <w:bCs w:val="1"/>
                <w:color w:val="auto"/>
              </w:rPr>
              <w:t>Total interest earning assets</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32,068,833</w:t>
            </w:r>
          </w:p>
        </w:tc>
        <w:tc>
          <w:tcPr>
            <w:tcW w:w="22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29,491,977</w:t>
            </w:r>
          </w:p>
        </w:tc>
        <w:tc>
          <w:tcPr>
            <w:tcW w:w="20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24,787,664</w:t>
            </w:r>
          </w:p>
        </w:tc>
        <w:tc>
          <w:tcPr>
            <w:tcW w:w="220" w:type="dxa"/>
            <w:vAlign w:val="bottom"/>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8.7</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29.4</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87"/>
              </w:rPr>
              <w:t>%</w:t>
            </w:r>
          </w:p>
        </w:tc>
      </w:tr>
      <w:tr>
        <w:trPr>
          <w:trHeight w:val="20"/>
        </w:trPr>
        <w:tc>
          <w:tcPr>
            <w:tcW w:w="4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Growth in interest-earning assets was associated with the excellent dynamic observed in loans (as we will address later in this report), which translated into a QoQ expansion of 5.5% and 5.1% in current loans and average daily balances, respectively.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bank also reported an increase in deposits in BCR and other banks, which was attributable to growth in deposits in the ordinary account in BCR to cover the higher reserve requirements in place in 4Q12.</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Investments available for sale also reported a strong increase of +9.4% that was mainly associated with securities that were acquired through repurchasing agreements; Repos; and an increase in BCP’s purchases of BCRP certificates of deposits.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An analysis of the YoY evolution reveals strong 29.4% growth in interest-earning assets, which was primarily due to significant loan growth (+22.2% YoY).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Portfolio</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the end of 4Q BCP loans totaled US$ 20,755 million, which reflects the sustained growth seen throughout the year and represents an expansion of 5.5% QoQ and 22.6% YoY. This portfolio’s annual growth rate is a reflection of the dynamics of Peruvian economy in 2012, which more than likely would register 6.3% growth in GDP due to dynamic internal demand and the good evolution of private investment in particular.</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figure below shows the evolution of quarter-end balances and the average daily balances for each month. An initial analysis reveals that in January-May period, loans only grew marginally but at the beginning of June, an upward trend for average daily balance began with marked increases in June, July and December. The second and third quarters were the most dynamic in terms of quarter-end balances.</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14" w:right="23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2335530</wp:posOffset>
            </wp:positionH>
            <wp:positionV relativeFrom="page">
              <wp:posOffset>568960</wp:posOffset>
            </wp:positionV>
            <wp:extent cx="5068570" cy="22898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068570" cy="2289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40"/>
        <w:spacing w:after="0"/>
        <w:rPr>
          <w:sz w:val="20"/>
          <w:szCs w:val="20"/>
          <w:color w:val="auto"/>
        </w:rPr>
      </w:pPr>
      <w:r>
        <w:rPr>
          <w:rFonts w:ascii="Arial" w:cs="Arial" w:eastAsia="Arial" w:hAnsi="Arial"/>
          <w:sz w:val="18"/>
          <w:szCs w:val="18"/>
          <w:i w:val="1"/>
          <w:iCs w:val="1"/>
          <w:color w:val="auto"/>
        </w:rPr>
        <w:t>Source: BCP</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we analyze average daily balances by Banking division, strong expansion is evident in all segments of Retail Banking both QoQ (+7.5%) and YoY (+31.4%). This was due to BCP’s strategy to concentrate on growing the Retail Banking business and the SME and Consumer segments in particular, where the profitability margins are attractive and significant potential exists to expand banking penetration.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terms of Wholesale Banking, where the corporate segment maintains the highest share of total loans, expansion was 2.4% QoQ and 11.3% YoY and was led by the Middle-Market banking portfolio. This strategy led to a change in the portfolio mix given that Retail Banking increased its share of total loans from 46.9% to 51.2% while Wholesale Banking posted a level of 48.8% (versus 53.1% at the end of December 2011).</w:t>
      </w:r>
    </w:p>
    <w:p>
      <w:pPr>
        <w:spacing w:after="0" w:line="177"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280" w:type="dxa"/>
            <w:vAlign w:val="bottom"/>
            <w:gridSpan w:val="4"/>
          </w:tcPr>
          <w:p>
            <w:pPr>
              <w:ind w:left="400"/>
              <w:spacing w:after="0"/>
              <w:rPr>
                <w:sz w:val="20"/>
                <w:szCs w:val="20"/>
                <w:color w:val="auto"/>
              </w:rPr>
            </w:pPr>
            <w:r>
              <w:rPr>
                <w:rFonts w:ascii="Arial" w:cs="Arial" w:eastAsia="Arial" w:hAnsi="Arial"/>
                <w:sz w:val="18"/>
                <w:szCs w:val="18"/>
                <w:b w:val="1"/>
                <w:bCs w:val="1"/>
                <w:color w:val="auto"/>
                <w:w w:val="91"/>
              </w:rPr>
              <w:t>Average Daily Balances</w:t>
            </w: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20" w:type="dxa"/>
            <w:vAlign w:val="bottom"/>
            <w:gridSpan w:val="5"/>
          </w:tcPr>
          <w:p>
            <w:pPr>
              <w:jc w:val="center"/>
              <w:ind w:left="770"/>
              <w:spacing w:after="0"/>
              <w:rPr>
                <w:sz w:val="20"/>
                <w:szCs w:val="20"/>
                <w:color w:val="auto"/>
              </w:rPr>
            </w:pPr>
            <w:r>
              <w:rPr>
                <w:rFonts w:ascii="Arial" w:cs="Arial" w:eastAsia="Arial" w:hAnsi="Arial"/>
                <w:sz w:val="18"/>
                <w:szCs w:val="18"/>
                <w:b w:val="1"/>
                <w:bCs w:val="1"/>
                <w:color w:val="auto"/>
                <w:w w:val="99"/>
              </w:rPr>
              <w:t>TOTAL LOANS (1)</w:t>
            </w: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3"/>
          </w:tcPr>
          <w:p>
            <w:pPr>
              <w:jc w:val="center"/>
              <w:ind w:right="280"/>
              <w:spacing w:after="0"/>
              <w:rPr>
                <w:sz w:val="20"/>
                <w:szCs w:val="20"/>
                <w:color w:val="auto"/>
              </w:rPr>
            </w:pPr>
            <w:r>
              <w:rPr>
                <w:rFonts w:ascii="Arial" w:cs="Arial" w:eastAsia="Arial" w:hAnsi="Arial"/>
                <w:sz w:val="18"/>
                <w:szCs w:val="18"/>
                <w:i w:val="1"/>
                <w:iCs w:val="1"/>
                <w:color w:val="auto"/>
                <w:w w:val="95"/>
              </w:rPr>
              <w:t>(US$ million)</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60" w:type="dxa"/>
            <w:vAlign w:val="bottom"/>
            <w:tcBorders>
              <w:bottom w:val="single" w:sz="8" w:color="CCFFCC"/>
            </w:tcBorders>
          </w:tcPr>
          <w:p>
            <w:pPr>
              <w:spacing w:after="0"/>
              <w:rPr>
                <w:sz w:val="20"/>
                <w:szCs w:val="20"/>
                <w:color w:val="auto"/>
              </w:rPr>
            </w:pP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4Q12</w:t>
            </w:r>
          </w:p>
        </w:tc>
        <w:tc>
          <w:tcPr>
            <w:tcW w:w="160" w:type="dxa"/>
            <w:vAlign w:val="bottom"/>
            <w:tcBorders>
              <w:bottom w:val="single" w:sz="8" w:color="CCFFCC"/>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3Q12</w:t>
            </w:r>
          </w:p>
        </w:tc>
        <w:tc>
          <w:tcPr>
            <w:tcW w:w="160" w:type="dxa"/>
            <w:vAlign w:val="bottom"/>
            <w:tcBorders>
              <w:bottom w:val="single" w:sz="8" w:color="CCFFCC"/>
            </w:tcBorders>
          </w:tcPr>
          <w:p>
            <w:pPr>
              <w:spacing w:after="0"/>
              <w:rPr>
                <w:sz w:val="20"/>
                <w:szCs w:val="20"/>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4Q11</w:t>
            </w:r>
          </w:p>
        </w:tc>
        <w:tc>
          <w:tcPr>
            <w:tcW w:w="160" w:type="dxa"/>
            <w:vAlign w:val="bottom"/>
            <w:tcBorders>
              <w:bottom w:val="single" w:sz="8" w:color="CCFFC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FFCC"/>
            </w:tcBorders>
          </w:tcPr>
          <w:p>
            <w:pPr>
              <w:spacing w:after="0"/>
              <w:rPr>
                <w:sz w:val="20"/>
                <w:szCs w:val="20"/>
                <w:color w:val="auto"/>
              </w:rPr>
            </w:pPr>
          </w:p>
        </w:tc>
        <w:tc>
          <w:tcPr>
            <w:tcW w:w="98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Wholesale Banking</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9,313.6</w:t>
            </w: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9,095.7</w:t>
            </w:r>
          </w:p>
        </w:tc>
        <w:tc>
          <w:tcPr>
            <w:tcW w:w="16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8,371.2</w:t>
            </w:r>
          </w:p>
        </w:tc>
        <w:tc>
          <w:tcPr>
            <w:tcW w:w="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2.4%</w:t>
            </w:r>
          </w:p>
        </w:tc>
        <w:tc>
          <w:tcPr>
            <w:tcW w:w="11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i w:val="1"/>
                <w:iCs w:val="1"/>
                <w:color w:val="auto"/>
              </w:rPr>
              <w:t>- Corporate</w:t>
            </w:r>
          </w:p>
        </w:tc>
        <w:tc>
          <w:tcPr>
            <w:tcW w:w="980" w:type="dxa"/>
            <w:vAlign w:val="bottom"/>
          </w:tcPr>
          <w:p>
            <w:pPr>
              <w:jc w:val="right"/>
              <w:spacing w:after="0"/>
              <w:rPr>
                <w:sz w:val="20"/>
                <w:szCs w:val="20"/>
                <w:color w:val="auto"/>
              </w:rPr>
            </w:pPr>
            <w:r>
              <w:rPr>
                <w:rFonts w:ascii="Arial" w:cs="Arial" w:eastAsia="Arial" w:hAnsi="Arial"/>
                <w:sz w:val="18"/>
                <w:szCs w:val="18"/>
                <w:color w:val="auto"/>
              </w:rPr>
              <w:t>5,783.9</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5,692.8</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5,424.4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FFCC"/>
          </w:tcPr>
          <w:p>
            <w:pPr>
              <w:spacing w:after="0"/>
              <w:rPr>
                <w:sz w:val="20"/>
                <w:szCs w:val="20"/>
                <w:color w:val="auto"/>
              </w:rPr>
            </w:pPr>
            <w:r>
              <w:rPr>
                <w:rFonts w:ascii="Arial" w:cs="Arial" w:eastAsia="Arial" w:hAnsi="Arial"/>
                <w:sz w:val="18"/>
                <w:szCs w:val="18"/>
                <w:i w:val="1"/>
                <w:iCs w:val="1"/>
                <w:color w:val="auto"/>
              </w:rPr>
              <w:t>- Middle Market</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3,529.7</w:t>
            </w: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3,402.8</w:t>
            </w:r>
          </w:p>
        </w:tc>
        <w:tc>
          <w:tcPr>
            <w:tcW w:w="16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2,946.8</w:t>
            </w:r>
          </w:p>
        </w:tc>
        <w:tc>
          <w:tcPr>
            <w:tcW w:w="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3.7%</w:t>
            </w:r>
          </w:p>
        </w:tc>
        <w:tc>
          <w:tcPr>
            <w:tcW w:w="11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b w:val="1"/>
                <w:bCs w:val="1"/>
                <w:color w:val="auto"/>
              </w:rPr>
              <w:t>Retail Banking</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9,088.7</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8,452.3</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6,918.9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7.5%</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FFCC"/>
          </w:tcPr>
          <w:p>
            <w:pPr>
              <w:spacing w:after="0"/>
              <w:rPr>
                <w:sz w:val="20"/>
                <w:szCs w:val="20"/>
                <w:color w:val="auto"/>
              </w:rPr>
            </w:pPr>
            <w:r>
              <w:rPr>
                <w:rFonts w:ascii="Arial" w:cs="Arial" w:eastAsia="Arial" w:hAnsi="Arial"/>
                <w:sz w:val="18"/>
                <w:szCs w:val="18"/>
                <w:i w:val="1"/>
                <w:iCs w:val="1"/>
                <w:color w:val="auto"/>
              </w:rPr>
              <w:t>- SME + Business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3,250.4</w:t>
            </w: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2,983.0</w:t>
            </w:r>
          </w:p>
        </w:tc>
        <w:tc>
          <w:tcPr>
            <w:tcW w:w="16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2,456.9</w:t>
            </w:r>
          </w:p>
        </w:tc>
        <w:tc>
          <w:tcPr>
            <w:tcW w:w="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9.0%</w:t>
            </w:r>
          </w:p>
        </w:tc>
        <w:tc>
          <w:tcPr>
            <w:tcW w:w="11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i w:val="1"/>
                <w:iCs w:val="1"/>
                <w:color w:val="auto"/>
              </w:rPr>
              <w:t>- Mortgages</w:t>
            </w:r>
          </w:p>
        </w:tc>
        <w:tc>
          <w:tcPr>
            <w:tcW w:w="980" w:type="dxa"/>
            <w:vAlign w:val="bottom"/>
          </w:tcPr>
          <w:p>
            <w:pPr>
              <w:jc w:val="right"/>
              <w:spacing w:after="0"/>
              <w:rPr>
                <w:sz w:val="20"/>
                <w:szCs w:val="20"/>
                <w:color w:val="auto"/>
              </w:rPr>
            </w:pPr>
            <w:r>
              <w:rPr>
                <w:rFonts w:ascii="Arial" w:cs="Arial" w:eastAsia="Arial" w:hAnsi="Arial"/>
                <w:sz w:val="18"/>
                <w:szCs w:val="18"/>
                <w:color w:val="auto"/>
              </w:rPr>
              <w:t>3,102.7</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2,895.0</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2,406.3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7.2%</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FFCC"/>
          </w:tcPr>
          <w:p>
            <w:pPr>
              <w:spacing w:after="0"/>
              <w:rPr>
                <w:sz w:val="20"/>
                <w:szCs w:val="20"/>
                <w:color w:val="auto"/>
              </w:rPr>
            </w:pPr>
            <w:r>
              <w:rPr>
                <w:rFonts w:ascii="Arial" w:cs="Arial" w:eastAsia="Arial" w:hAnsi="Arial"/>
                <w:sz w:val="18"/>
                <w:szCs w:val="18"/>
                <w:i w:val="1"/>
                <w:iCs w:val="1"/>
                <w:color w:val="auto"/>
              </w:rPr>
              <w:t>- Consumer</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1,722.3</w:t>
            </w: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1,622.9</w:t>
            </w:r>
          </w:p>
        </w:tc>
        <w:tc>
          <w:tcPr>
            <w:tcW w:w="16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1,275.5</w:t>
            </w:r>
          </w:p>
        </w:tc>
        <w:tc>
          <w:tcPr>
            <w:tcW w:w="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6.1%</w:t>
            </w:r>
          </w:p>
        </w:tc>
        <w:tc>
          <w:tcPr>
            <w:tcW w:w="11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i w:val="1"/>
                <w:iCs w:val="1"/>
                <w:color w:val="auto"/>
              </w:rPr>
              <w:t>- Credit Cards</w:t>
            </w:r>
          </w:p>
        </w:tc>
        <w:tc>
          <w:tcPr>
            <w:tcW w:w="980" w:type="dxa"/>
            <w:vAlign w:val="bottom"/>
          </w:tcPr>
          <w:p>
            <w:pPr>
              <w:jc w:val="right"/>
              <w:spacing w:after="0"/>
              <w:rPr>
                <w:sz w:val="20"/>
                <w:szCs w:val="20"/>
                <w:color w:val="auto"/>
              </w:rPr>
            </w:pPr>
            <w:r>
              <w:rPr>
                <w:rFonts w:ascii="Arial" w:cs="Arial" w:eastAsia="Arial" w:hAnsi="Arial"/>
                <w:sz w:val="18"/>
                <w:szCs w:val="18"/>
                <w:color w:val="auto"/>
              </w:rPr>
              <w:t>1,013.2</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951.4</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780.2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6.5%</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Edyficar</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700.8</w:t>
            </w: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622.4</w:t>
            </w:r>
          </w:p>
        </w:tc>
        <w:tc>
          <w:tcPr>
            <w:tcW w:w="16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475.9</w:t>
            </w:r>
          </w:p>
        </w:tc>
        <w:tc>
          <w:tcPr>
            <w:tcW w:w="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12.6%</w:t>
            </w:r>
          </w:p>
        </w:tc>
        <w:tc>
          <w:tcPr>
            <w:tcW w:w="11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tcPr>
          <w:p>
            <w:pPr>
              <w:spacing w:after="0"/>
              <w:rPr>
                <w:sz w:val="20"/>
                <w:szCs w:val="20"/>
                <w:color w:val="auto"/>
              </w:rPr>
            </w:pPr>
            <w:r>
              <w:rPr>
                <w:rFonts w:ascii="Arial" w:cs="Arial" w:eastAsia="Arial" w:hAnsi="Arial"/>
                <w:sz w:val="18"/>
                <w:szCs w:val="18"/>
                <w:b w:val="1"/>
                <w:bCs w:val="1"/>
                <w:color w:val="auto"/>
              </w:rPr>
              <w:t>Others (2)</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987.4</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937.7</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912.9</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5.3%</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60" w:type="dxa"/>
            <w:vAlign w:val="bottom"/>
            <w:tcBorders>
              <w:top w:val="single" w:sz="8" w:color="CCFFCC"/>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spacing w:after="0"/>
              <w:rPr>
                <w:sz w:val="18"/>
                <w:szCs w:val="18"/>
                <w:color w:val="auto"/>
              </w:rPr>
            </w:pPr>
          </w:p>
        </w:tc>
        <w:tc>
          <w:tcPr>
            <w:tcW w:w="760" w:type="dxa"/>
            <w:vAlign w:val="bottom"/>
            <w:tcBorders>
              <w:top w:val="single" w:sz="8" w:color="auto"/>
            </w:tcBorders>
            <w:shd w:val="clear" w:color="auto" w:fill="CCFFCC"/>
          </w:tcPr>
          <w:p>
            <w:pPr>
              <w:spacing w:after="0"/>
              <w:rPr>
                <w:sz w:val="18"/>
                <w:szCs w:val="18"/>
                <w:color w:val="auto"/>
              </w:rPr>
            </w:pPr>
          </w:p>
        </w:tc>
        <w:tc>
          <w:tcPr>
            <w:tcW w:w="280" w:type="dxa"/>
            <w:vAlign w:val="bottom"/>
            <w:tcBorders>
              <w:top w:val="single" w:sz="8" w:color="CCFFCC"/>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3260" w:type="dxa"/>
            <w:vAlign w:val="bottom"/>
          </w:tcPr>
          <w:p>
            <w:pPr>
              <w:spacing w:after="0"/>
              <w:rPr>
                <w:sz w:val="20"/>
                <w:szCs w:val="20"/>
                <w:color w:val="auto"/>
              </w:rPr>
            </w:pPr>
            <w:r>
              <w:rPr>
                <w:rFonts w:ascii="Arial" w:cs="Arial" w:eastAsia="Arial" w:hAnsi="Arial"/>
                <w:sz w:val="18"/>
                <w:szCs w:val="18"/>
                <w:b w:val="1"/>
                <w:bCs w:val="1"/>
                <w:color w:val="auto"/>
              </w:rPr>
              <w:t>Consolidated total loans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20,090.5</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19,108.0</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16,679.0</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5.1%</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2800985</wp:posOffset>
            </wp:positionH>
            <wp:positionV relativeFrom="paragraph">
              <wp:posOffset>-2540</wp:posOffset>
            </wp:positionV>
            <wp:extent cx="361061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ind w:left="1200" w:hanging="252"/>
        <w:spacing w:after="0"/>
        <w:tabs>
          <w:tab w:leader="none" w:pos="1200" w:val="left"/>
        </w:tabs>
        <w:numPr>
          <w:ilvl w:val="1"/>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Average daily balance.</w:t>
      </w:r>
    </w:p>
    <w:p>
      <w:pPr>
        <w:spacing w:after="0" w:line="17" w:lineRule="exact"/>
        <w:rPr>
          <w:rFonts w:ascii="Arial" w:cs="Arial" w:eastAsia="Arial" w:hAnsi="Arial"/>
          <w:sz w:val="18"/>
          <w:szCs w:val="18"/>
          <w:i w:val="1"/>
          <w:iCs w:val="1"/>
          <w:color w:val="auto"/>
        </w:rPr>
      </w:pPr>
    </w:p>
    <w:p>
      <w:pPr>
        <w:ind w:left="900" w:right="6140" w:firstLine="3"/>
        <w:spacing w:after="0" w:line="261" w:lineRule="auto"/>
        <w:tabs>
          <w:tab w:leader="none" w:pos="1155"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Includes Work Out Unit, other banking and BCP Bolivia. Source: BCP</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Within the analysis of the evolution of Wholesale Banking’s, it is important to note:</w:t>
      </w:r>
    </w:p>
    <w:p>
      <w:pPr>
        <w:spacing w:after="0" w:line="225" w:lineRule="exact"/>
        <w:rPr>
          <w:sz w:val="20"/>
          <w:szCs w:val="20"/>
          <w:color w:val="auto"/>
        </w:rPr>
      </w:pPr>
    </w:p>
    <w:p>
      <w:pPr>
        <w:jc w:val="both"/>
        <w:ind w:left="760" w:hanging="374"/>
        <w:spacing w:after="0" w:line="286" w:lineRule="auto"/>
        <w:tabs>
          <w:tab w:leader="none" w:pos="7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Corporate Banking portfolio grew at a moderate rate of 1.6% QoQ and 6.6% YoY. These growth rates are satisfactory in a context of: (i) intense competition from foreign banks, which finance their operations at lower costs due primarily to the fact that the BCR has set high reserve requirements for foreign currency for banks that operate locally; and ii) more use of the capital markets to obtain financing.</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3" w:name="page14"/>
    <w:bookmarkEnd w:id="13"/>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6254750</wp:posOffset>
            </wp:positionH>
            <wp:positionV relativeFrom="page">
              <wp:posOffset>568960</wp:posOffset>
            </wp:positionV>
            <wp:extent cx="1149350" cy="3175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r>
    </w:p>
    <w:p>
      <w:pPr>
        <w:ind w:left="760" w:hanging="374"/>
        <w:spacing w:after="0" w:line="308" w:lineRule="auto"/>
        <w:tabs>
          <w:tab w:leader="none" w:pos="7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Middle-Market Banking reported a 3.7% increase QoQ and 19.8% YoY. Annual portfolio growth is due to an increase in short-term transactions, primarily (i) financing for working capital and ii) electronic financing for purchases (primarily related to foreign trade activities).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In terms of the evolution of Retail Banking, it is important to mention:</w:t>
      </w:r>
    </w:p>
    <w:p>
      <w:pPr>
        <w:spacing w:after="0" w:line="225" w:lineRule="exact"/>
        <w:rPr>
          <w:sz w:val="20"/>
          <w:szCs w:val="20"/>
          <w:color w:val="auto"/>
        </w:rPr>
      </w:pPr>
    </w:p>
    <w:p>
      <w:pPr>
        <w:ind w:left="760" w:hanging="374"/>
        <w:spacing w:after="0" w:line="342" w:lineRule="auto"/>
        <w:tabs>
          <w:tab w:leader="none" w:pos="7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SME + Business segment led portfolio growth with a 9.0% expansion QoQ that was driven by a significant increase in loans for working capital due to the Christmas Campaign and fixed-asset loans, which posted a significant increase last quarter and reported YoY growth of 32.3%.</w:t>
      </w:r>
    </w:p>
    <w:p>
      <w:pPr>
        <w:spacing w:after="0" w:line="123" w:lineRule="exact"/>
        <w:rPr>
          <w:rFonts w:ascii="Arial" w:cs="Arial" w:eastAsia="Arial" w:hAnsi="Arial"/>
          <w:sz w:val="16"/>
          <w:szCs w:val="16"/>
          <w:color w:val="auto"/>
        </w:rPr>
      </w:pPr>
    </w:p>
    <w:p>
      <w:pPr>
        <w:jc w:val="both"/>
        <w:ind w:left="760" w:hanging="374"/>
        <w:spacing w:after="0" w:line="264"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mortgage segment grew 7.2% QoQ, which represents the highest quarterly growth recorded thus far this year, and posted an expansion of 28.9% YoY. This segment demonstrated more dynamism in the second half of the year as it is reflected in the increase in average daily balances and in the number of monthly disbursement, which rose from 895 in 1H12 to 1,115 in 2H12.</w:t>
      </w:r>
    </w:p>
    <w:p>
      <w:pPr>
        <w:spacing w:after="0" w:line="181" w:lineRule="exact"/>
        <w:rPr>
          <w:rFonts w:ascii="Arial" w:cs="Arial" w:eastAsia="Arial" w:hAnsi="Arial"/>
          <w:sz w:val="18"/>
          <w:szCs w:val="18"/>
          <w:color w:val="auto"/>
        </w:rPr>
      </w:pPr>
    </w:p>
    <w:p>
      <w:pPr>
        <w:jc w:val="both"/>
        <w:ind w:left="760" w:hanging="374"/>
        <w:spacing w:after="0" w:line="312" w:lineRule="auto"/>
        <w:tabs>
          <w:tab w:leader="none" w:pos="7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Consumer segment (+6.1% QoQ; +35% YoY) and Credit Card segment (+6.5% QoQ; +29.9% YoY) also contributed, to a lesser extent, to growth in the Retail Banking portfolio. This is due to the measures adopted in the first half of 2012, which entailed making credit policies more stringent. Although this led to a deceleration in this segment, past due ratios also declined (from a peak of 5.5% in June to 4.7% in December).</w:t>
      </w:r>
    </w:p>
    <w:p>
      <w:pPr>
        <w:spacing w:after="0" w:line="146" w:lineRule="exact"/>
        <w:rPr>
          <w:rFonts w:ascii="Arial" w:cs="Arial" w:eastAsia="Arial" w:hAnsi="Arial"/>
          <w:sz w:val="16"/>
          <w:szCs w:val="16"/>
          <w:color w:val="auto"/>
        </w:rPr>
      </w:pPr>
    </w:p>
    <w:p>
      <w:pPr>
        <w:ind w:left="760" w:right="20" w:hanging="374"/>
        <w:spacing w:after="0" w:line="277"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Lastly, it is important to note the upward trajectory seen in Edyficar’s loan portfolio throughout the year. By the end of 2012, this portfolio totaled US$ 700.8 million, which represented an increase of 12.6% QoQ and 47.3% YoY.</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analysis of the quarterly evolution of loans by currency type, it is evident that the most significant growth was reported in the LC portfolio (+5%), which was driven by the positive evolution of Retail Banking (+7.7%). The deceleration seen in loan growth in Wholesale Banking is primarily visible in LC loans, particularly those associated with the Corporate Banking segment (-9.6%).</w:t>
      </w:r>
    </w:p>
    <w:p>
      <w:pPr>
        <w:spacing w:after="0" w:line="177"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Average Daily Balances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40" w:type="dxa"/>
            <w:vAlign w:val="bottom"/>
            <w:gridSpan w:val="6"/>
          </w:tcPr>
          <w:p>
            <w:pPr>
              <w:jc w:val="center"/>
              <w:ind w:left="426"/>
              <w:spacing w:after="0"/>
              <w:rPr>
                <w:sz w:val="20"/>
                <w:szCs w:val="20"/>
                <w:color w:val="auto"/>
              </w:rPr>
            </w:pPr>
            <w:r>
              <w:rPr>
                <w:rFonts w:ascii="Arial" w:cs="Arial" w:eastAsia="Arial" w:hAnsi="Arial"/>
                <w:sz w:val="11"/>
                <w:szCs w:val="11"/>
                <w:b w:val="1"/>
                <w:bCs w:val="1"/>
                <w:color w:val="auto"/>
                <w:w w:val="88"/>
              </w:rPr>
              <w:t>Domestic Currency Loans (1)</w:t>
            </w: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940" w:type="dxa"/>
            <w:vAlign w:val="bottom"/>
            <w:gridSpan w:val="5"/>
          </w:tcPr>
          <w:p>
            <w:pPr>
              <w:jc w:val="center"/>
              <w:ind w:left="466"/>
              <w:spacing w:after="0"/>
              <w:rPr>
                <w:sz w:val="20"/>
                <w:szCs w:val="20"/>
                <w:color w:val="auto"/>
              </w:rPr>
            </w:pPr>
            <w:r>
              <w:rPr>
                <w:rFonts w:ascii="Arial" w:cs="Arial" w:eastAsia="Arial" w:hAnsi="Arial"/>
                <w:sz w:val="11"/>
                <w:szCs w:val="11"/>
                <w:b w:val="1"/>
                <w:bCs w:val="1"/>
                <w:color w:val="auto"/>
                <w:w w:val="90"/>
              </w:rPr>
              <w:t>Foreign Currency Loans (1)</w:t>
            </w: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00" w:type="dxa"/>
            <w:vAlign w:val="bottom"/>
            <w:gridSpan w:val="4"/>
          </w:tcPr>
          <w:p>
            <w:pPr>
              <w:jc w:val="center"/>
              <w:ind w:right="260"/>
              <w:spacing w:after="0"/>
              <w:rPr>
                <w:sz w:val="20"/>
                <w:szCs w:val="20"/>
                <w:color w:val="auto"/>
              </w:rPr>
            </w:pPr>
            <w:r>
              <w:rPr>
                <w:rFonts w:ascii="Arial" w:cs="Arial" w:eastAsia="Arial" w:hAnsi="Arial"/>
                <w:sz w:val="11"/>
                <w:szCs w:val="11"/>
                <w:i w:val="1"/>
                <w:iCs w:val="1"/>
                <w:color w:val="auto"/>
                <w:w w:val="87"/>
              </w:rPr>
              <w:t>(Nuevos Soles million)</w:t>
            </w: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gridSpan w:val="3"/>
          </w:tcPr>
          <w:p>
            <w:pPr>
              <w:jc w:val="center"/>
              <w:ind w:right="380"/>
              <w:spacing w:after="0"/>
              <w:rPr>
                <w:sz w:val="20"/>
                <w:szCs w:val="20"/>
                <w:color w:val="auto"/>
              </w:rPr>
            </w:pPr>
            <w:r>
              <w:rPr>
                <w:rFonts w:ascii="Arial" w:cs="Arial" w:eastAsia="Arial" w:hAnsi="Arial"/>
                <w:sz w:val="11"/>
                <w:szCs w:val="11"/>
                <w:i w:val="1"/>
                <w:iCs w:val="1"/>
                <w:color w:val="auto"/>
                <w:w w:val="92"/>
              </w:rPr>
              <w:t>(US$ million)</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Borders>
              <w:bottom w:val="single" w:sz="8" w:color="CCFFCC"/>
            </w:tcBorders>
          </w:tcPr>
          <w:p>
            <w:pPr>
              <w:spacing w:after="0"/>
              <w:rPr>
                <w:sz w:val="11"/>
                <w:szCs w:val="11"/>
                <w:color w:val="auto"/>
              </w:rPr>
            </w:pPr>
          </w:p>
        </w:tc>
        <w:tc>
          <w:tcPr>
            <w:tcW w:w="70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auto"/>
              </w:rPr>
              <w:t>4Q12</w:t>
            </w:r>
          </w:p>
        </w:tc>
        <w:tc>
          <w:tcPr>
            <w:tcW w:w="260" w:type="dxa"/>
            <w:vAlign w:val="bottom"/>
            <w:tcBorders>
              <w:bottom w:val="single" w:sz="8" w:color="CCFFCC"/>
            </w:tcBorders>
          </w:tcPr>
          <w:p>
            <w:pPr>
              <w:spacing w:after="0"/>
              <w:rPr>
                <w:sz w:val="11"/>
                <w:szCs w:val="11"/>
                <w:color w:val="auto"/>
              </w:rPr>
            </w:pPr>
          </w:p>
        </w:tc>
        <w:tc>
          <w:tcPr>
            <w:tcW w:w="70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rPr>
              <w:t>3Q12</w:t>
            </w:r>
          </w:p>
        </w:tc>
        <w:tc>
          <w:tcPr>
            <w:tcW w:w="40" w:type="dxa"/>
            <w:vAlign w:val="bottom"/>
            <w:tcBorders>
              <w:bottom w:val="single" w:sz="8" w:color="CCFFCC"/>
            </w:tcBorders>
          </w:tcPr>
          <w:p>
            <w:pPr>
              <w:spacing w:after="0"/>
              <w:rPr>
                <w:sz w:val="11"/>
                <w:szCs w:val="11"/>
                <w:color w:val="auto"/>
              </w:rPr>
            </w:pPr>
          </w:p>
        </w:tc>
        <w:tc>
          <w:tcPr>
            <w:tcW w:w="200" w:type="dxa"/>
            <w:vAlign w:val="bottom"/>
            <w:tcBorders>
              <w:bottom w:val="single" w:sz="8" w:color="CCFFCC"/>
            </w:tcBorders>
          </w:tcPr>
          <w:p>
            <w:pPr>
              <w:spacing w:after="0"/>
              <w:rPr>
                <w:sz w:val="11"/>
                <w:szCs w:val="11"/>
                <w:color w:val="auto"/>
              </w:rPr>
            </w:pPr>
          </w:p>
        </w:tc>
        <w:tc>
          <w:tcPr>
            <w:tcW w:w="70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rPr>
              <w:t>4Q11</w:t>
            </w:r>
          </w:p>
        </w:tc>
        <w:tc>
          <w:tcPr>
            <w:tcW w:w="240" w:type="dxa"/>
            <w:vAlign w:val="bottom"/>
            <w:tcBorders>
              <w:bottom w:val="single" w:sz="8" w:color="CCFFCC"/>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ind w:left="80"/>
              <w:spacing w:after="0"/>
              <w:rPr>
                <w:sz w:val="20"/>
                <w:szCs w:val="20"/>
                <w:color w:val="auto"/>
              </w:rPr>
            </w:pPr>
            <w:r>
              <w:rPr>
                <w:rFonts w:ascii="Arial" w:cs="Arial" w:eastAsia="Arial" w:hAnsi="Arial"/>
                <w:sz w:val="11"/>
                <w:szCs w:val="11"/>
                <w:b w:val="1"/>
                <w:bCs w:val="1"/>
                <w:color w:val="auto"/>
              </w:rPr>
              <w:t>QoQ</w:t>
            </w:r>
          </w:p>
        </w:tc>
        <w:tc>
          <w:tcPr>
            <w:tcW w:w="220" w:type="dxa"/>
            <w:vAlign w:val="bottom"/>
            <w:tcBorders>
              <w:bottom w:val="single" w:sz="8" w:color="CCFFCC"/>
            </w:tcBorders>
          </w:tcPr>
          <w:p>
            <w:pPr>
              <w:spacing w:after="0"/>
              <w:rPr>
                <w:sz w:val="11"/>
                <w:szCs w:val="11"/>
                <w:color w:val="auto"/>
              </w:rPr>
            </w:pPr>
          </w:p>
        </w:tc>
        <w:tc>
          <w:tcPr>
            <w:tcW w:w="680" w:type="dxa"/>
            <w:vAlign w:val="bottom"/>
            <w:tcBorders>
              <w:bottom w:val="single" w:sz="8" w:color="auto"/>
            </w:tcBorders>
          </w:tcPr>
          <w:p>
            <w:pPr>
              <w:ind w:left="240"/>
              <w:spacing w:after="0"/>
              <w:rPr>
                <w:sz w:val="20"/>
                <w:szCs w:val="20"/>
                <w:color w:val="auto"/>
              </w:rPr>
            </w:pPr>
            <w:r>
              <w:rPr>
                <w:rFonts w:ascii="Arial" w:cs="Arial" w:eastAsia="Arial" w:hAnsi="Arial"/>
                <w:sz w:val="11"/>
                <w:szCs w:val="11"/>
                <w:b w:val="1"/>
                <w:bCs w:val="1"/>
                <w:color w:val="auto"/>
              </w:rPr>
              <w:t>YoY</w:t>
            </w:r>
          </w:p>
        </w:tc>
        <w:tc>
          <w:tcPr>
            <w:tcW w:w="220" w:type="dxa"/>
            <w:vAlign w:val="bottom"/>
            <w:tcBorders>
              <w:bottom w:val="single" w:sz="8" w:color="CCFFCC"/>
            </w:tcBorders>
          </w:tcPr>
          <w:p>
            <w:pPr>
              <w:spacing w:after="0"/>
              <w:rPr>
                <w:sz w:val="11"/>
                <w:szCs w:val="11"/>
                <w:color w:val="auto"/>
              </w:rPr>
            </w:pPr>
          </w:p>
        </w:tc>
        <w:tc>
          <w:tcPr>
            <w:tcW w:w="66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b w:val="1"/>
                <w:bCs w:val="1"/>
                <w:color w:val="auto"/>
              </w:rPr>
              <w:t>4Q12</w:t>
            </w:r>
          </w:p>
        </w:tc>
        <w:tc>
          <w:tcPr>
            <w:tcW w:w="220" w:type="dxa"/>
            <w:vAlign w:val="bottom"/>
            <w:tcBorders>
              <w:bottom w:val="single" w:sz="8" w:color="CCFFCC"/>
            </w:tcBorders>
          </w:tcPr>
          <w:p>
            <w:pPr>
              <w:spacing w:after="0"/>
              <w:rPr>
                <w:sz w:val="11"/>
                <w:szCs w:val="11"/>
                <w:color w:val="auto"/>
              </w:rPr>
            </w:pPr>
          </w:p>
        </w:tc>
        <w:tc>
          <w:tcPr>
            <w:tcW w:w="68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auto"/>
              </w:rPr>
              <w:t>3Q12</w:t>
            </w:r>
          </w:p>
        </w:tc>
        <w:tc>
          <w:tcPr>
            <w:tcW w:w="220" w:type="dxa"/>
            <w:vAlign w:val="bottom"/>
            <w:tcBorders>
              <w:bottom w:val="single" w:sz="8" w:color="CCFFCC"/>
            </w:tcBorders>
          </w:tcPr>
          <w:p>
            <w:pPr>
              <w:spacing w:after="0"/>
              <w:rPr>
                <w:sz w:val="11"/>
                <w:szCs w:val="11"/>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4Q11</w:t>
            </w:r>
          </w:p>
        </w:tc>
        <w:tc>
          <w:tcPr>
            <w:tcW w:w="220" w:type="dxa"/>
            <w:vAlign w:val="bottom"/>
            <w:tcBorders>
              <w:bottom w:val="single" w:sz="8" w:color="CCFFCC"/>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ind w:left="80"/>
              <w:spacing w:after="0"/>
              <w:rPr>
                <w:sz w:val="20"/>
                <w:szCs w:val="20"/>
                <w:color w:val="auto"/>
              </w:rPr>
            </w:pPr>
            <w:r>
              <w:rPr>
                <w:rFonts w:ascii="Arial" w:cs="Arial" w:eastAsia="Arial" w:hAnsi="Arial"/>
                <w:sz w:val="11"/>
                <w:szCs w:val="11"/>
                <w:b w:val="1"/>
                <w:bCs w:val="1"/>
                <w:color w:val="auto"/>
              </w:rPr>
              <w:t>QoQ</w:t>
            </w:r>
          </w:p>
        </w:tc>
        <w:tc>
          <w:tcPr>
            <w:tcW w:w="220" w:type="dxa"/>
            <w:vAlign w:val="bottom"/>
            <w:tcBorders>
              <w:bottom w:val="single" w:sz="8" w:color="CCFFCC"/>
            </w:tcBorders>
          </w:tcPr>
          <w:p>
            <w:pPr>
              <w:spacing w:after="0"/>
              <w:rPr>
                <w:sz w:val="11"/>
                <w:szCs w:val="11"/>
                <w:color w:val="auto"/>
              </w:rPr>
            </w:pPr>
          </w:p>
        </w:tc>
        <w:tc>
          <w:tcPr>
            <w:tcW w:w="700" w:type="dxa"/>
            <w:vAlign w:val="bottom"/>
            <w:tcBorders>
              <w:bottom w:val="single" w:sz="8" w:color="auto"/>
            </w:tcBorders>
          </w:tcPr>
          <w:p>
            <w:pPr>
              <w:ind w:left="240"/>
              <w:spacing w:after="0"/>
              <w:rPr>
                <w:sz w:val="20"/>
                <w:szCs w:val="20"/>
                <w:color w:val="auto"/>
              </w:rPr>
            </w:pPr>
            <w:r>
              <w:rPr>
                <w:rFonts w:ascii="Arial" w:cs="Arial" w:eastAsia="Arial" w:hAnsi="Arial"/>
                <w:sz w:val="11"/>
                <w:szCs w:val="11"/>
                <w:b w:val="1"/>
                <w:bCs w:val="1"/>
                <w:color w:val="auto"/>
              </w:rPr>
              <w:t>YoY</w:t>
            </w:r>
          </w:p>
        </w:tc>
        <w:tc>
          <w:tcPr>
            <w:tcW w:w="80" w:type="dxa"/>
            <w:vAlign w:val="bottom"/>
            <w:tcBorders>
              <w:bottom w:val="single" w:sz="8" w:color="CCFFCC"/>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400" w:type="dxa"/>
            <w:vAlign w:val="bottom"/>
            <w:shd w:val="clear" w:color="auto" w:fill="CCFFCC"/>
          </w:tcPr>
          <w:p>
            <w:pPr>
              <w:spacing w:after="0" w:line="115" w:lineRule="exact"/>
              <w:rPr>
                <w:sz w:val="20"/>
                <w:szCs w:val="20"/>
                <w:color w:val="auto"/>
              </w:rPr>
            </w:pPr>
            <w:r>
              <w:rPr>
                <w:rFonts w:ascii="Arial" w:cs="Arial" w:eastAsia="Arial" w:hAnsi="Arial"/>
                <w:sz w:val="11"/>
                <w:szCs w:val="11"/>
                <w:b w:val="1"/>
                <w:bCs w:val="1"/>
                <w:color w:val="auto"/>
              </w:rPr>
              <w:t>Wholesale Banking</w:t>
            </w:r>
          </w:p>
        </w:tc>
        <w:tc>
          <w:tcPr>
            <w:tcW w:w="700" w:type="dxa"/>
            <w:vAlign w:val="bottom"/>
            <w:shd w:val="clear" w:color="auto" w:fill="CCFFCC"/>
          </w:tcPr>
          <w:p>
            <w:pPr>
              <w:jc w:val="right"/>
              <w:spacing w:after="0" w:line="115" w:lineRule="exact"/>
              <w:rPr>
                <w:sz w:val="20"/>
                <w:szCs w:val="20"/>
                <w:color w:val="auto"/>
              </w:rPr>
            </w:pPr>
            <w:r>
              <w:rPr>
                <w:rFonts w:ascii="Arial" w:cs="Arial" w:eastAsia="Arial" w:hAnsi="Arial"/>
                <w:sz w:val="11"/>
                <w:szCs w:val="11"/>
                <w:b w:val="1"/>
                <w:bCs w:val="1"/>
                <w:color w:val="auto"/>
              </w:rPr>
              <w:t>4,687.0</w:t>
            </w:r>
          </w:p>
        </w:tc>
        <w:tc>
          <w:tcPr>
            <w:tcW w:w="260" w:type="dxa"/>
            <w:vAlign w:val="bottom"/>
            <w:shd w:val="clear" w:color="auto" w:fill="CCFFCC"/>
          </w:tcPr>
          <w:p>
            <w:pPr>
              <w:spacing w:after="0"/>
              <w:rPr>
                <w:sz w:val="10"/>
                <w:szCs w:val="10"/>
                <w:color w:val="auto"/>
              </w:rPr>
            </w:pPr>
          </w:p>
        </w:tc>
        <w:tc>
          <w:tcPr>
            <w:tcW w:w="700" w:type="dxa"/>
            <w:vAlign w:val="bottom"/>
            <w:shd w:val="clear" w:color="auto" w:fill="CCFFCC"/>
          </w:tcPr>
          <w:p>
            <w:pPr>
              <w:jc w:val="right"/>
              <w:spacing w:after="0" w:line="115" w:lineRule="exact"/>
              <w:rPr>
                <w:sz w:val="20"/>
                <w:szCs w:val="20"/>
                <w:color w:val="auto"/>
              </w:rPr>
            </w:pPr>
            <w:r>
              <w:rPr>
                <w:rFonts w:ascii="Arial" w:cs="Arial" w:eastAsia="Arial" w:hAnsi="Arial"/>
                <w:sz w:val="11"/>
                <w:szCs w:val="11"/>
                <w:b w:val="1"/>
                <w:bCs w:val="1"/>
                <w:color w:val="auto"/>
              </w:rPr>
              <w:t>4,934.2</w:t>
            </w:r>
          </w:p>
        </w:tc>
        <w:tc>
          <w:tcPr>
            <w:tcW w:w="4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700" w:type="dxa"/>
            <w:vAlign w:val="bottom"/>
            <w:shd w:val="clear" w:color="auto" w:fill="CCFFCC"/>
          </w:tcPr>
          <w:p>
            <w:pPr>
              <w:jc w:val="right"/>
              <w:spacing w:after="0" w:line="115" w:lineRule="exact"/>
              <w:rPr>
                <w:sz w:val="20"/>
                <w:szCs w:val="20"/>
                <w:color w:val="auto"/>
              </w:rPr>
            </w:pPr>
            <w:r>
              <w:rPr>
                <w:rFonts w:ascii="Arial" w:cs="Arial" w:eastAsia="Arial" w:hAnsi="Arial"/>
                <w:sz w:val="11"/>
                <w:szCs w:val="11"/>
                <w:b w:val="1"/>
                <w:bCs w:val="1"/>
                <w:color w:val="auto"/>
              </w:rPr>
              <w:t>5,242.9</w:t>
            </w:r>
          </w:p>
        </w:tc>
        <w:tc>
          <w:tcPr>
            <w:tcW w:w="24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760" w:type="dxa"/>
            <w:vAlign w:val="bottom"/>
            <w:gridSpan w:val="2"/>
            <w:shd w:val="clear" w:color="auto" w:fill="CCFFCC"/>
          </w:tcPr>
          <w:p>
            <w:pPr>
              <w:jc w:val="right"/>
              <w:ind w:right="100"/>
              <w:spacing w:after="0" w:line="115" w:lineRule="exact"/>
              <w:rPr>
                <w:sz w:val="20"/>
                <w:szCs w:val="20"/>
                <w:color w:val="auto"/>
              </w:rPr>
            </w:pPr>
            <w:r>
              <w:rPr>
                <w:rFonts w:ascii="Arial" w:cs="Arial" w:eastAsia="Arial" w:hAnsi="Arial"/>
                <w:sz w:val="11"/>
                <w:szCs w:val="11"/>
                <w:b w:val="1"/>
                <w:bCs w:val="1"/>
                <w:color w:val="auto"/>
              </w:rPr>
              <w:t>-5.0%</w:t>
            </w:r>
          </w:p>
        </w:tc>
        <w:tc>
          <w:tcPr>
            <w:tcW w:w="900" w:type="dxa"/>
            <w:vAlign w:val="bottom"/>
            <w:gridSpan w:val="2"/>
            <w:shd w:val="clear" w:color="auto" w:fill="CCFFCC"/>
          </w:tcPr>
          <w:p>
            <w:pPr>
              <w:jc w:val="right"/>
              <w:ind w:right="120"/>
              <w:spacing w:after="0" w:line="115" w:lineRule="exact"/>
              <w:rPr>
                <w:sz w:val="20"/>
                <w:szCs w:val="20"/>
                <w:color w:val="auto"/>
              </w:rPr>
            </w:pPr>
            <w:r>
              <w:rPr>
                <w:rFonts w:ascii="Arial" w:cs="Arial" w:eastAsia="Arial" w:hAnsi="Arial"/>
                <w:sz w:val="11"/>
                <w:szCs w:val="11"/>
                <w:b w:val="1"/>
                <w:bCs w:val="1"/>
                <w:color w:val="auto"/>
              </w:rPr>
              <w:t>-10.6%</w:t>
            </w:r>
          </w:p>
        </w:tc>
        <w:tc>
          <w:tcPr>
            <w:tcW w:w="660" w:type="dxa"/>
            <w:vAlign w:val="bottom"/>
            <w:shd w:val="clear" w:color="auto" w:fill="CCFFCC"/>
          </w:tcPr>
          <w:p>
            <w:pPr>
              <w:jc w:val="right"/>
              <w:spacing w:after="0" w:line="115" w:lineRule="exact"/>
              <w:rPr>
                <w:sz w:val="20"/>
                <w:szCs w:val="20"/>
                <w:color w:val="auto"/>
              </w:rPr>
            </w:pPr>
            <w:r>
              <w:rPr>
                <w:rFonts w:ascii="Arial" w:cs="Arial" w:eastAsia="Arial" w:hAnsi="Arial"/>
                <w:sz w:val="11"/>
                <w:szCs w:val="11"/>
                <w:b w:val="1"/>
                <w:bCs w:val="1"/>
                <w:color w:val="auto"/>
              </w:rPr>
              <w:t>7,492.4</w:t>
            </w:r>
          </w:p>
        </w:tc>
        <w:tc>
          <w:tcPr>
            <w:tcW w:w="220" w:type="dxa"/>
            <w:vAlign w:val="bottom"/>
            <w:shd w:val="clear" w:color="auto" w:fill="CCFFCC"/>
          </w:tcPr>
          <w:p>
            <w:pPr>
              <w:spacing w:after="0"/>
              <w:rPr>
                <w:sz w:val="10"/>
                <w:szCs w:val="10"/>
                <w:color w:val="auto"/>
              </w:rPr>
            </w:pPr>
          </w:p>
        </w:tc>
        <w:tc>
          <w:tcPr>
            <w:tcW w:w="680" w:type="dxa"/>
            <w:vAlign w:val="bottom"/>
            <w:shd w:val="clear" w:color="auto" w:fill="CCFFCC"/>
          </w:tcPr>
          <w:p>
            <w:pPr>
              <w:jc w:val="right"/>
              <w:spacing w:after="0" w:line="115" w:lineRule="exact"/>
              <w:rPr>
                <w:sz w:val="20"/>
                <w:szCs w:val="20"/>
                <w:color w:val="auto"/>
              </w:rPr>
            </w:pPr>
            <w:r>
              <w:rPr>
                <w:rFonts w:ascii="Arial" w:cs="Arial" w:eastAsia="Arial" w:hAnsi="Arial"/>
                <w:sz w:val="11"/>
                <w:szCs w:val="11"/>
                <w:b w:val="1"/>
                <w:bCs w:val="1"/>
                <w:color w:val="auto"/>
              </w:rPr>
              <w:t>7,207.0</w:t>
            </w:r>
          </w:p>
        </w:tc>
        <w:tc>
          <w:tcPr>
            <w:tcW w:w="220" w:type="dxa"/>
            <w:vAlign w:val="bottom"/>
            <w:shd w:val="clear" w:color="auto" w:fill="CCFFCC"/>
          </w:tcPr>
          <w:p>
            <w:pPr>
              <w:spacing w:after="0"/>
              <w:rPr>
                <w:sz w:val="10"/>
                <w:szCs w:val="10"/>
                <w:color w:val="auto"/>
              </w:rPr>
            </w:pPr>
          </w:p>
        </w:tc>
        <w:tc>
          <w:tcPr>
            <w:tcW w:w="660" w:type="dxa"/>
            <w:vAlign w:val="bottom"/>
            <w:shd w:val="clear" w:color="auto" w:fill="CCFFCC"/>
          </w:tcPr>
          <w:p>
            <w:pPr>
              <w:jc w:val="right"/>
              <w:spacing w:after="0" w:line="115" w:lineRule="exact"/>
              <w:rPr>
                <w:sz w:val="20"/>
                <w:szCs w:val="20"/>
                <w:color w:val="auto"/>
              </w:rPr>
            </w:pPr>
            <w:r>
              <w:rPr>
                <w:rFonts w:ascii="Arial" w:cs="Arial" w:eastAsia="Arial" w:hAnsi="Arial"/>
                <w:sz w:val="11"/>
                <w:szCs w:val="11"/>
                <w:b w:val="1"/>
                <w:bCs w:val="1"/>
                <w:color w:val="auto"/>
              </w:rPr>
              <w:t>6,430.1</w:t>
            </w:r>
          </w:p>
        </w:tc>
        <w:tc>
          <w:tcPr>
            <w:tcW w:w="2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740" w:type="dxa"/>
            <w:vAlign w:val="bottom"/>
            <w:gridSpan w:val="2"/>
            <w:shd w:val="clear" w:color="auto" w:fill="CCFFCC"/>
          </w:tcPr>
          <w:p>
            <w:pPr>
              <w:ind w:left="380"/>
              <w:spacing w:after="0" w:line="115" w:lineRule="exact"/>
              <w:rPr>
                <w:sz w:val="20"/>
                <w:szCs w:val="20"/>
                <w:color w:val="auto"/>
              </w:rPr>
            </w:pPr>
            <w:r>
              <w:rPr>
                <w:rFonts w:ascii="Arial" w:cs="Arial" w:eastAsia="Arial" w:hAnsi="Arial"/>
                <w:sz w:val="11"/>
                <w:szCs w:val="11"/>
                <w:b w:val="1"/>
                <w:bCs w:val="1"/>
                <w:color w:val="auto"/>
              </w:rPr>
              <w:t>4.0%</w:t>
            </w:r>
          </w:p>
        </w:tc>
        <w:tc>
          <w:tcPr>
            <w:tcW w:w="780" w:type="dxa"/>
            <w:vAlign w:val="bottom"/>
            <w:gridSpan w:val="2"/>
            <w:shd w:val="clear" w:color="auto" w:fill="CCFFCC"/>
          </w:tcPr>
          <w:p>
            <w:pPr>
              <w:jc w:val="right"/>
              <w:spacing w:after="0" w:line="115" w:lineRule="exact"/>
              <w:rPr>
                <w:sz w:val="20"/>
                <w:szCs w:val="20"/>
                <w:color w:val="auto"/>
              </w:rPr>
            </w:pPr>
            <w:r>
              <w:rPr>
                <w:rFonts w:ascii="Arial" w:cs="Arial" w:eastAsia="Arial" w:hAnsi="Arial"/>
                <w:sz w:val="11"/>
                <w:szCs w:val="11"/>
                <w:b w:val="1"/>
                <w:bCs w:val="1"/>
                <w:color w:val="auto"/>
              </w:rPr>
              <w:t>16.5%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00" w:type="dxa"/>
            <w:vAlign w:val="bottom"/>
          </w:tcPr>
          <w:p>
            <w:pPr>
              <w:spacing w:after="0" w:line="122" w:lineRule="exact"/>
              <w:rPr>
                <w:sz w:val="20"/>
                <w:szCs w:val="20"/>
                <w:color w:val="auto"/>
              </w:rPr>
            </w:pPr>
            <w:r>
              <w:rPr>
                <w:rFonts w:ascii="Arial" w:cs="Arial" w:eastAsia="Arial" w:hAnsi="Arial"/>
                <w:sz w:val="11"/>
                <w:szCs w:val="11"/>
                <w:i w:val="1"/>
                <w:iCs w:val="1"/>
                <w:color w:val="auto"/>
              </w:rPr>
              <w:t>- Corporate</w:t>
            </w:r>
          </w:p>
        </w:tc>
        <w:tc>
          <w:tcPr>
            <w:tcW w:w="960" w:type="dxa"/>
            <w:vAlign w:val="bottom"/>
            <w:gridSpan w:val="2"/>
          </w:tcPr>
          <w:p>
            <w:pPr>
              <w:jc w:val="right"/>
              <w:ind w:right="260"/>
              <w:spacing w:after="0" w:line="122" w:lineRule="exact"/>
              <w:rPr>
                <w:sz w:val="20"/>
                <w:szCs w:val="20"/>
                <w:color w:val="auto"/>
              </w:rPr>
            </w:pPr>
            <w:r>
              <w:rPr>
                <w:rFonts w:ascii="Arial" w:cs="Arial" w:eastAsia="Arial" w:hAnsi="Arial"/>
                <w:sz w:val="11"/>
                <w:szCs w:val="11"/>
                <w:color w:val="auto"/>
              </w:rPr>
              <w:t>2,781.2</w:t>
            </w:r>
          </w:p>
        </w:tc>
        <w:tc>
          <w:tcPr>
            <w:tcW w:w="74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3,077.5</w:t>
            </w:r>
          </w:p>
        </w:tc>
        <w:tc>
          <w:tcPr>
            <w:tcW w:w="9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3,515.5</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-9.6%</w:t>
            </w:r>
          </w:p>
        </w:tc>
        <w:tc>
          <w:tcPr>
            <w:tcW w:w="9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-20.9%</w:t>
            </w:r>
          </w:p>
        </w:tc>
        <w:tc>
          <w:tcPr>
            <w:tcW w:w="8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4,703.4</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4,514.9</w:t>
            </w:r>
          </w:p>
        </w:tc>
        <w:tc>
          <w:tcPr>
            <w:tcW w:w="22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4,122.8</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gridSpan w:val="2"/>
          </w:tcPr>
          <w:p>
            <w:pPr>
              <w:ind w:left="380"/>
              <w:spacing w:after="0" w:line="122" w:lineRule="exact"/>
              <w:rPr>
                <w:sz w:val="20"/>
                <w:szCs w:val="20"/>
                <w:color w:val="auto"/>
              </w:rPr>
            </w:pPr>
            <w:r>
              <w:rPr>
                <w:rFonts w:ascii="Arial" w:cs="Arial" w:eastAsia="Arial" w:hAnsi="Arial"/>
                <w:sz w:val="11"/>
                <w:szCs w:val="11"/>
                <w:color w:val="auto"/>
              </w:rPr>
              <w:t>4.2%</w:t>
            </w:r>
          </w:p>
        </w:tc>
        <w:tc>
          <w:tcPr>
            <w:tcW w:w="78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14.1%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00" w:type="dxa"/>
            <w:vAlign w:val="bottom"/>
            <w:shd w:val="clear" w:color="auto" w:fill="CCFFCC"/>
          </w:tcPr>
          <w:p>
            <w:pPr>
              <w:spacing w:after="0" w:line="122" w:lineRule="exact"/>
              <w:rPr>
                <w:sz w:val="20"/>
                <w:szCs w:val="20"/>
                <w:color w:val="auto"/>
              </w:rPr>
            </w:pPr>
            <w:r>
              <w:rPr>
                <w:rFonts w:ascii="Arial" w:cs="Arial" w:eastAsia="Arial" w:hAnsi="Arial"/>
                <w:sz w:val="11"/>
                <w:szCs w:val="11"/>
                <w:i w:val="1"/>
                <w:iCs w:val="1"/>
                <w:color w:val="auto"/>
              </w:rPr>
              <w:t>- Middle Market</w:t>
            </w:r>
          </w:p>
        </w:tc>
        <w:tc>
          <w:tcPr>
            <w:tcW w:w="960" w:type="dxa"/>
            <w:vAlign w:val="bottom"/>
            <w:gridSpan w:val="2"/>
            <w:shd w:val="clear" w:color="auto" w:fill="CCFFCC"/>
          </w:tcPr>
          <w:p>
            <w:pPr>
              <w:jc w:val="right"/>
              <w:ind w:right="260"/>
              <w:spacing w:after="0" w:line="122" w:lineRule="exact"/>
              <w:rPr>
                <w:sz w:val="20"/>
                <w:szCs w:val="20"/>
                <w:color w:val="auto"/>
              </w:rPr>
            </w:pPr>
            <w:r>
              <w:rPr>
                <w:rFonts w:ascii="Arial" w:cs="Arial" w:eastAsia="Arial" w:hAnsi="Arial"/>
                <w:sz w:val="11"/>
                <w:szCs w:val="11"/>
                <w:color w:val="auto"/>
              </w:rPr>
              <w:t>1,905.9</w:t>
            </w:r>
          </w:p>
        </w:tc>
        <w:tc>
          <w:tcPr>
            <w:tcW w:w="740" w:type="dxa"/>
            <w:vAlign w:val="bottom"/>
            <w:gridSpan w:val="2"/>
            <w:shd w:val="clear" w:color="auto" w:fill="CCFFCC"/>
          </w:tcPr>
          <w:p>
            <w:pPr>
              <w:jc w:val="right"/>
              <w:ind w:right="40"/>
              <w:spacing w:after="0" w:line="122" w:lineRule="exact"/>
              <w:rPr>
                <w:sz w:val="20"/>
                <w:szCs w:val="20"/>
                <w:color w:val="auto"/>
              </w:rPr>
            </w:pPr>
            <w:r>
              <w:rPr>
                <w:rFonts w:ascii="Arial" w:cs="Arial" w:eastAsia="Arial" w:hAnsi="Arial"/>
                <w:sz w:val="11"/>
                <w:szCs w:val="11"/>
                <w:color w:val="auto"/>
              </w:rPr>
              <w:t>1,856.7</w:t>
            </w:r>
          </w:p>
        </w:tc>
        <w:tc>
          <w:tcPr>
            <w:tcW w:w="9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1,727.4</w:t>
            </w:r>
          </w:p>
        </w:tc>
        <w:tc>
          <w:tcPr>
            <w:tcW w:w="24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76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2.6%</w:t>
            </w:r>
          </w:p>
        </w:tc>
        <w:tc>
          <w:tcPr>
            <w:tcW w:w="90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10.3%</w:t>
            </w:r>
          </w:p>
        </w:tc>
        <w:tc>
          <w:tcPr>
            <w:tcW w:w="8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2,789.0</w:t>
            </w:r>
          </w:p>
        </w:tc>
        <w:tc>
          <w:tcPr>
            <w:tcW w:w="6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2,692.1</w:t>
            </w:r>
          </w:p>
        </w:tc>
        <w:tc>
          <w:tcPr>
            <w:tcW w:w="220" w:type="dxa"/>
            <w:vAlign w:val="bottom"/>
            <w:shd w:val="clear" w:color="auto" w:fill="CCFFCC"/>
          </w:tcPr>
          <w:p>
            <w:pPr>
              <w:spacing w:after="0"/>
              <w:rPr>
                <w:sz w:val="10"/>
                <w:szCs w:val="10"/>
                <w:color w:val="auto"/>
              </w:rPr>
            </w:pPr>
          </w:p>
        </w:tc>
        <w:tc>
          <w:tcPr>
            <w:tcW w:w="6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2,307.2</w:t>
            </w:r>
          </w:p>
        </w:tc>
        <w:tc>
          <w:tcPr>
            <w:tcW w:w="2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740" w:type="dxa"/>
            <w:vAlign w:val="bottom"/>
            <w:gridSpan w:val="2"/>
            <w:shd w:val="clear" w:color="auto" w:fill="CCFFCC"/>
          </w:tcPr>
          <w:p>
            <w:pPr>
              <w:ind w:left="380"/>
              <w:spacing w:after="0" w:line="122" w:lineRule="exact"/>
              <w:rPr>
                <w:sz w:val="20"/>
                <w:szCs w:val="20"/>
                <w:color w:val="auto"/>
              </w:rPr>
            </w:pPr>
            <w:r>
              <w:rPr>
                <w:rFonts w:ascii="Arial" w:cs="Arial" w:eastAsia="Arial" w:hAnsi="Arial"/>
                <w:sz w:val="11"/>
                <w:szCs w:val="11"/>
                <w:color w:val="auto"/>
              </w:rPr>
              <w:t>3.6%</w:t>
            </w:r>
          </w:p>
        </w:tc>
        <w:tc>
          <w:tcPr>
            <w:tcW w:w="780" w:type="dxa"/>
            <w:vAlign w:val="bottom"/>
            <w:gridSpan w:val="2"/>
            <w:shd w:val="clear" w:color="auto" w:fill="CCFFCC"/>
          </w:tcPr>
          <w:p>
            <w:pPr>
              <w:jc w:val="right"/>
              <w:ind w:right="20"/>
              <w:spacing w:after="0" w:line="122" w:lineRule="exact"/>
              <w:rPr>
                <w:sz w:val="20"/>
                <w:szCs w:val="20"/>
                <w:color w:val="auto"/>
              </w:rPr>
            </w:pPr>
            <w:r>
              <w:rPr>
                <w:rFonts w:ascii="Arial" w:cs="Arial" w:eastAsia="Arial" w:hAnsi="Arial"/>
                <w:sz w:val="11"/>
                <w:szCs w:val="11"/>
                <w:color w:val="auto"/>
              </w:rPr>
              <w:t>20.9%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00" w:type="dxa"/>
            <w:vAlign w:val="bottom"/>
          </w:tcPr>
          <w:p>
            <w:pPr>
              <w:spacing w:after="0" w:line="122" w:lineRule="exact"/>
              <w:rPr>
                <w:sz w:val="20"/>
                <w:szCs w:val="20"/>
                <w:color w:val="auto"/>
              </w:rPr>
            </w:pPr>
            <w:r>
              <w:rPr>
                <w:rFonts w:ascii="Arial" w:cs="Arial" w:eastAsia="Arial" w:hAnsi="Arial"/>
                <w:sz w:val="11"/>
                <w:szCs w:val="11"/>
                <w:b w:val="1"/>
                <w:bCs w:val="1"/>
                <w:color w:val="auto"/>
              </w:rPr>
              <w:t>Retail Banking</w:t>
            </w:r>
          </w:p>
        </w:tc>
        <w:tc>
          <w:tcPr>
            <w:tcW w:w="960" w:type="dxa"/>
            <w:vAlign w:val="bottom"/>
            <w:gridSpan w:val="2"/>
          </w:tcPr>
          <w:p>
            <w:pPr>
              <w:jc w:val="right"/>
              <w:ind w:right="260"/>
              <w:spacing w:after="0" w:line="122" w:lineRule="exact"/>
              <w:rPr>
                <w:sz w:val="20"/>
                <w:szCs w:val="20"/>
                <w:color w:val="auto"/>
              </w:rPr>
            </w:pPr>
            <w:r>
              <w:rPr>
                <w:rFonts w:ascii="Arial" w:cs="Arial" w:eastAsia="Arial" w:hAnsi="Arial"/>
                <w:sz w:val="11"/>
                <w:szCs w:val="11"/>
                <w:b w:val="1"/>
                <w:bCs w:val="1"/>
                <w:color w:val="auto"/>
              </w:rPr>
              <w:t>15,990.8</w:t>
            </w:r>
          </w:p>
        </w:tc>
        <w:tc>
          <w:tcPr>
            <w:tcW w:w="740" w:type="dxa"/>
            <w:vAlign w:val="bottom"/>
            <w:gridSpan w:val="2"/>
          </w:tcPr>
          <w:p>
            <w:pPr>
              <w:jc w:val="right"/>
              <w:ind w:right="40"/>
              <w:spacing w:after="0" w:line="122" w:lineRule="exact"/>
              <w:rPr>
                <w:sz w:val="20"/>
                <w:szCs w:val="20"/>
                <w:color w:val="auto"/>
              </w:rPr>
            </w:pPr>
            <w:r>
              <w:rPr>
                <w:rFonts w:ascii="Arial" w:cs="Arial" w:eastAsia="Arial" w:hAnsi="Arial"/>
                <w:sz w:val="11"/>
                <w:szCs w:val="11"/>
                <w:b w:val="1"/>
                <w:bCs w:val="1"/>
                <w:color w:val="auto"/>
              </w:rPr>
              <w:t>14,843.6</w:t>
            </w:r>
          </w:p>
        </w:tc>
        <w:tc>
          <w:tcPr>
            <w:tcW w:w="900" w:type="dxa"/>
            <w:vAlign w:val="bottom"/>
            <w:gridSpan w:val="2"/>
          </w:tcPr>
          <w:p>
            <w:pPr>
              <w:jc w:val="right"/>
              <w:spacing w:after="0" w:line="122" w:lineRule="exact"/>
              <w:rPr>
                <w:sz w:val="20"/>
                <w:szCs w:val="20"/>
                <w:color w:val="auto"/>
              </w:rPr>
            </w:pPr>
            <w:r>
              <w:rPr>
                <w:rFonts w:ascii="Arial" w:cs="Arial" w:eastAsia="Arial" w:hAnsi="Arial"/>
                <w:sz w:val="11"/>
                <w:szCs w:val="11"/>
                <w:b w:val="1"/>
                <w:bCs w:val="1"/>
                <w:color w:val="auto"/>
              </w:rPr>
              <w:t>12,163.7</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tcPr>
          <w:p>
            <w:pPr>
              <w:jc w:val="right"/>
              <w:ind w:right="100"/>
              <w:spacing w:after="0" w:line="122" w:lineRule="exact"/>
              <w:rPr>
                <w:sz w:val="20"/>
                <w:szCs w:val="20"/>
                <w:color w:val="auto"/>
              </w:rPr>
            </w:pPr>
            <w:r>
              <w:rPr>
                <w:rFonts w:ascii="Arial" w:cs="Arial" w:eastAsia="Arial" w:hAnsi="Arial"/>
                <w:sz w:val="11"/>
                <w:szCs w:val="11"/>
                <w:b w:val="1"/>
                <w:bCs w:val="1"/>
                <w:color w:val="auto"/>
              </w:rPr>
              <w:t>7.7%</w:t>
            </w:r>
          </w:p>
        </w:tc>
        <w:tc>
          <w:tcPr>
            <w:tcW w:w="900" w:type="dxa"/>
            <w:vAlign w:val="bottom"/>
            <w:gridSpan w:val="2"/>
          </w:tcPr>
          <w:p>
            <w:pPr>
              <w:jc w:val="right"/>
              <w:ind w:right="120"/>
              <w:spacing w:after="0" w:line="122" w:lineRule="exact"/>
              <w:rPr>
                <w:sz w:val="20"/>
                <w:szCs w:val="20"/>
                <w:color w:val="auto"/>
              </w:rPr>
            </w:pPr>
            <w:r>
              <w:rPr>
                <w:rFonts w:ascii="Arial" w:cs="Arial" w:eastAsia="Arial" w:hAnsi="Arial"/>
                <w:sz w:val="11"/>
                <w:szCs w:val="11"/>
                <w:b w:val="1"/>
                <w:bCs w:val="1"/>
                <w:color w:val="auto"/>
              </w:rPr>
              <w:t>31.5%</w:t>
            </w:r>
          </w:p>
        </w:tc>
        <w:tc>
          <w:tcPr>
            <w:tcW w:w="88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rPr>
              <w:t>2,874.2</w:t>
            </w:r>
          </w:p>
        </w:tc>
        <w:tc>
          <w:tcPr>
            <w:tcW w:w="68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2,769.5</w:t>
            </w:r>
          </w:p>
        </w:tc>
        <w:tc>
          <w:tcPr>
            <w:tcW w:w="22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2,415.3</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gridSpan w:val="2"/>
          </w:tcPr>
          <w:p>
            <w:pPr>
              <w:ind w:left="380"/>
              <w:spacing w:after="0" w:line="122" w:lineRule="exact"/>
              <w:rPr>
                <w:sz w:val="20"/>
                <w:szCs w:val="20"/>
                <w:color w:val="auto"/>
              </w:rPr>
            </w:pPr>
            <w:r>
              <w:rPr>
                <w:rFonts w:ascii="Arial" w:cs="Arial" w:eastAsia="Arial" w:hAnsi="Arial"/>
                <w:sz w:val="11"/>
                <w:szCs w:val="11"/>
                <w:b w:val="1"/>
                <w:bCs w:val="1"/>
                <w:color w:val="auto"/>
              </w:rPr>
              <w:t>3.8%</w:t>
            </w:r>
          </w:p>
        </w:tc>
        <w:tc>
          <w:tcPr>
            <w:tcW w:w="780" w:type="dxa"/>
            <w:vAlign w:val="bottom"/>
            <w:gridSpan w:val="2"/>
          </w:tcPr>
          <w:p>
            <w:pPr>
              <w:jc w:val="right"/>
              <w:spacing w:after="0" w:line="122" w:lineRule="exact"/>
              <w:rPr>
                <w:sz w:val="20"/>
                <w:szCs w:val="20"/>
                <w:color w:val="auto"/>
              </w:rPr>
            </w:pPr>
            <w:r>
              <w:rPr>
                <w:rFonts w:ascii="Arial" w:cs="Arial" w:eastAsia="Arial" w:hAnsi="Arial"/>
                <w:sz w:val="11"/>
                <w:szCs w:val="11"/>
                <w:b w:val="1"/>
                <w:bCs w:val="1"/>
                <w:color w:val="auto"/>
              </w:rPr>
              <w:t>19.0%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00" w:type="dxa"/>
            <w:vAlign w:val="bottom"/>
            <w:shd w:val="clear" w:color="auto" w:fill="CCFFCC"/>
          </w:tcPr>
          <w:p>
            <w:pPr>
              <w:spacing w:after="0" w:line="122" w:lineRule="exact"/>
              <w:rPr>
                <w:sz w:val="20"/>
                <w:szCs w:val="20"/>
                <w:color w:val="auto"/>
              </w:rPr>
            </w:pPr>
            <w:r>
              <w:rPr>
                <w:rFonts w:ascii="Arial" w:cs="Arial" w:eastAsia="Arial" w:hAnsi="Arial"/>
                <w:sz w:val="11"/>
                <w:szCs w:val="11"/>
                <w:i w:val="1"/>
                <w:iCs w:val="1"/>
                <w:color w:val="auto"/>
              </w:rPr>
              <w:t>- SME + Business</w:t>
            </w:r>
          </w:p>
        </w:tc>
        <w:tc>
          <w:tcPr>
            <w:tcW w:w="960" w:type="dxa"/>
            <w:vAlign w:val="bottom"/>
            <w:gridSpan w:val="2"/>
            <w:shd w:val="clear" w:color="auto" w:fill="CCFFCC"/>
          </w:tcPr>
          <w:p>
            <w:pPr>
              <w:jc w:val="right"/>
              <w:ind w:right="260"/>
              <w:spacing w:after="0" w:line="122" w:lineRule="exact"/>
              <w:rPr>
                <w:sz w:val="20"/>
                <w:szCs w:val="20"/>
                <w:color w:val="auto"/>
              </w:rPr>
            </w:pPr>
            <w:r>
              <w:rPr>
                <w:rFonts w:ascii="Arial" w:cs="Arial" w:eastAsia="Arial" w:hAnsi="Arial"/>
                <w:sz w:val="11"/>
                <w:szCs w:val="11"/>
                <w:color w:val="auto"/>
              </w:rPr>
              <w:t>5,976.1</w:t>
            </w:r>
          </w:p>
        </w:tc>
        <w:tc>
          <w:tcPr>
            <w:tcW w:w="740" w:type="dxa"/>
            <w:vAlign w:val="bottom"/>
            <w:gridSpan w:val="2"/>
            <w:shd w:val="clear" w:color="auto" w:fill="CCFFCC"/>
          </w:tcPr>
          <w:p>
            <w:pPr>
              <w:jc w:val="right"/>
              <w:ind w:right="40"/>
              <w:spacing w:after="0" w:line="122" w:lineRule="exact"/>
              <w:rPr>
                <w:sz w:val="20"/>
                <w:szCs w:val="20"/>
                <w:color w:val="auto"/>
              </w:rPr>
            </w:pPr>
            <w:r>
              <w:rPr>
                <w:rFonts w:ascii="Arial" w:cs="Arial" w:eastAsia="Arial" w:hAnsi="Arial"/>
                <w:sz w:val="11"/>
                <w:szCs w:val="11"/>
                <w:color w:val="auto"/>
              </w:rPr>
              <w:t>5,498.6</w:t>
            </w:r>
          </w:p>
        </w:tc>
        <w:tc>
          <w:tcPr>
            <w:tcW w:w="9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4,517.2</w:t>
            </w:r>
          </w:p>
        </w:tc>
        <w:tc>
          <w:tcPr>
            <w:tcW w:w="24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76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8.7%</w:t>
            </w:r>
          </w:p>
        </w:tc>
        <w:tc>
          <w:tcPr>
            <w:tcW w:w="90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32.3%</w:t>
            </w:r>
          </w:p>
        </w:tc>
        <w:tc>
          <w:tcPr>
            <w:tcW w:w="8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927.9</w:t>
            </w:r>
          </w:p>
        </w:tc>
        <w:tc>
          <w:tcPr>
            <w:tcW w:w="6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877.9</w:t>
            </w:r>
          </w:p>
        </w:tc>
        <w:tc>
          <w:tcPr>
            <w:tcW w:w="220" w:type="dxa"/>
            <w:vAlign w:val="bottom"/>
            <w:shd w:val="clear" w:color="auto" w:fill="CCFFCC"/>
          </w:tcPr>
          <w:p>
            <w:pPr>
              <w:spacing w:after="0"/>
              <w:rPr>
                <w:sz w:val="10"/>
                <w:szCs w:val="10"/>
                <w:color w:val="auto"/>
              </w:rPr>
            </w:pPr>
          </w:p>
        </w:tc>
        <w:tc>
          <w:tcPr>
            <w:tcW w:w="6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784.4</w:t>
            </w:r>
          </w:p>
        </w:tc>
        <w:tc>
          <w:tcPr>
            <w:tcW w:w="2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740" w:type="dxa"/>
            <w:vAlign w:val="bottom"/>
            <w:gridSpan w:val="2"/>
            <w:shd w:val="clear" w:color="auto" w:fill="CCFFCC"/>
          </w:tcPr>
          <w:p>
            <w:pPr>
              <w:ind w:left="380"/>
              <w:spacing w:after="0" w:line="122" w:lineRule="exact"/>
              <w:rPr>
                <w:sz w:val="20"/>
                <w:szCs w:val="20"/>
                <w:color w:val="auto"/>
              </w:rPr>
            </w:pPr>
            <w:r>
              <w:rPr>
                <w:rFonts w:ascii="Arial" w:cs="Arial" w:eastAsia="Arial" w:hAnsi="Arial"/>
                <w:sz w:val="11"/>
                <w:szCs w:val="11"/>
                <w:color w:val="auto"/>
              </w:rPr>
              <w:t>5.7%</w:t>
            </w:r>
          </w:p>
        </w:tc>
        <w:tc>
          <w:tcPr>
            <w:tcW w:w="780" w:type="dxa"/>
            <w:vAlign w:val="bottom"/>
            <w:gridSpan w:val="2"/>
            <w:shd w:val="clear" w:color="auto" w:fill="CCFFCC"/>
          </w:tcPr>
          <w:p>
            <w:pPr>
              <w:jc w:val="right"/>
              <w:ind w:right="20"/>
              <w:spacing w:after="0" w:line="122" w:lineRule="exact"/>
              <w:rPr>
                <w:sz w:val="20"/>
                <w:szCs w:val="20"/>
                <w:color w:val="auto"/>
              </w:rPr>
            </w:pPr>
            <w:r>
              <w:rPr>
                <w:rFonts w:ascii="Arial" w:cs="Arial" w:eastAsia="Arial" w:hAnsi="Arial"/>
                <w:sz w:val="11"/>
                <w:szCs w:val="11"/>
                <w:color w:val="auto"/>
              </w:rPr>
              <w:t>18.3%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00" w:type="dxa"/>
            <w:vAlign w:val="bottom"/>
          </w:tcPr>
          <w:p>
            <w:pPr>
              <w:spacing w:after="0" w:line="122" w:lineRule="exact"/>
              <w:rPr>
                <w:sz w:val="20"/>
                <w:szCs w:val="20"/>
                <w:color w:val="auto"/>
              </w:rPr>
            </w:pPr>
            <w:r>
              <w:rPr>
                <w:rFonts w:ascii="Arial" w:cs="Arial" w:eastAsia="Arial" w:hAnsi="Arial"/>
                <w:sz w:val="11"/>
                <w:szCs w:val="11"/>
                <w:i w:val="1"/>
                <w:iCs w:val="1"/>
                <w:color w:val="auto"/>
              </w:rPr>
              <w:t>- Mortgages</w:t>
            </w:r>
          </w:p>
        </w:tc>
        <w:tc>
          <w:tcPr>
            <w:tcW w:w="960" w:type="dxa"/>
            <w:vAlign w:val="bottom"/>
            <w:gridSpan w:val="2"/>
          </w:tcPr>
          <w:p>
            <w:pPr>
              <w:jc w:val="right"/>
              <w:ind w:right="260"/>
              <w:spacing w:after="0" w:line="122" w:lineRule="exact"/>
              <w:rPr>
                <w:sz w:val="20"/>
                <w:szCs w:val="20"/>
                <w:color w:val="auto"/>
              </w:rPr>
            </w:pPr>
            <w:r>
              <w:rPr>
                <w:rFonts w:ascii="Arial" w:cs="Arial" w:eastAsia="Arial" w:hAnsi="Arial"/>
                <w:sz w:val="11"/>
                <w:szCs w:val="11"/>
                <w:color w:val="auto"/>
              </w:rPr>
              <w:t>4,154.9</w:t>
            </w:r>
          </w:p>
        </w:tc>
        <w:tc>
          <w:tcPr>
            <w:tcW w:w="74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3,744.7</w:t>
            </w:r>
          </w:p>
        </w:tc>
        <w:tc>
          <w:tcPr>
            <w:tcW w:w="9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3,064.7</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11.0%</w:t>
            </w:r>
          </w:p>
        </w:tc>
        <w:tc>
          <w:tcPr>
            <w:tcW w:w="9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35.6%</w:t>
            </w:r>
          </w:p>
        </w:tc>
        <w:tc>
          <w:tcPr>
            <w:tcW w:w="8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1,487.9</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1,461.4</w:t>
            </w:r>
          </w:p>
        </w:tc>
        <w:tc>
          <w:tcPr>
            <w:tcW w:w="22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1,271.6</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gridSpan w:val="2"/>
          </w:tcPr>
          <w:p>
            <w:pPr>
              <w:ind w:left="380"/>
              <w:spacing w:after="0" w:line="122" w:lineRule="exact"/>
              <w:rPr>
                <w:sz w:val="20"/>
                <w:szCs w:val="20"/>
                <w:color w:val="auto"/>
              </w:rPr>
            </w:pPr>
            <w:r>
              <w:rPr>
                <w:rFonts w:ascii="Arial" w:cs="Arial" w:eastAsia="Arial" w:hAnsi="Arial"/>
                <w:sz w:val="11"/>
                <w:szCs w:val="11"/>
                <w:color w:val="auto"/>
              </w:rPr>
              <w:t>1.8%</w:t>
            </w:r>
          </w:p>
        </w:tc>
        <w:tc>
          <w:tcPr>
            <w:tcW w:w="78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17.0%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00" w:type="dxa"/>
            <w:vAlign w:val="bottom"/>
            <w:shd w:val="clear" w:color="auto" w:fill="CCFFCC"/>
          </w:tcPr>
          <w:p>
            <w:pPr>
              <w:spacing w:after="0" w:line="122" w:lineRule="exact"/>
              <w:rPr>
                <w:sz w:val="20"/>
                <w:szCs w:val="20"/>
                <w:color w:val="auto"/>
              </w:rPr>
            </w:pPr>
            <w:r>
              <w:rPr>
                <w:rFonts w:ascii="Arial" w:cs="Arial" w:eastAsia="Arial" w:hAnsi="Arial"/>
                <w:sz w:val="11"/>
                <w:szCs w:val="11"/>
                <w:i w:val="1"/>
                <w:iCs w:val="1"/>
                <w:color w:val="auto"/>
              </w:rPr>
              <w:t>- Consumer</w:t>
            </w:r>
          </w:p>
        </w:tc>
        <w:tc>
          <w:tcPr>
            <w:tcW w:w="960" w:type="dxa"/>
            <w:vAlign w:val="bottom"/>
            <w:gridSpan w:val="2"/>
            <w:shd w:val="clear" w:color="auto" w:fill="CCFFCC"/>
          </w:tcPr>
          <w:p>
            <w:pPr>
              <w:jc w:val="right"/>
              <w:ind w:right="260"/>
              <w:spacing w:after="0" w:line="122" w:lineRule="exact"/>
              <w:rPr>
                <w:sz w:val="20"/>
                <w:szCs w:val="20"/>
                <w:color w:val="auto"/>
              </w:rPr>
            </w:pPr>
            <w:r>
              <w:rPr>
                <w:rFonts w:ascii="Arial" w:cs="Arial" w:eastAsia="Arial" w:hAnsi="Arial"/>
                <w:sz w:val="11"/>
                <w:szCs w:val="11"/>
                <w:color w:val="auto"/>
              </w:rPr>
              <w:t>3,527.2</w:t>
            </w:r>
          </w:p>
        </w:tc>
        <w:tc>
          <w:tcPr>
            <w:tcW w:w="740" w:type="dxa"/>
            <w:vAlign w:val="bottom"/>
            <w:gridSpan w:val="2"/>
            <w:shd w:val="clear" w:color="auto" w:fill="CCFFCC"/>
          </w:tcPr>
          <w:p>
            <w:pPr>
              <w:jc w:val="right"/>
              <w:ind w:right="40"/>
              <w:spacing w:after="0" w:line="122" w:lineRule="exact"/>
              <w:rPr>
                <w:sz w:val="20"/>
                <w:szCs w:val="20"/>
                <w:color w:val="auto"/>
              </w:rPr>
            </w:pPr>
            <w:r>
              <w:rPr>
                <w:rFonts w:ascii="Arial" w:cs="Arial" w:eastAsia="Arial" w:hAnsi="Arial"/>
                <w:sz w:val="11"/>
                <w:szCs w:val="11"/>
                <w:color w:val="auto"/>
              </w:rPr>
              <w:t>3,373.8</w:t>
            </w:r>
          </w:p>
        </w:tc>
        <w:tc>
          <w:tcPr>
            <w:tcW w:w="9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2,709.7</w:t>
            </w:r>
          </w:p>
        </w:tc>
        <w:tc>
          <w:tcPr>
            <w:tcW w:w="24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76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4.5%</w:t>
            </w:r>
          </w:p>
        </w:tc>
        <w:tc>
          <w:tcPr>
            <w:tcW w:w="90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30.2%</w:t>
            </w:r>
          </w:p>
        </w:tc>
        <w:tc>
          <w:tcPr>
            <w:tcW w:w="8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351.7</w:t>
            </w:r>
          </w:p>
        </w:tc>
        <w:tc>
          <w:tcPr>
            <w:tcW w:w="6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331.3</w:t>
            </w:r>
          </w:p>
        </w:tc>
        <w:tc>
          <w:tcPr>
            <w:tcW w:w="220" w:type="dxa"/>
            <w:vAlign w:val="bottom"/>
            <w:shd w:val="clear" w:color="auto" w:fill="CCFFCC"/>
          </w:tcPr>
          <w:p>
            <w:pPr>
              <w:spacing w:after="0"/>
              <w:rPr>
                <w:sz w:val="10"/>
                <w:szCs w:val="10"/>
                <w:color w:val="auto"/>
              </w:rPr>
            </w:pPr>
          </w:p>
        </w:tc>
        <w:tc>
          <w:tcPr>
            <w:tcW w:w="6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272.3</w:t>
            </w:r>
          </w:p>
        </w:tc>
        <w:tc>
          <w:tcPr>
            <w:tcW w:w="2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740" w:type="dxa"/>
            <w:vAlign w:val="bottom"/>
            <w:gridSpan w:val="2"/>
            <w:shd w:val="clear" w:color="auto" w:fill="CCFFCC"/>
          </w:tcPr>
          <w:p>
            <w:pPr>
              <w:ind w:left="380"/>
              <w:spacing w:after="0" w:line="122" w:lineRule="exact"/>
              <w:rPr>
                <w:sz w:val="20"/>
                <w:szCs w:val="20"/>
                <w:color w:val="auto"/>
              </w:rPr>
            </w:pPr>
            <w:r>
              <w:rPr>
                <w:rFonts w:ascii="Arial" w:cs="Arial" w:eastAsia="Arial" w:hAnsi="Arial"/>
                <w:sz w:val="11"/>
                <w:szCs w:val="11"/>
                <w:color w:val="auto"/>
              </w:rPr>
              <w:t>6.2%</w:t>
            </w:r>
          </w:p>
        </w:tc>
        <w:tc>
          <w:tcPr>
            <w:tcW w:w="780" w:type="dxa"/>
            <w:vAlign w:val="bottom"/>
            <w:gridSpan w:val="2"/>
            <w:shd w:val="clear" w:color="auto" w:fill="CCFFCC"/>
          </w:tcPr>
          <w:p>
            <w:pPr>
              <w:jc w:val="right"/>
              <w:ind w:right="20"/>
              <w:spacing w:after="0" w:line="122" w:lineRule="exact"/>
              <w:rPr>
                <w:sz w:val="20"/>
                <w:szCs w:val="20"/>
                <w:color w:val="auto"/>
              </w:rPr>
            </w:pPr>
            <w:r>
              <w:rPr>
                <w:rFonts w:ascii="Arial" w:cs="Arial" w:eastAsia="Arial" w:hAnsi="Arial"/>
                <w:sz w:val="11"/>
                <w:szCs w:val="11"/>
                <w:color w:val="auto"/>
              </w:rPr>
              <w:t>29.2%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00" w:type="dxa"/>
            <w:vAlign w:val="bottom"/>
          </w:tcPr>
          <w:p>
            <w:pPr>
              <w:spacing w:after="0" w:line="122" w:lineRule="exact"/>
              <w:rPr>
                <w:sz w:val="20"/>
                <w:szCs w:val="20"/>
                <w:color w:val="auto"/>
              </w:rPr>
            </w:pPr>
            <w:r>
              <w:rPr>
                <w:rFonts w:ascii="Arial" w:cs="Arial" w:eastAsia="Arial" w:hAnsi="Arial"/>
                <w:sz w:val="11"/>
                <w:szCs w:val="11"/>
                <w:i w:val="1"/>
                <w:iCs w:val="1"/>
                <w:color w:val="auto"/>
              </w:rPr>
              <w:t>- Credit Cards</w:t>
            </w:r>
          </w:p>
        </w:tc>
        <w:tc>
          <w:tcPr>
            <w:tcW w:w="960" w:type="dxa"/>
            <w:vAlign w:val="bottom"/>
            <w:gridSpan w:val="2"/>
          </w:tcPr>
          <w:p>
            <w:pPr>
              <w:jc w:val="right"/>
              <w:ind w:right="260"/>
              <w:spacing w:after="0" w:line="122" w:lineRule="exact"/>
              <w:rPr>
                <w:sz w:val="20"/>
                <w:szCs w:val="20"/>
                <w:color w:val="auto"/>
              </w:rPr>
            </w:pPr>
            <w:r>
              <w:rPr>
                <w:rFonts w:ascii="Arial" w:cs="Arial" w:eastAsia="Arial" w:hAnsi="Arial"/>
                <w:sz w:val="11"/>
                <w:szCs w:val="11"/>
                <w:color w:val="auto"/>
              </w:rPr>
              <w:t>2,332.7</w:t>
            </w:r>
          </w:p>
        </w:tc>
        <w:tc>
          <w:tcPr>
            <w:tcW w:w="74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2,226.5</w:t>
            </w:r>
          </w:p>
        </w:tc>
        <w:tc>
          <w:tcPr>
            <w:tcW w:w="9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1,872.1</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4.8%</w:t>
            </w:r>
          </w:p>
        </w:tc>
        <w:tc>
          <w:tcPr>
            <w:tcW w:w="9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24.6%</w:t>
            </w:r>
          </w:p>
        </w:tc>
        <w:tc>
          <w:tcPr>
            <w:tcW w:w="8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106.8</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99.0</w:t>
            </w:r>
          </w:p>
        </w:tc>
        <w:tc>
          <w:tcPr>
            <w:tcW w:w="22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87.0</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gridSpan w:val="2"/>
          </w:tcPr>
          <w:p>
            <w:pPr>
              <w:ind w:left="380"/>
              <w:spacing w:after="0" w:line="122" w:lineRule="exact"/>
              <w:rPr>
                <w:sz w:val="20"/>
                <w:szCs w:val="20"/>
                <w:color w:val="auto"/>
              </w:rPr>
            </w:pPr>
            <w:r>
              <w:rPr>
                <w:rFonts w:ascii="Arial" w:cs="Arial" w:eastAsia="Arial" w:hAnsi="Arial"/>
                <w:sz w:val="11"/>
                <w:szCs w:val="11"/>
                <w:color w:val="auto"/>
              </w:rPr>
              <w:t>7.9%</w:t>
            </w:r>
          </w:p>
        </w:tc>
        <w:tc>
          <w:tcPr>
            <w:tcW w:w="78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22.7%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0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Edyficar</w:t>
            </w:r>
          </w:p>
        </w:tc>
        <w:tc>
          <w:tcPr>
            <w:tcW w:w="960" w:type="dxa"/>
            <w:vAlign w:val="bottom"/>
            <w:gridSpan w:val="2"/>
            <w:shd w:val="clear" w:color="auto" w:fill="CCFFCC"/>
          </w:tcPr>
          <w:p>
            <w:pPr>
              <w:jc w:val="right"/>
              <w:ind w:right="260"/>
              <w:spacing w:after="0" w:line="122" w:lineRule="exact"/>
              <w:rPr>
                <w:sz w:val="20"/>
                <w:szCs w:val="20"/>
                <w:color w:val="auto"/>
              </w:rPr>
            </w:pPr>
            <w:r>
              <w:rPr>
                <w:rFonts w:ascii="Arial" w:cs="Arial" w:eastAsia="Arial" w:hAnsi="Arial"/>
                <w:sz w:val="11"/>
                <w:szCs w:val="11"/>
                <w:b w:val="1"/>
                <w:bCs w:val="1"/>
                <w:color w:val="auto"/>
              </w:rPr>
              <w:t>1,775.3</w:t>
            </w:r>
          </w:p>
        </w:tc>
        <w:tc>
          <w:tcPr>
            <w:tcW w:w="740" w:type="dxa"/>
            <w:vAlign w:val="bottom"/>
            <w:gridSpan w:val="2"/>
            <w:shd w:val="clear" w:color="auto" w:fill="CCFFCC"/>
          </w:tcPr>
          <w:p>
            <w:pPr>
              <w:jc w:val="right"/>
              <w:ind w:right="40"/>
              <w:spacing w:after="0" w:line="122" w:lineRule="exact"/>
              <w:rPr>
                <w:sz w:val="20"/>
                <w:szCs w:val="20"/>
                <w:color w:val="auto"/>
              </w:rPr>
            </w:pPr>
            <w:r>
              <w:rPr>
                <w:rFonts w:ascii="Arial" w:cs="Arial" w:eastAsia="Arial" w:hAnsi="Arial"/>
                <w:sz w:val="11"/>
                <w:szCs w:val="11"/>
                <w:b w:val="1"/>
                <w:bCs w:val="1"/>
                <w:color w:val="auto"/>
              </w:rPr>
              <w:t>1,597.7</w:t>
            </w:r>
          </w:p>
        </w:tc>
        <w:tc>
          <w:tcPr>
            <w:tcW w:w="9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b w:val="1"/>
                <w:bCs w:val="1"/>
                <w:color w:val="auto"/>
              </w:rPr>
              <w:t>1,254.9</w:t>
            </w:r>
          </w:p>
        </w:tc>
        <w:tc>
          <w:tcPr>
            <w:tcW w:w="24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76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11.1%</w:t>
            </w:r>
          </w:p>
        </w:tc>
        <w:tc>
          <w:tcPr>
            <w:tcW w:w="90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41.5%</w:t>
            </w:r>
          </w:p>
        </w:tc>
        <w:tc>
          <w:tcPr>
            <w:tcW w:w="8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b w:val="1"/>
                <w:bCs w:val="1"/>
                <w:color w:val="auto"/>
              </w:rPr>
              <w:t>10.8</w:t>
            </w:r>
          </w:p>
        </w:tc>
        <w:tc>
          <w:tcPr>
            <w:tcW w:w="6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b w:val="1"/>
                <w:bCs w:val="1"/>
                <w:color w:val="auto"/>
              </w:rPr>
              <w:t>10.7</w:t>
            </w:r>
          </w:p>
        </w:tc>
        <w:tc>
          <w:tcPr>
            <w:tcW w:w="220" w:type="dxa"/>
            <w:vAlign w:val="bottom"/>
            <w:shd w:val="clear" w:color="auto" w:fill="CCFFCC"/>
          </w:tcPr>
          <w:p>
            <w:pPr>
              <w:spacing w:after="0"/>
              <w:rPr>
                <w:sz w:val="10"/>
                <w:szCs w:val="10"/>
                <w:color w:val="auto"/>
              </w:rPr>
            </w:pPr>
          </w:p>
        </w:tc>
        <w:tc>
          <w:tcPr>
            <w:tcW w:w="8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b w:val="1"/>
                <w:bCs w:val="1"/>
                <w:color w:val="auto"/>
              </w:rPr>
              <w:t>11.3</w:t>
            </w:r>
          </w:p>
        </w:tc>
        <w:tc>
          <w:tcPr>
            <w:tcW w:w="160" w:type="dxa"/>
            <w:vAlign w:val="bottom"/>
            <w:shd w:val="clear" w:color="auto" w:fill="CCFFCC"/>
          </w:tcPr>
          <w:p>
            <w:pPr>
              <w:spacing w:after="0"/>
              <w:rPr>
                <w:sz w:val="10"/>
                <w:szCs w:val="10"/>
                <w:color w:val="auto"/>
              </w:rPr>
            </w:pPr>
          </w:p>
        </w:tc>
        <w:tc>
          <w:tcPr>
            <w:tcW w:w="740" w:type="dxa"/>
            <w:vAlign w:val="bottom"/>
            <w:gridSpan w:val="2"/>
            <w:shd w:val="clear" w:color="auto" w:fill="CCFFCC"/>
          </w:tcPr>
          <w:p>
            <w:pPr>
              <w:ind w:left="380"/>
              <w:spacing w:after="0" w:line="122" w:lineRule="exact"/>
              <w:rPr>
                <w:sz w:val="20"/>
                <w:szCs w:val="20"/>
                <w:color w:val="auto"/>
              </w:rPr>
            </w:pPr>
            <w:r>
              <w:rPr>
                <w:rFonts w:ascii="Arial" w:cs="Arial" w:eastAsia="Arial" w:hAnsi="Arial"/>
                <w:sz w:val="11"/>
                <w:szCs w:val="11"/>
                <w:color w:val="auto"/>
              </w:rPr>
              <w:t>1.8%</w:t>
            </w:r>
          </w:p>
        </w:tc>
        <w:tc>
          <w:tcPr>
            <w:tcW w:w="780" w:type="dxa"/>
            <w:vAlign w:val="bottom"/>
            <w:gridSpan w:val="2"/>
            <w:shd w:val="clear" w:color="auto" w:fill="CCFFCC"/>
          </w:tcPr>
          <w:p>
            <w:pPr>
              <w:jc w:val="right"/>
              <w:ind w:right="20"/>
              <w:spacing w:after="0" w:line="122" w:lineRule="exact"/>
              <w:rPr>
                <w:sz w:val="20"/>
                <w:szCs w:val="20"/>
                <w:color w:val="auto"/>
              </w:rPr>
            </w:pPr>
            <w:r>
              <w:rPr>
                <w:rFonts w:ascii="Arial" w:cs="Arial" w:eastAsia="Arial" w:hAnsi="Arial"/>
                <w:sz w:val="11"/>
                <w:szCs w:val="11"/>
                <w:color w:val="auto"/>
              </w:rPr>
              <w:t>-3.7%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spacing w:after="0"/>
              <w:rPr>
                <w:sz w:val="20"/>
                <w:szCs w:val="20"/>
                <w:color w:val="auto"/>
              </w:rPr>
            </w:pPr>
            <w:r>
              <w:rPr>
                <w:rFonts w:ascii="Arial" w:cs="Arial" w:eastAsia="Arial" w:hAnsi="Arial"/>
                <w:sz w:val="11"/>
                <w:szCs w:val="11"/>
                <w:b w:val="1"/>
                <w:bCs w:val="1"/>
                <w:color w:val="auto"/>
              </w:rPr>
              <w:t>Others (2)</w:t>
            </w:r>
          </w:p>
        </w:tc>
        <w:tc>
          <w:tcPr>
            <w:tcW w:w="96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rPr>
              <w:t>121.5</w:t>
            </w:r>
          </w:p>
        </w:tc>
        <w:tc>
          <w:tcPr>
            <w:tcW w:w="74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125.1</w:t>
            </w:r>
          </w:p>
        </w:tc>
        <w:tc>
          <w:tcPr>
            <w:tcW w:w="900" w:type="dxa"/>
            <w:vAlign w:val="bottom"/>
            <w:gridSpan w:val="2"/>
          </w:tcPr>
          <w:p>
            <w:pPr>
              <w:jc w:val="right"/>
              <w:spacing w:after="0"/>
              <w:rPr>
                <w:sz w:val="20"/>
                <w:szCs w:val="20"/>
                <w:color w:val="auto"/>
              </w:rPr>
            </w:pPr>
            <w:r>
              <w:rPr>
                <w:rFonts w:ascii="Arial" w:cs="Arial" w:eastAsia="Arial" w:hAnsi="Arial"/>
                <w:sz w:val="11"/>
                <w:szCs w:val="11"/>
                <w:b w:val="1"/>
                <w:bCs w:val="1"/>
                <w:color w:val="auto"/>
              </w:rPr>
              <w:t>128.9</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rPr>
              <w:t>-2.9%</w:t>
            </w:r>
          </w:p>
        </w:tc>
        <w:tc>
          <w:tcPr>
            <w:tcW w:w="90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rPr>
              <w:t>-5.7%</w:t>
            </w:r>
          </w:p>
        </w:tc>
        <w:tc>
          <w:tcPr>
            <w:tcW w:w="88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940.2</w:t>
            </w:r>
          </w:p>
        </w:tc>
        <w:tc>
          <w:tcPr>
            <w:tcW w:w="680" w:type="dxa"/>
            <w:vAlign w:val="bottom"/>
          </w:tcPr>
          <w:p>
            <w:pPr>
              <w:jc w:val="right"/>
              <w:spacing w:after="0"/>
              <w:rPr>
                <w:sz w:val="20"/>
                <w:szCs w:val="20"/>
                <w:color w:val="auto"/>
              </w:rPr>
            </w:pPr>
            <w:r>
              <w:rPr>
                <w:rFonts w:ascii="Arial" w:cs="Arial" w:eastAsia="Arial" w:hAnsi="Arial"/>
                <w:sz w:val="11"/>
                <w:szCs w:val="11"/>
                <w:b w:val="1"/>
                <w:bCs w:val="1"/>
                <w:color w:val="auto"/>
              </w:rPr>
              <w:t>889.8</w:t>
            </w:r>
          </w:p>
        </w:tc>
        <w:tc>
          <w:tcPr>
            <w:tcW w:w="2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865.2</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tcPr>
          <w:p>
            <w:pPr>
              <w:ind w:left="380"/>
              <w:spacing w:after="0"/>
              <w:rPr>
                <w:sz w:val="20"/>
                <w:szCs w:val="20"/>
                <w:color w:val="auto"/>
              </w:rPr>
            </w:pPr>
            <w:r>
              <w:rPr>
                <w:rFonts w:ascii="Arial" w:cs="Arial" w:eastAsia="Arial" w:hAnsi="Arial"/>
                <w:sz w:val="11"/>
                <w:szCs w:val="11"/>
                <w:b w:val="1"/>
                <w:bCs w:val="1"/>
                <w:color w:val="auto"/>
              </w:rPr>
              <w:t>5.7%</w:t>
            </w:r>
          </w:p>
        </w:tc>
        <w:tc>
          <w:tcPr>
            <w:tcW w:w="780" w:type="dxa"/>
            <w:vAlign w:val="bottom"/>
            <w:gridSpan w:val="2"/>
          </w:tcPr>
          <w:p>
            <w:pPr>
              <w:jc w:val="right"/>
              <w:spacing w:after="0"/>
              <w:rPr>
                <w:sz w:val="20"/>
                <w:szCs w:val="20"/>
                <w:color w:val="auto"/>
              </w:rPr>
            </w:pPr>
            <w:r>
              <w:rPr>
                <w:rFonts w:ascii="Arial" w:cs="Arial" w:eastAsia="Arial" w:hAnsi="Arial"/>
                <w:sz w:val="11"/>
                <w:szCs w:val="11"/>
                <w:b w:val="1"/>
                <w:bCs w:val="1"/>
                <w:color w:val="auto"/>
              </w:rPr>
              <w:t>8.7%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2400" w:type="dxa"/>
            <w:vAlign w:val="bottom"/>
            <w:tcBorders>
              <w:top w:val="single" w:sz="8" w:color="CCFFCC"/>
            </w:tcBorders>
            <w:shd w:val="clear" w:color="auto" w:fill="CCFFCC"/>
          </w:tcPr>
          <w:p>
            <w:pPr>
              <w:spacing w:after="0"/>
              <w:rPr>
                <w:sz w:val="10"/>
                <w:szCs w:val="10"/>
                <w:color w:val="auto"/>
              </w:rPr>
            </w:pPr>
          </w:p>
        </w:tc>
        <w:tc>
          <w:tcPr>
            <w:tcW w:w="700" w:type="dxa"/>
            <w:vAlign w:val="bottom"/>
            <w:tcBorders>
              <w:top w:val="single" w:sz="8" w:color="auto"/>
            </w:tcBorders>
            <w:shd w:val="clear" w:color="auto" w:fill="CCFFCC"/>
          </w:tcPr>
          <w:p>
            <w:pPr>
              <w:spacing w:after="0"/>
              <w:rPr>
                <w:sz w:val="10"/>
                <w:szCs w:val="10"/>
                <w:color w:val="auto"/>
              </w:rPr>
            </w:pPr>
          </w:p>
        </w:tc>
        <w:tc>
          <w:tcPr>
            <w:tcW w:w="260" w:type="dxa"/>
            <w:vAlign w:val="bottom"/>
            <w:tcBorders>
              <w:top w:val="single" w:sz="8" w:color="CCFFCC"/>
            </w:tcBorders>
            <w:shd w:val="clear" w:color="auto" w:fill="CCFFCC"/>
          </w:tcPr>
          <w:p>
            <w:pPr>
              <w:spacing w:after="0"/>
              <w:rPr>
                <w:sz w:val="10"/>
                <w:szCs w:val="10"/>
                <w:color w:val="auto"/>
              </w:rPr>
            </w:pPr>
          </w:p>
        </w:tc>
        <w:tc>
          <w:tcPr>
            <w:tcW w:w="700" w:type="dxa"/>
            <w:vAlign w:val="bottom"/>
            <w:tcBorders>
              <w:top w:val="single" w:sz="8" w:color="auto"/>
            </w:tcBorders>
            <w:shd w:val="clear" w:color="auto" w:fill="CCFFCC"/>
          </w:tcPr>
          <w:p>
            <w:pPr>
              <w:spacing w:after="0"/>
              <w:rPr>
                <w:sz w:val="10"/>
                <w:szCs w:val="10"/>
                <w:color w:val="auto"/>
              </w:rPr>
            </w:pPr>
          </w:p>
        </w:tc>
        <w:tc>
          <w:tcPr>
            <w:tcW w:w="40" w:type="dxa"/>
            <w:vAlign w:val="bottom"/>
            <w:tcBorders>
              <w:top w:val="single" w:sz="8" w:color="CCFFCC"/>
            </w:tcBorders>
            <w:shd w:val="clear" w:color="auto" w:fill="CCFFCC"/>
          </w:tcPr>
          <w:p>
            <w:pPr>
              <w:spacing w:after="0"/>
              <w:rPr>
                <w:sz w:val="10"/>
                <w:szCs w:val="10"/>
                <w:color w:val="auto"/>
              </w:rPr>
            </w:pPr>
          </w:p>
        </w:tc>
        <w:tc>
          <w:tcPr>
            <w:tcW w:w="200" w:type="dxa"/>
            <w:vAlign w:val="bottom"/>
            <w:tcBorders>
              <w:top w:val="single" w:sz="8" w:color="CCFFCC"/>
            </w:tcBorders>
            <w:shd w:val="clear" w:color="auto" w:fill="CCFFCC"/>
          </w:tcPr>
          <w:p>
            <w:pPr>
              <w:spacing w:after="0"/>
              <w:rPr>
                <w:sz w:val="10"/>
                <w:szCs w:val="10"/>
                <w:color w:val="auto"/>
              </w:rPr>
            </w:pPr>
          </w:p>
        </w:tc>
        <w:tc>
          <w:tcPr>
            <w:tcW w:w="700" w:type="dxa"/>
            <w:vAlign w:val="bottom"/>
            <w:tcBorders>
              <w:top w:val="single" w:sz="8" w:color="auto"/>
            </w:tcBorders>
            <w:shd w:val="clear" w:color="auto" w:fill="CCFFCC"/>
          </w:tcPr>
          <w:p>
            <w:pPr>
              <w:spacing w:after="0"/>
              <w:rPr>
                <w:sz w:val="10"/>
                <w:szCs w:val="10"/>
                <w:color w:val="auto"/>
              </w:rPr>
            </w:pPr>
          </w:p>
        </w:tc>
        <w:tc>
          <w:tcPr>
            <w:tcW w:w="240" w:type="dxa"/>
            <w:vAlign w:val="bottom"/>
            <w:tcBorders>
              <w:top w:val="single" w:sz="8" w:color="CCFFCC"/>
            </w:tcBorders>
            <w:shd w:val="clear" w:color="auto" w:fill="CCFFCC"/>
          </w:tcPr>
          <w:p>
            <w:pPr>
              <w:spacing w:after="0"/>
              <w:rPr>
                <w:sz w:val="10"/>
                <w:szCs w:val="10"/>
                <w:color w:val="auto"/>
              </w:rPr>
            </w:pPr>
          </w:p>
        </w:tc>
        <w:tc>
          <w:tcPr>
            <w:tcW w:w="160" w:type="dxa"/>
            <w:vAlign w:val="bottom"/>
            <w:tcBorders>
              <w:top w:val="single" w:sz="8" w:color="auto"/>
            </w:tcBorders>
            <w:shd w:val="clear" w:color="auto" w:fill="CCFFCC"/>
          </w:tcPr>
          <w:p>
            <w:pPr>
              <w:spacing w:after="0"/>
              <w:rPr>
                <w:sz w:val="10"/>
                <w:szCs w:val="10"/>
                <w:color w:val="auto"/>
              </w:rPr>
            </w:pPr>
          </w:p>
        </w:tc>
        <w:tc>
          <w:tcPr>
            <w:tcW w:w="540" w:type="dxa"/>
            <w:vAlign w:val="bottom"/>
            <w:tcBorders>
              <w:top w:val="single" w:sz="8" w:color="auto"/>
            </w:tcBorders>
            <w:shd w:val="clear" w:color="auto" w:fill="CCFFCC"/>
          </w:tcPr>
          <w:p>
            <w:pPr>
              <w:spacing w:after="0"/>
              <w:rPr>
                <w:sz w:val="10"/>
                <w:szCs w:val="10"/>
                <w:color w:val="auto"/>
              </w:rPr>
            </w:pPr>
          </w:p>
        </w:tc>
        <w:tc>
          <w:tcPr>
            <w:tcW w:w="220" w:type="dxa"/>
            <w:vAlign w:val="bottom"/>
            <w:tcBorders>
              <w:top w:val="single" w:sz="8" w:color="CCFFCC"/>
            </w:tcBorders>
            <w:shd w:val="clear" w:color="auto" w:fill="CCFFCC"/>
          </w:tcPr>
          <w:p>
            <w:pPr>
              <w:spacing w:after="0"/>
              <w:rPr>
                <w:sz w:val="10"/>
                <w:szCs w:val="10"/>
                <w:color w:val="auto"/>
              </w:rPr>
            </w:pPr>
          </w:p>
        </w:tc>
        <w:tc>
          <w:tcPr>
            <w:tcW w:w="680" w:type="dxa"/>
            <w:vAlign w:val="bottom"/>
            <w:tcBorders>
              <w:top w:val="single" w:sz="8" w:color="auto"/>
            </w:tcBorders>
            <w:shd w:val="clear" w:color="auto" w:fill="CCFFCC"/>
          </w:tcPr>
          <w:p>
            <w:pPr>
              <w:spacing w:after="0"/>
              <w:rPr>
                <w:sz w:val="10"/>
                <w:szCs w:val="10"/>
                <w:color w:val="auto"/>
              </w:rPr>
            </w:pPr>
          </w:p>
        </w:tc>
        <w:tc>
          <w:tcPr>
            <w:tcW w:w="220" w:type="dxa"/>
            <w:vAlign w:val="bottom"/>
            <w:tcBorders>
              <w:top w:val="single" w:sz="8" w:color="CCFFCC"/>
            </w:tcBorders>
            <w:shd w:val="clear" w:color="auto" w:fill="CCFFCC"/>
          </w:tcPr>
          <w:p>
            <w:pPr>
              <w:spacing w:after="0"/>
              <w:rPr>
                <w:sz w:val="10"/>
                <w:szCs w:val="10"/>
                <w:color w:val="auto"/>
              </w:rPr>
            </w:pPr>
          </w:p>
        </w:tc>
        <w:tc>
          <w:tcPr>
            <w:tcW w:w="660" w:type="dxa"/>
            <w:vAlign w:val="bottom"/>
            <w:tcBorders>
              <w:top w:val="single" w:sz="8" w:color="auto"/>
            </w:tcBorders>
            <w:shd w:val="clear" w:color="auto" w:fill="CCFFCC"/>
          </w:tcPr>
          <w:p>
            <w:pPr>
              <w:spacing w:after="0"/>
              <w:rPr>
                <w:sz w:val="10"/>
                <w:szCs w:val="10"/>
                <w:color w:val="auto"/>
              </w:rPr>
            </w:pPr>
          </w:p>
        </w:tc>
        <w:tc>
          <w:tcPr>
            <w:tcW w:w="220" w:type="dxa"/>
            <w:vAlign w:val="bottom"/>
            <w:tcBorders>
              <w:top w:val="single" w:sz="8" w:color="CCFFCC"/>
            </w:tcBorders>
            <w:shd w:val="clear" w:color="auto" w:fill="CCFFCC"/>
          </w:tcPr>
          <w:p>
            <w:pPr>
              <w:spacing w:after="0"/>
              <w:rPr>
                <w:sz w:val="10"/>
                <w:szCs w:val="10"/>
                <w:color w:val="auto"/>
              </w:rPr>
            </w:pPr>
          </w:p>
        </w:tc>
        <w:tc>
          <w:tcPr>
            <w:tcW w:w="680" w:type="dxa"/>
            <w:vAlign w:val="bottom"/>
            <w:tcBorders>
              <w:top w:val="single" w:sz="8" w:color="auto"/>
            </w:tcBorders>
            <w:shd w:val="clear" w:color="auto" w:fill="CCFFCC"/>
          </w:tcPr>
          <w:p>
            <w:pPr>
              <w:spacing w:after="0"/>
              <w:rPr>
                <w:sz w:val="10"/>
                <w:szCs w:val="10"/>
                <w:color w:val="auto"/>
              </w:rPr>
            </w:pPr>
          </w:p>
        </w:tc>
        <w:tc>
          <w:tcPr>
            <w:tcW w:w="220" w:type="dxa"/>
            <w:vAlign w:val="bottom"/>
            <w:tcBorders>
              <w:top w:val="single" w:sz="8" w:color="CCFFCC"/>
            </w:tcBorders>
            <w:shd w:val="clear" w:color="auto" w:fill="CCFFCC"/>
          </w:tcPr>
          <w:p>
            <w:pPr>
              <w:spacing w:after="0"/>
              <w:rPr>
                <w:sz w:val="10"/>
                <w:szCs w:val="10"/>
                <w:color w:val="auto"/>
              </w:rPr>
            </w:pPr>
          </w:p>
        </w:tc>
        <w:tc>
          <w:tcPr>
            <w:tcW w:w="660" w:type="dxa"/>
            <w:vAlign w:val="bottom"/>
            <w:tcBorders>
              <w:top w:val="single" w:sz="8" w:color="auto"/>
            </w:tcBorders>
            <w:shd w:val="clear" w:color="auto" w:fill="CCFFCC"/>
          </w:tcPr>
          <w:p>
            <w:pPr>
              <w:spacing w:after="0"/>
              <w:rPr>
                <w:sz w:val="10"/>
                <w:szCs w:val="10"/>
                <w:color w:val="auto"/>
              </w:rPr>
            </w:pPr>
          </w:p>
        </w:tc>
        <w:tc>
          <w:tcPr>
            <w:tcW w:w="220" w:type="dxa"/>
            <w:vAlign w:val="bottom"/>
            <w:tcBorders>
              <w:top w:val="single" w:sz="8" w:color="CCFFCC"/>
            </w:tcBorders>
            <w:shd w:val="clear" w:color="auto" w:fill="CCFFCC"/>
          </w:tcPr>
          <w:p>
            <w:pPr>
              <w:spacing w:after="0"/>
              <w:rPr>
                <w:sz w:val="10"/>
                <w:szCs w:val="10"/>
                <w:color w:val="auto"/>
              </w:rPr>
            </w:pPr>
          </w:p>
        </w:tc>
        <w:tc>
          <w:tcPr>
            <w:tcW w:w="160" w:type="dxa"/>
            <w:vAlign w:val="bottom"/>
            <w:tcBorders>
              <w:top w:val="single" w:sz="8" w:color="auto"/>
            </w:tcBorders>
            <w:shd w:val="clear" w:color="auto" w:fill="CCFFCC"/>
          </w:tcPr>
          <w:p>
            <w:pPr>
              <w:spacing w:after="0"/>
              <w:rPr>
                <w:sz w:val="10"/>
                <w:szCs w:val="10"/>
                <w:color w:val="auto"/>
              </w:rPr>
            </w:pPr>
          </w:p>
        </w:tc>
        <w:tc>
          <w:tcPr>
            <w:tcW w:w="520" w:type="dxa"/>
            <w:vAlign w:val="bottom"/>
            <w:tcBorders>
              <w:top w:val="single" w:sz="8" w:color="auto"/>
            </w:tcBorders>
            <w:shd w:val="clear" w:color="auto" w:fill="CCFFCC"/>
          </w:tcPr>
          <w:p>
            <w:pPr>
              <w:spacing w:after="0"/>
              <w:rPr>
                <w:sz w:val="10"/>
                <w:szCs w:val="10"/>
                <w:color w:val="auto"/>
              </w:rPr>
            </w:pPr>
          </w:p>
        </w:tc>
        <w:tc>
          <w:tcPr>
            <w:tcW w:w="220" w:type="dxa"/>
            <w:vAlign w:val="bottom"/>
            <w:tcBorders>
              <w:top w:val="single" w:sz="8" w:color="CCFFCC"/>
            </w:tcBorders>
            <w:shd w:val="clear" w:color="auto" w:fill="CCFFCC"/>
          </w:tcPr>
          <w:p>
            <w:pPr>
              <w:spacing w:after="0"/>
              <w:rPr>
                <w:sz w:val="10"/>
                <w:szCs w:val="10"/>
                <w:color w:val="auto"/>
              </w:rPr>
            </w:pPr>
          </w:p>
        </w:tc>
        <w:tc>
          <w:tcPr>
            <w:tcW w:w="700" w:type="dxa"/>
            <w:vAlign w:val="bottom"/>
            <w:tcBorders>
              <w:top w:val="single" w:sz="8" w:color="auto"/>
              <w:right w:val="single" w:sz="8" w:color="CCFFCC"/>
            </w:tcBorders>
            <w:shd w:val="clear" w:color="auto" w:fill="CCFFCC"/>
          </w:tcPr>
          <w:p>
            <w:pPr>
              <w:spacing w:after="0"/>
              <w:rPr>
                <w:sz w:val="10"/>
                <w:szCs w:val="10"/>
                <w:color w:val="auto"/>
              </w:rPr>
            </w:pPr>
          </w:p>
        </w:tc>
        <w:tc>
          <w:tcPr>
            <w:tcW w:w="80" w:type="dxa"/>
            <w:vAlign w:val="bottom"/>
            <w:tcBorders>
              <w:top w:val="single" w:sz="8" w:color="CCFFCC"/>
            </w:tcBorders>
            <w:shd w:val="clear" w:color="auto" w:fill="CCFFCC"/>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400" w:type="dxa"/>
            <w:vAlign w:val="bottom"/>
          </w:tcPr>
          <w:p>
            <w:pPr>
              <w:spacing w:after="0"/>
              <w:rPr>
                <w:sz w:val="20"/>
                <w:szCs w:val="20"/>
                <w:color w:val="auto"/>
              </w:rPr>
            </w:pPr>
            <w:r>
              <w:rPr>
                <w:rFonts w:ascii="Arial" w:cs="Arial" w:eastAsia="Arial" w:hAnsi="Arial"/>
                <w:sz w:val="11"/>
                <w:szCs w:val="11"/>
                <w:b w:val="1"/>
                <w:bCs w:val="1"/>
                <w:color w:val="auto"/>
              </w:rPr>
              <w:t>Consolidated total loans</w:t>
            </w:r>
          </w:p>
        </w:tc>
        <w:tc>
          <w:tcPr>
            <w:tcW w:w="96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rPr>
              <w:t>22,574.6</w:t>
            </w:r>
          </w:p>
        </w:tc>
        <w:tc>
          <w:tcPr>
            <w:tcW w:w="74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21,500.7</w:t>
            </w:r>
          </w:p>
        </w:tc>
        <w:tc>
          <w:tcPr>
            <w:tcW w:w="900" w:type="dxa"/>
            <w:vAlign w:val="bottom"/>
            <w:gridSpan w:val="2"/>
          </w:tcPr>
          <w:p>
            <w:pPr>
              <w:jc w:val="right"/>
              <w:spacing w:after="0"/>
              <w:rPr>
                <w:sz w:val="20"/>
                <w:szCs w:val="20"/>
                <w:color w:val="auto"/>
              </w:rPr>
            </w:pPr>
            <w:r>
              <w:rPr>
                <w:rFonts w:ascii="Arial" w:cs="Arial" w:eastAsia="Arial" w:hAnsi="Arial"/>
                <w:sz w:val="11"/>
                <w:szCs w:val="11"/>
                <w:b w:val="1"/>
                <w:bCs w:val="1"/>
                <w:color w:val="auto"/>
              </w:rPr>
              <w:t>18,790.4</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rPr>
              <w:t>5.0%</w:t>
            </w:r>
          </w:p>
        </w:tc>
        <w:tc>
          <w:tcPr>
            <w:tcW w:w="90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rPr>
              <w:t>20.1%</w:t>
            </w:r>
          </w:p>
        </w:tc>
        <w:tc>
          <w:tcPr>
            <w:tcW w:w="88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11,317.7</w:t>
            </w:r>
          </w:p>
        </w:tc>
        <w:tc>
          <w:tcPr>
            <w:tcW w:w="680" w:type="dxa"/>
            <w:vAlign w:val="bottom"/>
          </w:tcPr>
          <w:p>
            <w:pPr>
              <w:jc w:val="right"/>
              <w:spacing w:after="0"/>
              <w:rPr>
                <w:sz w:val="20"/>
                <w:szCs w:val="20"/>
                <w:color w:val="auto"/>
              </w:rPr>
            </w:pPr>
            <w:r>
              <w:rPr>
                <w:rFonts w:ascii="Arial" w:cs="Arial" w:eastAsia="Arial" w:hAnsi="Arial"/>
                <w:sz w:val="11"/>
                <w:szCs w:val="11"/>
                <w:b w:val="1"/>
                <w:bCs w:val="1"/>
                <w:color w:val="auto"/>
              </w:rPr>
              <w:t>10,876.9</w:t>
            </w:r>
          </w:p>
        </w:tc>
        <w:tc>
          <w:tcPr>
            <w:tcW w:w="2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9,721.9</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tcPr>
          <w:p>
            <w:pPr>
              <w:ind w:left="380"/>
              <w:spacing w:after="0"/>
              <w:rPr>
                <w:sz w:val="20"/>
                <w:szCs w:val="20"/>
                <w:color w:val="auto"/>
              </w:rPr>
            </w:pPr>
            <w:r>
              <w:rPr>
                <w:rFonts w:ascii="Arial" w:cs="Arial" w:eastAsia="Arial" w:hAnsi="Arial"/>
                <w:sz w:val="11"/>
                <w:szCs w:val="11"/>
                <w:b w:val="1"/>
                <w:bCs w:val="1"/>
                <w:color w:val="auto"/>
              </w:rPr>
              <w:t>4.1%</w:t>
            </w:r>
          </w:p>
        </w:tc>
        <w:tc>
          <w:tcPr>
            <w:tcW w:w="780" w:type="dxa"/>
            <w:vAlign w:val="bottom"/>
            <w:gridSpan w:val="2"/>
          </w:tcPr>
          <w:p>
            <w:pPr>
              <w:jc w:val="right"/>
              <w:spacing w:after="0"/>
              <w:rPr>
                <w:sz w:val="20"/>
                <w:szCs w:val="20"/>
                <w:color w:val="auto"/>
              </w:rPr>
            </w:pPr>
            <w:r>
              <w:rPr>
                <w:rFonts w:ascii="Arial" w:cs="Arial" w:eastAsia="Arial" w:hAnsi="Arial"/>
                <w:sz w:val="11"/>
                <w:szCs w:val="11"/>
                <w:b w:val="1"/>
                <w:bCs w:val="1"/>
                <w:color w:val="auto"/>
              </w:rPr>
              <w:t>16.4%</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Average daily balance.</w:t>
      </w:r>
    </w:p>
    <w:p>
      <w:pPr>
        <w:spacing w:after="0" w:line="23" w:lineRule="exact"/>
        <w:rPr>
          <w:rFonts w:ascii="Arial" w:cs="Arial" w:eastAsia="Arial" w:hAnsi="Arial"/>
          <w:sz w:val="18"/>
          <w:szCs w:val="18"/>
          <w:i w:val="1"/>
          <w:iCs w:val="1"/>
          <w:color w:val="auto"/>
        </w:rPr>
      </w:pPr>
    </w:p>
    <w:p>
      <w:pPr>
        <w:ind w:left="260" w:right="7040" w:hanging="252"/>
        <w:spacing w:after="0" w:line="261" w:lineRule="auto"/>
        <w:tabs>
          <w:tab w:leader="none" w:pos="256"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Includes Work Out Unit, other banking and BCP Bolivia. Source: BCP</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Growth in the LC portfolio is due mainly to expansion in at the Retail Banking level, where the SME + Business and Mortgage segments stood out as the major contributors to this trend. The first segment posted QoQ growth of 8.7% and the second 11% while YoY expansion for the same was situated at 32.3% and 35.6%, respectively.</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4" w:name="page15"/>
    <w:bookmarkEnd w:id="14"/>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6254750</wp:posOffset>
            </wp:positionH>
            <wp:positionV relativeFrom="page">
              <wp:posOffset>568960</wp:posOffset>
            </wp:positionV>
            <wp:extent cx="1149350" cy="3175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Edyficar’s portfolio continues to be concentrated in LC and registered significant growth of 11.1% QoQ and 41.5% YoY.</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FC loan portfolio posted a quarterly expansion (+4.1%) and annual growth (16.4%). This positive evolution was the product of growth in the Wholesale Banking portfolio, where Corporate Banking and Middle-Market Banking made similar contributions.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Market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152400</wp:posOffset>
            </wp:positionV>
            <wp:extent cx="4622165" cy="18097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622165" cy="180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the end of November 2012 BCP consolidated, continued to lead the loan market with a 30.8% share, which situates the Bank more than 10 points ahead of its closest competitor.</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month-end in November 2012, Corporate Banking’s share of loans fell from 47.1% in September to 46.7% while Middle Market Banking posted a significant increase during the same period (33.0% at the end of September versus 33.4% at the end of November). Within Retail Banking, the segment that posted the largest increase in market share QoQ was SME (22.7% in 3Q12 versus 23.1% in 4Q12).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Dollarization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share of LC loans in total loans totaled 44.1% at the end of 2012 (vs. 41.7% as of December, 2011). This situation is explained by the significant expansion in Retail Banking loans, which are mainly denominated in LC.</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2258695</wp:posOffset>
            </wp:positionH>
            <wp:positionV relativeFrom="page">
              <wp:posOffset>568960</wp:posOffset>
            </wp:positionV>
            <wp:extent cx="5145405" cy="23152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5405" cy="2315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II. 2 Liabilities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Total liabilities increased 8.3% QoQ, primarily due to 9.8% growth in deposits, which tops expansion in gross loans (+5.5%). The aforementioned allowed the bank to post a loan/deposit ratio of 90.9% (vs. 94.6% in 3Q12).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Deposits and obligations</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Quarter</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20" w:type="dxa"/>
            <w:vAlign w:val="bottom"/>
            <w:gridSpan w:val="3"/>
          </w:tcPr>
          <w:p>
            <w:pPr>
              <w:ind w:left="60"/>
              <w:spacing w:after="0"/>
              <w:rPr>
                <w:sz w:val="20"/>
                <w:szCs w:val="20"/>
                <w:color w:val="auto"/>
              </w:rPr>
            </w:pPr>
            <w:r>
              <w:rPr>
                <w:rFonts w:ascii="Arial" w:cs="Arial" w:eastAsia="Arial" w:hAnsi="Arial"/>
                <w:sz w:val="18"/>
                <w:szCs w:val="18"/>
                <w:b w:val="1"/>
                <w:bCs w:val="1"/>
                <w:color w:val="auto"/>
                <w:w w:val="96"/>
              </w:rPr>
              <w:t>Change %</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4"/>
        </w:trPr>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US$ 000</w:t>
            </w:r>
          </w:p>
        </w:tc>
        <w:tc>
          <w:tcPr>
            <w:tcW w:w="100" w:type="dxa"/>
            <w:vAlign w:val="bottom"/>
            <w:tcBorders>
              <w:bottom w:val="single" w:sz="8" w:color="CCFFCC"/>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4Q12</w:t>
            </w:r>
          </w:p>
        </w:tc>
        <w:tc>
          <w:tcPr>
            <w:tcW w:w="220" w:type="dxa"/>
            <w:vAlign w:val="bottom"/>
            <w:tcBorders>
              <w:bottom w:val="single" w:sz="8" w:color="CCFFCC"/>
            </w:tcBorders>
          </w:tcPr>
          <w:p>
            <w:pPr>
              <w:spacing w:after="0"/>
              <w:rPr>
                <w:sz w:val="20"/>
                <w:szCs w:val="20"/>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3Q12</w:t>
            </w:r>
          </w:p>
        </w:tc>
        <w:tc>
          <w:tcPr>
            <w:tcW w:w="220" w:type="dxa"/>
            <w:vAlign w:val="bottom"/>
            <w:tcBorders>
              <w:bottom w:val="single" w:sz="8" w:color="CCFFCC"/>
            </w:tcBorders>
          </w:tcPr>
          <w:p>
            <w:pPr>
              <w:spacing w:after="0"/>
              <w:rPr>
                <w:sz w:val="20"/>
                <w:szCs w:val="20"/>
                <w:color w:val="auto"/>
              </w:rPr>
            </w:pP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4Q11</w:t>
            </w:r>
          </w:p>
        </w:tc>
        <w:tc>
          <w:tcPr>
            <w:tcW w:w="200" w:type="dxa"/>
            <w:vAlign w:val="bottom"/>
            <w:tcBorders>
              <w:bottom w:val="single" w:sz="8" w:color="CCFFCC"/>
            </w:tcBorders>
          </w:tcPr>
          <w:p>
            <w:pPr>
              <w:spacing w:after="0"/>
              <w:rPr>
                <w:sz w:val="20"/>
                <w:szCs w:val="20"/>
                <w:color w:val="auto"/>
              </w:rPr>
            </w:pPr>
          </w:p>
        </w:tc>
        <w:tc>
          <w:tcPr>
            <w:tcW w:w="70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w w:val="92"/>
              </w:rPr>
              <w:t>QoQ</w:t>
            </w:r>
          </w:p>
        </w:tc>
        <w:tc>
          <w:tcPr>
            <w:tcW w:w="320" w:type="dxa"/>
            <w:vAlign w:val="bottom"/>
            <w:tcBorders>
              <w:bottom w:val="single" w:sz="8" w:color="auto"/>
            </w:tcBorders>
          </w:tcPr>
          <w:p>
            <w:pPr>
              <w:spacing w:after="0"/>
              <w:rPr>
                <w:sz w:val="20"/>
                <w:szCs w:val="20"/>
                <w:color w:val="auto"/>
              </w:rPr>
            </w:pPr>
          </w:p>
        </w:tc>
        <w:tc>
          <w:tcPr>
            <w:tcW w:w="300" w:type="dxa"/>
            <w:vAlign w:val="bottom"/>
            <w:tcBorders>
              <w:bottom w:val="single" w:sz="8" w:color="CCFFC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6"/>
              </w:rPr>
              <w:t>YoY</w:t>
            </w:r>
          </w:p>
        </w:tc>
        <w:tc>
          <w:tcPr>
            <w:tcW w:w="180" w:type="dxa"/>
            <w:vAlign w:val="bottom"/>
            <w:tcBorders>
              <w:bottom w:val="single" w:sz="8" w:color="CCFFCC"/>
            </w:tcBorders>
          </w:tcPr>
          <w:p>
            <w:pPr>
              <w:spacing w:after="0"/>
              <w:rPr>
                <w:sz w:val="20"/>
                <w:szCs w:val="20"/>
                <w:color w:val="auto"/>
              </w:rPr>
            </w:pPr>
          </w:p>
        </w:tc>
      </w:tr>
      <w:tr>
        <w:trPr>
          <w:trHeight w:val="210"/>
        </w:trPr>
        <w:tc>
          <w:tcPr>
            <w:tcW w:w="5120" w:type="dxa"/>
            <w:vAlign w:val="bottom"/>
            <w:shd w:val="clear" w:color="auto" w:fill="CCFFCC"/>
          </w:tcPr>
          <w:p>
            <w:pPr>
              <w:spacing w:after="0"/>
              <w:rPr>
                <w:sz w:val="20"/>
                <w:szCs w:val="20"/>
                <w:color w:val="auto"/>
              </w:rPr>
            </w:pPr>
            <w:r>
              <w:rPr>
                <w:rFonts w:ascii="Arial" w:cs="Arial" w:eastAsia="Arial" w:hAnsi="Arial"/>
                <w:sz w:val="18"/>
                <w:szCs w:val="18"/>
                <w:color w:val="auto"/>
              </w:rPr>
              <w:t>Demand deposits (non-interest bearing)</w:t>
            </w:r>
          </w:p>
        </w:tc>
        <w:tc>
          <w:tcPr>
            <w:tcW w:w="10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6,208,482</w:t>
            </w:r>
          </w:p>
        </w:tc>
        <w:tc>
          <w:tcPr>
            <w:tcW w:w="22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5,614,045</w:t>
            </w:r>
          </w:p>
        </w:tc>
        <w:tc>
          <w:tcPr>
            <w:tcW w:w="22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5,106,225</w:t>
            </w:r>
          </w:p>
        </w:tc>
        <w:tc>
          <w:tcPr>
            <w:tcW w:w="20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62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w w:val="90"/>
              </w:rPr>
              <w:t>10.6%</w:t>
            </w:r>
          </w:p>
        </w:tc>
        <w:tc>
          <w:tcPr>
            <w:tcW w:w="3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21.6%</w:t>
            </w: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Demand deposits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1,376,971</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1,335,369</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1,427,270</w:t>
            </w:r>
          </w:p>
        </w:tc>
        <w:tc>
          <w:tcPr>
            <w:tcW w:w="700" w:type="dxa"/>
            <w:vAlign w:val="bottom"/>
          </w:tcPr>
          <w:p>
            <w:pPr>
              <w:spacing w:after="0"/>
              <w:rPr>
                <w:sz w:val="18"/>
                <w:szCs w:val="18"/>
                <w:color w:val="auto"/>
              </w:rPr>
            </w:pPr>
          </w:p>
        </w:tc>
        <w:tc>
          <w:tcPr>
            <w:tcW w:w="620" w:type="dxa"/>
            <w:vAlign w:val="bottom"/>
            <w:gridSpan w:val="2"/>
          </w:tcPr>
          <w:p>
            <w:pPr>
              <w:jc w:val="right"/>
              <w:ind w:right="50"/>
              <w:spacing w:after="0"/>
              <w:rPr>
                <w:sz w:val="20"/>
                <w:szCs w:val="20"/>
                <w:color w:val="auto"/>
              </w:rPr>
            </w:pPr>
            <w:r>
              <w:rPr>
                <w:rFonts w:ascii="Arial" w:cs="Arial" w:eastAsia="Arial" w:hAnsi="Arial"/>
                <w:sz w:val="18"/>
                <w:szCs w:val="18"/>
                <w:color w:val="auto"/>
              </w:rPr>
              <w:t>3.1%</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52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Saving deposits</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6,084,550</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5,635,303</w:t>
            </w: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5,096,442</w:t>
            </w:r>
          </w:p>
        </w:tc>
        <w:tc>
          <w:tcPr>
            <w:tcW w:w="700" w:type="dxa"/>
            <w:vAlign w:val="bottom"/>
            <w:shd w:val="clear" w:color="auto" w:fill="CCFFCC"/>
          </w:tcPr>
          <w:p>
            <w:pPr>
              <w:spacing w:after="0"/>
              <w:rPr>
                <w:sz w:val="18"/>
                <w:szCs w:val="18"/>
                <w:color w:val="auto"/>
              </w:rPr>
            </w:pPr>
          </w:p>
        </w:tc>
        <w:tc>
          <w:tcPr>
            <w:tcW w:w="62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8.0%</w:t>
            </w:r>
          </w:p>
        </w:tc>
        <w:tc>
          <w:tcPr>
            <w:tcW w:w="3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19.4%</w:t>
            </w: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Time deposits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6,872,223</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6,260,989</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4,396,676</w:t>
            </w:r>
          </w:p>
        </w:tc>
        <w:tc>
          <w:tcPr>
            <w:tcW w:w="700" w:type="dxa"/>
            <w:vAlign w:val="bottom"/>
          </w:tcPr>
          <w:p>
            <w:pPr>
              <w:spacing w:after="0"/>
              <w:rPr>
                <w:sz w:val="18"/>
                <w:szCs w:val="18"/>
                <w:color w:val="auto"/>
              </w:rPr>
            </w:pPr>
          </w:p>
        </w:tc>
        <w:tc>
          <w:tcPr>
            <w:tcW w:w="620" w:type="dxa"/>
            <w:vAlign w:val="bottom"/>
            <w:gridSpan w:val="2"/>
          </w:tcPr>
          <w:p>
            <w:pPr>
              <w:jc w:val="right"/>
              <w:ind w:right="50"/>
              <w:spacing w:after="0"/>
              <w:rPr>
                <w:sz w:val="20"/>
                <w:szCs w:val="20"/>
                <w:color w:val="auto"/>
              </w:rPr>
            </w:pPr>
            <w:r>
              <w:rPr>
                <w:rFonts w:ascii="Arial" w:cs="Arial" w:eastAsia="Arial" w:hAnsi="Arial"/>
                <w:sz w:val="18"/>
                <w:szCs w:val="18"/>
                <w:color w:val="auto"/>
              </w:rPr>
              <w:t>9.8%</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56.3%</w:t>
            </w:r>
          </w:p>
        </w:tc>
      </w:tr>
      <w:tr>
        <w:trPr>
          <w:trHeight w:val="216"/>
        </w:trPr>
        <w:tc>
          <w:tcPr>
            <w:tcW w:w="52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Severance indemnity deposits (CTS)</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2,232,492</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1,904,804</w:t>
            </w: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1,757,124</w:t>
            </w:r>
          </w:p>
        </w:tc>
        <w:tc>
          <w:tcPr>
            <w:tcW w:w="700" w:type="dxa"/>
            <w:vAlign w:val="bottom"/>
            <w:shd w:val="clear" w:color="auto" w:fill="CCFFCC"/>
          </w:tcPr>
          <w:p>
            <w:pPr>
              <w:spacing w:after="0"/>
              <w:rPr>
                <w:sz w:val="18"/>
                <w:szCs w:val="18"/>
                <w:color w:val="auto"/>
              </w:rPr>
            </w:pPr>
          </w:p>
        </w:tc>
        <w:tc>
          <w:tcPr>
            <w:tcW w:w="62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w w:val="90"/>
              </w:rPr>
              <w:t>17.2%</w:t>
            </w:r>
          </w:p>
        </w:tc>
        <w:tc>
          <w:tcPr>
            <w:tcW w:w="3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27.1%</w:t>
            </w:r>
          </w:p>
        </w:tc>
      </w:tr>
      <w:tr>
        <w:trPr>
          <w:trHeight w:val="230"/>
        </w:trPr>
        <w:tc>
          <w:tcPr>
            <w:tcW w:w="5220" w:type="dxa"/>
            <w:vAlign w:val="bottom"/>
            <w:gridSpan w:val="2"/>
          </w:tcPr>
          <w:p>
            <w:pPr>
              <w:spacing w:after="0"/>
              <w:rPr>
                <w:sz w:val="20"/>
                <w:szCs w:val="20"/>
                <w:color w:val="auto"/>
              </w:rPr>
            </w:pPr>
            <w:r>
              <w:rPr>
                <w:rFonts w:ascii="Arial" w:cs="Arial" w:eastAsia="Arial" w:hAnsi="Arial"/>
                <w:sz w:val="18"/>
                <w:szCs w:val="18"/>
                <w:color w:val="auto"/>
              </w:rPr>
              <w:t>Interest payable</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63,366</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54,379</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52,223</w:t>
            </w:r>
          </w:p>
        </w:tc>
        <w:tc>
          <w:tcPr>
            <w:tcW w:w="700" w:type="dxa"/>
            <w:vAlign w:val="bottom"/>
          </w:tcPr>
          <w:p>
            <w:pPr>
              <w:spacing w:after="0"/>
              <w:rPr>
                <w:sz w:val="19"/>
                <w:szCs w:val="19"/>
                <w:color w:val="auto"/>
              </w:rPr>
            </w:pPr>
          </w:p>
        </w:tc>
        <w:tc>
          <w:tcPr>
            <w:tcW w:w="620" w:type="dxa"/>
            <w:vAlign w:val="bottom"/>
            <w:gridSpan w:val="2"/>
          </w:tcPr>
          <w:p>
            <w:pPr>
              <w:jc w:val="right"/>
              <w:ind w:right="50"/>
              <w:spacing w:after="0"/>
              <w:rPr>
                <w:sz w:val="20"/>
                <w:szCs w:val="20"/>
                <w:color w:val="auto"/>
              </w:rPr>
            </w:pPr>
            <w:r>
              <w:rPr>
                <w:rFonts w:ascii="Arial" w:cs="Arial" w:eastAsia="Arial" w:hAnsi="Arial"/>
                <w:sz w:val="18"/>
                <w:szCs w:val="18"/>
                <w:color w:val="auto"/>
                <w:w w:val="90"/>
              </w:rPr>
              <w:t>16.5%</w:t>
            </w:r>
          </w:p>
        </w:tc>
        <w:tc>
          <w:tcPr>
            <w:tcW w:w="3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21.3%</w:t>
            </w:r>
          </w:p>
        </w:tc>
      </w:tr>
      <w:tr>
        <w:trPr>
          <w:trHeight w:val="210"/>
        </w:trPr>
        <w:tc>
          <w:tcPr>
            <w:tcW w:w="522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b w:val="1"/>
                <w:bCs w:val="1"/>
                <w:color w:val="auto"/>
              </w:rPr>
              <w:t>Total customer deposits</w:t>
            </w:r>
          </w:p>
        </w:tc>
        <w:tc>
          <w:tcPr>
            <w:tcW w:w="10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22,838,084</w:t>
            </w:r>
          </w:p>
        </w:tc>
        <w:tc>
          <w:tcPr>
            <w:tcW w:w="220" w:type="dxa"/>
            <w:vAlign w:val="bottom"/>
            <w:tcBorders>
              <w:top w:val="single" w:sz="8" w:color="CCFFCC"/>
            </w:tcBorders>
            <w:shd w:val="clear" w:color="auto" w:fill="CCFFCC"/>
          </w:tcPr>
          <w:p>
            <w:pPr>
              <w:spacing w:after="0"/>
              <w:rPr>
                <w:sz w:val="18"/>
                <w:szCs w:val="18"/>
                <w:color w:val="auto"/>
              </w:rPr>
            </w:pPr>
          </w:p>
        </w:tc>
        <w:tc>
          <w:tcPr>
            <w:tcW w:w="10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20,804,889</w:t>
            </w:r>
          </w:p>
        </w:tc>
        <w:tc>
          <w:tcPr>
            <w:tcW w:w="220" w:type="dxa"/>
            <w:vAlign w:val="bottom"/>
            <w:tcBorders>
              <w:top w:val="single" w:sz="8" w:color="CCFFCC"/>
            </w:tcBorders>
            <w:shd w:val="clear" w:color="auto" w:fill="CCFFCC"/>
          </w:tcPr>
          <w:p>
            <w:pPr>
              <w:spacing w:after="0"/>
              <w:rPr>
                <w:sz w:val="18"/>
                <w:szCs w:val="18"/>
                <w:color w:val="auto"/>
              </w:rPr>
            </w:pPr>
          </w:p>
        </w:tc>
        <w:tc>
          <w:tcPr>
            <w:tcW w:w="10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17,835,960</w:t>
            </w:r>
          </w:p>
        </w:tc>
        <w:tc>
          <w:tcPr>
            <w:tcW w:w="200" w:type="dxa"/>
            <w:vAlign w:val="bottom"/>
            <w:tcBorders>
              <w:top w:val="single" w:sz="8" w:color="CCFFCC"/>
            </w:tcBorders>
            <w:shd w:val="clear" w:color="auto" w:fill="CCFFCC"/>
          </w:tcPr>
          <w:p>
            <w:pPr>
              <w:spacing w:after="0"/>
              <w:rPr>
                <w:sz w:val="18"/>
                <w:szCs w:val="18"/>
                <w:color w:val="auto"/>
              </w:rPr>
            </w:pPr>
          </w:p>
        </w:tc>
        <w:tc>
          <w:tcPr>
            <w:tcW w:w="700" w:type="dxa"/>
            <w:vAlign w:val="bottom"/>
            <w:tcBorders>
              <w:top w:val="single" w:sz="8" w:color="auto"/>
              <w:bottom w:val="single" w:sz="8" w:color="auto"/>
            </w:tcBorders>
            <w:shd w:val="clear" w:color="auto" w:fill="CCFFCC"/>
          </w:tcPr>
          <w:p>
            <w:pPr>
              <w:spacing w:after="0"/>
              <w:rPr>
                <w:sz w:val="18"/>
                <w:szCs w:val="18"/>
                <w:color w:val="auto"/>
              </w:rPr>
            </w:pPr>
          </w:p>
        </w:tc>
        <w:tc>
          <w:tcPr>
            <w:tcW w:w="3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9.8</w:t>
            </w:r>
          </w:p>
        </w:tc>
        <w:tc>
          <w:tcPr>
            <w:tcW w:w="300" w:type="dxa"/>
            <w:vAlign w:val="bottom"/>
            <w:tcBorders>
              <w:top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300" w:type="dxa"/>
            <w:vAlign w:val="bottom"/>
            <w:tcBorders>
              <w:top w:val="single" w:sz="8" w:color="auto"/>
              <w:bottom w:val="single" w:sz="8" w:color="auto"/>
            </w:tcBorders>
            <w:shd w:val="clear" w:color="auto" w:fill="CCFFCC"/>
          </w:tcPr>
          <w:p>
            <w:pPr>
              <w:spacing w:after="0"/>
              <w:rPr>
                <w:sz w:val="18"/>
                <w:szCs w:val="18"/>
                <w:color w:val="auto"/>
              </w:rPr>
            </w:pPr>
          </w:p>
        </w:tc>
        <w:tc>
          <w:tcPr>
            <w:tcW w:w="7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28.0</w:t>
            </w:r>
          </w:p>
        </w:tc>
        <w:tc>
          <w:tcPr>
            <w:tcW w:w="18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10"/>
        </w:trPr>
        <w:tc>
          <w:tcPr>
            <w:tcW w:w="5220" w:type="dxa"/>
            <w:vAlign w:val="bottom"/>
            <w:gridSpan w:val="2"/>
          </w:tcPr>
          <w:p>
            <w:pPr>
              <w:spacing w:after="0"/>
              <w:rPr>
                <w:sz w:val="20"/>
                <w:szCs w:val="20"/>
                <w:color w:val="auto"/>
              </w:rPr>
            </w:pPr>
            <w:r>
              <w:rPr>
                <w:rFonts w:ascii="Arial" w:cs="Arial" w:eastAsia="Arial" w:hAnsi="Arial"/>
                <w:sz w:val="18"/>
                <w:szCs w:val="18"/>
                <w:color w:val="auto"/>
              </w:rPr>
              <w:t>Due to banks and correspondents</w:t>
            </w:r>
          </w:p>
        </w:tc>
        <w:tc>
          <w:tcPr>
            <w:tcW w:w="1020" w:type="dxa"/>
            <w:vAlign w:val="bottom"/>
          </w:tcPr>
          <w:p>
            <w:pPr>
              <w:jc w:val="right"/>
              <w:spacing w:after="0"/>
              <w:rPr>
                <w:sz w:val="20"/>
                <w:szCs w:val="20"/>
                <w:color w:val="auto"/>
              </w:rPr>
            </w:pPr>
            <w:r>
              <w:rPr>
                <w:rFonts w:ascii="Arial" w:cs="Arial" w:eastAsia="Arial" w:hAnsi="Arial"/>
                <w:sz w:val="18"/>
                <w:szCs w:val="18"/>
                <w:color w:val="auto"/>
              </w:rPr>
              <w:t>4,406,225</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4,025,530</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2,966,524</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gridSpan w:val="2"/>
          </w:tcPr>
          <w:p>
            <w:pPr>
              <w:jc w:val="right"/>
              <w:ind w:right="50"/>
              <w:spacing w:after="0"/>
              <w:rPr>
                <w:sz w:val="20"/>
                <w:szCs w:val="20"/>
                <w:color w:val="auto"/>
              </w:rPr>
            </w:pPr>
            <w:r>
              <w:rPr>
                <w:rFonts w:ascii="Arial" w:cs="Arial" w:eastAsia="Arial" w:hAnsi="Arial"/>
                <w:sz w:val="18"/>
                <w:szCs w:val="18"/>
                <w:color w:val="auto"/>
              </w:rPr>
              <w:t>9.5%</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48.5%</w:t>
            </w:r>
          </w:p>
        </w:tc>
      </w:tr>
      <w:tr>
        <w:trPr>
          <w:trHeight w:val="216"/>
        </w:trPr>
        <w:tc>
          <w:tcPr>
            <w:tcW w:w="52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Bonds and subordinated debt</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3,684,908</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3,507,149</w:t>
            </w: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3,114,960</w:t>
            </w:r>
          </w:p>
        </w:tc>
        <w:tc>
          <w:tcPr>
            <w:tcW w:w="700" w:type="dxa"/>
            <w:vAlign w:val="bottom"/>
            <w:shd w:val="clear" w:color="auto" w:fill="CCFFCC"/>
          </w:tcPr>
          <w:p>
            <w:pPr>
              <w:spacing w:after="0"/>
              <w:rPr>
                <w:sz w:val="18"/>
                <w:szCs w:val="18"/>
                <w:color w:val="auto"/>
              </w:rPr>
            </w:pPr>
          </w:p>
        </w:tc>
        <w:tc>
          <w:tcPr>
            <w:tcW w:w="62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5.1%</w:t>
            </w:r>
          </w:p>
        </w:tc>
        <w:tc>
          <w:tcPr>
            <w:tcW w:w="3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18.3%</w:t>
            </w:r>
          </w:p>
        </w:tc>
      </w:tr>
      <w:tr>
        <w:trPr>
          <w:trHeight w:val="230"/>
        </w:trPr>
        <w:tc>
          <w:tcPr>
            <w:tcW w:w="522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2,014,743</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2,071,431</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712,923</w:t>
            </w:r>
          </w:p>
        </w:tc>
        <w:tc>
          <w:tcPr>
            <w:tcW w:w="700" w:type="dxa"/>
            <w:vAlign w:val="bottom"/>
          </w:tcPr>
          <w:p>
            <w:pPr>
              <w:spacing w:after="0"/>
              <w:rPr>
                <w:sz w:val="19"/>
                <w:szCs w:val="19"/>
                <w:color w:val="auto"/>
              </w:rPr>
            </w:pPr>
          </w:p>
        </w:tc>
        <w:tc>
          <w:tcPr>
            <w:tcW w:w="620" w:type="dxa"/>
            <w:vAlign w:val="bottom"/>
            <w:gridSpan w:val="2"/>
          </w:tcPr>
          <w:p>
            <w:pPr>
              <w:jc w:val="right"/>
              <w:ind w:right="50"/>
              <w:spacing w:after="0"/>
              <w:rPr>
                <w:sz w:val="20"/>
                <w:szCs w:val="20"/>
                <w:color w:val="auto"/>
              </w:rPr>
            </w:pPr>
            <w:r>
              <w:rPr>
                <w:rFonts w:ascii="Arial" w:cs="Arial" w:eastAsia="Arial" w:hAnsi="Arial"/>
                <w:sz w:val="18"/>
                <w:szCs w:val="18"/>
                <w:color w:val="auto"/>
                <w:w w:val="97"/>
              </w:rPr>
              <w:t>-2.7%</w:t>
            </w:r>
          </w:p>
        </w:tc>
        <w:tc>
          <w:tcPr>
            <w:tcW w:w="3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182.6%</w:t>
            </w:r>
          </w:p>
        </w:tc>
      </w:tr>
      <w:tr>
        <w:trPr>
          <w:trHeight w:val="210"/>
        </w:trPr>
        <w:tc>
          <w:tcPr>
            <w:tcW w:w="522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b w:val="1"/>
                <w:bCs w:val="1"/>
                <w:color w:val="auto"/>
              </w:rPr>
              <w:t>Total liabilities</w:t>
            </w:r>
          </w:p>
        </w:tc>
        <w:tc>
          <w:tcPr>
            <w:tcW w:w="10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32,943,960</w:t>
            </w:r>
          </w:p>
        </w:tc>
        <w:tc>
          <w:tcPr>
            <w:tcW w:w="220" w:type="dxa"/>
            <w:vAlign w:val="bottom"/>
            <w:tcBorders>
              <w:top w:val="single" w:sz="8" w:color="CCFFCC"/>
            </w:tcBorders>
            <w:shd w:val="clear" w:color="auto" w:fill="CCFFCC"/>
          </w:tcPr>
          <w:p>
            <w:pPr>
              <w:spacing w:after="0"/>
              <w:rPr>
                <w:sz w:val="18"/>
                <w:szCs w:val="18"/>
                <w:color w:val="auto"/>
              </w:rPr>
            </w:pPr>
          </w:p>
        </w:tc>
        <w:tc>
          <w:tcPr>
            <w:tcW w:w="10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30,408,999</w:t>
            </w:r>
          </w:p>
        </w:tc>
        <w:tc>
          <w:tcPr>
            <w:tcW w:w="220" w:type="dxa"/>
            <w:vAlign w:val="bottom"/>
            <w:tcBorders>
              <w:top w:val="single" w:sz="8" w:color="CCFFCC"/>
            </w:tcBorders>
            <w:shd w:val="clear" w:color="auto" w:fill="CCFFCC"/>
          </w:tcPr>
          <w:p>
            <w:pPr>
              <w:spacing w:after="0"/>
              <w:rPr>
                <w:sz w:val="18"/>
                <w:szCs w:val="18"/>
                <w:color w:val="auto"/>
              </w:rPr>
            </w:pPr>
          </w:p>
        </w:tc>
        <w:tc>
          <w:tcPr>
            <w:tcW w:w="10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24,630,367</w:t>
            </w:r>
          </w:p>
        </w:tc>
        <w:tc>
          <w:tcPr>
            <w:tcW w:w="200" w:type="dxa"/>
            <w:vAlign w:val="bottom"/>
            <w:tcBorders>
              <w:top w:val="single" w:sz="8" w:color="CCFFCC"/>
            </w:tcBorders>
            <w:shd w:val="clear" w:color="auto" w:fill="CCFFCC"/>
          </w:tcPr>
          <w:p>
            <w:pPr>
              <w:spacing w:after="0"/>
              <w:rPr>
                <w:sz w:val="18"/>
                <w:szCs w:val="18"/>
                <w:color w:val="auto"/>
              </w:rPr>
            </w:pPr>
          </w:p>
        </w:tc>
        <w:tc>
          <w:tcPr>
            <w:tcW w:w="700" w:type="dxa"/>
            <w:vAlign w:val="bottom"/>
            <w:tcBorders>
              <w:top w:val="single" w:sz="8" w:color="auto"/>
              <w:bottom w:val="single" w:sz="8" w:color="auto"/>
            </w:tcBorders>
            <w:shd w:val="clear" w:color="auto" w:fill="CCFFCC"/>
          </w:tcPr>
          <w:p>
            <w:pPr>
              <w:spacing w:after="0"/>
              <w:rPr>
                <w:sz w:val="18"/>
                <w:szCs w:val="18"/>
                <w:color w:val="auto"/>
              </w:rPr>
            </w:pPr>
          </w:p>
        </w:tc>
        <w:tc>
          <w:tcPr>
            <w:tcW w:w="3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8.3</w:t>
            </w:r>
          </w:p>
        </w:tc>
        <w:tc>
          <w:tcPr>
            <w:tcW w:w="300" w:type="dxa"/>
            <w:vAlign w:val="bottom"/>
            <w:tcBorders>
              <w:top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300" w:type="dxa"/>
            <w:vAlign w:val="bottom"/>
            <w:tcBorders>
              <w:top w:val="single" w:sz="8" w:color="auto"/>
              <w:bottom w:val="single" w:sz="8" w:color="auto"/>
            </w:tcBorders>
            <w:shd w:val="clear" w:color="auto" w:fill="CCFFCC"/>
          </w:tcPr>
          <w:p>
            <w:pPr>
              <w:spacing w:after="0"/>
              <w:rPr>
                <w:sz w:val="18"/>
                <w:szCs w:val="18"/>
                <w:color w:val="auto"/>
              </w:rPr>
            </w:pPr>
          </w:p>
        </w:tc>
        <w:tc>
          <w:tcPr>
            <w:tcW w:w="7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33.8</w:t>
            </w:r>
          </w:p>
        </w:tc>
        <w:tc>
          <w:tcPr>
            <w:tcW w:w="18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deposits continued to be BCP’s main funding source and expanded 9.8% QoQ. This growth was due primarily to time deposits, which grew 9.8% QoQ and an outstanding 56.3% YoY.</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 analysis of the evolution of core deposits (Demand, Savings and CTS) reveals expansion of 9.8% QoQ, which was due to an increase in savings deposits (+8% QoQ) and to a lesser extent to growth in CTS deposits (+17.2%). Core deposits’ share of total deposits remained steady at 69.6% at the end of 4Q12, which is similar to the level reported in 3Q12.</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analysis of deposits versus funding costs, it is important to mention the 27.2% share that non-interest bearing deposits posted in total deposits, which contributed to keeping funding costs low for a funding source as important as deposits are.</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regard to the loan/deposit ratio, it is important to note the low ratio for local currency, which was situated at 70.6%, while the ratio for foreign currency was 108.3%.</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other funding sources (+5.2% QoQ) was due primarily to the increase in debt owed to banks and correspondents (+9.5% QoQ), which was primarily attributable to the guaranteed loans with Nomura and Barclays.</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6" w:name="page17"/>
    <w:bookmarkEnd w:id="16"/>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6254750</wp:posOffset>
            </wp:positionH>
            <wp:positionV relativeFrom="page">
              <wp:posOffset>568960</wp:posOffset>
            </wp:positionV>
            <wp:extent cx="1149350" cy="3175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r>
    </w:p>
    <w:p>
      <w:pPr>
        <w:spacing w:after="0" w:line="210" w:lineRule="auto"/>
        <w:rPr>
          <w:sz w:val="20"/>
          <w:szCs w:val="20"/>
          <w:color w:val="auto"/>
        </w:rPr>
      </w:pPr>
      <w:r>
        <w:rPr>
          <w:rFonts w:ascii="Arial" w:cs="Arial" w:eastAsia="Arial" w:hAnsi="Arial"/>
          <w:sz w:val="18"/>
          <w:szCs w:val="18"/>
          <w:color w:val="auto"/>
        </w:rPr>
        <w:t>Finally, the Bank’s funding cost was situated at 2.24%</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in 4Q12, which is 2 pbs lower than the level reported at the end of 3Q12 (2.26%</w:t>
      </w:r>
      <w:r>
        <w:rPr>
          <w:rFonts w:ascii="Arial" w:cs="Arial" w:eastAsia="Arial" w:hAnsi="Arial"/>
          <w:sz w:val="30"/>
          <w:szCs w:val="30"/>
          <w:color w:val="auto"/>
          <w:vertAlign w:val="superscript"/>
        </w:rPr>
        <w:t>1</w:t>
      </w:r>
      <w:r>
        <w:rPr>
          <w:rFonts w:ascii="Arial" w:cs="Arial" w:eastAsia="Arial" w:hAnsi="Arial"/>
          <w:sz w:val="18"/>
          <w:szCs w:val="18"/>
          <w:color w:val="auto"/>
        </w:rPr>
        <w:t>). This result is primarily due to a solid increase in total deposits, which represented 69.3% of total funding this Q versus 68.4% in 3Q12.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1609090</wp:posOffset>
            </wp:positionH>
            <wp:positionV relativeFrom="paragraph">
              <wp:posOffset>137160</wp:posOffset>
            </wp:positionV>
            <wp:extent cx="4047490" cy="25126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047490" cy="2512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Share of Deposits</w:t>
      </w:r>
    </w:p>
    <w:p>
      <w:pPr>
        <w:spacing w:after="0" w:line="225"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At the end of 4Q12, BCP continued to lead the deposit market with a 22% share of all deposits in the financial system. This figure reflects the Bank’s 12 percentage point advantage over its closest competitor. BCP continues to boast a solid lead in different types of LC and FC deposits. Particularly noteworthy this quarter was the increase posted in BCP’s share of FC demand demands, which grew from 42.2% in September to 44.1% in November.</w:t>
      </w:r>
    </w:p>
    <w:p>
      <w:pPr>
        <w:spacing w:after="0" w:line="143" w:lineRule="exact"/>
        <w:rPr>
          <w:sz w:val="20"/>
          <w:szCs w:val="20"/>
          <w:color w:val="auto"/>
        </w:rPr>
      </w:pPr>
    </w:p>
    <w:tbl>
      <w:tblPr>
        <w:tblLayout w:type="fixed"/>
        <w:tblInd w:w="1720" w:type="dxa"/>
        <w:tblCellMar>
          <w:top w:w="0" w:type="dxa"/>
          <w:left w:w="0" w:type="dxa"/>
          <w:bottom w:w="0" w:type="dxa"/>
          <w:right w:w="0" w:type="dxa"/>
        </w:tblCellMar>
      </w:tblPr>
      <w:tr>
        <w:trPr>
          <w:trHeight w:val="220"/>
        </w:trPr>
        <w:tc>
          <w:tcPr>
            <w:tcW w:w="1940" w:type="dxa"/>
            <w:vAlign w:val="bottom"/>
          </w:tcPr>
          <w:p>
            <w:pPr>
              <w:spacing w:after="0"/>
              <w:rPr>
                <w:sz w:val="19"/>
                <w:szCs w:val="19"/>
                <w:color w:val="auto"/>
              </w:rPr>
            </w:pPr>
          </w:p>
        </w:tc>
        <w:tc>
          <w:tcPr>
            <w:tcW w:w="3820" w:type="dxa"/>
            <w:vAlign w:val="bottom"/>
            <w:gridSpan w:val="6"/>
          </w:tcPr>
          <w:p>
            <w:pPr>
              <w:ind w:left="300"/>
              <w:spacing w:after="0"/>
              <w:rPr>
                <w:sz w:val="20"/>
                <w:szCs w:val="20"/>
                <w:color w:val="auto"/>
              </w:rPr>
            </w:pPr>
            <w:r>
              <w:rPr>
                <w:rFonts w:ascii="Arial" w:cs="Arial" w:eastAsia="Arial" w:hAnsi="Arial"/>
                <w:sz w:val="18"/>
                <w:szCs w:val="18"/>
                <w:b w:val="1"/>
                <w:bCs w:val="1"/>
                <w:color w:val="auto"/>
                <w:w w:val="90"/>
              </w:rPr>
              <w:t>Market share by type of deposit and currency</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6"/>
        </w:trPr>
        <w:tc>
          <w:tcPr>
            <w:tcW w:w="19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40" w:type="dxa"/>
            <w:vAlign w:val="bottom"/>
            <w:gridSpan w:val="2"/>
          </w:tcPr>
          <w:p>
            <w:pPr>
              <w:ind w:left="200"/>
              <w:spacing w:after="0"/>
              <w:rPr>
                <w:sz w:val="20"/>
                <w:szCs w:val="20"/>
                <w:color w:val="auto"/>
              </w:rPr>
            </w:pPr>
            <w:r>
              <w:rPr>
                <w:rFonts w:ascii="Arial" w:cs="Arial" w:eastAsia="Arial" w:hAnsi="Arial"/>
                <w:sz w:val="18"/>
                <w:szCs w:val="18"/>
                <w:color w:val="auto"/>
              </w:rPr>
              <w:t>Demand</w:t>
            </w:r>
          </w:p>
        </w:tc>
        <w:tc>
          <w:tcPr>
            <w:tcW w:w="1400" w:type="dxa"/>
            <w:vAlign w:val="bottom"/>
            <w:gridSpan w:val="3"/>
          </w:tcPr>
          <w:p>
            <w:pPr>
              <w:jc w:val="center"/>
              <w:ind w:right="420"/>
              <w:spacing w:after="0"/>
              <w:rPr>
                <w:sz w:val="20"/>
                <w:szCs w:val="20"/>
                <w:color w:val="auto"/>
              </w:rPr>
            </w:pPr>
            <w:r>
              <w:rPr>
                <w:rFonts w:ascii="Arial" w:cs="Arial" w:eastAsia="Arial" w:hAnsi="Arial"/>
                <w:sz w:val="18"/>
                <w:szCs w:val="18"/>
                <w:color w:val="auto"/>
                <w:w w:val="90"/>
              </w:rPr>
              <w:t>Saving</w:t>
            </w:r>
          </w:p>
        </w:tc>
        <w:tc>
          <w:tcPr>
            <w:tcW w:w="104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Time</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Severance</w:t>
            </w:r>
          </w:p>
        </w:tc>
      </w:tr>
      <w:tr>
        <w:trPr>
          <w:trHeight w:val="230"/>
        </w:trPr>
        <w:tc>
          <w:tcPr>
            <w:tcW w:w="1940" w:type="dxa"/>
            <w:vAlign w:val="bottom"/>
            <w:tcBorders>
              <w:bottom w:val="single" w:sz="8" w:color="CCFFCC"/>
            </w:tcBorders>
          </w:tcPr>
          <w:p>
            <w:pPr>
              <w:spacing w:after="0"/>
              <w:rPr>
                <w:sz w:val="20"/>
                <w:szCs w:val="20"/>
                <w:color w:val="auto"/>
              </w:rPr>
            </w:pPr>
          </w:p>
        </w:tc>
        <w:tc>
          <w:tcPr>
            <w:tcW w:w="1180" w:type="dxa"/>
            <w:vAlign w:val="bottom"/>
            <w:tcBorders>
              <w:bottom w:val="single" w:sz="8" w:color="CCFFCC"/>
            </w:tcBorders>
          </w:tcPr>
          <w:p>
            <w:pPr>
              <w:spacing w:after="0"/>
              <w:rPr>
                <w:sz w:val="20"/>
                <w:szCs w:val="20"/>
                <w:color w:val="auto"/>
              </w:rPr>
            </w:pPr>
          </w:p>
        </w:tc>
        <w:tc>
          <w:tcPr>
            <w:tcW w:w="10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deposits</w:t>
            </w:r>
          </w:p>
        </w:tc>
        <w:tc>
          <w:tcPr>
            <w:tcW w:w="240" w:type="dxa"/>
            <w:vAlign w:val="bottom"/>
            <w:tcBorders>
              <w:bottom w:val="single" w:sz="8" w:color="CCFFCC"/>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deposits</w:t>
            </w:r>
          </w:p>
        </w:tc>
        <w:tc>
          <w:tcPr>
            <w:tcW w:w="220" w:type="dxa"/>
            <w:vAlign w:val="bottom"/>
            <w:tcBorders>
              <w:bottom w:val="single" w:sz="8" w:color="CCFFC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deposits</w:t>
            </w:r>
          </w:p>
        </w:tc>
        <w:tc>
          <w:tcPr>
            <w:tcW w:w="220" w:type="dxa"/>
            <w:vAlign w:val="bottom"/>
            <w:tcBorders>
              <w:bottom w:val="single" w:sz="8" w:color="CCFFCC"/>
            </w:tcBorders>
          </w:tcPr>
          <w:p>
            <w:pPr>
              <w:spacing w:after="0"/>
              <w:rPr>
                <w:sz w:val="20"/>
                <w:szCs w:val="20"/>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indemnity</w:t>
            </w:r>
          </w:p>
        </w:tc>
        <w:tc>
          <w:tcPr>
            <w:tcW w:w="160" w:type="dxa"/>
            <w:vAlign w:val="bottom"/>
            <w:tcBorders>
              <w:bottom w:val="single" w:sz="8" w:color="CCFFCC"/>
            </w:tcBorders>
          </w:tcPr>
          <w:p>
            <w:pPr>
              <w:spacing w:after="0"/>
              <w:rPr>
                <w:sz w:val="20"/>
                <w:szCs w:val="20"/>
                <w:color w:val="auto"/>
              </w:rPr>
            </w:pPr>
          </w:p>
        </w:tc>
      </w:tr>
      <w:tr>
        <w:trPr>
          <w:trHeight w:val="210"/>
        </w:trPr>
        <w:tc>
          <w:tcPr>
            <w:tcW w:w="1940" w:type="dxa"/>
            <w:vAlign w:val="bottom"/>
            <w:shd w:val="clear" w:color="auto" w:fill="CCFFCC"/>
          </w:tcPr>
          <w:p>
            <w:pPr>
              <w:ind w:left="1420"/>
              <w:spacing w:after="0"/>
              <w:rPr>
                <w:sz w:val="20"/>
                <w:szCs w:val="20"/>
                <w:color w:val="auto"/>
              </w:rPr>
            </w:pPr>
            <w:r>
              <w:rPr>
                <w:rFonts w:ascii="Arial" w:cs="Arial" w:eastAsia="Arial" w:hAnsi="Arial"/>
                <w:sz w:val="18"/>
                <w:szCs w:val="18"/>
                <w:color w:val="auto"/>
              </w:rPr>
              <w:t>LC</w:t>
            </w:r>
          </w:p>
        </w:tc>
        <w:tc>
          <w:tcPr>
            <w:tcW w:w="118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37.3%</w:t>
            </w:r>
          </w:p>
        </w:tc>
        <w:tc>
          <w:tcPr>
            <w:tcW w:w="12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37.4%</w:t>
            </w:r>
          </w:p>
        </w:tc>
        <w:tc>
          <w:tcPr>
            <w:tcW w:w="18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23.8%</w:t>
            </w:r>
          </w:p>
        </w:tc>
        <w:tc>
          <w:tcPr>
            <w:tcW w:w="1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41.2%</w:t>
            </w:r>
          </w:p>
        </w:tc>
      </w:tr>
      <w:tr>
        <w:trPr>
          <w:trHeight w:val="218"/>
        </w:trPr>
        <w:tc>
          <w:tcPr>
            <w:tcW w:w="1940" w:type="dxa"/>
            <w:vAlign w:val="bottom"/>
          </w:tcPr>
          <w:p>
            <w:pPr>
              <w:ind w:left="1420"/>
              <w:spacing w:after="0"/>
              <w:rPr>
                <w:sz w:val="20"/>
                <w:szCs w:val="20"/>
                <w:color w:val="auto"/>
              </w:rPr>
            </w:pPr>
            <w:r>
              <w:rPr>
                <w:rFonts w:ascii="Arial" w:cs="Arial" w:eastAsia="Arial" w:hAnsi="Arial"/>
                <w:sz w:val="18"/>
                <w:szCs w:val="18"/>
                <w:color w:val="auto"/>
              </w:rPr>
              <w:t>FC</w:t>
            </w:r>
          </w:p>
        </w:tc>
        <w:tc>
          <w:tcPr>
            <w:tcW w:w="2420" w:type="dxa"/>
            <w:vAlign w:val="bottom"/>
            <w:gridSpan w:val="3"/>
          </w:tcPr>
          <w:p>
            <w:pPr>
              <w:jc w:val="right"/>
              <w:ind w:right="80"/>
              <w:spacing w:after="0"/>
              <w:rPr>
                <w:sz w:val="20"/>
                <w:szCs w:val="20"/>
                <w:color w:val="auto"/>
              </w:rPr>
            </w:pPr>
            <w:r>
              <w:rPr>
                <w:rFonts w:ascii="Arial" w:cs="Arial" w:eastAsia="Arial" w:hAnsi="Arial"/>
                <w:sz w:val="18"/>
                <w:szCs w:val="18"/>
                <w:color w:val="auto"/>
              </w:rPr>
              <w:t>44.1%</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40.7%</w:t>
            </w:r>
          </w:p>
        </w:tc>
        <w:tc>
          <w:tcPr>
            <w:tcW w:w="1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26.8%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54.3%</w:t>
            </w:r>
          </w:p>
        </w:tc>
      </w:tr>
    </w:tbl>
    <w:p>
      <w:pPr>
        <w:ind w:left="1340"/>
        <w:spacing w:after="0"/>
        <w:rPr>
          <w:sz w:val="20"/>
          <w:szCs w:val="20"/>
          <w:color w:val="auto"/>
        </w:rPr>
      </w:pPr>
      <w:r>
        <w:rPr>
          <w:rFonts w:ascii="Arial" w:cs="Arial" w:eastAsia="Arial" w:hAnsi="Arial"/>
          <w:sz w:val="18"/>
          <w:szCs w:val="18"/>
          <w:i w:val="1"/>
          <w:iCs w:val="1"/>
          <w:color w:val="auto"/>
        </w:rPr>
        <w:t>LC: Local Currency</w:t>
      </w:r>
    </w:p>
    <w:p>
      <w:pPr>
        <w:spacing w:after="0" w:line="7"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FC: Foreign Currency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Deposit Dollarization</w:t>
      </w:r>
    </w:p>
    <w:p>
      <w:pPr>
        <w:spacing w:after="0" w:line="22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Deposit de-dollarization continued in 4Q12. In this context, deposits in local currency accounted for 54.2% of total deposits. This represents an increase from 53.5% last quarter and 49.4% from 4Q11. It is important to note that the Nuevo Sol continued appreciating against the US Dollar (+1.8% in 4Q12).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217805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188" w:lineRule="exact"/>
        <w:rPr>
          <w:sz w:val="20"/>
          <w:szCs w:val="20"/>
          <w:color w:val="auto"/>
        </w:rPr>
      </w:pPr>
    </w:p>
    <w:p>
      <w:pPr>
        <w:ind w:left="120" w:hanging="112"/>
        <w:spacing w:after="0"/>
        <w:tabs>
          <w:tab w:leader="none" w:pos="120" w:val="left"/>
        </w:tabs>
        <w:numPr>
          <w:ilvl w:val="0"/>
          <w:numId w:val="16"/>
        </w:numPr>
        <w:rPr>
          <w:rFonts w:ascii="Arial" w:cs="Arial" w:eastAsia="Arial" w:hAnsi="Arial"/>
          <w:sz w:val="30"/>
          <w:szCs w:val="30"/>
          <w:color w:val="auto"/>
          <w:vertAlign w:val="superscript"/>
        </w:rPr>
      </w:pPr>
      <w:r>
        <w:rPr>
          <w:rFonts w:ascii="Arial" w:cs="Arial" w:eastAsia="Arial" w:hAnsi="Arial"/>
          <w:sz w:val="18"/>
          <w:szCs w:val="18"/>
          <w:color w:val="auto"/>
        </w:rPr>
        <w:t>Funding cost is calculated using the following formula:</w:t>
      </w:r>
    </w:p>
    <w:p>
      <w:pPr>
        <w:spacing w:after="0" w:line="2" w:lineRule="exact"/>
        <w:rPr>
          <w:sz w:val="20"/>
          <w:szCs w:val="20"/>
          <w:color w:val="auto"/>
        </w:rPr>
      </w:pPr>
    </w:p>
    <w:p>
      <w:pPr>
        <w:ind w:right="660"/>
        <w:spacing w:after="0" w:line="259" w:lineRule="auto"/>
        <w:rPr>
          <w:sz w:val="20"/>
          <w:szCs w:val="20"/>
          <w:color w:val="auto"/>
        </w:rPr>
      </w:pPr>
      <w:r>
        <w:rPr>
          <w:rFonts w:ascii="Arial" w:cs="Arial" w:eastAsia="Arial" w:hAnsi="Arial"/>
          <w:sz w:val="18"/>
          <w:szCs w:val="18"/>
          <w:color w:val="auto"/>
        </w:rPr>
        <w:t>Funding cost = ((Interest expense – Other interest expense) * 4) / (Total Deposits + Due to banks and correspondents + Bonds and subordinated debt) Liabilities are measured as the average of period beginning and period-end</w:t>
      </w: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2207260</wp:posOffset>
            </wp:positionH>
            <wp:positionV relativeFrom="page">
              <wp:posOffset>568960</wp:posOffset>
            </wp:positionV>
            <wp:extent cx="5196840" cy="25298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96840" cy="2529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20" w:type="dxa"/>
            <w:vAlign w:val="bottom"/>
            <w:gridSpan w:val="3"/>
          </w:tcPr>
          <w:p>
            <w:pPr>
              <w:spacing w:after="0"/>
              <w:rPr>
                <w:sz w:val="20"/>
                <w:szCs w:val="20"/>
                <w:color w:val="auto"/>
              </w:rPr>
            </w:pPr>
            <w:r>
              <w:rPr>
                <w:rFonts w:ascii="Arial" w:cs="Arial" w:eastAsia="Arial" w:hAnsi="Arial"/>
                <w:sz w:val="18"/>
                <w:szCs w:val="18"/>
                <w:i w:val="1"/>
                <w:iCs w:val="1"/>
                <w:color w:val="auto"/>
              </w:rPr>
              <w:t>Mutual Funds</w:t>
            </w: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4120" w:type="dxa"/>
            <w:vAlign w:val="bottom"/>
            <w:gridSpan w:val="3"/>
          </w:tcPr>
          <w:p>
            <w:pPr>
              <w:ind w:left="300"/>
              <w:spacing w:after="0"/>
              <w:rPr>
                <w:sz w:val="20"/>
                <w:szCs w:val="20"/>
                <w:color w:val="auto"/>
              </w:rPr>
            </w:pPr>
            <w:r>
              <w:rPr>
                <w:rFonts w:ascii="Arial" w:cs="Arial" w:eastAsia="Arial" w:hAnsi="Arial"/>
                <w:sz w:val="18"/>
                <w:szCs w:val="18"/>
                <w:b w:val="1"/>
                <w:bCs w:val="1"/>
                <w:color w:val="auto"/>
              </w:rPr>
              <w:t>Customer funds</w:t>
            </w: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Quarter</w:t>
            </w: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gridSpan w:val="3"/>
          </w:tcPr>
          <w:p>
            <w:pPr>
              <w:ind w:left="120"/>
              <w:spacing w:after="0"/>
              <w:rPr>
                <w:sz w:val="20"/>
                <w:szCs w:val="20"/>
                <w:color w:val="auto"/>
              </w:rPr>
            </w:pPr>
            <w:r>
              <w:rPr>
                <w:rFonts w:ascii="Arial" w:cs="Arial" w:eastAsia="Arial" w:hAnsi="Arial"/>
                <w:sz w:val="18"/>
                <w:szCs w:val="18"/>
                <w:b w:val="1"/>
                <w:bCs w:val="1"/>
                <w:color w:val="auto"/>
                <w:w w:val="98"/>
              </w:rPr>
              <w:t>Change %</w:t>
            </w: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120" w:type="dxa"/>
            <w:vAlign w:val="bottom"/>
            <w:gridSpan w:val="3"/>
          </w:tcPr>
          <w:p>
            <w:pPr>
              <w:ind w:left="300"/>
              <w:spacing w:after="0"/>
              <w:rPr>
                <w:sz w:val="20"/>
                <w:szCs w:val="20"/>
                <w:color w:val="auto"/>
              </w:rPr>
            </w:pPr>
            <w:r>
              <w:rPr>
                <w:rFonts w:ascii="Arial" w:cs="Arial" w:eastAsia="Arial" w:hAnsi="Arial"/>
                <w:sz w:val="18"/>
                <w:szCs w:val="18"/>
                <w:color w:val="auto"/>
              </w:rPr>
              <w:t>US$ 000</w:t>
            </w:r>
          </w:p>
        </w:tc>
        <w:tc>
          <w:tcPr>
            <w:tcW w:w="1400" w:type="dxa"/>
            <w:vAlign w:val="bottom"/>
            <w:gridSpan w:val="2"/>
          </w:tcPr>
          <w:p>
            <w:pPr>
              <w:ind w:left="380"/>
              <w:spacing w:after="0"/>
              <w:rPr>
                <w:sz w:val="20"/>
                <w:szCs w:val="20"/>
                <w:color w:val="auto"/>
              </w:rPr>
            </w:pPr>
            <w:r>
              <w:rPr>
                <w:rFonts w:ascii="Arial" w:cs="Arial" w:eastAsia="Arial" w:hAnsi="Arial"/>
                <w:sz w:val="18"/>
                <w:szCs w:val="18"/>
                <w:b w:val="1"/>
                <w:bCs w:val="1"/>
                <w:color w:val="auto"/>
              </w:rPr>
              <w:t>4Q12</w:t>
            </w: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3Q12</w:t>
            </w:r>
          </w:p>
        </w:tc>
        <w:tc>
          <w:tcPr>
            <w:tcW w:w="1400" w:type="dxa"/>
            <w:vAlign w:val="bottom"/>
            <w:gridSpan w:val="2"/>
          </w:tcPr>
          <w:p>
            <w:pPr>
              <w:ind w:left="400"/>
              <w:spacing w:after="0"/>
              <w:rPr>
                <w:sz w:val="20"/>
                <w:szCs w:val="20"/>
                <w:color w:val="auto"/>
              </w:rPr>
            </w:pPr>
            <w:r>
              <w:rPr>
                <w:rFonts w:ascii="Arial" w:cs="Arial" w:eastAsia="Arial" w:hAnsi="Arial"/>
                <w:sz w:val="18"/>
                <w:szCs w:val="18"/>
                <w:b w:val="1"/>
                <w:bCs w:val="1"/>
                <w:color w:val="auto"/>
              </w:rPr>
              <w:t>4Q11</w:t>
            </w:r>
          </w:p>
        </w:tc>
        <w:tc>
          <w:tcPr>
            <w:tcW w:w="800" w:type="dxa"/>
            <w:vAlign w:val="bottom"/>
          </w:tcPr>
          <w:p>
            <w:pPr>
              <w:ind w:left="400"/>
              <w:spacing w:after="0"/>
              <w:rPr>
                <w:sz w:val="20"/>
                <w:szCs w:val="20"/>
                <w:color w:val="auto"/>
              </w:rPr>
            </w:pPr>
            <w:r>
              <w:rPr>
                <w:rFonts w:ascii="Arial" w:cs="Arial" w:eastAsia="Arial" w:hAnsi="Arial"/>
                <w:sz w:val="18"/>
                <w:szCs w:val="18"/>
                <w:b w:val="1"/>
                <w:bCs w:val="1"/>
                <w:color w:val="auto"/>
                <w:w w:val="97"/>
              </w:rPr>
              <w:t>QoQ</w:t>
            </w: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370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FFC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0" w:type="dxa"/>
            <w:vAlign w:val="bottom"/>
          </w:tcPr>
          <w:p>
            <w:pPr>
              <w:spacing w:after="0"/>
              <w:rPr>
                <w:sz w:val="18"/>
                <w:szCs w:val="18"/>
                <w:color w:val="auto"/>
              </w:rPr>
            </w:pPr>
          </w:p>
        </w:tc>
        <w:tc>
          <w:tcPr>
            <w:tcW w:w="3700" w:type="dxa"/>
            <w:vAlign w:val="bottom"/>
            <w:shd w:val="clear" w:color="auto" w:fill="CCFFCC"/>
          </w:tcPr>
          <w:p>
            <w:pPr>
              <w:spacing w:after="0"/>
              <w:rPr>
                <w:sz w:val="20"/>
                <w:szCs w:val="20"/>
                <w:color w:val="auto"/>
              </w:rPr>
            </w:pPr>
            <w:r>
              <w:rPr>
                <w:rFonts w:ascii="Arial" w:cs="Arial" w:eastAsia="Arial" w:hAnsi="Arial"/>
                <w:sz w:val="18"/>
                <w:szCs w:val="18"/>
                <w:color w:val="auto"/>
              </w:rPr>
              <w:t>Mutual funds in Perú</w:t>
            </w:r>
          </w:p>
        </w:tc>
        <w:tc>
          <w:tcPr>
            <w:tcW w:w="120" w:type="dxa"/>
            <w:vAlign w:val="bottom"/>
            <w:vMerge w:val="continue"/>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2,749,483</w:t>
            </w:r>
          </w:p>
        </w:tc>
        <w:tc>
          <w:tcPr>
            <w:tcW w:w="22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2,570,569</w:t>
            </w:r>
          </w:p>
        </w:tc>
        <w:tc>
          <w:tcPr>
            <w:tcW w:w="220" w:type="dxa"/>
            <w:vAlign w:val="bottom"/>
            <w:shd w:val="clear" w:color="auto" w:fill="CCFFCC"/>
          </w:tcPr>
          <w:p>
            <w:pPr>
              <w:spacing w:after="0"/>
              <w:rPr>
                <w:sz w:val="18"/>
                <w:szCs w:val="18"/>
                <w:color w:val="auto"/>
              </w:rPr>
            </w:pP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2,131,048</w:t>
            </w:r>
          </w:p>
        </w:tc>
        <w:tc>
          <w:tcPr>
            <w:tcW w:w="20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66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7.0%</w:t>
            </w:r>
          </w:p>
        </w:tc>
        <w:tc>
          <w:tcPr>
            <w:tcW w:w="34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Mutual funds in Bolivia</w:t>
            </w:r>
          </w:p>
        </w:tc>
        <w:tc>
          <w:tcPr>
            <w:tcW w:w="1180" w:type="dxa"/>
            <w:vAlign w:val="bottom"/>
          </w:tcPr>
          <w:p>
            <w:pPr>
              <w:jc w:val="right"/>
              <w:spacing w:after="0"/>
              <w:rPr>
                <w:sz w:val="20"/>
                <w:szCs w:val="20"/>
                <w:color w:val="auto"/>
              </w:rPr>
            </w:pPr>
            <w:r>
              <w:rPr>
                <w:rFonts w:ascii="Arial" w:cs="Arial" w:eastAsia="Arial" w:hAnsi="Arial"/>
                <w:sz w:val="18"/>
                <w:szCs w:val="18"/>
                <w:color w:val="auto"/>
              </w:rPr>
              <w:t>65,146</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84,106</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79,665</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60" w:type="dxa"/>
            <w:vAlign w:val="bottom"/>
            <w:gridSpan w:val="2"/>
          </w:tcPr>
          <w:p>
            <w:pPr>
              <w:jc w:val="right"/>
              <w:ind w:right="30"/>
              <w:spacing w:after="0"/>
              <w:rPr>
                <w:sz w:val="20"/>
                <w:szCs w:val="20"/>
                <w:color w:val="auto"/>
              </w:rPr>
            </w:pPr>
            <w:r>
              <w:rPr>
                <w:rFonts w:ascii="Arial" w:cs="Arial" w:eastAsia="Arial" w:hAnsi="Arial"/>
                <w:sz w:val="18"/>
                <w:szCs w:val="18"/>
                <w:color w:val="auto"/>
                <w:w w:val="91"/>
              </w:rPr>
              <w:t>-22.5%</w:t>
            </w:r>
          </w:p>
        </w:tc>
        <w:tc>
          <w:tcPr>
            <w:tcW w:w="34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382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b w:val="1"/>
                <w:bCs w:val="1"/>
                <w:color w:val="auto"/>
              </w:rPr>
              <w:t>Total customer funds</w:t>
            </w:r>
          </w:p>
        </w:tc>
        <w:tc>
          <w:tcPr>
            <w:tcW w:w="11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2,814,629</w:t>
            </w:r>
          </w:p>
        </w:tc>
        <w:tc>
          <w:tcPr>
            <w:tcW w:w="220" w:type="dxa"/>
            <w:vAlign w:val="bottom"/>
            <w:tcBorders>
              <w:top w:val="single" w:sz="8" w:color="CCFFCC"/>
            </w:tcBorders>
            <w:shd w:val="clear" w:color="auto" w:fill="CCFFCC"/>
          </w:tcPr>
          <w:p>
            <w:pPr>
              <w:spacing w:after="0"/>
              <w:rPr>
                <w:sz w:val="18"/>
                <w:szCs w:val="18"/>
                <w:color w:val="auto"/>
              </w:rPr>
            </w:pPr>
          </w:p>
        </w:tc>
        <w:tc>
          <w:tcPr>
            <w:tcW w:w="11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2,654,675</w:t>
            </w:r>
          </w:p>
        </w:tc>
        <w:tc>
          <w:tcPr>
            <w:tcW w:w="220" w:type="dxa"/>
            <w:vAlign w:val="bottom"/>
            <w:tcBorders>
              <w:top w:val="single" w:sz="8" w:color="CCFFCC"/>
            </w:tcBorders>
            <w:shd w:val="clear" w:color="auto" w:fill="CCFFCC"/>
          </w:tcPr>
          <w:p>
            <w:pPr>
              <w:spacing w:after="0"/>
              <w:rPr>
                <w:sz w:val="18"/>
                <w:szCs w:val="18"/>
                <w:color w:val="auto"/>
              </w:rPr>
            </w:pPr>
          </w:p>
        </w:tc>
        <w:tc>
          <w:tcPr>
            <w:tcW w:w="12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2,210,713</w:t>
            </w:r>
          </w:p>
        </w:tc>
        <w:tc>
          <w:tcPr>
            <w:tcW w:w="200" w:type="dxa"/>
            <w:vAlign w:val="bottom"/>
            <w:tcBorders>
              <w:top w:val="single" w:sz="8" w:color="CCFFCC"/>
            </w:tcBorders>
            <w:shd w:val="clear" w:color="auto" w:fill="CCFFCC"/>
          </w:tcPr>
          <w:p>
            <w:pPr>
              <w:spacing w:after="0"/>
              <w:rPr>
                <w:sz w:val="18"/>
                <w:szCs w:val="18"/>
                <w:color w:val="auto"/>
              </w:rPr>
            </w:pPr>
          </w:p>
        </w:tc>
        <w:tc>
          <w:tcPr>
            <w:tcW w:w="800" w:type="dxa"/>
            <w:vAlign w:val="bottom"/>
            <w:tcBorders>
              <w:top w:val="single" w:sz="8" w:color="auto"/>
              <w:bottom w:val="single" w:sz="8" w:color="auto"/>
            </w:tcBorders>
            <w:shd w:val="clear" w:color="auto" w:fill="CCFFCC"/>
          </w:tcPr>
          <w:p>
            <w:pPr>
              <w:spacing w:after="0"/>
              <w:rPr>
                <w:sz w:val="18"/>
                <w:szCs w:val="18"/>
                <w:color w:val="auto"/>
              </w:rPr>
            </w:pPr>
          </w:p>
        </w:tc>
        <w:tc>
          <w:tcPr>
            <w:tcW w:w="4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6.0</w:t>
            </w:r>
          </w:p>
        </w:tc>
        <w:tc>
          <w:tcPr>
            <w:tcW w:w="260" w:type="dxa"/>
            <w:vAlign w:val="bottom"/>
            <w:tcBorders>
              <w:top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w w:val="74"/>
              </w:rPr>
              <w:t>%</w:t>
            </w:r>
          </w:p>
        </w:tc>
        <w:tc>
          <w:tcPr>
            <w:tcW w:w="340" w:type="dxa"/>
            <w:vAlign w:val="bottom"/>
            <w:tcBorders>
              <w:top w:val="single" w:sz="8" w:color="auto"/>
              <w:bottom w:val="single" w:sz="8" w:color="auto"/>
            </w:tcBorders>
            <w:shd w:val="clear" w:color="auto" w:fill="CCFFCC"/>
          </w:tcPr>
          <w:p>
            <w:pPr>
              <w:spacing w:after="0"/>
              <w:rPr>
                <w:sz w:val="18"/>
                <w:szCs w:val="18"/>
                <w:color w:val="auto"/>
              </w:rPr>
            </w:pPr>
          </w:p>
        </w:tc>
        <w:tc>
          <w:tcPr>
            <w:tcW w:w="8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27.3</w:t>
            </w:r>
          </w:p>
        </w:tc>
        <w:tc>
          <w:tcPr>
            <w:tcW w:w="16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Mutual funds in Peru grew 7% QoQ, which allowed Credifondo to maintain market dominance with a 39% share of managed funds and a 26.1% share of the total affiliates. The volume managed by Credifondo in Bolivia reported a 22.5% decline QoQ and 18.2% YoY. This drop is due to: i) the exit of some local banks due to higher capital requirements following growth in their asset portfolio; and ii) the process to align limits, which led to a US$ 10.6 million drop in the portfolio to comply with regulations that mandate that affiliates cannot hold more than 10% of each fund’s portfolio.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II.3 Net Interest Income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NII increased 3.1% QoQ and 24.5% in accumulated terms due primarily to significant growth in interest on loans, which was associated with excellent dynamism in Retail Banking portfolio. All this allowed offsetting lower interest income on deposits in other banks and higher interest expenses. Thus, NIM remained at a solid level of 5.13%.</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3100" w:type="dxa"/>
            <w:vAlign w:val="bottom"/>
            <w:gridSpan w:val="2"/>
          </w:tcPr>
          <w:p>
            <w:pPr>
              <w:spacing w:after="0"/>
              <w:rPr>
                <w:sz w:val="20"/>
                <w:szCs w:val="20"/>
                <w:color w:val="auto"/>
              </w:rPr>
            </w:pPr>
            <w:r>
              <w:rPr>
                <w:rFonts w:ascii="Arial" w:cs="Arial" w:eastAsia="Arial" w:hAnsi="Arial"/>
                <w:sz w:val="11"/>
                <w:szCs w:val="11"/>
                <w:b w:val="1"/>
                <w:bCs w:val="1"/>
                <w:color w:val="auto"/>
              </w:rPr>
              <w:t>Net interest income</w:t>
            </w: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gridSpan w:val="2"/>
          </w:tcPr>
          <w:p>
            <w:pPr>
              <w:jc w:val="right"/>
              <w:ind w:right="406"/>
              <w:spacing w:after="0"/>
              <w:rPr>
                <w:sz w:val="20"/>
                <w:szCs w:val="20"/>
                <w:color w:val="auto"/>
              </w:rPr>
            </w:pPr>
            <w:r>
              <w:rPr>
                <w:rFonts w:ascii="Arial" w:cs="Arial" w:eastAsia="Arial" w:hAnsi="Arial"/>
                <w:sz w:val="11"/>
                <w:szCs w:val="11"/>
                <w:b w:val="1"/>
                <w:bCs w:val="1"/>
                <w:color w:val="auto"/>
              </w:rPr>
              <w:t>Quarter</w:t>
            </w: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3"/>
          </w:tcPr>
          <w:p>
            <w:pPr>
              <w:ind w:left="660"/>
              <w:spacing w:after="0"/>
              <w:rPr>
                <w:sz w:val="20"/>
                <w:szCs w:val="20"/>
                <w:color w:val="auto"/>
              </w:rPr>
            </w:pPr>
            <w:r>
              <w:rPr>
                <w:rFonts w:ascii="Arial" w:cs="Arial" w:eastAsia="Arial" w:hAnsi="Arial"/>
                <w:sz w:val="11"/>
                <w:szCs w:val="11"/>
                <w:b w:val="1"/>
                <w:bCs w:val="1"/>
                <w:color w:val="auto"/>
              </w:rPr>
              <w:t>Change %</w:t>
            </w: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3"/>
          </w:tcPr>
          <w:p>
            <w:pPr>
              <w:ind w:left="640"/>
              <w:spacing w:after="0"/>
              <w:rPr>
                <w:sz w:val="20"/>
                <w:szCs w:val="20"/>
                <w:color w:val="auto"/>
              </w:rPr>
            </w:pPr>
            <w:r>
              <w:rPr>
                <w:rFonts w:ascii="Arial" w:cs="Arial" w:eastAsia="Arial" w:hAnsi="Arial"/>
                <w:sz w:val="11"/>
                <w:szCs w:val="11"/>
                <w:b w:val="1"/>
                <w:bCs w:val="1"/>
                <w:color w:val="auto"/>
                <w:w w:val="90"/>
              </w:rPr>
              <w:t>Year ended</w:t>
            </w: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tcPr>
          <w:p>
            <w:pPr>
              <w:jc w:val="right"/>
              <w:ind w:right="306"/>
              <w:spacing w:after="0"/>
              <w:rPr>
                <w:sz w:val="20"/>
                <w:szCs w:val="20"/>
                <w:color w:val="auto"/>
              </w:rPr>
            </w:pPr>
            <w:r>
              <w:rPr>
                <w:rFonts w:ascii="Arial" w:cs="Arial" w:eastAsia="Arial" w:hAnsi="Arial"/>
                <w:sz w:val="11"/>
                <w:szCs w:val="11"/>
                <w:b w:val="1"/>
                <w:bCs w:val="1"/>
                <w:color w:val="auto"/>
              </w:rPr>
              <w:t>Change %</w:t>
            </w:r>
          </w:p>
        </w:tc>
      </w:tr>
      <w:tr>
        <w:trPr>
          <w:trHeight w:val="135"/>
        </w:trPr>
        <w:tc>
          <w:tcPr>
            <w:tcW w:w="298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US$ 000</w:t>
            </w:r>
          </w:p>
        </w:tc>
        <w:tc>
          <w:tcPr>
            <w:tcW w:w="120" w:type="dxa"/>
            <w:vAlign w:val="bottom"/>
            <w:tcBorders>
              <w:bottom w:val="single" w:sz="8" w:color="CCFFCC"/>
            </w:tcBorders>
          </w:tcPr>
          <w:p>
            <w:pPr>
              <w:spacing w:after="0"/>
              <w:rPr>
                <w:sz w:val="11"/>
                <w:szCs w:val="11"/>
                <w:color w:val="auto"/>
              </w:rPr>
            </w:pPr>
          </w:p>
        </w:tc>
        <w:tc>
          <w:tcPr>
            <w:tcW w:w="820" w:type="dxa"/>
            <w:vAlign w:val="bottom"/>
            <w:tcBorders>
              <w:bottom w:val="single" w:sz="8" w:color="auto"/>
            </w:tcBorders>
          </w:tcPr>
          <w:p>
            <w:pPr>
              <w:jc w:val="right"/>
              <w:ind w:right="246"/>
              <w:spacing w:after="0"/>
              <w:rPr>
                <w:sz w:val="20"/>
                <w:szCs w:val="20"/>
                <w:color w:val="auto"/>
              </w:rPr>
            </w:pPr>
            <w:r>
              <w:rPr>
                <w:rFonts w:ascii="Arial" w:cs="Arial" w:eastAsia="Arial" w:hAnsi="Arial"/>
                <w:sz w:val="11"/>
                <w:szCs w:val="11"/>
                <w:b w:val="1"/>
                <w:bCs w:val="1"/>
                <w:color w:val="auto"/>
              </w:rPr>
              <w:t>4Q12</w:t>
            </w:r>
          </w:p>
        </w:tc>
        <w:tc>
          <w:tcPr>
            <w:tcW w:w="240" w:type="dxa"/>
            <w:vAlign w:val="bottom"/>
            <w:tcBorders>
              <w:bottom w:val="single" w:sz="8" w:color="CCFFCC"/>
            </w:tcBorders>
          </w:tcPr>
          <w:p>
            <w:pPr>
              <w:spacing w:after="0"/>
              <w:rPr>
                <w:sz w:val="11"/>
                <w:szCs w:val="11"/>
                <w:color w:val="auto"/>
              </w:rPr>
            </w:pPr>
          </w:p>
        </w:tc>
        <w:tc>
          <w:tcPr>
            <w:tcW w:w="80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b w:val="1"/>
                <w:bCs w:val="1"/>
                <w:color w:val="auto"/>
              </w:rPr>
              <w:t>3T12</w:t>
            </w:r>
          </w:p>
        </w:tc>
        <w:tc>
          <w:tcPr>
            <w:tcW w:w="240" w:type="dxa"/>
            <w:vAlign w:val="bottom"/>
            <w:tcBorders>
              <w:bottom w:val="single" w:sz="8" w:color="CCFFCC"/>
            </w:tcBorders>
          </w:tcPr>
          <w:p>
            <w:pPr>
              <w:spacing w:after="0"/>
              <w:rPr>
                <w:sz w:val="11"/>
                <w:szCs w:val="11"/>
                <w:color w:val="auto"/>
              </w:rPr>
            </w:pPr>
          </w:p>
        </w:tc>
        <w:tc>
          <w:tcPr>
            <w:tcW w:w="82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b w:val="1"/>
                <w:bCs w:val="1"/>
                <w:color w:val="auto"/>
              </w:rPr>
              <w:t>4Q11</w:t>
            </w:r>
          </w:p>
        </w:tc>
        <w:tc>
          <w:tcPr>
            <w:tcW w:w="240" w:type="dxa"/>
            <w:vAlign w:val="bottom"/>
            <w:tcBorders>
              <w:bottom w:val="single" w:sz="8" w:color="CCFFCC"/>
            </w:tcBorders>
          </w:tcPr>
          <w:p>
            <w:pPr>
              <w:spacing w:after="0"/>
              <w:rPr>
                <w:sz w:val="11"/>
                <w:szCs w:val="11"/>
                <w:color w:val="auto"/>
              </w:rPr>
            </w:pPr>
          </w:p>
        </w:tc>
        <w:tc>
          <w:tcPr>
            <w:tcW w:w="820" w:type="dxa"/>
            <w:vAlign w:val="bottom"/>
            <w:tcBorders>
              <w:bottom w:val="single" w:sz="8" w:color="auto"/>
            </w:tcBorders>
          </w:tcPr>
          <w:p>
            <w:pPr>
              <w:jc w:val="right"/>
              <w:ind w:right="246"/>
              <w:spacing w:after="0"/>
              <w:rPr>
                <w:sz w:val="20"/>
                <w:szCs w:val="20"/>
                <w:color w:val="auto"/>
              </w:rPr>
            </w:pPr>
            <w:r>
              <w:rPr>
                <w:rFonts w:ascii="Arial" w:cs="Arial" w:eastAsia="Arial" w:hAnsi="Arial"/>
                <w:sz w:val="11"/>
                <w:szCs w:val="11"/>
                <w:b w:val="1"/>
                <w:bCs w:val="1"/>
                <w:color w:val="auto"/>
              </w:rPr>
              <w:t>QoQ</w:t>
            </w:r>
          </w:p>
        </w:tc>
        <w:tc>
          <w:tcPr>
            <w:tcW w:w="220" w:type="dxa"/>
            <w:vAlign w:val="bottom"/>
            <w:tcBorders>
              <w:bottom w:val="single" w:sz="8" w:color="CCFFCC"/>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b w:val="1"/>
                <w:bCs w:val="1"/>
                <w:color w:val="auto"/>
              </w:rPr>
              <w:t>YoY</w:t>
            </w:r>
          </w:p>
        </w:tc>
        <w:tc>
          <w:tcPr>
            <w:tcW w:w="220" w:type="dxa"/>
            <w:vAlign w:val="bottom"/>
            <w:tcBorders>
              <w:bottom w:val="single" w:sz="8" w:color="CCFFCC"/>
            </w:tcBorders>
          </w:tcPr>
          <w:p>
            <w:pPr>
              <w:spacing w:after="0"/>
              <w:rPr>
                <w:sz w:val="11"/>
                <w:szCs w:val="11"/>
                <w:color w:val="auto"/>
              </w:rPr>
            </w:pPr>
          </w:p>
        </w:tc>
        <w:tc>
          <w:tcPr>
            <w:tcW w:w="78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rPr>
              <w:t>Dec 12</w:t>
            </w:r>
          </w:p>
        </w:tc>
        <w:tc>
          <w:tcPr>
            <w:tcW w:w="220" w:type="dxa"/>
            <w:vAlign w:val="bottom"/>
            <w:tcBorders>
              <w:bottom w:val="single" w:sz="8" w:color="CCFFCC"/>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w w:val="90"/>
              </w:rPr>
              <w:t>Dec 11</w:t>
            </w:r>
          </w:p>
        </w:tc>
        <w:tc>
          <w:tcPr>
            <w:tcW w:w="220" w:type="dxa"/>
            <w:vAlign w:val="bottom"/>
            <w:tcBorders>
              <w:bottom w:val="single" w:sz="8" w:color="CCFFCC"/>
            </w:tcBorders>
          </w:tcPr>
          <w:p>
            <w:pPr>
              <w:spacing w:after="0"/>
              <w:rPr>
                <w:sz w:val="11"/>
                <w:szCs w:val="11"/>
                <w:color w:val="auto"/>
              </w:rPr>
            </w:pPr>
          </w:p>
        </w:tc>
        <w:tc>
          <w:tcPr>
            <w:tcW w:w="10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Dec 12 / Dec 11</w:t>
            </w:r>
          </w:p>
        </w:tc>
        <w:tc>
          <w:tcPr>
            <w:tcW w:w="100" w:type="dxa"/>
            <w:vAlign w:val="bottom"/>
            <w:tcBorders>
              <w:bottom w:val="single" w:sz="8" w:color="CCFFCC"/>
            </w:tcBorders>
          </w:tcPr>
          <w:p>
            <w:pPr>
              <w:spacing w:after="0"/>
              <w:rPr>
                <w:sz w:val="11"/>
                <w:szCs w:val="11"/>
                <w:color w:val="auto"/>
              </w:rPr>
            </w:pPr>
          </w:p>
        </w:tc>
      </w:tr>
      <w:tr>
        <w:trPr>
          <w:trHeight w:val="115"/>
        </w:trPr>
        <w:tc>
          <w:tcPr>
            <w:tcW w:w="2980" w:type="dxa"/>
            <w:vAlign w:val="bottom"/>
            <w:shd w:val="clear" w:color="auto" w:fill="CCFFCC"/>
          </w:tcPr>
          <w:p>
            <w:pPr>
              <w:spacing w:after="0" w:line="115" w:lineRule="exact"/>
              <w:rPr>
                <w:sz w:val="20"/>
                <w:szCs w:val="20"/>
                <w:color w:val="auto"/>
              </w:rPr>
            </w:pPr>
            <w:r>
              <w:rPr>
                <w:rFonts w:ascii="Arial" w:cs="Arial" w:eastAsia="Arial" w:hAnsi="Arial"/>
                <w:sz w:val="11"/>
                <w:szCs w:val="11"/>
                <w:b w:val="1"/>
                <w:bCs w:val="1"/>
                <w:color w:val="auto"/>
              </w:rPr>
              <w:t>Interest income</w:t>
            </w:r>
          </w:p>
        </w:tc>
        <w:tc>
          <w:tcPr>
            <w:tcW w:w="120" w:type="dxa"/>
            <w:vAlign w:val="bottom"/>
            <w:shd w:val="clear" w:color="auto" w:fill="CCFFCC"/>
          </w:tcPr>
          <w:p>
            <w:pPr>
              <w:spacing w:after="0"/>
              <w:rPr>
                <w:sz w:val="10"/>
                <w:szCs w:val="10"/>
                <w:color w:val="auto"/>
              </w:rPr>
            </w:pPr>
          </w:p>
        </w:tc>
        <w:tc>
          <w:tcPr>
            <w:tcW w:w="820" w:type="dxa"/>
            <w:vAlign w:val="bottom"/>
            <w:shd w:val="clear" w:color="auto" w:fill="CCFFCC"/>
          </w:tcPr>
          <w:p>
            <w:pPr>
              <w:jc w:val="right"/>
              <w:spacing w:after="0" w:line="115" w:lineRule="exact"/>
              <w:rPr>
                <w:sz w:val="20"/>
                <w:szCs w:val="20"/>
                <w:color w:val="auto"/>
              </w:rPr>
            </w:pPr>
            <w:r>
              <w:rPr>
                <w:rFonts w:ascii="Arial" w:cs="Arial" w:eastAsia="Arial" w:hAnsi="Arial"/>
                <w:sz w:val="11"/>
                <w:szCs w:val="11"/>
                <w:b w:val="1"/>
                <w:bCs w:val="1"/>
                <w:color w:val="auto"/>
              </w:rPr>
              <w:t>580,566</w:t>
            </w:r>
          </w:p>
        </w:tc>
        <w:tc>
          <w:tcPr>
            <w:tcW w:w="240" w:type="dxa"/>
            <w:vAlign w:val="bottom"/>
            <w:shd w:val="clear" w:color="auto" w:fill="CCFFCC"/>
          </w:tcPr>
          <w:p>
            <w:pPr>
              <w:spacing w:after="0"/>
              <w:rPr>
                <w:sz w:val="10"/>
                <w:szCs w:val="10"/>
                <w:color w:val="auto"/>
              </w:rPr>
            </w:pPr>
          </w:p>
        </w:tc>
        <w:tc>
          <w:tcPr>
            <w:tcW w:w="800" w:type="dxa"/>
            <w:vAlign w:val="bottom"/>
            <w:shd w:val="clear" w:color="auto" w:fill="CCFFCC"/>
          </w:tcPr>
          <w:p>
            <w:pPr>
              <w:jc w:val="right"/>
              <w:spacing w:after="0" w:line="115" w:lineRule="exact"/>
              <w:rPr>
                <w:sz w:val="20"/>
                <w:szCs w:val="20"/>
                <w:color w:val="auto"/>
              </w:rPr>
            </w:pPr>
            <w:r>
              <w:rPr>
                <w:rFonts w:ascii="Arial" w:cs="Arial" w:eastAsia="Arial" w:hAnsi="Arial"/>
                <w:sz w:val="11"/>
                <w:szCs w:val="11"/>
                <w:b w:val="1"/>
                <w:bCs w:val="1"/>
                <w:color w:val="auto"/>
              </w:rPr>
              <w:t>558,570</w:t>
            </w:r>
          </w:p>
        </w:tc>
        <w:tc>
          <w:tcPr>
            <w:tcW w:w="240" w:type="dxa"/>
            <w:vAlign w:val="bottom"/>
            <w:shd w:val="clear" w:color="auto" w:fill="CCFFCC"/>
          </w:tcPr>
          <w:p>
            <w:pPr>
              <w:spacing w:after="0"/>
              <w:rPr>
                <w:sz w:val="10"/>
                <w:szCs w:val="10"/>
                <w:color w:val="auto"/>
              </w:rPr>
            </w:pPr>
          </w:p>
        </w:tc>
        <w:tc>
          <w:tcPr>
            <w:tcW w:w="820" w:type="dxa"/>
            <w:vAlign w:val="bottom"/>
            <w:shd w:val="clear" w:color="auto" w:fill="CCFFCC"/>
          </w:tcPr>
          <w:p>
            <w:pPr>
              <w:jc w:val="right"/>
              <w:spacing w:after="0" w:line="115" w:lineRule="exact"/>
              <w:rPr>
                <w:sz w:val="20"/>
                <w:szCs w:val="20"/>
                <w:color w:val="auto"/>
              </w:rPr>
            </w:pPr>
            <w:r>
              <w:rPr>
                <w:rFonts w:ascii="Arial" w:cs="Arial" w:eastAsia="Arial" w:hAnsi="Arial"/>
                <w:sz w:val="11"/>
                <w:szCs w:val="11"/>
                <w:b w:val="1"/>
                <w:bCs w:val="1"/>
                <w:color w:val="auto"/>
              </w:rPr>
              <w:t>462,115</w:t>
            </w:r>
          </w:p>
        </w:tc>
        <w:tc>
          <w:tcPr>
            <w:tcW w:w="240" w:type="dxa"/>
            <w:vAlign w:val="bottom"/>
            <w:shd w:val="clear" w:color="auto" w:fill="CCFFCC"/>
          </w:tcPr>
          <w:p>
            <w:pPr>
              <w:spacing w:after="0"/>
              <w:rPr>
                <w:sz w:val="10"/>
                <w:szCs w:val="10"/>
                <w:color w:val="auto"/>
              </w:rPr>
            </w:pPr>
          </w:p>
        </w:tc>
        <w:tc>
          <w:tcPr>
            <w:tcW w:w="1040" w:type="dxa"/>
            <w:vAlign w:val="bottom"/>
            <w:gridSpan w:val="2"/>
            <w:shd w:val="clear" w:color="auto" w:fill="CCFFCC"/>
          </w:tcPr>
          <w:p>
            <w:pPr>
              <w:jc w:val="right"/>
              <w:ind w:right="66"/>
              <w:spacing w:after="0" w:line="115" w:lineRule="exact"/>
              <w:rPr>
                <w:sz w:val="20"/>
                <w:szCs w:val="20"/>
                <w:color w:val="auto"/>
              </w:rPr>
            </w:pPr>
            <w:r>
              <w:rPr>
                <w:rFonts w:ascii="Arial" w:cs="Arial" w:eastAsia="Arial" w:hAnsi="Arial"/>
                <w:sz w:val="11"/>
                <w:szCs w:val="11"/>
                <w:b w:val="1"/>
                <w:bCs w:val="1"/>
                <w:color w:val="auto"/>
              </w:rPr>
              <w:t>3.9%</w:t>
            </w:r>
          </w:p>
        </w:tc>
        <w:tc>
          <w:tcPr>
            <w:tcW w:w="200" w:type="dxa"/>
            <w:vAlign w:val="bottom"/>
            <w:shd w:val="clear" w:color="auto" w:fill="CCFFCC"/>
          </w:tcPr>
          <w:p>
            <w:pPr>
              <w:spacing w:after="0"/>
              <w:rPr>
                <w:sz w:val="10"/>
                <w:szCs w:val="10"/>
                <w:color w:val="auto"/>
              </w:rPr>
            </w:pPr>
          </w:p>
        </w:tc>
        <w:tc>
          <w:tcPr>
            <w:tcW w:w="800" w:type="dxa"/>
            <w:vAlign w:val="bottom"/>
            <w:gridSpan w:val="2"/>
            <w:shd w:val="clear" w:color="auto" w:fill="CCFFCC"/>
          </w:tcPr>
          <w:p>
            <w:pPr>
              <w:jc w:val="right"/>
              <w:ind w:right="46"/>
              <w:spacing w:after="0" w:line="115" w:lineRule="exact"/>
              <w:rPr>
                <w:sz w:val="20"/>
                <w:szCs w:val="20"/>
                <w:color w:val="auto"/>
              </w:rPr>
            </w:pPr>
            <w:r>
              <w:rPr>
                <w:rFonts w:ascii="Arial" w:cs="Arial" w:eastAsia="Arial" w:hAnsi="Arial"/>
                <w:sz w:val="11"/>
                <w:szCs w:val="11"/>
                <w:b w:val="1"/>
                <w:bCs w:val="1"/>
                <w:color w:val="auto"/>
              </w:rPr>
              <w:t>25.6%</w:t>
            </w:r>
          </w:p>
        </w:tc>
        <w:tc>
          <w:tcPr>
            <w:tcW w:w="780" w:type="dxa"/>
            <w:vAlign w:val="bottom"/>
            <w:shd w:val="clear" w:color="auto" w:fill="CCFFCC"/>
          </w:tcPr>
          <w:p>
            <w:pPr>
              <w:jc w:val="right"/>
              <w:spacing w:after="0" w:line="115" w:lineRule="exact"/>
              <w:rPr>
                <w:sz w:val="20"/>
                <w:szCs w:val="20"/>
                <w:color w:val="auto"/>
              </w:rPr>
            </w:pPr>
            <w:r>
              <w:rPr>
                <w:rFonts w:ascii="Arial" w:cs="Arial" w:eastAsia="Arial" w:hAnsi="Arial"/>
                <w:sz w:val="11"/>
                <w:szCs w:val="11"/>
                <w:b w:val="1"/>
                <w:bCs w:val="1"/>
                <w:color w:val="auto"/>
              </w:rPr>
              <w:t>2,138,765</w:t>
            </w:r>
          </w:p>
        </w:tc>
        <w:tc>
          <w:tcPr>
            <w:tcW w:w="22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15" w:lineRule="exact"/>
              <w:rPr>
                <w:sz w:val="20"/>
                <w:szCs w:val="20"/>
                <w:color w:val="auto"/>
              </w:rPr>
            </w:pPr>
            <w:r>
              <w:rPr>
                <w:rFonts w:ascii="Arial" w:cs="Arial" w:eastAsia="Arial" w:hAnsi="Arial"/>
                <w:sz w:val="11"/>
                <w:szCs w:val="11"/>
                <w:b w:val="1"/>
                <w:bCs w:val="1"/>
                <w:color w:val="auto"/>
              </w:rPr>
              <w:t>1,702,110</w:t>
            </w:r>
          </w:p>
        </w:tc>
        <w:tc>
          <w:tcPr>
            <w:tcW w:w="220" w:type="dxa"/>
            <w:vAlign w:val="bottom"/>
            <w:shd w:val="clear" w:color="auto" w:fill="CCFFCC"/>
          </w:tcPr>
          <w:p>
            <w:pPr>
              <w:spacing w:after="0"/>
              <w:rPr>
                <w:sz w:val="10"/>
                <w:szCs w:val="10"/>
                <w:color w:val="auto"/>
              </w:rPr>
            </w:pPr>
          </w:p>
        </w:tc>
        <w:tc>
          <w:tcPr>
            <w:tcW w:w="1120" w:type="dxa"/>
            <w:vAlign w:val="bottom"/>
            <w:gridSpan w:val="2"/>
            <w:shd w:val="clear" w:color="auto" w:fill="CCFFCC"/>
          </w:tcPr>
          <w:p>
            <w:pPr>
              <w:jc w:val="right"/>
              <w:spacing w:after="0" w:line="115" w:lineRule="exact"/>
              <w:rPr>
                <w:sz w:val="20"/>
                <w:szCs w:val="20"/>
                <w:color w:val="auto"/>
              </w:rPr>
            </w:pPr>
            <w:r>
              <w:rPr>
                <w:rFonts w:ascii="Arial" w:cs="Arial" w:eastAsia="Arial" w:hAnsi="Arial"/>
                <w:sz w:val="11"/>
                <w:szCs w:val="11"/>
                <w:b w:val="1"/>
                <w:bCs w:val="1"/>
                <w:color w:val="auto"/>
              </w:rPr>
              <w:t>25.7%</w:t>
            </w:r>
          </w:p>
        </w:tc>
      </w:tr>
      <w:tr>
        <w:trPr>
          <w:trHeight w:val="122"/>
        </w:trPr>
        <w:tc>
          <w:tcPr>
            <w:tcW w:w="3100" w:type="dxa"/>
            <w:vAlign w:val="bottom"/>
            <w:gridSpan w:val="2"/>
          </w:tcPr>
          <w:p>
            <w:pPr>
              <w:ind w:left="160"/>
              <w:spacing w:after="0" w:line="122" w:lineRule="exact"/>
              <w:rPr>
                <w:sz w:val="20"/>
                <w:szCs w:val="20"/>
                <w:color w:val="auto"/>
              </w:rPr>
            </w:pPr>
            <w:r>
              <w:rPr>
                <w:rFonts w:ascii="Arial" w:cs="Arial" w:eastAsia="Arial" w:hAnsi="Arial"/>
                <w:sz w:val="11"/>
                <w:szCs w:val="11"/>
                <w:color w:val="auto"/>
              </w:rPr>
              <w:t>Interest on loans</w:t>
            </w: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524,366</w:t>
            </w:r>
          </w:p>
        </w:tc>
        <w:tc>
          <w:tcPr>
            <w:tcW w:w="24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497,702</w:t>
            </w:r>
          </w:p>
        </w:tc>
        <w:tc>
          <w:tcPr>
            <w:tcW w:w="24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416,453</w:t>
            </w:r>
          </w:p>
        </w:tc>
        <w:tc>
          <w:tcPr>
            <w:tcW w:w="240" w:type="dxa"/>
            <w:vAlign w:val="bottom"/>
          </w:tcPr>
          <w:p>
            <w:pPr>
              <w:spacing w:after="0"/>
              <w:rPr>
                <w:sz w:val="10"/>
                <w:szCs w:val="10"/>
                <w:color w:val="auto"/>
              </w:rPr>
            </w:pPr>
          </w:p>
        </w:tc>
        <w:tc>
          <w:tcPr>
            <w:tcW w:w="1040" w:type="dxa"/>
            <w:vAlign w:val="bottom"/>
            <w:gridSpan w:val="2"/>
          </w:tcPr>
          <w:p>
            <w:pPr>
              <w:jc w:val="right"/>
              <w:ind w:right="86"/>
              <w:spacing w:after="0" w:line="122" w:lineRule="exact"/>
              <w:rPr>
                <w:sz w:val="20"/>
                <w:szCs w:val="20"/>
                <w:color w:val="auto"/>
              </w:rPr>
            </w:pPr>
            <w:r>
              <w:rPr>
                <w:rFonts w:ascii="Arial" w:cs="Arial" w:eastAsia="Arial" w:hAnsi="Arial"/>
                <w:sz w:val="11"/>
                <w:szCs w:val="11"/>
                <w:color w:val="auto"/>
              </w:rPr>
              <w:t>5.4%</w:t>
            </w:r>
          </w:p>
        </w:tc>
        <w:tc>
          <w:tcPr>
            <w:tcW w:w="200" w:type="dxa"/>
            <w:vAlign w:val="bottom"/>
          </w:tcPr>
          <w:p>
            <w:pPr>
              <w:spacing w:after="0"/>
              <w:rPr>
                <w:sz w:val="10"/>
                <w:szCs w:val="10"/>
                <w:color w:val="auto"/>
              </w:rPr>
            </w:pPr>
          </w:p>
        </w:tc>
        <w:tc>
          <w:tcPr>
            <w:tcW w:w="800" w:type="dxa"/>
            <w:vAlign w:val="bottom"/>
            <w:gridSpan w:val="2"/>
          </w:tcPr>
          <w:p>
            <w:pPr>
              <w:jc w:val="right"/>
              <w:ind w:right="66"/>
              <w:spacing w:after="0" w:line="122" w:lineRule="exact"/>
              <w:rPr>
                <w:sz w:val="20"/>
                <w:szCs w:val="20"/>
                <w:color w:val="auto"/>
              </w:rPr>
            </w:pPr>
            <w:r>
              <w:rPr>
                <w:rFonts w:ascii="Arial" w:cs="Arial" w:eastAsia="Arial" w:hAnsi="Arial"/>
                <w:sz w:val="11"/>
                <w:szCs w:val="11"/>
                <w:color w:val="auto"/>
              </w:rPr>
              <w:t>25.9%</w:t>
            </w:r>
          </w:p>
        </w:tc>
        <w:tc>
          <w:tcPr>
            <w:tcW w:w="1000" w:type="dxa"/>
            <w:vAlign w:val="bottom"/>
            <w:gridSpan w:val="2"/>
          </w:tcPr>
          <w:p>
            <w:pPr>
              <w:jc w:val="right"/>
              <w:ind w:right="166"/>
              <w:spacing w:after="0" w:line="122" w:lineRule="exact"/>
              <w:rPr>
                <w:sz w:val="20"/>
                <w:szCs w:val="20"/>
                <w:color w:val="auto"/>
              </w:rPr>
            </w:pPr>
            <w:r>
              <w:rPr>
                <w:rFonts w:ascii="Arial" w:cs="Arial" w:eastAsia="Arial" w:hAnsi="Arial"/>
                <w:sz w:val="11"/>
                <w:szCs w:val="11"/>
                <w:color w:val="auto"/>
              </w:rPr>
              <w:t>1,912,929</w:t>
            </w:r>
          </w:p>
        </w:tc>
        <w:tc>
          <w:tcPr>
            <w:tcW w:w="200" w:type="dxa"/>
            <w:vAlign w:val="bottom"/>
          </w:tcPr>
          <w:p>
            <w:pPr>
              <w:spacing w:after="0"/>
              <w:rPr>
                <w:sz w:val="10"/>
                <w:szCs w:val="10"/>
                <w:color w:val="auto"/>
              </w:rPr>
            </w:pPr>
          </w:p>
        </w:tc>
        <w:tc>
          <w:tcPr>
            <w:tcW w:w="800" w:type="dxa"/>
            <w:vAlign w:val="bottom"/>
            <w:gridSpan w:val="2"/>
          </w:tcPr>
          <w:p>
            <w:pPr>
              <w:jc w:val="right"/>
              <w:ind w:right="166"/>
              <w:spacing w:after="0" w:line="122" w:lineRule="exact"/>
              <w:rPr>
                <w:sz w:val="20"/>
                <w:szCs w:val="20"/>
                <w:color w:val="auto"/>
              </w:rPr>
            </w:pPr>
            <w:r>
              <w:rPr>
                <w:rFonts w:ascii="Arial" w:cs="Arial" w:eastAsia="Arial" w:hAnsi="Arial"/>
                <w:sz w:val="11"/>
                <w:szCs w:val="11"/>
                <w:color w:val="auto"/>
              </w:rPr>
              <w:t>1,516,975</w:t>
            </w:r>
          </w:p>
        </w:tc>
        <w:tc>
          <w:tcPr>
            <w:tcW w:w="11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26.1%</w:t>
            </w:r>
          </w:p>
        </w:tc>
      </w:tr>
      <w:tr>
        <w:trPr>
          <w:trHeight w:val="122"/>
        </w:trPr>
        <w:tc>
          <w:tcPr>
            <w:tcW w:w="3100" w:type="dxa"/>
            <w:vAlign w:val="bottom"/>
            <w:gridSpan w:val="2"/>
            <w:shd w:val="clear" w:color="auto" w:fill="CCFFCC"/>
          </w:tcPr>
          <w:p>
            <w:pPr>
              <w:ind w:left="160"/>
              <w:spacing w:after="0" w:line="122" w:lineRule="exact"/>
              <w:rPr>
                <w:sz w:val="20"/>
                <w:szCs w:val="20"/>
                <w:color w:val="auto"/>
              </w:rPr>
            </w:pPr>
            <w:r>
              <w:rPr>
                <w:rFonts w:ascii="Arial" w:cs="Arial" w:eastAsia="Arial" w:hAnsi="Arial"/>
                <w:sz w:val="11"/>
                <w:szCs w:val="11"/>
                <w:color w:val="auto"/>
              </w:rPr>
              <w:t>Interest and dividends on investments</w:t>
            </w:r>
          </w:p>
        </w:tc>
        <w:tc>
          <w:tcPr>
            <w:tcW w:w="1060" w:type="dxa"/>
            <w:vAlign w:val="bottom"/>
            <w:gridSpan w:val="2"/>
            <w:shd w:val="clear" w:color="auto" w:fill="CCFFCC"/>
          </w:tcPr>
          <w:p>
            <w:pPr>
              <w:jc w:val="right"/>
              <w:ind w:right="166"/>
              <w:spacing w:after="0" w:line="122" w:lineRule="exact"/>
              <w:rPr>
                <w:sz w:val="20"/>
                <w:szCs w:val="20"/>
                <w:color w:val="auto"/>
              </w:rPr>
            </w:pPr>
            <w:r>
              <w:rPr>
                <w:rFonts w:ascii="Arial" w:cs="Arial" w:eastAsia="Arial" w:hAnsi="Arial"/>
                <w:sz w:val="11"/>
                <w:szCs w:val="11"/>
                <w:color w:val="auto"/>
              </w:rPr>
              <w:t>(512)</w:t>
            </w:r>
          </w:p>
        </w:tc>
        <w:tc>
          <w:tcPr>
            <w:tcW w:w="1040" w:type="dxa"/>
            <w:vAlign w:val="bottom"/>
            <w:gridSpan w:val="2"/>
            <w:shd w:val="clear" w:color="auto" w:fill="CCFFCC"/>
          </w:tcPr>
          <w:p>
            <w:pPr>
              <w:jc w:val="right"/>
              <w:ind w:right="146"/>
              <w:spacing w:after="0" w:line="122" w:lineRule="exact"/>
              <w:rPr>
                <w:sz w:val="20"/>
                <w:szCs w:val="20"/>
                <w:color w:val="auto"/>
              </w:rPr>
            </w:pPr>
            <w:r>
              <w:rPr>
                <w:rFonts w:ascii="Arial" w:cs="Arial" w:eastAsia="Arial" w:hAnsi="Arial"/>
                <w:sz w:val="11"/>
                <w:szCs w:val="11"/>
                <w:color w:val="auto"/>
              </w:rPr>
              <w:t>(166)</w:t>
            </w:r>
          </w:p>
        </w:tc>
        <w:tc>
          <w:tcPr>
            <w:tcW w:w="8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65</w:t>
            </w:r>
          </w:p>
        </w:tc>
        <w:tc>
          <w:tcPr>
            <w:tcW w:w="240" w:type="dxa"/>
            <w:vAlign w:val="bottom"/>
            <w:shd w:val="clear" w:color="auto" w:fill="CCFFCC"/>
          </w:tcPr>
          <w:p>
            <w:pPr>
              <w:spacing w:after="0"/>
              <w:rPr>
                <w:sz w:val="10"/>
                <w:szCs w:val="10"/>
                <w:color w:val="auto"/>
              </w:rPr>
            </w:pPr>
          </w:p>
        </w:tc>
        <w:tc>
          <w:tcPr>
            <w:tcW w:w="1040" w:type="dxa"/>
            <w:vAlign w:val="bottom"/>
            <w:gridSpan w:val="2"/>
            <w:shd w:val="clear" w:color="auto" w:fill="CCFFCC"/>
          </w:tcPr>
          <w:p>
            <w:pPr>
              <w:jc w:val="right"/>
              <w:ind w:right="86"/>
              <w:spacing w:after="0" w:line="122" w:lineRule="exact"/>
              <w:rPr>
                <w:sz w:val="20"/>
                <w:szCs w:val="20"/>
                <w:color w:val="auto"/>
              </w:rPr>
            </w:pPr>
            <w:r>
              <w:rPr>
                <w:rFonts w:ascii="Arial" w:cs="Arial" w:eastAsia="Arial" w:hAnsi="Arial"/>
                <w:sz w:val="11"/>
                <w:szCs w:val="11"/>
                <w:color w:val="auto"/>
              </w:rPr>
              <w:t>-208.4%</w:t>
            </w:r>
          </w:p>
        </w:tc>
        <w:tc>
          <w:tcPr>
            <w:tcW w:w="200" w:type="dxa"/>
            <w:vAlign w:val="bottom"/>
            <w:shd w:val="clear" w:color="auto" w:fill="CCFFCC"/>
          </w:tcPr>
          <w:p>
            <w:pPr>
              <w:spacing w:after="0"/>
              <w:rPr>
                <w:sz w:val="10"/>
                <w:szCs w:val="10"/>
                <w:color w:val="auto"/>
              </w:rPr>
            </w:pPr>
          </w:p>
        </w:tc>
        <w:tc>
          <w:tcPr>
            <w:tcW w:w="800" w:type="dxa"/>
            <w:vAlign w:val="bottom"/>
            <w:gridSpan w:val="2"/>
            <w:shd w:val="clear" w:color="auto" w:fill="CCFFCC"/>
          </w:tcPr>
          <w:p>
            <w:pPr>
              <w:jc w:val="right"/>
              <w:ind w:right="66"/>
              <w:spacing w:after="0" w:line="122" w:lineRule="exact"/>
              <w:rPr>
                <w:sz w:val="20"/>
                <w:szCs w:val="20"/>
                <w:color w:val="auto"/>
              </w:rPr>
            </w:pPr>
            <w:r>
              <w:rPr>
                <w:rFonts w:ascii="Arial" w:cs="Arial" w:eastAsia="Arial" w:hAnsi="Arial"/>
                <w:sz w:val="11"/>
                <w:szCs w:val="11"/>
                <w:color w:val="auto"/>
              </w:rPr>
              <w:t>-887.7%</w:t>
            </w:r>
          </w:p>
        </w:tc>
        <w:tc>
          <w:tcPr>
            <w:tcW w:w="1000" w:type="dxa"/>
            <w:vAlign w:val="bottom"/>
            <w:gridSpan w:val="2"/>
            <w:shd w:val="clear" w:color="auto" w:fill="CCFFCC"/>
          </w:tcPr>
          <w:p>
            <w:pPr>
              <w:jc w:val="right"/>
              <w:ind w:right="166"/>
              <w:spacing w:after="0" w:line="122" w:lineRule="exact"/>
              <w:rPr>
                <w:sz w:val="20"/>
                <w:szCs w:val="20"/>
                <w:color w:val="auto"/>
              </w:rPr>
            </w:pPr>
            <w:r>
              <w:rPr>
                <w:rFonts w:ascii="Arial" w:cs="Arial" w:eastAsia="Arial" w:hAnsi="Arial"/>
                <w:sz w:val="11"/>
                <w:szCs w:val="11"/>
                <w:color w:val="auto"/>
              </w:rPr>
              <w:t>6,147</w:t>
            </w:r>
          </w:p>
        </w:tc>
        <w:tc>
          <w:tcPr>
            <w:tcW w:w="200" w:type="dxa"/>
            <w:vAlign w:val="bottom"/>
            <w:shd w:val="clear" w:color="auto" w:fill="CCFFCC"/>
          </w:tcPr>
          <w:p>
            <w:pPr>
              <w:spacing w:after="0"/>
              <w:rPr>
                <w:sz w:val="10"/>
                <w:szCs w:val="10"/>
                <w:color w:val="auto"/>
              </w:rPr>
            </w:pPr>
          </w:p>
        </w:tc>
        <w:tc>
          <w:tcPr>
            <w:tcW w:w="800" w:type="dxa"/>
            <w:vAlign w:val="bottom"/>
            <w:gridSpan w:val="2"/>
            <w:shd w:val="clear" w:color="auto" w:fill="CCFFCC"/>
          </w:tcPr>
          <w:p>
            <w:pPr>
              <w:jc w:val="right"/>
              <w:ind w:right="166"/>
              <w:spacing w:after="0" w:line="122" w:lineRule="exact"/>
              <w:rPr>
                <w:sz w:val="20"/>
                <w:szCs w:val="20"/>
                <w:color w:val="auto"/>
              </w:rPr>
            </w:pPr>
            <w:r>
              <w:rPr>
                <w:rFonts w:ascii="Arial" w:cs="Arial" w:eastAsia="Arial" w:hAnsi="Arial"/>
                <w:sz w:val="11"/>
                <w:szCs w:val="11"/>
                <w:color w:val="auto"/>
              </w:rPr>
              <w:t>5,867</w:t>
            </w:r>
          </w:p>
        </w:tc>
        <w:tc>
          <w:tcPr>
            <w:tcW w:w="112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4.8%</w:t>
            </w:r>
          </w:p>
        </w:tc>
      </w:tr>
      <w:tr>
        <w:trPr>
          <w:trHeight w:val="122"/>
        </w:trPr>
        <w:tc>
          <w:tcPr>
            <w:tcW w:w="3100" w:type="dxa"/>
            <w:vAlign w:val="bottom"/>
            <w:gridSpan w:val="2"/>
          </w:tcPr>
          <w:p>
            <w:pPr>
              <w:ind w:left="160"/>
              <w:spacing w:after="0" w:line="122" w:lineRule="exact"/>
              <w:rPr>
                <w:sz w:val="20"/>
                <w:szCs w:val="20"/>
                <w:color w:val="auto"/>
              </w:rPr>
            </w:pPr>
            <w:r>
              <w:rPr>
                <w:rFonts w:ascii="Arial" w:cs="Arial" w:eastAsia="Arial" w:hAnsi="Arial"/>
                <w:sz w:val="11"/>
                <w:szCs w:val="11"/>
                <w:color w:val="auto"/>
              </w:rPr>
              <w:t>Interest on deposits with banks</w:t>
            </w: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9,814</w:t>
            </w:r>
          </w:p>
        </w:tc>
        <w:tc>
          <w:tcPr>
            <w:tcW w:w="24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12,142</w:t>
            </w:r>
          </w:p>
        </w:tc>
        <w:tc>
          <w:tcPr>
            <w:tcW w:w="24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6,644</w:t>
            </w:r>
          </w:p>
        </w:tc>
        <w:tc>
          <w:tcPr>
            <w:tcW w:w="240" w:type="dxa"/>
            <w:vAlign w:val="bottom"/>
          </w:tcPr>
          <w:p>
            <w:pPr>
              <w:spacing w:after="0"/>
              <w:rPr>
                <w:sz w:val="10"/>
                <w:szCs w:val="10"/>
                <w:color w:val="auto"/>
              </w:rPr>
            </w:pPr>
          </w:p>
        </w:tc>
        <w:tc>
          <w:tcPr>
            <w:tcW w:w="1040" w:type="dxa"/>
            <w:vAlign w:val="bottom"/>
            <w:gridSpan w:val="2"/>
          </w:tcPr>
          <w:p>
            <w:pPr>
              <w:jc w:val="right"/>
              <w:ind w:right="86"/>
              <w:spacing w:after="0" w:line="122" w:lineRule="exact"/>
              <w:rPr>
                <w:sz w:val="20"/>
                <w:szCs w:val="20"/>
                <w:color w:val="auto"/>
              </w:rPr>
            </w:pPr>
            <w:r>
              <w:rPr>
                <w:rFonts w:ascii="Arial" w:cs="Arial" w:eastAsia="Arial" w:hAnsi="Arial"/>
                <w:sz w:val="11"/>
                <w:szCs w:val="11"/>
                <w:color w:val="auto"/>
              </w:rPr>
              <w:t>-19.2%</w:t>
            </w:r>
          </w:p>
        </w:tc>
        <w:tc>
          <w:tcPr>
            <w:tcW w:w="200" w:type="dxa"/>
            <w:vAlign w:val="bottom"/>
          </w:tcPr>
          <w:p>
            <w:pPr>
              <w:spacing w:after="0"/>
              <w:rPr>
                <w:sz w:val="10"/>
                <w:szCs w:val="10"/>
                <w:color w:val="auto"/>
              </w:rPr>
            </w:pPr>
          </w:p>
        </w:tc>
        <w:tc>
          <w:tcPr>
            <w:tcW w:w="800" w:type="dxa"/>
            <w:vAlign w:val="bottom"/>
            <w:gridSpan w:val="2"/>
          </w:tcPr>
          <w:p>
            <w:pPr>
              <w:jc w:val="right"/>
              <w:ind w:right="66"/>
              <w:spacing w:after="0" w:line="122" w:lineRule="exact"/>
              <w:rPr>
                <w:sz w:val="20"/>
                <w:szCs w:val="20"/>
                <w:color w:val="auto"/>
              </w:rPr>
            </w:pPr>
            <w:r>
              <w:rPr>
                <w:rFonts w:ascii="Arial" w:cs="Arial" w:eastAsia="Arial" w:hAnsi="Arial"/>
                <w:sz w:val="11"/>
                <w:szCs w:val="11"/>
                <w:color w:val="auto"/>
              </w:rPr>
              <w:t>47.7%</w:t>
            </w:r>
          </w:p>
        </w:tc>
        <w:tc>
          <w:tcPr>
            <w:tcW w:w="1000" w:type="dxa"/>
            <w:vAlign w:val="bottom"/>
            <w:gridSpan w:val="2"/>
          </w:tcPr>
          <w:p>
            <w:pPr>
              <w:jc w:val="right"/>
              <w:ind w:right="166"/>
              <w:spacing w:after="0" w:line="122" w:lineRule="exact"/>
              <w:rPr>
                <w:sz w:val="20"/>
                <w:szCs w:val="20"/>
                <w:color w:val="auto"/>
              </w:rPr>
            </w:pPr>
            <w:r>
              <w:rPr>
                <w:rFonts w:ascii="Arial" w:cs="Arial" w:eastAsia="Arial" w:hAnsi="Arial"/>
                <w:sz w:val="11"/>
                <w:szCs w:val="11"/>
                <w:color w:val="auto"/>
              </w:rPr>
              <w:t>39,305</w:t>
            </w:r>
          </w:p>
        </w:tc>
        <w:tc>
          <w:tcPr>
            <w:tcW w:w="200" w:type="dxa"/>
            <w:vAlign w:val="bottom"/>
          </w:tcPr>
          <w:p>
            <w:pPr>
              <w:spacing w:after="0"/>
              <w:rPr>
                <w:sz w:val="10"/>
                <w:szCs w:val="10"/>
                <w:color w:val="auto"/>
              </w:rPr>
            </w:pPr>
          </w:p>
        </w:tc>
        <w:tc>
          <w:tcPr>
            <w:tcW w:w="800" w:type="dxa"/>
            <w:vAlign w:val="bottom"/>
            <w:gridSpan w:val="2"/>
          </w:tcPr>
          <w:p>
            <w:pPr>
              <w:jc w:val="right"/>
              <w:ind w:right="166"/>
              <w:spacing w:after="0" w:line="122" w:lineRule="exact"/>
              <w:rPr>
                <w:sz w:val="20"/>
                <w:szCs w:val="20"/>
                <w:color w:val="auto"/>
              </w:rPr>
            </w:pPr>
            <w:r>
              <w:rPr>
                <w:rFonts w:ascii="Arial" w:cs="Arial" w:eastAsia="Arial" w:hAnsi="Arial"/>
                <w:sz w:val="11"/>
                <w:szCs w:val="11"/>
                <w:color w:val="auto"/>
              </w:rPr>
              <w:t>41,944</w:t>
            </w:r>
          </w:p>
        </w:tc>
        <w:tc>
          <w:tcPr>
            <w:tcW w:w="11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-6.3%</w:t>
            </w:r>
          </w:p>
        </w:tc>
      </w:tr>
      <w:tr>
        <w:trPr>
          <w:trHeight w:val="122"/>
        </w:trPr>
        <w:tc>
          <w:tcPr>
            <w:tcW w:w="3100" w:type="dxa"/>
            <w:vAlign w:val="bottom"/>
            <w:gridSpan w:val="2"/>
            <w:shd w:val="clear" w:color="auto" w:fill="CCFFCC"/>
          </w:tcPr>
          <w:p>
            <w:pPr>
              <w:ind w:left="160"/>
              <w:spacing w:after="0" w:line="122" w:lineRule="exact"/>
              <w:rPr>
                <w:sz w:val="20"/>
                <w:szCs w:val="20"/>
                <w:color w:val="auto"/>
              </w:rPr>
            </w:pPr>
            <w:r>
              <w:rPr>
                <w:rFonts w:ascii="Arial" w:cs="Arial" w:eastAsia="Arial" w:hAnsi="Arial"/>
                <w:sz w:val="11"/>
                <w:szCs w:val="11"/>
                <w:color w:val="auto"/>
              </w:rPr>
              <w:t>Interest on trading securities</w:t>
            </w:r>
          </w:p>
        </w:tc>
        <w:tc>
          <w:tcPr>
            <w:tcW w:w="8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39,088</w:t>
            </w:r>
          </w:p>
        </w:tc>
        <w:tc>
          <w:tcPr>
            <w:tcW w:w="240" w:type="dxa"/>
            <w:vAlign w:val="bottom"/>
            <w:shd w:val="clear" w:color="auto" w:fill="CCFFCC"/>
          </w:tcPr>
          <w:p>
            <w:pPr>
              <w:spacing w:after="0"/>
              <w:rPr>
                <w:sz w:val="10"/>
                <w:szCs w:val="10"/>
                <w:color w:val="auto"/>
              </w:rPr>
            </w:pPr>
          </w:p>
        </w:tc>
        <w:tc>
          <w:tcPr>
            <w:tcW w:w="8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39,133</w:t>
            </w:r>
          </w:p>
        </w:tc>
        <w:tc>
          <w:tcPr>
            <w:tcW w:w="240" w:type="dxa"/>
            <w:vAlign w:val="bottom"/>
            <w:shd w:val="clear" w:color="auto" w:fill="CCFFCC"/>
          </w:tcPr>
          <w:p>
            <w:pPr>
              <w:spacing w:after="0"/>
              <w:rPr>
                <w:sz w:val="10"/>
                <w:szCs w:val="10"/>
                <w:color w:val="auto"/>
              </w:rPr>
            </w:pPr>
          </w:p>
        </w:tc>
        <w:tc>
          <w:tcPr>
            <w:tcW w:w="8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32,805</w:t>
            </w:r>
          </w:p>
        </w:tc>
        <w:tc>
          <w:tcPr>
            <w:tcW w:w="240" w:type="dxa"/>
            <w:vAlign w:val="bottom"/>
            <w:shd w:val="clear" w:color="auto" w:fill="CCFFCC"/>
          </w:tcPr>
          <w:p>
            <w:pPr>
              <w:spacing w:after="0"/>
              <w:rPr>
                <w:sz w:val="10"/>
                <w:szCs w:val="10"/>
                <w:color w:val="auto"/>
              </w:rPr>
            </w:pPr>
          </w:p>
        </w:tc>
        <w:tc>
          <w:tcPr>
            <w:tcW w:w="1040" w:type="dxa"/>
            <w:vAlign w:val="bottom"/>
            <w:gridSpan w:val="2"/>
            <w:shd w:val="clear" w:color="auto" w:fill="CCFFCC"/>
          </w:tcPr>
          <w:p>
            <w:pPr>
              <w:jc w:val="right"/>
              <w:ind w:right="86"/>
              <w:spacing w:after="0" w:line="122" w:lineRule="exact"/>
              <w:rPr>
                <w:sz w:val="20"/>
                <w:szCs w:val="20"/>
                <w:color w:val="auto"/>
              </w:rPr>
            </w:pPr>
            <w:r>
              <w:rPr>
                <w:rFonts w:ascii="Arial" w:cs="Arial" w:eastAsia="Arial" w:hAnsi="Arial"/>
                <w:sz w:val="11"/>
                <w:szCs w:val="11"/>
                <w:color w:val="auto"/>
              </w:rPr>
              <w:t>-0.1%</w:t>
            </w:r>
          </w:p>
        </w:tc>
        <w:tc>
          <w:tcPr>
            <w:tcW w:w="200" w:type="dxa"/>
            <w:vAlign w:val="bottom"/>
            <w:shd w:val="clear" w:color="auto" w:fill="CCFFCC"/>
          </w:tcPr>
          <w:p>
            <w:pPr>
              <w:spacing w:after="0"/>
              <w:rPr>
                <w:sz w:val="10"/>
                <w:szCs w:val="10"/>
                <w:color w:val="auto"/>
              </w:rPr>
            </w:pPr>
          </w:p>
        </w:tc>
        <w:tc>
          <w:tcPr>
            <w:tcW w:w="800" w:type="dxa"/>
            <w:vAlign w:val="bottom"/>
            <w:gridSpan w:val="2"/>
            <w:shd w:val="clear" w:color="auto" w:fill="CCFFCC"/>
          </w:tcPr>
          <w:p>
            <w:pPr>
              <w:jc w:val="right"/>
              <w:ind w:right="66"/>
              <w:spacing w:after="0" w:line="122" w:lineRule="exact"/>
              <w:rPr>
                <w:sz w:val="20"/>
                <w:szCs w:val="20"/>
                <w:color w:val="auto"/>
              </w:rPr>
            </w:pPr>
            <w:r>
              <w:rPr>
                <w:rFonts w:ascii="Arial" w:cs="Arial" w:eastAsia="Arial" w:hAnsi="Arial"/>
                <w:sz w:val="11"/>
                <w:szCs w:val="11"/>
                <w:color w:val="auto"/>
              </w:rPr>
              <w:t>19.2%</w:t>
            </w:r>
          </w:p>
        </w:tc>
        <w:tc>
          <w:tcPr>
            <w:tcW w:w="1000" w:type="dxa"/>
            <w:vAlign w:val="bottom"/>
            <w:gridSpan w:val="2"/>
            <w:shd w:val="clear" w:color="auto" w:fill="CCFFCC"/>
          </w:tcPr>
          <w:p>
            <w:pPr>
              <w:jc w:val="right"/>
              <w:ind w:right="166"/>
              <w:spacing w:after="0" w:line="122" w:lineRule="exact"/>
              <w:rPr>
                <w:sz w:val="20"/>
                <w:szCs w:val="20"/>
                <w:color w:val="auto"/>
              </w:rPr>
            </w:pPr>
            <w:r>
              <w:rPr>
                <w:rFonts w:ascii="Arial" w:cs="Arial" w:eastAsia="Arial" w:hAnsi="Arial"/>
                <w:sz w:val="11"/>
                <w:szCs w:val="11"/>
                <w:color w:val="auto"/>
              </w:rPr>
              <w:t>157,707</w:t>
            </w:r>
          </w:p>
        </w:tc>
        <w:tc>
          <w:tcPr>
            <w:tcW w:w="200" w:type="dxa"/>
            <w:vAlign w:val="bottom"/>
            <w:shd w:val="clear" w:color="auto" w:fill="CCFFCC"/>
          </w:tcPr>
          <w:p>
            <w:pPr>
              <w:spacing w:after="0"/>
              <w:rPr>
                <w:sz w:val="10"/>
                <w:szCs w:val="10"/>
                <w:color w:val="auto"/>
              </w:rPr>
            </w:pPr>
          </w:p>
        </w:tc>
        <w:tc>
          <w:tcPr>
            <w:tcW w:w="800" w:type="dxa"/>
            <w:vAlign w:val="bottom"/>
            <w:gridSpan w:val="2"/>
            <w:shd w:val="clear" w:color="auto" w:fill="CCFFCC"/>
          </w:tcPr>
          <w:p>
            <w:pPr>
              <w:jc w:val="right"/>
              <w:ind w:right="166"/>
              <w:spacing w:after="0" w:line="122" w:lineRule="exact"/>
              <w:rPr>
                <w:sz w:val="20"/>
                <w:szCs w:val="20"/>
                <w:color w:val="auto"/>
              </w:rPr>
            </w:pPr>
            <w:r>
              <w:rPr>
                <w:rFonts w:ascii="Arial" w:cs="Arial" w:eastAsia="Arial" w:hAnsi="Arial"/>
                <w:sz w:val="11"/>
                <w:szCs w:val="11"/>
                <w:color w:val="auto"/>
              </w:rPr>
              <w:t>118,494</w:t>
            </w:r>
          </w:p>
        </w:tc>
        <w:tc>
          <w:tcPr>
            <w:tcW w:w="112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33.1%</w:t>
            </w:r>
          </w:p>
        </w:tc>
      </w:tr>
      <w:tr>
        <w:trPr>
          <w:trHeight w:val="122"/>
        </w:trPr>
        <w:tc>
          <w:tcPr>
            <w:tcW w:w="3100" w:type="dxa"/>
            <w:vAlign w:val="bottom"/>
            <w:gridSpan w:val="2"/>
          </w:tcPr>
          <w:p>
            <w:pPr>
              <w:ind w:left="160"/>
              <w:spacing w:after="0" w:line="122" w:lineRule="exact"/>
              <w:rPr>
                <w:sz w:val="20"/>
                <w:szCs w:val="20"/>
                <w:color w:val="auto"/>
              </w:rPr>
            </w:pPr>
            <w:r>
              <w:rPr>
                <w:rFonts w:ascii="Arial" w:cs="Arial" w:eastAsia="Arial" w:hAnsi="Arial"/>
                <w:sz w:val="11"/>
                <w:szCs w:val="11"/>
                <w:color w:val="auto"/>
              </w:rPr>
              <w:t>Other interest income</w:t>
            </w: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7,810</w:t>
            </w:r>
          </w:p>
        </w:tc>
        <w:tc>
          <w:tcPr>
            <w:tcW w:w="24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9,759</w:t>
            </w:r>
          </w:p>
        </w:tc>
        <w:tc>
          <w:tcPr>
            <w:tcW w:w="24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6,148</w:t>
            </w:r>
          </w:p>
        </w:tc>
        <w:tc>
          <w:tcPr>
            <w:tcW w:w="240" w:type="dxa"/>
            <w:vAlign w:val="bottom"/>
          </w:tcPr>
          <w:p>
            <w:pPr>
              <w:spacing w:after="0"/>
              <w:rPr>
                <w:sz w:val="10"/>
                <w:szCs w:val="10"/>
                <w:color w:val="auto"/>
              </w:rPr>
            </w:pPr>
          </w:p>
        </w:tc>
        <w:tc>
          <w:tcPr>
            <w:tcW w:w="1040" w:type="dxa"/>
            <w:vAlign w:val="bottom"/>
            <w:gridSpan w:val="2"/>
          </w:tcPr>
          <w:p>
            <w:pPr>
              <w:jc w:val="right"/>
              <w:ind w:right="86"/>
              <w:spacing w:after="0" w:line="122" w:lineRule="exact"/>
              <w:rPr>
                <w:sz w:val="20"/>
                <w:szCs w:val="20"/>
                <w:color w:val="auto"/>
              </w:rPr>
            </w:pPr>
            <w:r>
              <w:rPr>
                <w:rFonts w:ascii="Arial" w:cs="Arial" w:eastAsia="Arial" w:hAnsi="Arial"/>
                <w:sz w:val="11"/>
                <w:szCs w:val="11"/>
                <w:color w:val="auto"/>
              </w:rPr>
              <w:t>-20.0%</w:t>
            </w:r>
          </w:p>
        </w:tc>
        <w:tc>
          <w:tcPr>
            <w:tcW w:w="200" w:type="dxa"/>
            <w:vAlign w:val="bottom"/>
          </w:tcPr>
          <w:p>
            <w:pPr>
              <w:spacing w:after="0"/>
              <w:rPr>
                <w:sz w:val="10"/>
                <w:szCs w:val="10"/>
                <w:color w:val="auto"/>
              </w:rPr>
            </w:pPr>
          </w:p>
        </w:tc>
        <w:tc>
          <w:tcPr>
            <w:tcW w:w="800" w:type="dxa"/>
            <w:vAlign w:val="bottom"/>
            <w:gridSpan w:val="2"/>
          </w:tcPr>
          <w:p>
            <w:pPr>
              <w:jc w:val="right"/>
              <w:ind w:right="66"/>
              <w:spacing w:after="0" w:line="122" w:lineRule="exact"/>
              <w:rPr>
                <w:sz w:val="20"/>
                <w:szCs w:val="20"/>
                <w:color w:val="auto"/>
              </w:rPr>
            </w:pPr>
            <w:r>
              <w:rPr>
                <w:rFonts w:ascii="Arial" w:cs="Arial" w:eastAsia="Arial" w:hAnsi="Arial"/>
                <w:sz w:val="11"/>
                <w:szCs w:val="11"/>
                <w:color w:val="auto"/>
              </w:rPr>
              <w:t>27.0%</w:t>
            </w:r>
          </w:p>
        </w:tc>
        <w:tc>
          <w:tcPr>
            <w:tcW w:w="1000" w:type="dxa"/>
            <w:vAlign w:val="bottom"/>
            <w:gridSpan w:val="2"/>
          </w:tcPr>
          <w:p>
            <w:pPr>
              <w:jc w:val="right"/>
              <w:ind w:right="166"/>
              <w:spacing w:after="0" w:line="122" w:lineRule="exact"/>
              <w:rPr>
                <w:sz w:val="20"/>
                <w:szCs w:val="20"/>
                <w:color w:val="auto"/>
              </w:rPr>
            </w:pPr>
            <w:r>
              <w:rPr>
                <w:rFonts w:ascii="Arial" w:cs="Arial" w:eastAsia="Arial" w:hAnsi="Arial"/>
                <w:sz w:val="11"/>
                <w:szCs w:val="11"/>
                <w:color w:val="auto"/>
              </w:rPr>
              <w:t>22,677</w:t>
            </w:r>
          </w:p>
        </w:tc>
        <w:tc>
          <w:tcPr>
            <w:tcW w:w="200" w:type="dxa"/>
            <w:vAlign w:val="bottom"/>
          </w:tcPr>
          <w:p>
            <w:pPr>
              <w:spacing w:after="0"/>
              <w:rPr>
                <w:sz w:val="10"/>
                <w:szCs w:val="10"/>
                <w:color w:val="auto"/>
              </w:rPr>
            </w:pPr>
          </w:p>
        </w:tc>
        <w:tc>
          <w:tcPr>
            <w:tcW w:w="800" w:type="dxa"/>
            <w:vAlign w:val="bottom"/>
            <w:gridSpan w:val="2"/>
          </w:tcPr>
          <w:p>
            <w:pPr>
              <w:jc w:val="right"/>
              <w:ind w:right="166"/>
              <w:spacing w:after="0" w:line="122" w:lineRule="exact"/>
              <w:rPr>
                <w:sz w:val="20"/>
                <w:szCs w:val="20"/>
                <w:color w:val="auto"/>
              </w:rPr>
            </w:pPr>
            <w:r>
              <w:rPr>
                <w:rFonts w:ascii="Arial" w:cs="Arial" w:eastAsia="Arial" w:hAnsi="Arial"/>
                <w:sz w:val="11"/>
                <w:szCs w:val="11"/>
                <w:color w:val="auto"/>
              </w:rPr>
              <w:t>18,830</w:t>
            </w:r>
          </w:p>
        </w:tc>
        <w:tc>
          <w:tcPr>
            <w:tcW w:w="11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20.4%</w:t>
            </w:r>
          </w:p>
        </w:tc>
      </w:tr>
      <w:tr>
        <w:trPr>
          <w:trHeight w:val="122"/>
        </w:trPr>
        <w:tc>
          <w:tcPr>
            <w:tcW w:w="3100" w:type="dxa"/>
            <w:vAlign w:val="bottom"/>
            <w:gridSpan w:val="2"/>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Interest expense</w:t>
            </w:r>
          </w:p>
        </w:tc>
        <w:tc>
          <w:tcPr>
            <w:tcW w:w="8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b w:val="1"/>
                <w:bCs w:val="1"/>
                <w:color w:val="auto"/>
              </w:rPr>
              <w:t>186,147</w:t>
            </w:r>
          </w:p>
        </w:tc>
        <w:tc>
          <w:tcPr>
            <w:tcW w:w="240" w:type="dxa"/>
            <w:vAlign w:val="bottom"/>
            <w:shd w:val="clear" w:color="auto" w:fill="CCFFCC"/>
          </w:tcPr>
          <w:p>
            <w:pPr>
              <w:spacing w:after="0"/>
              <w:rPr>
                <w:sz w:val="10"/>
                <w:szCs w:val="10"/>
                <w:color w:val="auto"/>
              </w:rPr>
            </w:pPr>
          </w:p>
        </w:tc>
        <w:tc>
          <w:tcPr>
            <w:tcW w:w="8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b w:val="1"/>
                <w:bCs w:val="1"/>
                <w:color w:val="auto"/>
              </w:rPr>
              <w:t>176,144</w:t>
            </w:r>
          </w:p>
        </w:tc>
        <w:tc>
          <w:tcPr>
            <w:tcW w:w="240" w:type="dxa"/>
            <w:vAlign w:val="bottom"/>
            <w:shd w:val="clear" w:color="auto" w:fill="CCFFCC"/>
          </w:tcPr>
          <w:p>
            <w:pPr>
              <w:spacing w:after="0"/>
              <w:rPr>
                <w:sz w:val="10"/>
                <w:szCs w:val="10"/>
                <w:color w:val="auto"/>
              </w:rPr>
            </w:pPr>
          </w:p>
        </w:tc>
        <w:tc>
          <w:tcPr>
            <w:tcW w:w="8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b w:val="1"/>
                <w:bCs w:val="1"/>
                <w:color w:val="auto"/>
              </w:rPr>
              <w:t>138,722</w:t>
            </w:r>
          </w:p>
        </w:tc>
        <w:tc>
          <w:tcPr>
            <w:tcW w:w="240" w:type="dxa"/>
            <w:vAlign w:val="bottom"/>
            <w:shd w:val="clear" w:color="auto" w:fill="CCFFCC"/>
          </w:tcPr>
          <w:p>
            <w:pPr>
              <w:spacing w:after="0"/>
              <w:rPr>
                <w:sz w:val="10"/>
                <w:szCs w:val="10"/>
                <w:color w:val="auto"/>
              </w:rPr>
            </w:pPr>
          </w:p>
        </w:tc>
        <w:tc>
          <w:tcPr>
            <w:tcW w:w="1040" w:type="dxa"/>
            <w:vAlign w:val="bottom"/>
            <w:gridSpan w:val="2"/>
            <w:shd w:val="clear" w:color="auto" w:fill="CCFFCC"/>
          </w:tcPr>
          <w:p>
            <w:pPr>
              <w:jc w:val="right"/>
              <w:ind w:right="66"/>
              <w:spacing w:after="0" w:line="122" w:lineRule="exact"/>
              <w:rPr>
                <w:sz w:val="20"/>
                <w:szCs w:val="20"/>
                <w:color w:val="auto"/>
              </w:rPr>
            </w:pPr>
            <w:r>
              <w:rPr>
                <w:rFonts w:ascii="Arial" w:cs="Arial" w:eastAsia="Arial" w:hAnsi="Arial"/>
                <w:sz w:val="11"/>
                <w:szCs w:val="11"/>
                <w:b w:val="1"/>
                <w:bCs w:val="1"/>
                <w:color w:val="auto"/>
              </w:rPr>
              <w:t>5.7%</w:t>
            </w:r>
          </w:p>
        </w:tc>
        <w:tc>
          <w:tcPr>
            <w:tcW w:w="200" w:type="dxa"/>
            <w:vAlign w:val="bottom"/>
            <w:shd w:val="clear" w:color="auto" w:fill="CCFFCC"/>
          </w:tcPr>
          <w:p>
            <w:pPr>
              <w:spacing w:after="0"/>
              <w:rPr>
                <w:sz w:val="10"/>
                <w:szCs w:val="10"/>
                <w:color w:val="auto"/>
              </w:rPr>
            </w:pPr>
          </w:p>
        </w:tc>
        <w:tc>
          <w:tcPr>
            <w:tcW w:w="800" w:type="dxa"/>
            <w:vAlign w:val="bottom"/>
            <w:gridSpan w:val="2"/>
            <w:shd w:val="clear" w:color="auto" w:fill="CCFFCC"/>
          </w:tcPr>
          <w:p>
            <w:pPr>
              <w:jc w:val="right"/>
              <w:ind w:right="46"/>
              <w:spacing w:after="0" w:line="122" w:lineRule="exact"/>
              <w:rPr>
                <w:sz w:val="20"/>
                <w:szCs w:val="20"/>
                <w:color w:val="auto"/>
              </w:rPr>
            </w:pPr>
            <w:r>
              <w:rPr>
                <w:rFonts w:ascii="Arial" w:cs="Arial" w:eastAsia="Arial" w:hAnsi="Arial"/>
                <w:sz w:val="11"/>
                <w:szCs w:val="11"/>
                <w:b w:val="1"/>
                <w:bCs w:val="1"/>
                <w:color w:val="auto"/>
              </w:rPr>
              <w:t>34.2%</w:t>
            </w:r>
          </w:p>
        </w:tc>
        <w:tc>
          <w:tcPr>
            <w:tcW w:w="1000" w:type="dxa"/>
            <w:vAlign w:val="bottom"/>
            <w:gridSpan w:val="2"/>
            <w:shd w:val="clear" w:color="auto" w:fill="CCFFCC"/>
          </w:tcPr>
          <w:p>
            <w:pPr>
              <w:jc w:val="right"/>
              <w:ind w:right="166"/>
              <w:spacing w:after="0" w:line="122" w:lineRule="exact"/>
              <w:rPr>
                <w:sz w:val="20"/>
                <w:szCs w:val="20"/>
                <w:color w:val="auto"/>
              </w:rPr>
            </w:pPr>
            <w:r>
              <w:rPr>
                <w:rFonts w:ascii="Arial" w:cs="Arial" w:eastAsia="Arial" w:hAnsi="Arial"/>
                <w:sz w:val="11"/>
                <w:szCs w:val="11"/>
                <w:b w:val="1"/>
                <w:bCs w:val="1"/>
                <w:color w:val="auto"/>
              </w:rPr>
              <w:t>665,126</w:t>
            </w:r>
          </w:p>
        </w:tc>
        <w:tc>
          <w:tcPr>
            <w:tcW w:w="200" w:type="dxa"/>
            <w:vAlign w:val="bottom"/>
            <w:shd w:val="clear" w:color="auto" w:fill="CCFFCC"/>
          </w:tcPr>
          <w:p>
            <w:pPr>
              <w:spacing w:after="0"/>
              <w:rPr>
                <w:sz w:val="10"/>
                <w:szCs w:val="10"/>
                <w:color w:val="auto"/>
              </w:rPr>
            </w:pPr>
          </w:p>
        </w:tc>
        <w:tc>
          <w:tcPr>
            <w:tcW w:w="800" w:type="dxa"/>
            <w:vAlign w:val="bottom"/>
            <w:gridSpan w:val="2"/>
            <w:shd w:val="clear" w:color="auto" w:fill="CCFFCC"/>
          </w:tcPr>
          <w:p>
            <w:pPr>
              <w:jc w:val="right"/>
              <w:ind w:right="166"/>
              <w:spacing w:after="0" w:line="122" w:lineRule="exact"/>
              <w:rPr>
                <w:sz w:val="20"/>
                <w:szCs w:val="20"/>
                <w:color w:val="auto"/>
              </w:rPr>
            </w:pPr>
            <w:r>
              <w:rPr>
                <w:rFonts w:ascii="Arial" w:cs="Arial" w:eastAsia="Arial" w:hAnsi="Arial"/>
                <w:sz w:val="11"/>
                <w:szCs w:val="11"/>
                <w:b w:val="1"/>
                <w:bCs w:val="1"/>
                <w:color w:val="auto"/>
              </w:rPr>
              <w:t>518,422</w:t>
            </w:r>
          </w:p>
        </w:tc>
        <w:tc>
          <w:tcPr>
            <w:tcW w:w="112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b w:val="1"/>
                <w:bCs w:val="1"/>
                <w:color w:val="auto"/>
              </w:rPr>
              <w:t>28.3%</w:t>
            </w:r>
          </w:p>
        </w:tc>
      </w:tr>
      <w:tr>
        <w:trPr>
          <w:trHeight w:val="122"/>
        </w:trPr>
        <w:tc>
          <w:tcPr>
            <w:tcW w:w="3100" w:type="dxa"/>
            <w:vAlign w:val="bottom"/>
            <w:gridSpan w:val="2"/>
          </w:tcPr>
          <w:p>
            <w:pPr>
              <w:ind w:left="160"/>
              <w:spacing w:after="0" w:line="122" w:lineRule="exact"/>
              <w:rPr>
                <w:sz w:val="20"/>
                <w:szCs w:val="20"/>
                <w:color w:val="auto"/>
              </w:rPr>
            </w:pPr>
            <w:r>
              <w:rPr>
                <w:rFonts w:ascii="Arial" w:cs="Arial" w:eastAsia="Arial" w:hAnsi="Arial"/>
                <w:sz w:val="11"/>
                <w:szCs w:val="11"/>
                <w:color w:val="auto"/>
              </w:rPr>
              <w:t>Interest on deposits</w:t>
            </w: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69,850</w:t>
            </w:r>
          </w:p>
        </w:tc>
        <w:tc>
          <w:tcPr>
            <w:tcW w:w="24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64,037</w:t>
            </w:r>
          </w:p>
        </w:tc>
        <w:tc>
          <w:tcPr>
            <w:tcW w:w="24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50,403</w:t>
            </w:r>
          </w:p>
        </w:tc>
        <w:tc>
          <w:tcPr>
            <w:tcW w:w="240" w:type="dxa"/>
            <w:vAlign w:val="bottom"/>
          </w:tcPr>
          <w:p>
            <w:pPr>
              <w:spacing w:after="0"/>
              <w:rPr>
                <w:sz w:val="10"/>
                <w:szCs w:val="10"/>
                <w:color w:val="auto"/>
              </w:rPr>
            </w:pPr>
          </w:p>
        </w:tc>
        <w:tc>
          <w:tcPr>
            <w:tcW w:w="1040" w:type="dxa"/>
            <w:vAlign w:val="bottom"/>
            <w:gridSpan w:val="2"/>
          </w:tcPr>
          <w:p>
            <w:pPr>
              <w:jc w:val="right"/>
              <w:ind w:right="86"/>
              <w:spacing w:after="0" w:line="122" w:lineRule="exact"/>
              <w:rPr>
                <w:sz w:val="20"/>
                <w:szCs w:val="20"/>
                <w:color w:val="auto"/>
              </w:rPr>
            </w:pPr>
            <w:r>
              <w:rPr>
                <w:rFonts w:ascii="Arial" w:cs="Arial" w:eastAsia="Arial" w:hAnsi="Arial"/>
                <w:sz w:val="11"/>
                <w:szCs w:val="11"/>
                <w:color w:val="auto"/>
              </w:rPr>
              <w:t>9.1%</w:t>
            </w:r>
          </w:p>
        </w:tc>
        <w:tc>
          <w:tcPr>
            <w:tcW w:w="200" w:type="dxa"/>
            <w:vAlign w:val="bottom"/>
          </w:tcPr>
          <w:p>
            <w:pPr>
              <w:spacing w:after="0"/>
              <w:rPr>
                <w:sz w:val="10"/>
                <w:szCs w:val="10"/>
                <w:color w:val="auto"/>
              </w:rPr>
            </w:pPr>
          </w:p>
        </w:tc>
        <w:tc>
          <w:tcPr>
            <w:tcW w:w="800" w:type="dxa"/>
            <w:vAlign w:val="bottom"/>
            <w:gridSpan w:val="2"/>
          </w:tcPr>
          <w:p>
            <w:pPr>
              <w:jc w:val="right"/>
              <w:ind w:right="66"/>
              <w:spacing w:after="0" w:line="122" w:lineRule="exact"/>
              <w:rPr>
                <w:sz w:val="20"/>
                <w:szCs w:val="20"/>
                <w:color w:val="auto"/>
              </w:rPr>
            </w:pPr>
            <w:r>
              <w:rPr>
                <w:rFonts w:ascii="Arial" w:cs="Arial" w:eastAsia="Arial" w:hAnsi="Arial"/>
                <w:sz w:val="11"/>
                <w:szCs w:val="11"/>
                <w:color w:val="auto"/>
              </w:rPr>
              <w:t>38.6%</w:t>
            </w:r>
          </w:p>
        </w:tc>
        <w:tc>
          <w:tcPr>
            <w:tcW w:w="1000" w:type="dxa"/>
            <w:vAlign w:val="bottom"/>
            <w:gridSpan w:val="2"/>
          </w:tcPr>
          <w:p>
            <w:pPr>
              <w:jc w:val="right"/>
              <w:ind w:right="166"/>
              <w:spacing w:after="0" w:line="122" w:lineRule="exact"/>
              <w:rPr>
                <w:sz w:val="20"/>
                <w:szCs w:val="20"/>
                <w:color w:val="auto"/>
              </w:rPr>
            </w:pPr>
            <w:r>
              <w:rPr>
                <w:rFonts w:ascii="Arial" w:cs="Arial" w:eastAsia="Arial" w:hAnsi="Arial"/>
                <w:sz w:val="11"/>
                <w:szCs w:val="11"/>
                <w:color w:val="auto"/>
              </w:rPr>
              <w:t>251,815</w:t>
            </w:r>
          </w:p>
        </w:tc>
        <w:tc>
          <w:tcPr>
            <w:tcW w:w="200" w:type="dxa"/>
            <w:vAlign w:val="bottom"/>
          </w:tcPr>
          <w:p>
            <w:pPr>
              <w:spacing w:after="0"/>
              <w:rPr>
                <w:sz w:val="10"/>
                <w:szCs w:val="10"/>
                <w:color w:val="auto"/>
              </w:rPr>
            </w:pPr>
          </w:p>
        </w:tc>
        <w:tc>
          <w:tcPr>
            <w:tcW w:w="800" w:type="dxa"/>
            <w:vAlign w:val="bottom"/>
            <w:gridSpan w:val="2"/>
          </w:tcPr>
          <w:p>
            <w:pPr>
              <w:jc w:val="right"/>
              <w:ind w:right="166"/>
              <w:spacing w:after="0" w:line="122" w:lineRule="exact"/>
              <w:rPr>
                <w:sz w:val="20"/>
                <w:szCs w:val="20"/>
                <w:color w:val="auto"/>
              </w:rPr>
            </w:pPr>
            <w:r>
              <w:rPr>
                <w:rFonts w:ascii="Arial" w:cs="Arial" w:eastAsia="Arial" w:hAnsi="Arial"/>
                <w:sz w:val="11"/>
                <w:szCs w:val="11"/>
                <w:color w:val="auto"/>
              </w:rPr>
              <w:t>186,255</w:t>
            </w:r>
          </w:p>
        </w:tc>
        <w:tc>
          <w:tcPr>
            <w:tcW w:w="11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35.2%</w:t>
            </w:r>
          </w:p>
        </w:tc>
      </w:tr>
      <w:tr>
        <w:trPr>
          <w:trHeight w:val="122"/>
        </w:trPr>
        <w:tc>
          <w:tcPr>
            <w:tcW w:w="3100" w:type="dxa"/>
            <w:vAlign w:val="bottom"/>
            <w:gridSpan w:val="2"/>
            <w:shd w:val="clear" w:color="auto" w:fill="CCFFCC"/>
          </w:tcPr>
          <w:p>
            <w:pPr>
              <w:ind w:left="160"/>
              <w:spacing w:after="0" w:line="122" w:lineRule="exact"/>
              <w:rPr>
                <w:sz w:val="20"/>
                <w:szCs w:val="20"/>
                <w:color w:val="auto"/>
              </w:rPr>
            </w:pPr>
            <w:r>
              <w:rPr>
                <w:rFonts w:ascii="Arial" w:cs="Arial" w:eastAsia="Arial" w:hAnsi="Arial"/>
                <w:sz w:val="11"/>
                <w:szCs w:val="11"/>
                <w:color w:val="auto"/>
              </w:rPr>
              <w:t>Interest on borrowed funds</w:t>
            </w:r>
          </w:p>
        </w:tc>
        <w:tc>
          <w:tcPr>
            <w:tcW w:w="8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38,197</w:t>
            </w:r>
          </w:p>
        </w:tc>
        <w:tc>
          <w:tcPr>
            <w:tcW w:w="240" w:type="dxa"/>
            <w:vAlign w:val="bottom"/>
            <w:shd w:val="clear" w:color="auto" w:fill="CCFFCC"/>
          </w:tcPr>
          <w:p>
            <w:pPr>
              <w:spacing w:after="0"/>
              <w:rPr>
                <w:sz w:val="10"/>
                <w:szCs w:val="10"/>
                <w:color w:val="auto"/>
              </w:rPr>
            </w:pPr>
          </w:p>
        </w:tc>
        <w:tc>
          <w:tcPr>
            <w:tcW w:w="8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35,621</w:t>
            </w:r>
          </w:p>
        </w:tc>
        <w:tc>
          <w:tcPr>
            <w:tcW w:w="240" w:type="dxa"/>
            <w:vAlign w:val="bottom"/>
            <w:shd w:val="clear" w:color="auto" w:fill="CCFFCC"/>
          </w:tcPr>
          <w:p>
            <w:pPr>
              <w:spacing w:after="0"/>
              <w:rPr>
                <w:sz w:val="10"/>
                <w:szCs w:val="10"/>
                <w:color w:val="auto"/>
              </w:rPr>
            </w:pPr>
          </w:p>
        </w:tc>
        <w:tc>
          <w:tcPr>
            <w:tcW w:w="8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29,144</w:t>
            </w:r>
          </w:p>
        </w:tc>
        <w:tc>
          <w:tcPr>
            <w:tcW w:w="240" w:type="dxa"/>
            <w:vAlign w:val="bottom"/>
            <w:shd w:val="clear" w:color="auto" w:fill="CCFFCC"/>
          </w:tcPr>
          <w:p>
            <w:pPr>
              <w:spacing w:after="0"/>
              <w:rPr>
                <w:sz w:val="10"/>
                <w:szCs w:val="10"/>
                <w:color w:val="auto"/>
              </w:rPr>
            </w:pPr>
          </w:p>
        </w:tc>
        <w:tc>
          <w:tcPr>
            <w:tcW w:w="1040" w:type="dxa"/>
            <w:vAlign w:val="bottom"/>
            <w:gridSpan w:val="2"/>
            <w:shd w:val="clear" w:color="auto" w:fill="CCFFCC"/>
          </w:tcPr>
          <w:p>
            <w:pPr>
              <w:jc w:val="right"/>
              <w:ind w:right="86"/>
              <w:spacing w:after="0" w:line="122" w:lineRule="exact"/>
              <w:rPr>
                <w:sz w:val="20"/>
                <w:szCs w:val="20"/>
                <w:color w:val="auto"/>
              </w:rPr>
            </w:pPr>
            <w:r>
              <w:rPr>
                <w:rFonts w:ascii="Arial" w:cs="Arial" w:eastAsia="Arial" w:hAnsi="Arial"/>
                <w:sz w:val="11"/>
                <w:szCs w:val="11"/>
                <w:color w:val="auto"/>
              </w:rPr>
              <w:t>7.2%</w:t>
            </w:r>
          </w:p>
        </w:tc>
        <w:tc>
          <w:tcPr>
            <w:tcW w:w="200" w:type="dxa"/>
            <w:vAlign w:val="bottom"/>
            <w:shd w:val="clear" w:color="auto" w:fill="CCFFCC"/>
          </w:tcPr>
          <w:p>
            <w:pPr>
              <w:spacing w:after="0"/>
              <w:rPr>
                <w:sz w:val="10"/>
                <w:szCs w:val="10"/>
                <w:color w:val="auto"/>
              </w:rPr>
            </w:pPr>
          </w:p>
        </w:tc>
        <w:tc>
          <w:tcPr>
            <w:tcW w:w="800" w:type="dxa"/>
            <w:vAlign w:val="bottom"/>
            <w:gridSpan w:val="2"/>
            <w:shd w:val="clear" w:color="auto" w:fill="CCFFCC"/>
          </w:tcPr>
          <w:p>
            <w:pPr>
              <w:jc w:val="right"/>
              <w:ind w:right="66"/>
              <w:spacing w:after="0" w:line="122" w:lineRule="exact"/>
              <w:rPr>
                <w:sz w:val="20"/>
                <w:szCs w:val="20"/>
                <w:color w:val="auto"/>
              </w:rPr>
            </w:pPr>
            <w:r>
              <w:rPr>
                <w:rFonts w:ascii="Arial" w:cs="Arial" w:eastAsia="Arial" w:hAnsi="Arial"/>
                <w:sz w:val="11"/>
                <w:szCs w:val="11"/>
                <w:color w:val="auto"/>
              </w:rPr>
              <w:t>31.1%</w:t>
            </w:r>
          </w:p>
        </w:tc>
        <w:tc>
          <w:tcPr>
            <w:tcW w:w="1000" w:type="dxa"/>
            <w:vAlign w:val="bottom"/>
            <w:gridSpan w:val="2"/>
            <w:shd w:val="clear" w:color="auto" w:fill="CCFFCC"/>
          </w:tcPr>
          <w:p>
            <w:pPr>
              <w:jc w:val="right"/>
              <w:ind w:right="166"/>
              <w:spacing w:after="0" w:line="122" w:lineRule="exact"/>
              <w:rPr>
                <w:sz w:val="20"/>
                <w:szCs w:val="20"/>
                <w:color w:val="auto"/>
              </w:rPr>
            </w:pPr>
            <w:r>
              <w:rPr>
                <w:rFonts w:ascii="Arial" w:cs="Arial" w:eastAsia="Arial" w:hAnsi="Arial"/>
                <w:sz w:val="11"/>
                <w:szCs w:val="11"/>
                <w:color w:val="auto"/>
              </w:rPr>
              <w:t>131,924</w:t>
            </w:r>
          </w:p>
        </w:tc>
        <w:tc>
          <w:tcPr>
            <w:tcW w:w="200" w:type="dxa"/>
            <w:vAlign w:val="bottom"/>
            <w:shd w:val="clear" w:color="auto" w:fill="CCFFCC"/>
          </w:tcPr>
          <w:p>
            <w:pPr>
              <w:spacing w:after="0"/>
              <w:rPr>
                <w:sz w:val="10"/>
                <w:szCs w:val="10"/>
                <w:color w:val="auto"/>
              </w:rPr>
            </w:pPr>
          </w:p>
        </w:tc>
        <w:tc>
          <w:tcPr>
            <w:tcW w:w="800" w:type="dxa"/>
            <w:vAlign w:val="bottom"/>
            <w:gridSpan w:val="2"/>
            <w:shd w:val="clear" w:color="auto" w:fill="CCFFCC"/>
          </w:tcPr>
          <w:p>
            <w:pPr>
              <w:jc w:val="right"/>
              <w:ind w:right="166"/>
              <w:spacing w:after="0" w:line="122" w:lineRule="exact"/>
              <w:rPr>
                <w:sz w:val="20"/>
                <w:szCs w:val="20"/>
                <w:color w:val="auto"/>
              </w:rPr>
            </w:pPr>
            <w:r>
              <w:rPr>
                <w:rFonts w:ascii="Arial" w:cs="Arial" w:eastAsia="Arial" w:hAnsi="Arial"/>
                <w:sz w:val="11"/>
                <w:szCs w:val="11"/>
                <w:color w:val="auto"/>
              </w:rPr>
              <w:t>126,869</w:t>
            </w:r>
          </w:p>
        </w:tc>
        <w:tc>
          <w:tcPr>
            <w:tcW w:w="112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4.0%</w:t>
            </w:r>
          </w:p>
        </w:tc>
      </w:tr>
      <w:tr>
        <w:trPr>
          <w:trHeight w:val="122"/>
        </w:trPr>
        <w:tc>
          <w:tcPr>
            <w:tcW w:w="3100" w:type="dxa"/>
            <w:vAlign w:val="bottom"/>
            <w:gridSpan w:val="2"/>
          </w:tcPr>
          <w:p>
            <w:pPr>
              <w:ind w:left="160"/>
              <w:spacing w:after="0" w:line="122" w:lineRule="exact"/>
              <w:rPr>
                <w:sz w:val="20"/>
                <w:szCs w:val="20"/>
                <w:color w:val="auto"/>
              </w:rPr>
            </w:pPr>
            <w:r>
              <w:rPr>
                <w:rFonts w:ascii="Arial" w:cs="Arial" w:eastAsia="Arial" w:hAnsi="Arial"/>
                <w:sz w:val="11"/>
                <w:szCs w:val="11"/>
                <w:color w:val="auto"/>
              </w:rPr>
              <w:t>Interest on bonds and subordinated note</w:t>
            </w: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57,720</w:t>
            </w:r>
          </w:p>
        </w:tc>
        <w:tc>
          <w:tcPr>
            <w:tcW w:w="24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55,566</w:t>
            </w:r>
          </w:p>
        </w:tc>
        <w:tc>
          <w:tcPr>
            <w:tcW w:w="24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49,760</w:t>
            </w:r>
          </w:p>
        </w:tc>
        <w:tc>
          <w:tcPr>
            <w:tcW w:w="240" w:type="dxa"/>
            <w:vAlign w:val="bottom"/>
          </w:tcPr>
          <w:p>
            <w:pPr>
              <w:spacing w:after="0"/>
              <w:rPr>
                <w:sz w:val="10"/>
                <w:szCs w:val="10"/>
                <w:color w:val="auto"/>
              </w:rPr>
            </w:pPr>
          </w:p>
        </w:tc>
        <w:tc>
          <w:tcPr>
            <w:tcW w:w="1040" w:type="dxa"/>
            <w:vAlign w:val="bottom"/>
            <w:gridSpan w:val="2"/>
          </w:tcPr>
          <w:p>
            <w:pPr>
              <w:jc w:val="right"/>
              <w:ind w:right="86"/>
              <w:spacing w:after="0" w:line="122" w:lineRule="exact"/>
              <w:rPr>
                <w:sz w:val="20"/>
                <w:szCs w:val="20"/>
                <w:color w:val="auto"/>
              </w:rPr>
            </w:pPr>
            <w:r>
              <w:rPr>
                <w:rFonts w:ascii="Arial" w:cs="Arial" w:eastAsia="Arial" w:hAnsi="Arial"/>
                <w:sz w:val="11"/>
                <w:szCs w:val="11"/>
                <w:color w:val="auto"/>
              </w:rPr>
              <w:t>3.9%</w:t>
            </w:r>
          </w:p>
        </w:tc>
        <w:tc>
          <w:tcPr>
            <w:tcW w:w="200" w:type="dxa"/>
            <w:vAlign w:val="bottom"/>
          </w:tcPr>
          <w:p>
            <w:pPr>
              <w:spacing w:after="0"/>
              <w:rPr>
                <w:sz w:val="10"/>
                <w:szCs w:val="10"/>
                <w:color w:val="auto"/>
              </w:rPr>
            </w:pPr>
          </w:p>
        </w:tc>
        <w:tc>
          <w:tcPr>
            <w:tcW w:w="800" w:type="dxa"/>
            <w:vAlign w:val="bottom"/>
            <w:gridSpan w:val="2"/>
          </w:tcPr>
          <w:p>
            <w:pPr>
              <w:jc w:val="right"/>
              <w:ind w:right="66"/>
              <w:spacing w:after="0" w:line="122" w:lineRule="exact"/>
              <w:rPr>
                <w:sz w:val="20"/>
                <w:szCs w:val="20"/>
                <w:color w:val="auto"/>
              </w:rPr>
            </w:pPr>
            <w:r>
              <w:rPr>
                <w:rFonts w:ascii="Arial" w:cs="Arial" w:eastAsia="Arial" w:hAnsi="Arial"/>
                <w:sz w:val="11"/>
                <w:szCs w:val="11"/>
                <w:color w:val="auto"/>
              </w:rPr>
              <w:t>16.0%</w:t>
            </w:r>
          </w:p>
        </w:tc>
        <w:tc>
          <w:tcPr>
            <w:tcW w:w="1000" w:type="dxa"/>
            <w:vAlign w:val="bottom"/>
            <w:gridSpan w:val="2"/>
          </w:tcPr>
          <w:p>
            <w:pPr>
              <w:jc w:val="right"/>
              <w:ind w:right="166"/>
              <w:spacing w:after="0" w:line="122" w:lineRule="exact"/>
              <w:rPr>
                <w:sz w:val="20"/>
                <w:szCs w:val="20"/>
                <w:color w:val="auto"/>
              </w:rPr>
            </w:pPr>
            <w:r>
              <w:rPr>
                <w:rFonts w:ascii="Arial" w:cs="Arial" w:eastAsia="Arial" w:hAnsi="Arial"/>
                <w:sz w:val="11"/>
                <w:szCs w:val="11"/>
                <w:color w:val="auto"/>
              </w:rPr>
              <w:t>217,593</w:t>
            </w:r>
          </w:p>
        </w:tc>
        <w:tc>
          <w:tcPr>
            <w:tcW w:w="200" w:type="dxa"/>
            <w:vAlign w:val="bottom"/>
          </w:tcPr>
          <w:p>
            <w:pPr>
              <w:spacing w:after="0"/>
              <w:rPr>
                <w:sz w:val="10"/>
                <w:szCs w:val="10"/>
                <w:color w:val="auto"/>
              </w:rPr>
            </w:pPr>
          </w:p>
        </w:tc>
        <w:tc>
          <w:tcPr>
            <w:tcW w:w="800" w:type="dxa"/>
            <w:vAlign w:val="bottom"/>
            <w:gridSpan w:val="2"/>
          </w:tcPr>
          <w:p>
            <w:pPr>
              <w:jc w:val="right"/>
              <w:ind w:right="166"/>
              <w:spacing w:after="0" w:line="122" w:lineRule="exact"/>
              <w:rPr>
                <w:sz w:val="20"/>
                <w:szCs w:val="20"/>
                <w:color w:val="auto"/>
              </w:rPr>
            </w:pPr>
            <w:r>
              <w:rPr>
                <w:rFonts w:ascii="Arial" w:cs="Arial" w:eastAsia="Arial" w:hAnsi="Arial"/>
                <w:sz w:val="11"/>
                <w:szCs w:val="11"/>
                <w:color w:val="auto"/>
              </w:rPr>
              <w:t>170,330</w:t>
            </w:r>
          </w:p>
        </w:tc>
        <w:tc>
          <w:tcPr>
            <w:tcW w:w="11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27.7%</w:t>
            </w:r>
          </w:p>
        </w:tc>
      </w:tr>
      <w:tr>
        <w:trPr>
          <w:trHeight w:val="135"/>
        </w:trPr>
        <w:tc>
          <w:tcPr>
            <w:tcW w:w="3100" w:type="dxa"/>
            <w:vAlign w:val="bottom"/>
            <w:gridSpan w:val="2"/>
            <w:shd w:val="clear" w:color="auto" w:fill="CCFFCC"/>
          </w:tcPr>
          <w:p>
            <w:pPr>
              <w:ind w:left="160"/>
              <w:spacing w:after="0"/>
              <w:rPr>
                <w:sz w:val="20"/>
                <w:szCs w:val="20"/>
                <w:color w:val="auto"/>
              </w:rPr>
            </w:pPr>
            <w:r>
              <w:rPr>
                <w:rFonts w:ascii="Arial" w:cs="Arial" w:eastAsia="Arial" w:hAnsi="Arial"/>
                <w:sz w:val="11"/>
                <w:szCs w:val="11"/>
                <w:color w:val="auto"/>
              </w:rPr>
              <w:t>Other interest expense</w:t>
            </w:r>
          </w:p>
        </w:tc>
        <w:tc>
          <w:tcPr>
            <w:tcW w:w="8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20,380</w:t>
            </w:r>
          </w:p>
        </w:tc>
        <w:tc>
          <w:tcPr>
            <w:tcW w:w="240" w:type="dxa"/>
            <w:vAlign w:val="bottom"/>
            <w:shd w:val="clear" w:color="auto" w:fill="CCFFCC"/>
          </w:tcPr>
          <w:p>
            <w:pPr>
              <w:spacing w:after="0"/>
              <w:rPr>
                <w:sz w:val="11"/>
                <w:szCs w:val="11"/>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1"/>
                <w:szCs w:val="11"/>
                <w:color w:val="auto"/>
              </w:rPr>
              <w:t>20,920</w:t>
            </w:r>
          </w:p>
        </w:tc>
        <w:tc>
          <w:tcPr>
            <w:tcW w:w="240" w:type="dxa"/>
            <w:vAlign w:val="bottom"/>
            <w:shd w:val="clear" w:color="auto" w:fill="CCFFCC"/>
          </w:tcPr>
          <w:p>
            <w:pPr>
              <w:spacing w:after="0"/>
              <w:rPr>
                <w:sz w:val="11"/>
                <w:szCs w:val="11"/>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9,415</w:t>
            </w:r>
          </w:p>
        </w:tc>
        <w:tc>
          <w:tcPr>
            <w:tcW w:w="240" w:type="dxa"/>
            <w:vAlign w:val="bottom"/>
            <w:shd w:val="clear" w:color="auto" w:fill="CCFFCC"/>
          </w:tcPr>
          <w:p>
            <w:pPr>
              <w:spacing w:after="0"/>
              <w:rPr>
                <w:sz w:val="11"/>
                <w:szCs w:val="11"/>
                <w:color w:val="auto"/>
              </w:rPr>
            </w:pPr>
          </w:p>
        </w:tc>
        <w:tc>
          <w:tcPr>
            <w:tcW w:w="1040" w:type="dxa"/>
            <w:vAlign w:val="bottom"/>
            <w:gridSpan w:val="2"/>
            <w:shd w:val="clear" w:color="auto" w:fill="CCFFCC"/>
          </w:tcPr>
          <w:p>
            <w:pPr>
              <w:jc w:val="right"/>
              <w:ind w:right="86"/>
              <w:spacing w:after="0"/>
              <w:rPr>
                <w:sz w:val="20"/>
                <w:szCs w:val="20"/>
                <w:color w:val="auto"/>
              </w:rPr>
            </w:pPr>
            <w:r>
              <w:rPr>
                <w:rFonts w:ascii="Arial" w:cs="Arial" w:eastAsia="Arial" w:hAnsi="Arial"/>
                <w:sz w:val="11"/>
                <w:szCs w:val="11"/>
                <w:color w:val="auto"/>
              </w:rPr>
              <w:t>-2.6%</w:t>
            </w:r>
          </w:p>
        </w:tc>
        <w:tc>
          <w:tcPr>
            <w:tcW w:w="20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66"/>
              <w:spacing w:after="0"/>
              <w:rPr>
                <w:sz w:val="20"/>
                <w:szCs w:val="20"/>
                <w:color w:val="auto"/>
              </w:rPr>
            </w:pPr>
            <w:r>
              <w:rPr>
                <w:rFonts w:ascii="Arial" w:cs="Arial" w:eastAsia="Arial" w:hAnsi="Arial"/>
                <w:sz w:val="11"/>
                <w:szCs w:val="11"/>
                <w:color w:val="auto"/>
              </w:rPr>
              <w:t>116.5%</w:t>
            </w:r>
          </w:p>
        </w:tc>
        <w:tc>
          <w:tcPr>
            <w:tcW w:w="1000" w:type="dxa"/>
            <w:vAlign w:val="bottom"/>
            <w:gridSpan w:val="2"/>
            <w:shd w:val="clear" w:color="auto" w:fill="CCFFCC"/>
          </w:tcPr>
          <w:p>
            <w:pPr>
              <w:jc w:val="right"/>
              <w:ind w:right="166"/>
              <w:spacing w:after="0"/>
              <w:rPr>
                <w:sz w:val="20"/>
                <w:szCs w:val="20"/>
                <w:color w:val="auto"/>
              </w:rPr>
            </w:pPr>
            <w:r>
              <w:rPr>
                <w:rFonts w:ascii="Arial" w:cs="Arial" w:eastAsia="Arial" w:hAnsi="Arial"/>
                <w:sz w:val="11"/>
                <w:szCs w:val="11"/>
                <w:color w:val="auto"/>
              </w:rPr>
              <w:t>63,794</w:t>
            </w:r>
          </w:p>
        </w:tc>
        <w:tc>
          <w:tcPr>
            <w:tcW w:w="20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66"/>
              <w:spacing w:after="0"/>
              <w:rPr>
                <w:sz w:val="20"/>
                <w:szCs w:val="20"/>
                <w:color w:val="auto"/>
              </w:rPr>
            </w:pPr>
            <w:r>
              <w:rPr>
                <w:rFonts w:ascii="Arial" w:cs="Arial" w:eastAsia="Arial" w:hAnsi="Arial"/>
                <w:sz w:val="11"/>
                <w:szCs w:val="11"/>
                <w:color w:val="auto"/>
              </w:rPr>
              <w:t>34,968</w:t>
            </w:r>
          </w:p>
        </w:tc>
        <w:tc>
          <w:tcPr>
            <w:tcW w:w="112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82.4%</w:t>
            </w:r>
          </w:p>
        </w:tc>
      </w:tr>
      <w:tr>
        <w:trPr>
          <w:trHeight w:val="115"/>
        </w:trPr>
        <w:tc>
          <w:tcPr>
            <w:tcW w:w="3100" w:type="dxa"/>
            <w:vAlign w:val="bottom"/>
            <w:tcBorders>
              <w:bottom w:val="single" w:sz="8" w:color="CCFFCC"/>
            </w:tcBorders>
            <w:gridSpan w:val="2"/>
          </w:tcPr>
          <w:p>
            <w:pPr>
              <w:spacing w:after="0" w:line="115" w:lineRule="exact"/>
              <w:rPr>
                <w:sz w:val="20"/>
                <w:szCs w:val="20"/>
                <w:color w:val="auto"/>
              </w:rPr>
            </w:pPr>
            <w:r>
              <w:rPr>
                <w:rFonts w:ascii="Arial" w:cs="Arial" w:eastAsia="Arial" w:hAnsi="Arial"/>
                <w:sz w:val="11"/>
                <w:szCs w:val="11"/>
                <w:b w:val="1"/>
                <w:bCs w:val="1"/>
                <w:color w:val="auto"/>
              </w:rPr>
              <w:t>Net interest and dividend income</w:t>
            </w:r>
          </w:p>
        </w:tc>
        <w:tc>
          <w:tcPr>
            <w:tcW w:w="8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394,419</w:t>
            </w:r>
          </w:p>
        </w:tc>
        <w:tc>
          <w:tcPr>
            <w:tcW w:w="240" w:type="dxa"/>
            <w:vAlign w:val="bottom"/>
            <w:tcBorders>
              <w:bottom w:val="single" w:sz="8" w:color="CCFFCC"/>
            </w:tcBorders>
          </w:tcPr>
          <w:p>
            <w:pPr>
              <w:spacing w:after="0"/>
              <w:rPr>
                <w:sz w:val="10"/>
                <w:szCs w:val="10"/>
                <w:color w:val="auto"/>
              </w:rPr>
            </w:pPr>
          </w:p>
        </w:tc>
        <w:tc>
          <w:tcPr>
            <w:tcW w:w="8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382,426</w:t>
            </w:r>
          </w:p>
        </w:tc>
        <w:tc>
          <w:tcPr>
            <w:tcW w:w="240" w:type="dxa"/>
            <w:vAlign w:val="bottom"/>
            <w:tcBorders>
              <w:bottom w:val="single" w:sz="8" w:color="CCFFCC"/>
            </w:tcBorders>
          </w:tcPr>
          <w:p>
            <w:pPr>
              <w:spacing w:after="0"/>
              <w:rPr>
                <w:sz w:val="10"/>
                <w:szCs w:val="10"/>
                <w:color w:val="auto"/>
              </w:rPr>
            </w:pPr>
          </w:p>
        </w:tc>
        <w:tc>
          <w:tcPr>
            <w:tcW w:w="8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323,393</w:t>
            </w:r>
          </w:p>
        </w:tc>
        <w:tc>
          <w:tcPr>
            <w:tcW w:w="240" w:type="dxa"/>
            <w:vAlign w:val="bottom"/>
            <w:tcBorders>
              <w:bottom w:val="single" w:sz="8" w:color="CCFFCC"/>
            </w:tcBorders>
          </w:tcPr>
          <w:p>
            <w:pPr>
              <w:spacing w:after="0"/>
              <w:rPr>
                <w:sz w:val="10"/>
                <w:szCs w:val="10"/>
                <w:color w:val="auto"/>
              </w:rPr>
            </w:pPr>
          </w:p>
        </w:tc>
        <w:tc>
          <w:tcPr>
            <w:tcW w:w="8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3.1</w:t>
            </w:r>
          </w:p>
        </w:tc>
        <w:tc>
          <w:tcPr>
            <w:tcW w:w="220" w:type="dxa"/>
            <w:vAlign w:val="bottom"/>
            <w:tcBorders>
              <w:bottom w:val="single" w:sz="8" w:color="CCFFCC"/>
            </w:tcBorders>
          </w:tcPr>
          <w:p>
            <w:pPr>
              <w:jc w:val="right"/>
              <w:ind w:right="66"/>
              <w:spacing w:after="0" w:line="115" w:lineRule="exact"/>
              <w:rPr>
                <w:sz w:val="20"/>
                <w:szCs w:val="20"/>
                <w:color w:val="auto"/>
              </w:rPr>
            </w:pPr>
            <w:r>
              <w:rPr>
                <w:rFonts w:ascii="Arial" w:cs="Arial" w:eastAsia="Arial" w:hAnsi="Arial"/>
                <w:sz w:val="11"/>
                <w:szCs w:val="11"/>
                <w:b w:val="1"/>
                <w:bCs w:val="1"/>
                <w:color w:val="auto"/>
                <w:w w:val="81"/>
              </w:rPr>
              <w:t>%</w:t>
            </w:r>
          </w:p>
        </w:tc>
        <w:tc>
          <w:tcPr>
            <w:tcW w:w="200" w:type="dxa"/>
            <w:vAlign w:val="bottom"/>
            <w:tcBorders>
              <w:top w:val="single" w:sz="8" w:color="auto"/>
              <w:bottom w:val="single" w:sz="8" w:color="auto"/>
            </w:tcBorders>
          </w:tcPr>
          <w:p>
            <w:pPr>
              <w:spacing w:after="0"/>
              <w:rPr>
                <w:sz w:val="10"/>
                <w:szCs w:val="10"/>
                <w:color w:val="auto"/>
              </w:rPr>
            </w:pPr>
          </w:p>
        </w:tc>
        <w:tc>
          <w:tcPr>
            <w:tcW w:w="5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22.0</w:t>
            </w:r>
          </w:p>
        </w:tc>
        <w:tc>
          <w:tcPr>
            <w:tcW w:w="220" w:type="dxa"/>
            <w:vAlign w:val="bottom"/>
            <w:tcBorders>
              <w:bottom w:val="single" w:sz="8" w:color="CCFFCC"/>
            </w:tcBorders>
          </w:tcPr>
          <w:p>
            <w:pPr>
              <w:jc w:val="right"/>
              <w:ind w:right="46"/>
              <w:spacing w:after="0" w:line="115" w:lineRule="exact"/>
              <w:rPr>
                <w:sz w:val="20"/>
                <w:szCs w:val="20"/>
                <w:color w:val="auto"/>
              </w:rPr>
            </w:pPr>
            <w:r>
              <w:rPr>
                <w:rFonts w:ascii="Arial" w:cs="Arial" w:eastAsia="Arial" w:hAnsi="Arial"/>
                <w:sz w:val="11"/>
                <w:szCs w:val="11"/>
                <w:b w:val="1"/>
                <w:bCs w:val="1"/>
                <w:color w:val="auto"/>
              </w:rPr>
              <w:t>%</w:t>
            </w:r>
          </w:p>
        </w:tc>
        <w:tc>
          <w:tcPr>
            <w:tcW w:w="7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1,473,639</w:t>
            </w:r>
          </w:p>
        </w:tc>
        <w:tc>
          <w:tcPr>
            <w:tcW w:w="220" w:type="dxa"/>
            <w:vAlign w:val="bottom"/>
            <w:tcBorders>
              <w:bottom w:val="single" w:sz="8" w:color="CCFFCC"/>
            </w:tcBorders>
          </w:tcPr>
          <w:p>
            <w:pPr>
              <w:spacing w:after="0"/>
              <w:rPr>
                <w:sz w:val="10"/>
                <w:szCs w:val="10"/>
                <w:color w:val="auto"/>
              </w:rPr>
            </w:pPr>
          </w:p>
        </w:tc>
        <w:tc>
          <w:tcPr>
            <w:tcW w:w="200" w:type="dxa"/>
            <w:vAlign w:val="bottom"/>
            <w:tcBorders>
              <w:top w:val="single" w:sz="8" w:color="auto"/>
              <w:bottom w:val="single" w:sz="8" w:color="auto"/>
            </w:tcBorders>
          </w:tcPr>
          <w:p>
            <w:pPr>
              <w:spacing w:after="0"/>
              <w:rPr>
                <w:sz w:val="10"/>
                <w:szCs w:val="10"/>
                <w:color w:val="auto"/>
              </w:rPr>
            </w:pPr>
          </w:p>
        </w:tc>
        <w:tc>
          <w:tcPr>
            <w:tcW w:w="5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1,183,688</w:t>
            </w:r>
          </w:p>
        </w:tc>
        <w:tc>
          <w:tcPr>
            <w:tcW w:w="220" w:type="dxa"/>
            <w:vAlign w:val="bottom"/>
            <w:tcBorders>
              <w:bottom w:val="single" w:sz="8" w:color="CCFFCC"/>
            </w:tcBorders>
          </w:tcPr>
          <w:p>
            <w:pPr>
              <w:spacing w:after="0"/>
              <w:rPr>
                <w:sz w:val="10"/>
                <w:szCs w:val="10"/>
                <w:color w:val="auto"/>
              </w:rPr>
            </w:pPr>
          </w:p>
        </w:tc>
        <w:tc>
          <w:tcPr>
            <w:tcW w:w="10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24.5</w:t>
            </w:r>
          </w:p>
        </w:tc>
        <w:tc>
          <w:tcPr>
            <w:tcW w:w="100" w:type="dxa"/>
            <w:vAlign w:val="bottom"/>
            <w:tcBorders>
              <w:bottom w:val="single" w:sz="8" w:color="CCFFCC"/>
            </w:tcBorders>
          </w:tcPr>
          <w:p>
            <w:pPr>
              <w:jc w:val="right"/>
              <w:spacing w:after="0" w:line="115" w:lineRule="exact"/>
              <w:rPr>
                <w:sz w:val="20"/>
                <w:szCs w:val="20"/>
                <w:color w:val="auto"/>
              </w:rPr>
            </w:pPr>
            <w:r>
              <w:rPr>
                <w:rFonts w:ascii="Arial" w:cs="Arial" w:eastAsia="Arial" w:hAnsi="Arial"/>
                <w:sz w:val="11"/>
                <w:szCs w:val="11"/>
                <w:b w:val="1"/>
                <w:bCs w:val="1"/>
                <w:color w:val="auto"/>
                <w:w w:val="81"/>
              </w:rPr>
              <w:t>%</w:t>
            </w:r>
          </w:p>
        </w:tc>
      </w:tr>
      <w:tr>
        <w:trPr>
          <w:trHeight w:val="115"/>
        </w:trPr>
        <w:tc>
          <w:tcPr>
            <w:tcW w:w="3100" w:type="dxa"/>
            <w:vAlign w:val="bottom"/>
            <w:gridSpan w:val="2"/>
            <w:shd w:val="clear" w:color="auto" w:fill="CCFFCC"/>
          </w:tcPr>
          <w:p>
            <w:pPr>
              <w:spacing w:after="0" w:line="115" w:lineRule="exact"/>
              <w:rPr>
                <w:sz w:val="20"/>
                <w:szCs w:val="20"/>
                <w:color w:val="auto"/>
              </w:rPr>
            </w:pPr>
            <w:r>
              <w:rPr>
                <w:rFonts w:ascii="Arial" w:cs="Arial" w:eastAsia="Arial" w:hAnsi="Arial"/>
                <w:sz w:val="11"/>
                <w:szCs w:val="11"/>
                <w:color w:val="auto"/>
              </w:rPr>
              <w:t>Average interest earning assets</w:t>
            </w:r>
          </w:p>
        </w:tc>
        <w:tc>
          <w:tcPr>
            <w:tcW w:w="820" w:type="dxa"/>
            <w:vAlign w:val="bottom"/>
            <w:tcBorders>
              <w:bottom w:val="single" w:sz="8" w:color="auto"/>
            </w:tcBorders>
            <w:shd w:val="clear" w:color="auto" w:fill="CCFFCC"/>
          </w:tcPr>
          <w:p>
            <w:pPr>
              <w:jc w:val="right"/>
              <w:spacing w:after="0" w:line="115" w:lineRule="exact"/>
              <w:rPr>
                <w:sz w:val="20"/>
                <w:szCs w:val="20"/>
                <w:color w:val="auto"/>
              </w:rPr>
            </w:pPr>
            <w:r>
              <w:rPr>
                <w:rFonts w:ascii="Arial" w:cs="Arial" w:eastAsia="Arial" w:hAnsi="Arial"/>
                <w:sz w:val="11"/>
                <w:szCs w:val="11"/>
                <w:b w:val="1"/>
                <w:bCs w:val="1"/>
                <w:color w:val="auto"/>
              </w:rPr>
              <w:t>30,780,331</w:t>
            </w:r>
          </w:p>
        </w:tc>
        <w:tc>
          <w:tcPr>
            <w:tcW w:w="240" w:type="dxa"/>
            <w:vAlign w:val="bottom"/>
            <w:shd w:val="clear" w:color="auto" w:fill="CCFFCC"/>
          </w:tcPr>
          <w:p>
            <w:pPr>
              <w:spacing w:after="0"/>
              <w:rPr>
                <w:sz w:val="10"/>
                <w:szCs w:val="10"/>
                <w:color w:val="auto"/>
              </w:rPr>
            </w:pPr>
          </w:p>
        </w:tc>
        <w:tc>
          <w:tcPr>
            <w:tcW w:w="800" w:type="dxa"/>
            <w:vAlign w:val="bottom"/>
            <w:tcBorders>
              <w:bottom w:val="single" w:sz="8" w:color="auto"/>
            </w:tcBorders>
            <w:shd w:val="clear" w:color="auto" w:fill="CCFFCC"/>
          </w:tcPr>
          <w:p>
            <w:pPr>
              <w:jc w:val="right"/>
              <w:spacing w:after="0" w:line="115" w:lineRule="exact"/>
              <w:rPr>
                <w:sz w:val="20"/>
                <w:szCs w:val="20"/>
                <w:color w:val="auto"/>
              </w:rPr>
            </w:pPr>
            <w:r>
              <w:rPr>
                <w:rFonts w:ascii="Arial" w:cs="Arial" w:eastAsia="Arial" w:hAnsi="Arial"/>
                <w:sz w:val="11"/>
                <w:szCs w:val="11"/>
                <w:b w:val="1"/>
                <w:bCs w:val="1"/>
                <w:color w:val="auto"/>
              </w:rPr>
              <w:t>28,517,205</w:t>
            </w:r>
          </w:p>
        </w:tc>
        <w:tc>
          <w:tcPr>
            <w:tcW w:w="240" w:type="dxa"/>
            <w:vAlign w:val="bottom"/>
            <w:shd w:val="clear" w:color="auto" w:fill="CCFFCC"/>
          </w:tcPr>
          <w:p>
            <w:pPr>
              <w:spacing w:after="0"/>
              <w:rPr>
                <w:sz w:val="10"/>
                <w:szCs w:val="10"/>
                <w:color w:val="auto"/>
              </w:rPr>
            </w:pPr>
          </w:p>
        </w:tc>
        <w:tc>
          <w:tcPr>
            <w:tcW w:w="820" w:type="dxa"/>
            <w:vAlign w:val="bottom"/>
            <w:tcBorders>
              <w:bottom w:val="single" w:sz="8" w:color="auto"/>
            </w:tcBorders>
            <w:shd w:val="clear" w:color="auto" w:fill="CCFFCC"/>
          </w:tcPr>
          <w:p>
            <w:pPr>
              <w:jc w:val="right"/>
              <w:spacing w:after="0" w:line="115" w:lineRule="exact"/>
              <w:rPr>
                <w:sz w:val="20"/>
                <w:szCs w:val="20"/>
                <w:color w:val="auto"/>
              </w:rPr>
            </w:pPr>
            <w:r>
              <w:rPr>
                <w:rFonts w:ascii="Arial" w:cs="Arial" w:eastAsia="Arial" w:hAnsi="Arial"/>
                <w:sz w:val="11"/>
                <w:szCs w:val="11"/>
                <w:b w:val="1"/>
                <w:bCs w:val="1"/>
                <w:color w:val="auto"/>
              </w:rPr>
              <w:t>24,347,381</w:t>
            </w:r>
          </w:p>
        </w:tc>
        <w:tc>
          <w:tcPr>
            <w:tcW w:w="240" w:type="dxa"/>
            <w:vAlign w:val="bottom"/>
            <w:shd w:val="clear" w:color="auto" w:fill="CCFFCC"/>
          </w:tcPr>
          <w:p>
            <w:pPr>
              <w:spacing w:after="0"/>
              <w:rPr>
                <w:sz w:val="10"/>
                <w:szCs w:val="10"/>
                <w:color w:val="auto"/>
              </w:rPr>
            </w:pPr>
          </w:p>
        </w:tc>
        <w:tc>
          <w:tcPr>
            <w:tcW w:w="820" w:type="dxa"/>
            <w:vAlign w:val="bottom"/>
            <w:tcBorders>
              <w:bottom w:val="single" w:sz="8" w:color="auto"/>
            </w:tcBorders>
            <w:shd w:val="clear" w:color="auto" w:fill="CCFFCC"/>
          </w:tcPr>
          <w:p>
            <w:pPr>
              <w:jc w:val="right"/>
              <w:spacing w:after="0" w:line="115" w:lineRule="exact"/>
              <w:rPr>
                <w:sz w:val="20"/>
                <w:szCs w:val="20"/>
                <w:color w:val="auto"/>
              </w:rPr>
            </w:pPr>
            <w:r>
              <w:rPr>
                <w:rFonts w:ascii="Arial" w:cs="Arial" w:eastAsia="Arial" w:hAnsi="Arial"/>
                <w:sz w:val="11"/>
                <w:szCs w:val="11"/>
                <w:b w:val="1"/>
                <w:bCs w:val="1"/>
                <w:color w:val="auto"/>
              </w:rPr>
              <w:t>7.9</w:t>
            </w:r>
          </w:p>
        </w:tc>
        <w:tc>
          <w:tcPr>
            <w:tcW w:w="220" w:type="dxa"/>
            <w:vAlign w:val="bottom"/>
            <w:shd w:val="clear" w:color="auto" w:fill="CCFFCC"/>
          </w:tcPr>
          <w:p>
            <w:pPr>
              <w:jc w:val="right"/>
              <w:ind w:right="66"/>
              <w:spacing w:after="0" w:line="115" w:lineRule="exact"/>
              <w:rPr>
                <w:sz w:val="20"/>
                <w:szCs w:val="20"/>
                <w:color w:val="auto"/>
              </w:rPr>
            </w:pPr>
            <w:r>
              <w:rPr>
                <w:rFonts w:ascii="Arial" w:cs="Arial" w:eastAsia="Arial" w:hAnsi="Arial"/>
                <w:sz w:val="11"/>
                <w:szCs w:val="11"/>
                <w:b w:val="1"/>
                <w:bCs w:val="1"/>
                <w:color w:val="auto"/>
                <w:w w:val="81"/>
              </w:rPr>
              <w:t>%</w:t>
            </w:r>
          </w:p>
        </w:tc>
        <w:tc>
          <w:tcPr>
            <w:tcW w:w="200" w:type="dxa"/>
            <w:vAlign w:val="bottom"/>
            <w:tcBorders>
              <w:bottom w:val="single" w:sz="8" w:color="auto"/>
            </w:tcBorders>
            <w:shd w:val="clear" w:color="auto" w:fill="CCFFCC"/>
          </w:tcPr>
          <w:p>
            <w:pPr>
              <w:spacing w:after="0"/>
              <w:rPr>
                <w:sz w:val="10"/>
                <w:szCs w:val="10"/>
                <w:color w:val="auto"/>
              </w:rPr>
            </w:pPr>
          </w:p>
        </w:tc>
        <w:tc>
          <w:tcPr>
            <w:tcW w:w="580" w:type="dxa"/>
            <w:vAlign w:val="bottom"/>
            <w:tcBorders>
              <w:bottom w:val="single" w:sz="8" w:color="auto"/>
            </w:tcBorders>
            <w:shd w:val="clear" w:color="auto" w:fill="CCFFCC"/>
          </w:tcPr>
          <w:p>
            <w:pPr>
              <w:jc w:val="right"/>
              <w:spacing w:after="0" w:line="115" w:lineRule="exact"/>
              <w:rPr>
                <w:sz w:val="20"/>
                <w:szCs w:val="20"/>
                <w:color w:val="auto"/>
              </w:rPr>
            </w:pPr>
            <w:r>
              <w:rPr>
                <w:rFonts w:ascii="Arial" w:cs="Arial" w:eastAsia="Arial" w:hAnsi="Arial"/>
                <w:sz w:val="11"/>
                <w:szCs w:val="11"/>
                <w:b w:val="1"/>
                <w:bCs w:val="1"/>
                <w:color w:val="auto"/>
              </w:rPr>
              <w:t>26.4</w:t>
            </w:r>
          </w:p>
        </w:tc>
        <w:tc>
          <w:tcPr>
            <w:tcW w:w="220" w:type="dxa"/>
            <w:vAlign w:val="bottom"/>
            <w:shd w:val="clear" w:color="auto" w:fill="CCFFCC"/>
          </w:tcPr>
          <w:p>
            <w:pPr>
              <w:jc w:val="right"/>
              <w:ind w:right="46"/>
              <w:spacing w:after="0" w:line="115" w:lineRule="exact"/>
              <w:rPr>
                <w:sz w:val="20"/>
                <w:szCs w:val="20"/>
                <w:color w:val="auto"/>
              </w:rPr>
            </w:pPr>
            <w:r>
              <w:rPr>
                <w:rFonts w:ascii="Arial" w:cs="Arial" w:eastAsia="Arial" w:hAnsi="Arial"/>
                <w:sz w:val="11"/>
                <w:szCs w:val="11"/>
                <w:b w:val="1"/>
                <w:bCs w:val="1"/>
                <w:color w:val="auto"/>
              </w:rPr>
              <w:t>%</w:t>
            </w:r>
          </w:p>
        </w:tc>
        <w:tc>
          <w:tcPr>
            <w:tcW w:w="780" w:type="dxa"/>
            <w:vAlign w:val="bottom"/>
            <w:tcBorders>
              <w:bottom w:val="single" w:sz="8" w:color="auto"/>
            </w:tcBorders>
            <w:shd w:val="clear" w:color="auto" w:fill="CCFFCC"/>
          </w:tcPr>
          <w:p>
            <w:pPr>
              <w:jc w:val="right"/>
              <w:spacing w:after="0" w:line="115" w:lineRule="exact"/>
              <w:rPr>
                <w:sz w:val="20"/>
                <w:szCs w:val="20"/>
                <w:color w:val="auto"/>
              </w:rPr>
            </w:pPr>
            <w:r>
              <w:rPr>
                <w:rFonts w:ascii="Arial" w:cs="Arial" w:eastAsia="Arial" w:hAnsi="Arial"/>
                <w:sz w:val="11"/>
                <w:szCs w:val="11"/>
                <w:b w:val="1"/>
                <w:bCs w:val="1"/>
                <w:color w:val="auto"/>
              </w:rPr>
              <w:t>29,220,616</w:t>
            </w:r>
          </w:p>
        </w:tc>
        <w:tc>
          <w:tcPr>
            <w:tcW w:w="220" w:type="dxa"/>
            <w:vAlign w:val="bottom"/>
            <w:shd w:val="clear" w:color="auto" w:fill="CCFFCC"/>
          </w:tcPr>
          <w:p>
            <w:pPr>
              <w:spacing w:after="0"/>
              <w:rPr>
                <w:sz w:val="10"/>
                <w:szCs w:val="10"/>
                <w:color w:val="auto"/>
              </w:rPr>
            </w:pPr>
          </w:p>
        </w:tc>
        <w:tc>
          <w:tcPr>
            <w:tcW w:w="200" w:type="dxa"/>
            <w:vAlign w:val="bottom"/>
            <w:tcBorders>
              <w:bottom w:val="single" w:sz="8" w:color="auto"/>
            </w:tcBorders>
            <w:shd w:val="clear" w:color="auto" w:fill="CCFFCC"/>
          </w:tcPr>
          <w:p>
            <w:pPr>
              <w:spacing w:after="0"/>
              <w:rPr>
                <w:sz w:val="10"/>
                <w:szCs w:val="10"/>
                <w:color w:val="auto"/>
              </w:rPr>
            </w:pPr>
          </w:p>
        </w:tc>
        <w:tc>
          <w:tcPr>
            <w:tcW w:w="580" w:type="dxa"/>
            <w:vAlign w:val="bottom"/>
            <w:tcBorders>
              <w:bottom w:val="single" w:sz="8" w:color="auto"/>
            </w:tcBorders>
            <w:shd w:val="clear" w:color="auto" w:fill="CCFFCC"/>
          </w:tcPr>
          <w:p>
            <w:pPr>
              <w:jc w:val="right"/>
              <w:spacing w:after="0" w:line="115" w:lineRule="exact"/>
              <w:rPr>
                <w:sz w:val="20"/>
                <w:szCs w:val="20"/>
                <w:color w:val="auto"/>
              </w:rPr>
            </w:pPr>
            <w:r>
              <w:rPr>
                <w:rFonts w:ascii="Arial" w:cs="Arial" w:eastAsia="Arial" w:hAnsi="Arial"/>
                <w:sz w:val="11"/>
                <w:szCs w:val="11"/>
                <w:b w:val="1"/>
                <w:bCs w:val="1"/>
                <w:color w:val="auto"/>
              </w:rPr>
              <w:t>24,229,229</w:t>
            </w:r>
          </w:p>
        </w:tc>
        <w:tc>
          <w:tcPr>
            <w:tcW w:w="220" w:type="dxa"/>
            <w:vAlign w:val="bottom"/>
            <w:shd w:val="clear" w:color="auto" w:fill="CCFFCC"/>
          </w:tcPr>
          <w:p>
            <w:pPr>
              <w:spacing w:after="0"/>
              <w:rPr>
                <w:sz w:val="10"/>
                <w:szCs w:val="10"/>
                <w:color w:val="auto"/>
              </w:rPr>
            </w:pPr>
          </w:p>
        </w:tc>
        <w:tc>
          <w:tcPr>
            <w:tcW w:w="1020" w:type="dxa"/>
            <w:vAlign w:val="bottom"/>
            <w:tcBorders>
              <w:bottom w:val="single" w:sz="8" w:color="auto"/>
            </w:tcBorders>
            <w:shd w:val="clear" w:color="auto" w:fill="CCFFCC"/>
          </w:tcPr>
          <w:p>
            <w:pPr>
              <w:jc w:val="right"/>
              <w:spacing w:after="0" w:line="115" w:lineRule="exact"/>
              <w:rPr>
                <w:sz w:val="20"/>
                <w:szCs w:val="20"/>
                <w:color w:val="auto"/>
              </w:rPr>
            </w:pPr>
            <w:r>
              <w:rPr>
                <w:rFonts w:ascii="Arial" w:cs="Arial" w:eastAsia="Arial" w:hAnsi="Arial"/>
                <w:sz w:val="11"/>
                <w:szCs w:val="11"/>
                <w:b w:val="1"/>
                <w:bCs w:val="1"/>
                <w:color w:val="auto"/>
              </w:rPr>
              <w:t>20.6</w:t>
            </w:r>
          </w:p>
        </w:tc>
        <w:tc>
          <w:tcPr>
            <w:tcW w:w="100" w:type="dxa"/>
            <w:vAlign w:val="bottom"/>
            <w:shd w:val="clear" w:color="auto" w:fill="CCFFCC"/>
          </w:tcPr>
          <w:p>
            <w:pPr>
              <w:jc w:val="right"/>
              <w:spacing w:after="0" w:line="115" w:lineRule="exact"/>
              <w:rPr>
                <w:sz w:val="20"/>
                <w:szCs w:val="20"/>
                <w:color w:val="auto"/>
              </w:rPr>
            </w:pPr>
            <w:r>
              <w:rPr>
                <w:rFonts w:ascii="Arial" w:cs="Arial" w:eastAsia="Arial" w:hAnsi="Arial"/>
                <w:sz w:val="11"/>
                <w:szCs w:val="11"/>
                <w:b w:val="1"/>
                <w:bCs w:val="1"/>
                <w:color w:val="auto"/>
                <w:w w:val="81"/>
              </w:rPr>
              <w:t>%</w:t>
            </w:r>
          </w:p>
        </w:tc>
      </w:tr>
      <w:tr>
        <w:trPr>
          <w:trHeight w:val="134"/>
        </w:trPr>
        <w:tc>
          <w:tcPr>
            <w:tcW w:w="310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Net interest margin*</w:t>
            </w:r>
          </w:p>
        </w:tc>
        <w:tc>
          <w:tcPr>
            <w:tcW w:w="820" w:type="dxa"/>
            <w:vAlign w:val="bottom"/>
          </w:tcPr>
          <w:p>
            <w:pPr>
              <w:jc w:val="right"/>
              <w:spacing w:after="0"/>
              <w:rPr>
                <w:sz w:val="20"/>
                <w:szCs w:val="20"/>
                <w:color w:val="auto"/>
              </w:rPr>
            </w:pPr>
            <w:r>
              <w:rPr>
                <w:rFonts w:ascii="Arial" w:cs="Arial" w:eastAsia="Arial" w:hAnsi="Arial"/>
                <w:sz w:val="11"/>
                <w:szCs w:val="11"/>
                <w:b w:val="1"/>
                <w:bCs w:val="1"/>
                <w:color w:val="auto"/>
              </w:rPr>
              <w:t>5.13</w:t>
            </w:r>
          </w:p>
        </w:tc>
        <w:tc>
          <w:tcPr>
            <w:tcW w:w="240" w:type="dxa"/>
            <w:vAlign w:val="bottom"/>
          </w:tcPr>
          <w:p>
            <w:pPr>
              <w:jc w:val="right"/>
              <w:ind w:right="86"/>
              <w:spacing w:after="0" w:line="121" w:lineRule="exact"/>
              <w:rPr>
                <w:sz w:val="20"/>
                <w:szCs w:val="20"/>
                <w:color w:val="auto"/>
              </w:rPr>
            </w:pPr>
            <w:r>
              <w:rPr>
                <w:rFonts w:ascii="Arial" w:cs="Arial" w:eastAsia="Arial" w:hAnsi="Arial"/>
                <w:sz w:val="11"/>
                <w:szCs w:val="11"/>
                <w:b w:val="1"/>
                <w:bCs w:val="1"/>
                <w:color w:val="auto"/>
                <w:w w:val="81"/>
              </w:rPr>
              <w:t>%</w:t>
            </w:r>
          </w:p>
        </w:tc>
        <w:tc>
          <w:tcPr>
            <w:tcW w:w="800" w:type="dxa"/>
            <w:vAlign w:val="bottom"/>
          </w:tcPr>
          <w:p>
            <w:pPr>
              <w:jc w:val="right"/>
              <w:spacing w:after="0"/>
              <w:rPr>
                <w:sz w:val="20"/>
                <w:szCs w:val="20"/>
                <w:color w:val="auto"/>
              </w:rPr>
            </w:pPr>
            <w:r>
              <w:rPr>
                <w:rFonts w:ascii="Arial" w:cs="Arial" w:eastAsia="Arial" w:hAnsi="Arial"/>
                <w:sz w:val="11"/>
                <w:szCs w:val="11"/>
                <w:b w:val="1"/>
                <w:bCs w:val="1"/>
                <w:color w:val="auto"/>
              </w:rPr>
              <w:t>5.36</w:t>
            </w:r>
          </w:p>
        </w:tc>
        <w:tc>
          <w:tcPr>
            <w:tcW w:w="240" w:type="dxa"/>
            <w:vAlign w:val="bottom"/>
          </w:tcPr>
          <w:p>
            <w:pPr>
              <w:jc w:val="right"/>
              <w:ind w:right="66"/>
              <w:spacing w:after="0" w:line="121" w:lineRule="exact"/>
              <w:rPr>
                <w:sz w:val="20"/>
                <w:szCs w:val="20"/>
                <w:color w:val="auto"/>
              </w:rPr>
            </w:pPr>
            <w:r>
              <w:rPr>
                <w:rFonts w:ascii="Arial" w:cs="Arial" w:eastAsia="Arial" w:hAnsi="Arial"/>
                <w:sz w:val="11"/>
                <w:szCs w:val="11"/>
                <w:b w:val="1"/>
                <w:bCs w:val="1"/>
                <w:color w:val="auto"/>
              </w:rPr>
              <w:t>%</w:t>
            </w:r>
          </w:p>
        </w:tc>
        <w:tc>
          <w:tcPr>
            <w:tcW w:w="820" w:type="dxa"/>
            <w:vAlign w:val="bottom"/>
          </w:tcPr>
          <w:p>
            <w:pPr>
              <w:jc w:val="right"/>
              <w:spacing w:after="0"/>
              <w:rPr>
                <w:sz w:val="20"/>
                <w:szCs w:val="20"/>
                <w:color w:val="auto"/>
              </w:rPr>
            </w:pPr>
            <w:r>
              <w:rPr>
                <w:rFonts w:ascii="Arial" w:cs="Arial" w:eastAsia="Arial" w:hAnsi="Arial"/>
                <w:sz w:val="11"/>
                <w:szCs w:val="11"/>
                <w:b w:val="1"/>
                <w:bCs w:val="1"/>
                <w:color w:val="auto"/>
              </w:rPr>
              <w:t>5.31</w:t>
            </w:r>
          </w:p>
        </w:tc>
        <w:tc>
          <w:tcPr>
            <w:tcW w:w="240" w:type="dxa"/>
            <w:vAlign w:val="bottom"/>
          </w:tcPr>
          <w:p>
            <w:pPr>
              <w:jc w:val="right"/>
              <w:ind w:right="86"/>
              <w:spacing w:after="0" w:line="121" w:lineRule="exact"/>
              <w:rPr>
                <w:sz w:val="20"/>
                <w:szCs w:val="20"/>
                <w:color w:val="auto"/>
              </w:rPr>
            </w:pPr>
            <w:r>
              <w:rPr>
                <w:rFonts w:ascii="Arial" w:cs="Arial" w:eastAsia="Arial" w:hAnsi="Arial"/>
                <w:sz w:val="11"/>
                <w:szCs w:val="11"/>
                <w:b w:val="1"/>
                <w:bCs w:val="1"/>
                <w:color w:val="auto"/>
                <w:w w:val="81"/>
              </w:rPr>
              <w:t>%</w:t>
            </w: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b w:val="1"/>
                <w:bCs w:val="1"/>
                <w:color w:val="auto"/>
              </w:rPr>
              <w:t>5.20</w:t>
            </w:r>
          </w:p>
        </w:tc>
        <w:tc>
          <w:tcPr>
            <w:tcW w:w="220" w:type="dxa"/>
            <w:vAlign w:val="bottom"/>
          </w:tcPr>
          <w:p>
            <w:pPr>
              <w:jc w:val="right"/>
              <w:ind w:right="46"/>
              <w:spacing w:after="0" w:line="121" w:lineRule="exact"/>
              <w:rPr>
                <w:sz w:val="20"/>
                <w:szCs w:val="20"/>
                <w:color w:val="auto"/>
              </w:rPr>
            </w:pPr>
            <w:r>
              <w:rPr>
                <w:rFonts w:ascii="Arial" w:cs="Arial" w:eastAsia="Arial" w:hAnsi="Arial"/>
                <w:sz w:val="11"/>
                <w:szCs w:val="11"/>
                <w:b w:val="1"/>
                <w:bCs w:val="1"/>
                <w:color w:val="auto"/>
              </w:rPr>
              <w:t>%</w:t>
            </w:r>
          </w:p>
        </w:tc>
        <w:tc>
          <w:tcPr>
            <w:tcW w:w="2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b w:val="1"/>
                <w:bCs w:val="1"/>
                <w:color w:val="auto"/>
              </w:rPr>
              <w:t>4.92</w:t>
            </w:r>
          </w:p>
        </w:tc>
        <w:tc>
          <w:tcPr>
            <w:tcW w:w="220" w:type="dxa"/>
            <w:vAlign w:val="bottom"/>
          </w:tcPr>
          <w:p>
            <w:pPr>
              <w:jc w:val="right"/>
              <w:ind w:right="46"/>
              <w:spacing w:after="0" w:line="121" w:lineRule="exact"/>
              <w:rPr>
                <w:sz w:val="20"/>
                <w:szCs w:val="20"/>
                <w:color w:val="auto"/>
              </w:rPr>
            </w:pPr>
            <w:r>
              <w:rPr>
                <w:rFonts w:ascii="Arial" w:cs="Arial" w:eastAsia="Arial" w:hAnsi="Arial"/>
                <w:sz w:val="11"/>
                <w:szCs w:val="11"/>
                <w:b w:val="1"/>
                <w:bCs w:val="1"/>
                <w:color w:val="auto"/>
              </w:rPr>
              <w:t>%</w:t>
            </w: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5270500</wp:posOffset>
            </wp:positionH>
            <wp:positionV relativeFrom="paragraph">
              <wp:posOffset>-2540</wp:posOffset>
            </wp:positionV>
            <wp:extent cx="113220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132205" cy="8890"/>
                    </a:xfrm>
                    <a:prstGeom prst="rect">
                      <a:avLst/>
                    </a:prstGeom>
                    <a:noFill/>
                  </pic:spPr>
                </pic:pic>
              </a:graphicData>
            </a:graphic>
          </wp:anchor>
        </w:drawing>
        <w:drawing>
          <wp:anchor simplePos="0" relativeHeight="251657728" behindDoc="1" locked="0" layoutInCell="0" allowOverlap="1">
            <wp:simplePos x="0" y="0"/>
            <wp:positionH relativeFrom="column">
              <wp:posOffset>1969135</wp:posOffset>
            </wp:positionH>
            <wp:positionV relativeFrom="paragraph">
              <wp:posOffset>-2540</wp:posOffset>
            </wp:positionV>
            <wp:extent cx="185229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*Annualized.</w:t>
      </w:r>
    </w:p>
    <w:p>
      <w:pPr>
        <w:spacing w:after="0" w:line="200" w:lineRule="exact"/>
        <w:rPr>
          <w:sz w:val="20"/>
          <w:szCs w:val="20"/>
          <w:color w:val="auto"/>
        </w:rPr>
      </w:pPr>
    </w:p>
    <w:p>
      <w:pPr>
        <w:spacing w:after="0" w:line="235"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8" w:name="page19"/>
    <w:bookmarkEnd w:id="18"/>
    <w:p>
      <w:pPr>
        <w:spacing w:after="0" w:line="1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6254750</wp:posOffset>
            </wp:positionH>
            <wp:positionV relativeFrom="page">
              <wp:posOffset>586105</wp:posOffset>
            </wp:positionV>
            <wp:extent cx="1149350" cy="3175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r>
    </w:p>
    <w:p>
      <w:pPr>
        <w:jc w:val="both"/>
        <w:spacing w:after="0" w:line="257" w:lineRule="auto"/>
        <w:rPr>
          <w:sz w:val="20"/>
          <w:szCs w:val="20"/>
          <w:color w:val="auto"/>
        </w:rPr>
      </w:pPr>
      <w:r>
        <w:rPr>
          <w:rFonts w:ascii="Arial" w:cs="Arial" w:eastAsia="Arial" w:hAnsi="Arial"/>
          <w:sz w:val="18"/>
          <w:szCs w:val="18"/>
          <w:color w:val="auto"/>
        </w:rPr>
        <w:t>NII increased 3.1% QoQ, which was due primarily to a significant 5.4% increase in interest on loans. This was in line with the noteworthy expansion posted in total loans (+5.5%), which was led by dynamism in Retail Banking, where average daily balances grew 7.5% QoQ. This excellent growth allowed Retail Banking to report a historic high in its share of the Bank’s total loans (50.8%). It is important to note that although Wholesale Banking loans posted lower growth than Retail Banking’s, their performance has been excellent and has helped the Bank maintain a year-long upward trend in its ability to generate interest on loans in 2012.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aforementioned offset:</w:t>
      </w:r>
    </w:p>
    <w:p>
      <w:pPr>
        <w:spacing w:after="0" w:line="225" w:lineRule="exact"/>
        <w:rPr>
          <w:sz w:val="20"/>
          <w:szCs w:val="20"/>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decline in interest income from deposits in other banks (-19.2%), which was primarily due to lower volumes of deposits in Overnight deposits in BCR;</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increase in interest expenses on deposits (+9.1%). This is in line with the significant growth posted for this funding source, which was led by time deposits (+9.8% QoQ) and CTS deposits (+17.2% QoQ); the latter were driven by a seasonal factor considering that they are paid in November; and</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increase in interest on loans from banks and correspondents (+7.2%) due to new debts with COFIDE.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this context, NIM fell from 5.36% at the end of 3Q12 to 5.13% at the end of 4Q12 (-23 bps QoQ). This drop in NIM is due to the fact that a larger investment was made in BCRP Certificates of Deposit, which generate relatively low interest in comparison to other instruments but have a positive effect on taxes given that realized earnings are tax-free, and an increase in REPOS. It is important to note, however, that the NIM in accumulated terms increased from 4.92% at the end of 2011 to 5.20% at the end of 2012. This evolution is proof that our business was more profitable in 2012, which was primarily attributable to the fact that Retail Banking increased its share in BCP’s total business.</w:t>
      </w:r>
    </w:p>
    <w:p>
      <w:pPr>
        <w:spacing w:after="0" w:line="18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line with expansion in interest income on loans, the NIM on loans increased from 8.12% at the end of 3Q12 to 8.15% at the end of 4Q12. This improvement was primarily due to expansion in the Retail Banking business, particularly in the SME and Consumer segments, where the profitability margins are attractive and the potential to increase banking penetration is significant.</w:t>
      </w:r>
    </w:p>
    <w:p>
      <w:pPr>
        <w:jc w:val="center"/>
        <w:spacing w:after="0"/>
        <w:rPr>
          <w:sz w:val="20"/>
          <w:szCs w:val="20"/>
          <w:color w:val="auto"/>
        </w:rPr>
      </w:pPr>
      <w:r>
        <w:rPr>
          <w:rFonts w:ascii="Arial" w:cs="Arial" w:eastAsia="Arial" w:hAnsi="Arial"/>
          <w:sz w:val="18"/>
          <w:szCs w:val="18"/>
          <w:b w:val="1"/>
          <w:bCs w:val="1"/>
          <w:color w:val="auto"/>
        </w:rPr>
        <w:t>NIM</w:t>
      </w:r>
      <w:r>
        <w:rPr>
          <w:rFonts w:ascii="Arial" w:cs="Arial" w:eastAsia="Arial" w:hAnsi="Arial"/>
          <w:sz w:val="30"/>
          <w:szCs w:val="30"/>
          <w:b w:val="1"/>
          <w:bCs w:val="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180975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54" w:lineRule="exact"/>
        <w:rPr>
          <w:sz w:val="20"/>
          <w:szCs w:val="20"/>
          <w:color w:val="auto"/>
        </w:rPr>
      </w:pPr>
    </w:p>
    <w:p>
      <w:pPr>
        <w:ind w:left="120" w:hanging="112"/>
        <w:spacing w:after="0"/>
        <w:tabs>
          <w:tab w:leader="none" w:pos="120" w:val="left"/>
        </w:tabs>
        <w:numPr>
          <w:ilvl w:val="0"/>
          <w:numId w:val="18"/>
        </w:numPr>
        <w:rPr>
          <w:rFonts w:ascii="Arial" w:cs="Arial" w:eastAsia="Arial" w:hAnsi="Arial"/>
          <w:sz w:val="30"/>
          <w:szCs w:val="30"/>
          <w:color w:val="auto"/>
          <w:vertAlign w:val="superscript"/>
        </w:rPr>
      </w:pPr>
      <w:r>
        <w:rPr>
          <w:rFonts w:ascii="Arial" w:cs="Arial" w:eastAsia="Arial" w:hAnsi="Arial"/>
          <w:sz w:val="18"/>
          <w:szCs w:val="18"/>
          <w:color w:val="auto"/>
        </w:rPr>
        <w:t>NIM of loans is calculated using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4185285" cy="1631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185285" cy="163195"/>
                    </a:xfrm>
                    <a:prstGeom prst="rect">
                      <a:avLst/>
                    </a:prstGeom>
                    <a:noFill/>
                  </pic:spPr>
                </pic:pic>
              </a:graphicData>
            </a:graphic>
          </wp:anchor>
        </w:drawing>
      </w:r>
    </w:p>
    <w:p>
      <w:pPr>
        <w:spacing w:after="0" w:line="222"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Previously, share of loans in total earning assets was estimated taking into account quarter-end balance figures. From this report onwards, this share is calculated with average loans and average interest earning assets for all quarters reported.</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2190115</wp:posOffset>
            </wp:positionH>
            <wp:positionV relativeFrom="page">
              <wp:posOffset>568960</wp:posOffset>
            </wp:positionV>
            <wp:extent cx="5213985" cy="2178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213985" cy="2178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920"/>
        <w:spacing w:after="0"/>
        <w:rPr>
          <w:sz w:val="20"/>
          <w:szCs w:val="20"/>
          <w:color w:val="auto"/>
        </w:rPr>
      </w:pPr>
      <w:r>
        <w:rPr>
          <w:rFonts w:ascii="Arial" w:cs="Arial" w:eastAsia="Arial" w:hAnsi="Arial"/>
          <w:sz w:val="18"/>
          <w:szCs w:val="18"/>
          <w:i w:val="1"/>
          <w:iCs w:val="1"/>
          <w:color w:val="auto"/>
        </w:rPr>
        <w:t>Source: BCP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II.4 Past Due Portfolio and Total Provisions for Loan Losses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Net provisions for loan losses increased 9.0% QoQ, which was in line with 5.9% growth in the past due loan portfolio. The standard PDL ratio and the PDL ratio at 90 days remained virtually stable at 1.78% and 1.14%, respectively.</w:t>
      </w:r>
    </w:p>
    <w:p>
      <w:pPr>
        <w:spacing w:after="0" w:line="166"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4340" w:type="dxa"/>
            <w:vAlign w:val="bottom"/>
            <w:gridSpan w:val="2"/>
          </w:tcPr>
          <w:p>
            <w:pPr>
              <w:spacing w:after="0"/>
              <w:rPr>
                <w:sz w:val="20"/>
                <w:szCs w:val="20"/>
                <w:color w:val="auto"/>
              </w:rPr>
            </w:pPr>
            <w:r>
              <w:rPr>
                <w:rFonts w:ascii="Arial" w:cs="Arial" w:eastAsia="Arial" w:hAnsi="Arial"/>
                <w:sz w:val="18"/>
                <w:szCs w:val="18"/>
                <w:b w:val="1"/>
                <w:bCs w:val="1"/>
                <w:color w:val="auto"/>
              </w:rPr>
              <w:t>Provision for loan losses</w:t>
            </w: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rPr>
              <w:t>Quarter</w:t>
            </w: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00" w:type="dxa"/>
            <w:vAlign w:val="bottom"/>
            <w:gridSpan w:val="3"/>
          </w:tcPr>
          <w:p>
            <w:pPr>
              <w:ind w:left="820"/>
              <w:spacing w:after="0"/>
              <w:rPr>
                <w:sz w:val="20"/>
                <w:szCs w:val="20"/>
                <w:color w:val="auto"/>
              </w:rPr>
            </w:pPr>
            <w:r>
              <w:rPr>
                <w:rFonts w:ascii="Arial" w:cs="Arial" w:eastAsia="Arial" w:hAnsi="Arial"/>
                <w:sz w:val="18"/>
                <w:szCs w:val="18"/>
                <w:b w:val="1"/>
                <w:bCs w:val="1"/>
                <w:color w:val="auto"/>
                <w:w w:val="98"/>
              </w:rPr>
              <w:t>Change %</w:t>
            </w: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4"/>
        </w:trPr>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US$ 000</w:t>
            </w:r>
          </w:p>
        </w:tc>
        <w:tc>
          <w:tcPr>
            <w:tcW w:w="120" w:type="dxa"/>
            <w:vAlign w:val="bottom"/>
            <w:tcBorders>
              <w:bottom w:val="single" w:sz="8" w:color="CCFFCC"/>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4Q12</w:t>
            </w:r>
          </w:p>
        </w:tc>
        <w:tc>
          <w:tcPr>
            <w:tcW w:w="300" w:type="dxa"/>
            <w:vAlign w:val="bottom"/>
            <w:tcBorders>
              <w:bottom w:val="single" w:sz="8" w:color="CCFFCC"/>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3Q12</w:t>
            </w:r>
          </w:p>
        </w:tc>
        <w:tc>
          <w:tcPr>
            <w:tcW w:w="300" w:type="dxa"/>
            <w:vAlign w:val="bottom"/>
            <w:tcBorders>
              <w:bottom w:val="single" w:sz="8" w:color="CCFFCC"/>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4Q11</w:t>
            </w:r>
          </w:p>
        </w:tc>
        <w:tc>
          <w:tcPr>
            <w:tcW w:w="300" w:type="dxa"/>
            <w:vAlign w:val="bottom"/>
            <w:tcBorders>
              <w:bottom w:val="single" w:sz="8" w:color="CCFFCC"/>
            </w:tcBorders>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FFC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YoY</w:t>
            </w:r>
          </w:p>
        </w:tc>
        <w:tc>
          <w:tcPr>
            <w:tcW w:w="200" w:type="dxa"/>
            <w:vAlign w:val="bottom"/>
            <w:tcBorders>
              <w:bottom w:val="single" w:sz="8" w:color="CCFFCC"/>
            </w:tcBorders>
          </w:tcPr>
          <w:p>
            <w:pPr>
              <w:spacing w:after="0"/>
              <w:rPr>
                <w:sz w:val="20"/>
                <w:szCs w:val="20"/>
                <w:color w:val="auto"/>
              </w:rPr>
            </w:pPr>
          </w:p>
        </w:tc>
      </w:tr>
      <w:tr>
        <w:trPr>
          <w:trHeight w:val="210"/>
        </w:trPr>
        <w:tc>
          <w:tcPr>
            <w:tcW w:w="4220" w:type="dxa"/>
            <w:vAlign w:val="bottom"/>
            <w:shd w:val="clear" w:color="auto" w:fill="CCFFCC"/>
          </w:tcPr>
          <w:p>
            <w:pPr>
              <w:spacing w:after="0"/>
              <w:rPr>
                <w:sz w:val="20"/>
                <w:szCs w:val="20"/>
                <w:color w:val="auto"/>
              </w:rPr>
            </w:pPr>
            <w:r>
              <w:rPr>
                <w:rFonts w:ascii="Arial" w:cs="Arial" w:eastAsia="Arial" w:hAnsi="Arial"/>
                <w:sz w:val="18"/>
                <w:szCs w:val="18"/>
                <w:color w:val="auto"/>
              </w:rPr>
              <w:t>Provisions</w:t>
            </w:r>
          </w:p>
        </w:tc>
        <w:tc>
          <w:tcPr>
            <w:tcW w:w="12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(114,327)</w:t>
            </w:r>
          </w:p>
        </w:tc>
        <w:tc>
          <w:tcPr>
            <w:tcW w:w="30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(106,485)</w:t>
            </w:r>
          </w:p>
        </w:tc>
        <w:tc>
          <w:tcPr>
            <w:tcW w:w="30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(81,820)</w:t>
            </w:r>
          </w:p>
        </w:tc>
        <w:tc>
          <w:tcPr>
            <w:tcW w:w="30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7.4%</w:t>
            </w:r>
          </w:p>
        </w:tc>
        <w:tc>
          <w:tcPr>
            <w:tcW w:w="32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39.7%</w:t>
            </w:r>
          </w:p>
        </w:tc>
      </w:tr>
      <w:tr>
        <w:trPr>
          <w:trHeight w:val="230"/>
        </w:trPr>
        <w:tc>
          <w:tcPr>
            <w:tcW w:w="4340" w:type="dxa"/>
            <w:vAlign w:val="bottom"/>
            <w:gridSpan w:val="2"/>
          </w:tcPr>
          <w:p>
            <w:pPr>
              <w:spacing w:after="0"/>
              <w:rPr>
                <w:sz w:val="20"/>
                <w:szCs w:val="20"/>
                <w:color w:val="auto"/>
              </w:rPr>
            </w:pPr>
            <w:r>
              <w:rPr>
                <w:rFonts w:ascii="Arial" w:cs="Arial" w:eastAsia="Arial" w:hAnsi="Arial"/>
                <w:sz w:val="18"/>
                <w:szCs w:val="18"/>
                <w:color w:val="auto"/>
              </w:rPr>
              <w:t>Loan loss recoveries</w:t>
            </w:r>
          </w:p>
        </w:tc>
        <w:tc>
          <w:tcPr>
            <w:tcW w:w="1100" w:type="dxa"/>
            <w:vAlign w:val="bottom"/>
          </w:tcPr>
          <w:p>
            <w:pPr>
              <w:jc w:val="right"/>
              <w:spacing w:after="0"/>
              <w:rPr>
                <w:sz w:val="20"/>
                <w:szCs w:val="20"/>
                <w:color w:val="auto"/>
              </w:rPr>
            </w:pPr>
            <w:r>
              <w:rPr>
                <w:rFonts w:ascii="Arial" w:cs="Arial" w:eastAsia="Arial" w:hAnsi="Arial"/>
                <w:sz w:val="18"/>
                <w:szCs w:val="18"/>
                <w:color w:val="auto"/>
              </w:rPr>
              <w:t>11,244</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11,881</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11,331</w:t>
            </w:r>
          </w:p>
        </w:tc>
        <w:tc>
          <w:tcPr>
            <w:tcW w:w="300" w:type="dxa"/>
            <w:vAlign w:val="bottom"/>
          </w:tcPr>
          <w:p>
            <w:pPr>
              <w:spacing w:after="0"/>
              <w:rPr>
                <w:sz w:val="19"/>
                <w:szCs w:val="19"/>
                <w:color w:val="auto"/>
              </w:rPr>
            </w:pPr>
          </w:p>
        </w:tc>
        <w:tc>
          <w:tcPr>
            <w:tcW w:w="1380" w:type="dxa"/>
            <w:vAlign w:val="bottom"/>
            <w:gridSpan w:val="2"/>
          </w:tcPr>
          <w:p>
            <w:pPr>
              <w:jc w:val="right"/>
              <w:ind w:right="70"/>
              <w:spacing w:after="0"/>
              <w:rPr>
                <w:sz w:val="20"/>
                <w:szCs w:val="20"/>
                <w:color w:val="auto"/>
              </w:rPr>
            </w:pPr>
            <w:r>
              <w:rPr>
                <w:rFonts w:ascii="Arial" w:cs="Arial" w:eastAsia="Arial" w:hAnsi="Arial"/>
                <w:sz w:val="18"/>
                <w:szCs w:val="18"/>
                <w:color w:val="auto"/>
              </w:rPr>
              <w:t>-5.4%</w:t>
            </w:r>
          </w:p>
        </w:tc>
        <w:tc>
          <w:tcPr>
            <w:tcW w:w="32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-0.8%</w:t>
            </w:r>
          </w:p>
        </w:tc>
      </w:tr>
      <w:tr>
        <w:trPr>
          <w:trHeight w:val="210"/>
        </w:trPr>
        <w:tc>
          <w:tcPr>
            <w:tcW w:w="434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b w:val="1"/>
                <w:bCs w:val="1"/>
                <w:color w:val="auto"/>
              </w:rPr>
              <w:t>Net provisions, for loan losses</w:t>
            </w:r>
          </w:p>
        </w:tc>
        <w:tc>
          <w:tcPr>
            <w:tcW w:w="1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(103,083</w:t>
            </w:r>
          </w:p>
        </w:tc>
        <w:tc>
          <w:tcPr>
            <w:tcW w:w="3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(94,604</w:t>
            </w:r>
          </w:p>
        </w:tc>
        <w:tc>
          <w:tcPr>
            <w:tcW w:w="3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(70,489</w:t>
            </w:r>
          </w:p>
        </w:tc>
        <w:tc>
          <w:tcPr>
            <w:tcW w:w="3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9.0</w:t>
            </w:r>
          </w:p>
        </w:tc>
        <w:tc>
          <w:tcPr>
            <w:tcW w:w="3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w:t>
            </w:r>
          </w:p>
        </w:tc>
        <w:tc>
          <w:tcPr>
            <w:tcW w:w="320" w:type="dxa"/>
            <w:vAlign w:val="bottom"/>
            <w:tcBorders>
              <w:top w:val="single" w:sz="8" w:color="auto"/>
              <w:bottom w:val="single" w:sz="8" w:color="auto"/>
            </w:tcBorders>
            <w:shd w:val="clear" w:color="auto" w:fill="CCFFCC"/>
          </w:tcPr>
          <w:p>
            <w:pPr>
              <w:spacing w:after="0"/>
              <w:rPr>
                <w:sz w:val="18"/>
                <w:szCs w:val="18"/>
                <w:color w:val="auto"/>
              </w:rPr>
            </w:pPr>
          </w:p>
        </w:tc>
        <w:tc>
          <w:tcPr>
            <w:tcW w:w="7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46.2</w:t>
            </w:r>
          </w:p>
        </w:tc>
        <w:tc>
          <w:tcPr>
            <w:tcW w:w="2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w:t>
            </w:r>
          </w:p>
        </w:tc>
      </w:tr>
      <w:tr>
        <w:trPr>
          <w:trHeight w:val="210"/>
        </w:trPr>
        <w:tc>
          <w:tcPr>
            <w:tcW w:w="4340" w:type="dxa"/>
            <w:vAlign w:val="bottom"/>
            <w:tcBorders>
              <w:bottom w:val="single" w:sz="8" w:color="CCFFCC"/>
            </w:tcBorders>
            <w:gridSpan w:val="2"/>
          </w:tcPr>
          <w:p>
            <w:pPr>
              <w:spacing w:after="0"/>
              <w:rPr>
                <w:sz w:val="20"/>
                <w:szCs w:val="20"/>
                <w:color w:val="auto"/>
              </w:rPr>
            </w:pPr>
            <w:r>
              <w:rPr>
                <w:rFonts w:ascii="Arial" w:cs="Arial" w:eastAsia="Arial" w:hAnsi="Arial"/>
                <w:sz w:val="18"/>
                <w:szCs w:val="18"/>
                <w:color w:val="auto"/>
              </w:rPr>
              <w:t>Charge-Off amount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88,234</w:t>
            </w:r>
          </w:p>
        </w:tc>
        <w:tc>
          <w:tcPr>
            <w:tcW w:w="300" w:type="dxa"/>
            <w:vAlign w:val="bottom"/>
            <w:tcBorders>
              <w:bottom w:val="single" w:sz="8" w:color="CCFFCC"/>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67,980</w:t>
            </w:r>
          </w:p>
        </w:tc>
        <w:tc>
          <w:tcPr>
            <w:tcW w:w="300" w:type="dxa"/>
            <w:vAlign w:val="bottom"/>
            <w:tcBorders>
              <w:bottom w:val="single" w:sz="8" w:color="CCFFCC"/>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49,936</w:t>
            </w:r>
          </w:p>
        </w:tc>
        <w:tc>
          <w:tcPr>
            <w:tcW w:w="300" w:type="dxa"/>
            <w:vAlign w:val="bottom"/>
            <w:tcBorders>
              <w:bottom w:val="single" w:sz="8" w:color="CCFFCC"/>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30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w:t>
            </w:r>
          </w:p>
        </w:tc>
        <w:tc>
          <w:tcPr>
            <w:tcW w:w="20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w:t>
            </w:r>
          </w:p>
        </w:tc>
      </w:tr>
      <w:tr>
        <w:trPr>
          <w:trHeight w:val="210"/>
        </w:trPr>
        <w:tc>
          <w:tcPr>
            <w:tcW w:w="434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Annualized net provisions / Total loans</w:t>
            </w:r>
          </w:p>
        </w:tc>
        <w:tc>
          <w:tcPr>
            <w:tcW w:w="140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b w:val="1"/>
                <w:bCs w:val="1"/>
                <w:color w:val="auto"/>
              </w:rPr>
              <w:t>2.0%</w:t>
            </w:r>
          </w:p>
        </w:tc>
        <w:tc>
          <w:tcPr>
            <w:tcW w:w="140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b w:val="1"/>
                <w:bCs w:val="1"/>
                <w:color w:val="auto"/>
              </w:rPr>
              <w:t>1.9%</w:t>
            </w:r>
          </w:p>
        </w:tc>
        <w:tc>
          <w:tcPr>
            <w:tcW w:w="140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b w:val="1"/>
                <w:bCs w:val="1"/>
                <w:color w:val="auto"/>
              </w:rPr>
              <w:t>1.7%</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FFCC"/>
          </w:tcPr>
          <w:p>
            <w:pPr>
              <w:spacing w:after="0"/>
              <w:rPr>
                <w:sz w:val="18"/>
                <w:szCs w:val="18"/>
                <w:color w:val="auto"/>
              </w:rPr>
            </w:pPr>
          </w:p>
        </w:tc>
      </w:tr>
      <w:tr>
        <w:trPr>
          <w:trHeight w:val="230"/>
        </w:trPr>
        <w:tc>
          <w:tcPr>
            <w:tcW w:w="4340" w:type="dxa"/>
            <w:vAlign w:val="bottom"/>
            <w:gridSpan w:val="2"/>
          </w:tcPr>
          <w:p>
            <w:pPr>
              <w:spacing w:after="0"/>
              <w:rPr>
                <w:sz w:val="20"/>
                <w:szCs w:val="20"/>
                <w:color w:val="auto"/>
              </w:rPr>
            </w:pPr>
            <w:r>
              <w:rPr>
                <w:rFonts w:ascii="Arial" w:cs="Arial" w:eastAsia="Arial" w:hAnsi="Arial"/>
                <w:sz w:val="18"/>
                <w:szCs w:val="18"/>
                <w:b w:val="1"/>
                <w:bCs w:val="1"/>
                <w:color w:val="auto"/>
              </w:rPr>
              <w:t>Net Provisions / Net Interest Income</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26.1%</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24.7%</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21.8%</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r>
      <w:tr>
        <w:trPr>
          <w:trHeight w:val="210"/>
        </w:trPr>
        <w:tc>
          <w:tcPr>
            <w:tcW w:w="434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Total loans</w:t>
            </w:r>
          </w:p>
        </w:tc>
        <w:tc>
          <w:tcPr>
            <w:tcW w:w="1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20,754,941</w:t>
            </w:r>
          </w:p>
        </w:tc>
        <w:tc>
          <w:tcPr>
            <w:tcW w:w="300" w:type="dxa"/>
            <w:vAlign w:val="bottom"/>
            <w:tcBorders>
              <w:top w:val="single" w:sz="8" w:color="CCFFCC"/>
            </w:tcBorders>
            <w:shd w:val="clear" w:color="auto" w:fill="CCFFCC"/>
          </w:tcPr>
          <w:p>
            <w:pPr>
              <w:spacing w:after="0"/>
              <w:rPr>
                <w:sz w:val="18"/>
                <w:szCs w:val="18"/>
                <w:color w:val="auto"/>
              </w:rPr>
            </w:pPr>
          </w:p>
        </w:tc>
        <w:tc>
          <w:tcPr>
            <w:tcW w:w="1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19,672,680</w:t>
            </w:r>
          </w:p>
        </w:tc>
        <w:tc>
          <w:tcPr>
            <w:tcW w:w="300" w:type="dxa"/>
            <w:vAlign w:val="bottom"/>
            <w:tcBorders>
              <w:top w:val="single" w:sz="8" w:color="CCFFCC"/>
            </w:tcBorders>
            <w:shd w:val="clear" w:color="auto" w:fill="CCFFCC"/>
          </w:tcPr>
          <w:p>
            <w:pPr>
              <w:spacing w:after="0"/>
              <w:rPr>
                <w:sz w:val="18"/>
                <w:szCs w:val="18"/>
                <w:color w:val="auto"/>
              </w:rPr>
            </w:pPr>
          </w:p>
        </w:tc>
        <w:tc>
          <w:tcPr>
            <w:tcW w:w="1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16,934,911</w:t>
            </w:r>
          </w:p>
        </w:tc>
        <w:tc>
          <w:tcPr>
            <w:tcW w:w="300" w:type="dxa"/>
            <w:vAlign w:val="bottom"/>
            <w:tcBorders>
              <w:top w:val="single" w:sz="8" w:color="CCFFCC"/>
            </w:tcBorders>
            <w:shd w:val="clear" w:color="auto" w:fill="CCFFCC"/>
          </w:tcPr>
          <w:p>
            <w:pPr>
              <w:spacing w:after="0"/>
              <w:rPr>
                <w:sz w:val="18"/>
                <w:szCs w:val="18"/>
                <w:color w:val="auto"/>
              </w:rPr>
            </w:pPr>
          </w:p>
        </w:tc>
        <w:tc>
          <w:tcPr>
            <w:tcW w:w="10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5.5</w:t>
            </w:r>
          </w:p>
        </w:tc>
        <w:tc>
          <w:tcPr>
            <w:tcW w:w="3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shd w:val="clear" w:color="auto" w:fill="CCFFCC"/>
          </w:tcPr>
          <w:p>
            <w:pPr>
              <w:spacing w:after="0"/>
              <w:rPr>
                <w:sz w:val="18"/>
                <w:szCs w:val="18"/>
                <w:color w:val="auto"/>
              </w:rPr>
            </w:pPr>
          </w:p>
        </w:tc>
        <w:tc>
          <w:tcPr>
            <w:tcW w:w="7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22.6</w:t>
            </w:r>
          </w:p>
        </w:tc>
        <w:tc>
          <w:tcPr>
            <w:tcW w:w="2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w:t>
            </w:r>
          </w:p>
        </w:tc>
      </w:tr>
      <w:tr>
        <w:trPr>
          <w:trHeight w:val="210"/>
        </w:trPr>
        <w:tc>
          <w:tcPr>
            <w:tcW w:w="4340" w:type="dxa"/>
            <w:vAlign w:val="bottom"/>
            <w:tcBorders>
              <w:bottom w:val="single" w:sz="8" w:color="CCFFCC"/>
            </w:tcBorders>
            <w:gridSpan w:val="2"/>
          </w:tcPr>
          <w:p>
            <w:pPr>
              <w:spacing w:after="0"/>
              <w:rPr>
                <w:sz w:val="20"/>
                <w:szCs w:val="20"/>
                <w:color w:val="auto"/>
              </w:rPr>
            </w:pPr>
            <w:r>
              <w:rPr>
                <w:rFonts w:ascii="Arial" w:cs="Arial" w:eastAsia="Arial" w:hAnsi="Arial"/>
                <w:sz w:val="18"/>
                <w:szCs w:val="18"/>
                <w:color w:val="auto"/>
              </w:rPr>
              <w:t>Reserve for loan losses (RLL)</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698,395</w:t>
            </w:r>
          </w:p>
        </w:tc>
        <w:tc>
          <w:tcPr>
            <w:tcW w:w="300" w:type="dxa"/>
            <w:vAlign w:val="bottom"/>
            <w:tcBorders>
              <w:bottom w:val="single" w:sz="8" w:color="CCFFCC"/>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669,756</w:t>
            </w:r>
          </w:p>
        </w:tc>
        <w:tc>
          <w:tcPr>
            <w:tcW w:w="300" w:type="dxa"/>
            <w:vAlign w:val="bottom"/>
            <w:tcBorders>
              <w:bottom w:val="single" w:sz="8" w:color="CCFFCC"/>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518,882</w:t>
            </w:r>
          </w:p>
        </w:tc>
        <w:tc>
          <w:tcPr>
            <w:tcW w:w="300" w:type="dxa"/>
            <w:vAlign w:val="bottom"/>
            <w:tcBorders>
              <w:bottom w:val="single" w:sz="8" w:color="CCFFCC"/>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30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20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w:t>
            </w:r>
          </w:p>
        </w:tc>
      </w:tr>
      <w:tr>
        <w:trPr>
          <w:trHeight w:val="210"/>
        </w:trPr>
        <w:tc>
          <w:tcPr>
            <w:tcW w:w="43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Past due loans (PDL)</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370,338</w:t>
            </w:r>
          </w:p>
        </w:tc>
        <w:tc>
          <w:tcPr>
            <w:tcW w:w="30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349,821</w:t>
            </w:r>
          </w:p>
        </w:tc>
        <w:tc>
          <w:tcPr>
            <w:tcW w:w="30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258,432</w:t>
            </w:r>
          </w:p>
        </w:tc>
        <w:tc>
          <w:tcPr>
            <w:tcW w:w="30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5.9%</w:t>
            </w:r>
          </w:p>
        </w:tc>
        <w:tc>
          <w:tcPr>
            <w:tcW w:w="32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43.3%</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Refinanced and restructured loans (RRL)</w:t>
            </w:r>
          </w:p>
        </w:tc>
        <w:tc>
          <w:tcPr>
            <w:tcW w:w="1100" w:type="dxa"/>
            <w:vAlign w:val="bottom"/>
          </w:tcPr>
          <w:p>
            <w:pPr>
              <w:jc w:val="right"/>
              <w:spacing w:after="0"/>
              <w:rPr>
                <w:sz w:val="20"/>
                <w:szCs w:val="20"/>
                <w:color w:val="auto"/>
              </w:rPr>
            </w:pPr>
            <w:r>
              <w:rPr>
                <w:rFonts w:ascii="Arial" w:cs="Arial" w:eastAsia="Arial" w:hAnsi="Arial"/>
                <w:sz w:val="18"/>
                <w:szCs w:val="18"/>
                <w:color w:val="auto"/>
              </w:rPr>
              <w:t>141,736</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133,442</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95,325</w:t>
            </w:r>
          </w:p>
        </w:tc>
        <w:tc>
          <w:tcPr>
            <w:tcW w:w="300" w:type="dxa"/>
            <w:vAlign w:val="bottom"/>
          </w:tcPr>
          <w:p>
            <w:pPr>
              <w:spacing w:after="0"/>
              <w:rPr>
                <w:sz w:val="18"/>
                <w:szCs w:val="18"/>
                <w:color w:val="auto"/>
              </w:rPr>
            </w:pPr>
          </w:p>
        </w:tc>
        <w:tc>
          <w:tcPr>
            <w:tcW w:w="1380" w:type="dxa"/>
            <w:vAlign w:val="bottom"/>
            <w:gridSpan w:val="2"/>
          </w:tcPr>
          <w:p>
            <w:pPr>
              <w:jc w:val="right"/>
              <w:ind w:right="70"/>
              <w:spacing w:after="0"/>
              <w:rPr>
                <w:sz w:val="20"/>
                <w:szCs w:val="20"/>
                <w:color w:val="auto"/>
              </w:rPr>
            </w:pPr>
            <w:r>
              <w:rPr>
                <w:rFonts w:ascii="Arial" w:cs="Arial" w:eastAsia="Arial" w:hAnsi="Arial"/>
                <w:sz w:val="18"/>
                <w:szCs w:val="18"/>
                <w:color w:val="auto"/>
              </w:rPr>
              <w:t>6.2%</w:t>
            </w:r>
          </w:p>
        </w:tc>
        <w:tc>
          <w:tcPr>
            <w:tcW w:w="3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48.7%</w:t>
            </w:r>
          </w:p>
        </w:tc>
      </w:tr>
      <w:tr>
        <w:trPr>
          <w:trHeight w:val="230"/>
        </w:trPr>
        <w:tc>
          <w:tcPr>
            <w:tcW w:w="43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Non-performing loans (NPLs) (1)</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512,074</w:t>
            </w:r>
          </w:p>
        </w:tc>
        <w:tc>
          <w:tcPr>
            <w:tcW w:w="30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483,263</w:t>
            </w:r>
          </w:p>
        </w:tc>
        <w:tc>
          <w:tcPr>
            <w:tcW w:w="30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353,757</w:t>
            </w:r>
          </w:p>
        </w:tc>
        <w:tc>
          <w:tcPr>
            <w:tcW w:w="300" w:type="dxa"/>
            <w:vAlign w:val="bottom"/>
            <w:shd w:val="clear" w:color="auto" w:fill="CCFFCC"/>
          </w:tcPr>
          <w:p>
            <w:pPr>
              <w:spacing w:after="0"/>
              <w:rPr>
                <w:sz w:val="19"/>
                <w:szCs w:val="19"/>
                <w:color w:val="auto"/>
              </w:rPr>
            </w:pPr>
          </w:p>
        </w:tc>
        <w:tc>
          <w:tcPr>
            <w:tcW w:w="138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6.0%</w:t>
            </w:r>
          </w:p>
        </w:tc>
        <w:tc>
          <w:tcPr>
            <w:tcW w:w="320" w:type="dxa"/>
            <w:vAlign w:val="bottom"/>
            <w:shd w:val="clear" w:color="auto" w:fill="CCFFCC"/>
          </w:tcPr>
          <w:p>
            <w:pPr>
              <w:spacing w:after="0"/>
              <w:rPr>
                <w:sz w:val="19"/>
                <w:szCs w:val="19"/>
                <w:color w:val="auto"/>
              </w:rPr>
            </w:pPr>
          </w:p>
        </w:tc>
        <w:tc>
          <w:tcPr>
            <w:tcW w:w="9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44.8%</w:t>
            </w:r>
          </w:p>
        </w:tc>
      </w:tr>
      <w:tr>
        <w:trPr>
          <w:trHeight w:val="223"/>
        </w:trPr>
        <w:tc>
          <w:tcPr>
            <w:tcW w:w="4340" w:type="dxa"/>
            <w:vAlign w:val="bottom"/>
            <w:tcBorders>
              <w:bottom w:val="single" w:sz="8" w:color="CCFFCC"/>
            </w:tcBorders>
            <w:gridSpan w:val="2"/>
          </w:tcPr>
          <w:p>
            <w:pPr>
              <w:spacing w:after="0"/>
              <w:rPr>
                <w:sz w:val="20"/>
                <w:szCs w:val="20"/>
                <w:color w:val="auto"/>
              </w:rPr>
            </w:pPr>
            <w:r>
              <w:rPr>
                <w:rFonts w:ascii="Arial" w:cs="Arial" w:eastAsia="Arial" w:hAnsi="Arial"/>
                <w:sz w:val="18"/>
                <w:szCs w:val="18"/>
                <w:b w:val="1"/>
                <w:bCs w:val="1"/>
                <w:color w:val="auto"/>
              </w:rPr>
              <w:t>PDL ratio at 90 days</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w:t>
            </w:r>
          </w:p>
        </w:tc>
        <w:tc>
          <w:tcPr>
            <w:tcW w:w="30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w:t>
            </w:r>
          </w:p>
        </w:tc>
        <w:tc>
          <w:tcPr>
            <w:tcW w:w="30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1.09</w:t>
            </w:r>
          </w:p>
        </w:tc>
        <w:tc>
          <w:tcPr>
            <w:tcW w:w="30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tcBorders>
              <w:top w:val="single" w:sz="8" w:color="auto"/>
              <w:bottom w:val="single" w:sz="8" w:color="CCFFCC"/>
            </w:tcBorders>
          </w:tcPr>
          <w:p>
            <w:pPr>
              <w:spacing w:after="0"/>
              <w:rPr>
                <w:sz w:val="19"/>
                <w:szCs w:val="19"/>
                <w:color w:val="auto"/>
              </w:rPr>
            </w:pPr>
          </w:p>
        </w:tc>
        <w:tc>
          <w:tcPr>
            <w:tcW w:w="300" w:type="dxa"/>
            <w:vAlign w:val="bottom"/>
            <w:tcBorders>
              <w:bottom w:val="single" w:sz="8" w:color="CCFFCC"/>
            </w:tcBorders>
          </w:tcPr>
          <w:p>
            <w:pPr>
              <w:spacing w:after="0"/>
              <w:rPr>
                <w:sz w:val="19"/>
                <w:szCs w:val="19"/>
                <w:color w:val="auto"/>
              </w:rPr>
            </w:pPr>
          </w:p>
        </w:tc>
        <w:tc>
          <w:tcPr>
            <w:tcW w:w="320" w:type="dxa"/>
            <w:vAlign w:val="bottom"/>
            <w:tcBorders>
              <w:top w:val="single" w:sz="8" w:color="auto"/>
              <w:bottom w:val="single" w:sz="8" w:color="CCFFCC"/>
            </w:tcBorders>
          </w:tcPr>
          <w:p>
            <w:pPr>
              <w:spacing w:after="0"/>
              <w:rPr>
                <w:sz w:val="19"/>
                <w:szCs w:val="19"/>
                <w:color w:val="auto"/>
              </w:rPr>
            </w:pPr>
          </w:p>
        </w:tc>
        <w:tc>
          <w:tcPr>
            <w:tcW w:w="760" w:type="dxa"/>
            <w:vAlign w:val="bottom"/>
            <w:tcBorders>
              <w:top w:val="single" w:sz="8" w:color="auto"/>
              <w:bottom w:val="single" w:sz="8" w:color="CCFFCC"/>
            </w:tcBorders>
          </w:tcPr>
          <w:p>
            <w:pPr>
              <w:spacing w:after="0"/>
              <w:rPr>
                <w:sz w:val="19"/>
                <w:szCs w:val="19"/>
                <w:color w:val="auto"/>
              </w:rPr>
            </w:pPr>
          </w:p>
        </w:tc>
        <w:tc>
          <w:tcPr>
            <w:tcW w:w="200" w:type="dxa"/>
            <w:vAlign w:val="bottom"/>
            <w:tcBorders>
              <w:bottom w:val="single" w:sz="8" w:color="CCFFCC"/>
            </w:tcBorders>
          </w:tcPr>
          <w:p>
            <w:pPr>
              <w:spacing w:after="0"/>
              <w:rPr>
                <w:sz w:val="19"/>
                <w:szCs w:val="19"/>
                <w:color w:val="auto"/>
              </w:rPr>
            </w:pPr>
          </w:p>
        </w:tc>
      </w:tr>
      <w:tr>
        <w:trPr>
          <w:trHeight w:val="210"/>
        </w:trPr>
        <w:tc>
          <w:tcPr>
            <w:tcW w:w="434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PDL ratio</w:t>
            </w:r>
          </w:p>
        </w:tc>
        <w:tc>
          <w:tcPr>
            <w:tcW w:w="140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b w:val="1"/>
                <w:bCs w:val="1"/>
                <w:color w:val="auto"/>
              </w:rPr>
              <w:t>1.78%</w:t>
            </w:r>
          </w:p>
        </w:tc>
        <w:tc>
          <w:tcPr>
            <w:tcW w:w="140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b w:val="1"/>
                <w:bCs w:val="1"/>
                <w:color w:val="auto"/>
              </w:rPr>
              <w:t>1.78%</w:t>
            </w:r>
          </w:p>
        </w:tc>
        <w:tc>
          <w:tcPr>
            <w:tcW w:w="140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b w:val="1"/>
                <w:bCs w:val="1"/>
                <w:color w:val="auto"/>
              </w:rPr>
              <w:t>1.53%</w:t>
            </w:r>
          </w:p>
        </w:tc>
        <w:tc>
          <w:tcPr>
            <w:tcW w:w="10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b w:val="1"/>
                <w:bCs w:val="1"/>
                <w:color w:val="auto"/>
              </w:rPr>
              <w:t>NPL ratio</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2.47%</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2.46%</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2.09%</w:t>
            </w: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3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Coverage of PDLs</w:t>
            </w:r>
          </w:p>
        </w:tc>
        <w:tc>
          <w:tcPr>
            <w:tcW w:w="140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188.6%</w:t>
            </w:r>
          </w:p>
        </w:tc>
        <w:tc>
          <w:tcPr>
            <w:tcW w:w="140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191.5%</w:t>
            </w:r>
          </w:p>
        </w:tc>
        <w:tc>
          <w:tcPr>
            <w:tcW w:w="140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200.8%</w:t>
            </w:r>
          </w:p>
        </w:tc>
        <w:tc>
          <w:tcPr>
            <w:tcW w:w="10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r>
      <w:tr>
        <w:trPr>
          <w:trHeight w:val="230"/>
        </w:trPr>
        <w:tc>
          <w:tcPr>
            <w:tcW w:w="4340" w:type="dxa"/>
            <w:vAlign w:val="bottom"/>
            <w:gridSpan w:val="2"/>
          </w:tcPr>
          <w:p>
            <w:pPr>
              <w:spacing w:after="0"/>
              <w:rPr>
                <w:sz w:val="20"/>
                <w:szCs w:val="20"/>
                <w:color w:val="auto"/>
              </w:rPr>
            </w:pPr>
            <w:r>
              <w:rPr>
                <w:rFonts w:ascii="Arial" w:cs="Arial" w:eastAsia="Arial" w:hAnsi="Arial"/>
                <w:sz w:val="18"/>
                <w:szCs w:val="18"/>
                <w:color w:val="auto"/>
              </w:rPr>
              <w:t>Coverage of NPLs</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136.4%</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138.6%</w:t>
            </w:r>
          </w:p>
        </w:tc>
        <w:tc>
          <w:tcPr>
            <w:tcW w:w="1400" w:type="dxa"/>
            <w:vAlign w:val="bottom"/>
            <w:gridSpan w:val="2"/>
          </w:tcPr>
          <w:p>
            <w:pPr>
              <w:jc w:val="right"/>
              <w:ind w:right="50"/>
              <w:spacing w:after="0"/>
              <w:rPr>
                <w:sz w:val="20"/>
                <w:szCs w:val="20"/>
                <w:color w:val="auto"/>
              </w:rPr>
            </w:pPr>
            <w:r>
              <w:rPr>
                <w:rFonts w:ascii="Arial" w:cs="Arial" w:eastAsia="Arial" w:hAnsi="Arial"/>
                <w:sz w:val="18"/>
                <w:szCs w:val="18"/>
                <w:color w:val="auto"/>
              </w:rPr>
              <w:t>146.7%</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0"/>
        </w:trPr>
        <w:tc>
          <w:tcPr>
            <w:tcW w:w="4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(1) NPLs: Non-performing loans = Past due loans + Refinanced and restructued loans. NPL Ratio = NPLs / Total loans.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net provisions for loan losses totaled US$ 103.1 million, which represents a 9% increase with regard to the US$ 94.6 million reported in 3Q12. This expansion was due to an increase in the provisions set aside for the SME + Business (+28%) and Consumer (+14%) segments. This level of provisions represents 26.1% of net interest income (vs. 24.7% last quarter).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It is important to highlight that an analysis of portfolio quality reveals very favorable signs given that in 4Q12:</w:t>
      </w:r>
    </w:p>
    <w:p>
      <w:pPr>
        <w:spacing w:after="0" w:line="225" w:lineRule="exact"/>
        <w:rPr>
          <w:sz w:val="20"/>
          <w:szCs w:val="20"/>
          <w:color w:val="auto"/>
        </w:rPr>
      </w:pPr>
    </w:p>
    <w:p>
      <w:pPr>
        <w:jc w:val="both"/>
        <w:ind w:left="760" w:hanging="428"/>
        <w:spacing w:after="0" w:line="264"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share of the “normal” risk portfolio (lowest risk category) as a percentage of the total portfolio increased from 95.2% at the end of 3Q12 to 95.5% at the end of 4Q12 while the share of the high risk portfolio (which includes the three categories of higher-risk clients), fell from 2.56% to 2.53%; and</w:t>
      </w:r>
    </w:p>
    <w:p>
      <w:pPr>
        <w:spacing w:after="0" w:line="181" w:lineRule="exact"/>
        <w:rPr>
          <w:rFonts w:ascii="Arial" w:cs="Arial" w:eastAsia="Arial" w:hAnsi="Arial"/>
          <w:sz w:val="18"/>
          <w:szCs w:val="18"/>
          <w:color w:val="auto"/>
        </w:rPr>
      </w:pPr>
    </w:p>
    <w:p>
      <w:pPr>
        <w:ind w:left="760" w:right="20" w:hanging="428"/>
        <w:spacing w:after="0" w:line="277"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PDL ratio at 90 days or more remained stable throughout the quarter and was situated at 1.14% at the end of December, which was slightly below the 1.15% reported throughout the year.</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0" w:name="page21"/>
    <w:bookmarkEnd w:id="20"/>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6254750</wp:posOffset>
            </wp:positionH>
            <wp:positionV relativeFrom="page">
              <wp:posOffset>568960</wp:posOffset>
            </wp:positionV>
            <wp:extent cx="1149350" cy="3175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r>
    </w:p>
    <w:p>
      <w:pPr>
        <w:jc w:val="both"/>
        <w:spacing w:after="0" w:line="264" w:lineRule="auto"/>
        <w:rPr>
          <w:sz w:val="20"/>
          <w:szCs w:val="20"/>
          <w:color w:val="auto"/>
        </w:rPr>
      </w:pPr>
      <w:r>
        <w:rPr>
          <w:rFonts w:ascii="Arial" w:cs="Arial" w:eastAsia="Arial" w:hAnsi="Arial"/>
          <w:sz w:val="18"/>
          <w:szCs w:val="18"/>
          <w:color w:val="auto"/>
        </w:rPr>
        <w:t>The charge-off amount in 4Q12 was US$ 88.2 million, which represents a 29.8% increase with regard to the level reported the previous quarter (US$ 68.0 million). The higher level of charge-off does not represent a new level of the business related to the worsening of the portfolio but it is more a regularization, in December, of delays from previous months, after which the level of charge-off should decrease.</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stock of provisions at the end of 4Q12 reported a +4.3% increase QoQ to total US$ 698.4 million. This increase in stock was not enough to maintain 3Q12’s coverage levels given the aforementioned growth in the PDL ratio (+5.9% QoQ) as well as expansion in refinanced and restructured loans (+6.2% QoQ). Nevertheless, the coverage ratios for the PDL portfolio and the NPL portfolio have remained at comfortable levels of 188.6% and 136.4%,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127635</wp:posOffset>
            </wp:positionV>
            <wp:extent cx="2444115" cy="21266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444115" cy="2126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600"/>
        <w:spacing w:after="0"/>
        <w:rPr>
          <w:sz w:val="20"/>
          <w:szCs w:val="20"/>
          <w:color w:val="auto"/>
        </w:rPr>
      </w:pPr>
      <w:r>
        <w:rPr>
          <w:rFonts w:ascii="Arial" w:cs="Arial" w:eastAsia="Arial" w:hAnsi="Arial"/>
          <w:sz w:val="18"/>
          <w:szCs w:val="18"/>
          <w:i w:val="1"/>
          <w:iCs w:val="1"/>
          <w:color w:val="auto"/>
        </w:rPr>
        <w:t>Source: BCP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figure shows the evolution of the PDL ratio per segment and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1883410</wp:posOffset>
            </wp:positionH>
            <wp:positionV relativeFrom="paragraph">
              <wp:posOffset>152400</wp:posOffset>
            </wp:positionV>
            <wp:extent cx="3498850" cy="19894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98850" cy="1989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600"/>
        <w:spacing w:after="0"/>
        <w:rPr>
          <w:sz w:val="20"/>
          <w:szCs w:val="20"/>
          <w:color w:val="auto"/>
        </w:rPr>
      </w:pPr>
      <w:r>
        <w:rPr>
          <w:rFonts w:ascii="Arial" w:cs="Arial" w:eastAsia="Arial" w:hAnsi="Arial"/>
          <w:sz w:val="18"/>
          <w:szCs w:val="18"/>
          <w:i w:val="1"/>
          <w:iCs w:val="1"/>
          <w:color w:val="auto"/>
        </w:rPr>
        <w:t>Source: SBS and ASBANC</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1" w:name="page22"/>
    <w:bookmarkEnd w:id="21"/>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6254750</wp:posOffset>
            </wp:positionH>
            <wp:positionV relativeFrom="page">
              <wp:posOffset>568960</wp:posOffset>
            </wp:positionV>
            <wp:extent cx="1149350" cy="3175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r>
    </w:p>
    <w:p>
      <w:pPr>
        <w:jc w:val="both"/>
        <w:spacing w:after="0" w:line="312" w:lineRule="auto"/>
        <w:rPr>
          <w:sz w:val="20"/>
          <w:szCs w:val="20"/>
          <w:color w:val="auto"/>
        </w:rPr>
      </w:pPr>
      <w:r>
        <w:rPr>
          <w:rFonts w:ascii="Arial" w:cs="Arial" w:eastAsia="Arial" w:hAnsi="Arial"/>
          <w:sz w:val="16"/>
          <w:szCs w:val="16"/>
          <w:color w:val="auto"/>
        </w:rPr>
        <w:t>The global PDL ratio remained at stable levels at the end of 4Q (1.78%). This was due to higher level of charge-offs this quarter (particularly in December) as well as the favorable evolution of loans. The PDL ratio at 90 days was 1.14%, which was slightly lower than the 1.15% recorded throughout the year. The NPL ratio increased only 1 bp (2.46% in 3Q12 versus 2.47% in 4Q12) due to lower QoQ growth in refinanced loans (6.2% QoQ).</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In the analysis of the PDL ratio per banking segment and product, it is important to consider:</w:t>
      </w:r>
    </w:p>
    <w:p>
      <w:pPr>
        <w:spacing w:after="0" w:line="225" w:lineRule="exact"/>
        <w:rPr>
          <w:sz w:val="20"/>
          <w:szCs w:val="20"/>
          <w:color w:val="auto"/>
        </w:rPr>
      </w:pPr>
    </w:p>
    <w:p>
      <w:pPr>
        <w:ind w:left="880" w:hanging="49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Credit cards ended the year with a PDL ratio of 4.7%, lower than the 4.9% registered in 3Q12;</w:t>
      </w:r>
    </w:p>
    <w:p>
      <w:pPr>
        <w:spacing w:after="0" w:line="225" w:lineRule="exact"/>
        <w:rPr>
          <w:rFonts w:ascii="Arial" w:cs="Arial" w:eastAsia="Arial" w:hAnsi="Arial"/>
          <w:sz w:val="18"/>
          <w:szCs w:val="18"/>
          <w:color w:val="auto"/>
        </w:rPr>
      </w:pPr>
    </w:p>
    <w:p>
      <w:pPr>
        <w:ind w:left="880" w:hanging="49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reduction in PYME’s PDL ratio from 5.8% to 5.7% QoQ;</w:t>
      </w:r>
    </w:p>
    <w:p>
      <w:pPr>
        <w:spacing w:after="0" w:line="225" w:lineRule="exact"/>
        <w:rPr>
          <w:rFonts w:ascii="Arial" w:cs="Arial" w:eastAsia="Arial" w:hAnsi="Arial"/>
          <w:sz w:val="18"/>
          <w:szCs w:val="18"/>
          <w:color w:val="auto"/>
        </w:rPr>
      </w:pPr>
    </w:p>
    <w:p>
      <w:pPr>
        <w:ind w:left="880" w:hanging="49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decline in Edyficar’s PDL ratio, which went from 4.2% to 3.9%; and</w:t>
      </w:r>
    </w:p>
    <w:p>
      <w:pPr>
        <w:spacing w:after="0" w:line="225" w:lineRule="exact"/>
        <w:rPr>
          <w:rFonts w:ascii="Arial" w:cs="Arial" w:eastAsia="Arial" w:hAnsi="Arial"/>
          <w:sz w:val="18"/>
          <w:szCs w:val="18"/>
          <w:color w:val="auto"/>
        </w:rPr>
      </w:pPr>
    </w:p>
    <w:p>
      <w:pPr>
        <w:ind w:left="880" w:hanging="494"/>
        <w:spacing w:after="0" w:line="277"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mortgage loan portfolio, which was one of the most dynamic this quarter, registered a slight reduction in its PDL, which went from 1.2% to 1.1% at the end of December 2012.</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It is important to highlight that the vintage analysis for Retail Banking segments shows improvements in the level of PDLs after the risk policy and models adjustments implemented during the first half of 2012, thus the increase in PDL portfolio in 4Q12 comes mainly from pre-adjustments vintages.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II.5 Non-financial income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Non-financial income fell 2.4% QoQ due to a decrease in Banking services commissions, which in turn was attributable to the spinoff of the investment banking business from BCP. The YoY and accumulated evolutions show significant expansion due to growth in Banking services commissions and gains on the sales of securities.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20" w:type="dxa"/>
            <w:vAlign w:val="bottom"/>
            <w:gridSpan w:val="2"/>
          </w:tcPr>
          <w:p>
            <w:pPr>
              <w:spacing w:after="0"/>
              <w:rPr>
                <w:sz w:val="20"/>
                <w:szCs w:val="20"/>
                <w:color w:val="auto"/>
              </w:rPr>
            </w:pPr>
            <w:r>
              <w:rPr>
                <w:rFonts w:ascii="Arial" w:cs="Arial" w:eastAsia="Arial" w:hAnsi="Arial"/>
                <w:sz w:val="14"/>
                <w:szCs w:val="14"/>
                <w:b w:val="1"/>
                <w:bCs w:val="1"/>
                <w:color w:val="auto"/>
              </w:rPr>
              <w:t>Non financial income</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ind w:left="200"/>
              <w:spacing w:after="0"/>
              <w:rPr>
                <w:sz w:val="20"/>
                <w:szCs w:val="20"/>
                <w:color w:val="auto"/>
              </w:rPr>
            </w:pPr>
            <w:r>
              <w:rPr>
                <w:rFonts w:ascii="Arial" w:cs="Arial" w:eastAsia="Arial" w:hAnsi="Arial"/>
                <w:sz w:val="14"/>
                <w:szCs w:val="14"/>
                <w:b w:val="1"/>
                <w:bCs w:val="1"/>
                <w:color w:val="auto"/>
              </w:rPr>
              <w:t>Quarter</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3"/>
          </w:tcPr>
          <w:p>
            <w:pPr>
              <w:ind w:left="720"/>
              <w:spacing w:after="0"/>
              <w:rPr>
                <w:sz w:val="20"/>
                <w:szCs w:val="20"/>
                <w:color w:val="auto"/>
              </w:rPr>
            </w:pPr>
            <w:r>
              <w:rPr>
                <w:rFonts w:ascii="Arial" w:cs="Arial" w:eastAsia="Arial" w:hAnsi="Arial"/>
                <w:sz w:val="14"/>
                <w:szCs w:val="14"/>
                <w:b w:val="1"/>
                <w:bCs w:val="1"/>
                <w:color w:val="auto"/>
              </w:rPr>
              <w:t>Change %</w:t>
            </w: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3"/>
          </w:tcPr>
          <w:p>
            <w:pPr>
              <w:ind w:left="660"/>
              <w:spacing w:after="0"/>
              <w:rPr>
                <w:sz w:val="20"/>
                <w:szCs w:val="20"/>
                <w:color w:val="auto"/>
              </w:rPr>
            </w:pPr>
            <w:r>
              <w:rPr>
                <w:rFonts w:ascii="Arial" w:cs="Arial" w:eastAsia="Arial" w:hAnsi="Arial"/>
                <w:sz w:val="14"/>
                <w:szCs w:val="14"/>
                <w:b w:val="1"/>
                <w:bCs w:val="1"/>
                <w:color w:val="auto"/>
                <w:w w:val="90"/>
              </w:rPr>
              <w:t>Year ended</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208"/>
              <w:spacing w:after="0"/>
              <w:rPr>
                <w:sz w:val="20"/>
                <w:szCs w:val="20"/>
                <w:color w:val="auto"/>
              </w:rPr>
            </w:pPr>
            <w:r>
              <w:rPr>
                <w:rFonts w:ascii="Arial" w:cs="Arial" w:eastAsia="Arial" w:hAnsi="Arial"/>
                <w:sz w:val="14"/>
                <w:szCs w:val="14"/>
                <w:b w:val="1"/>
                <w:bCs w:val="1"/>
                <w:color w:val="auto"/>
              </w:rPr>
              <w:t>Change %</w:t>
            </w:r>
          </w:p>
        </w:tc>
        <w:tc>
          <w:tcPr>
            <w:tcW w:w="0" w:type="dxa"/>
            <w:vAlign w:val="bottom"/>
          </w:tcPr>
          <w:p>
            <w:pPr>
              <w:spacing w:after="0"/>
              <w:rPr>
                <w:sz w:val="1"/>
                <w:szCs w:val="1"/>
                <w:color w:val="auto"/>
              </w:rPr>
            </w:pPr>
          </w:p>
        </w:tc>
      </w:tr>
      <w:tr>
        <w:trPr>
          <w:trHeight w:val="171"/>
        </w:trPr>
        <w:tc>
          <w:tcPr>
            <w:tcW w:w="2300" w:type="dxa"/>
            <w:vAlign w:val="bottom"/>
          </w:tcPr>
          <w:p>
            <w:pPr>
              <w:spacing w:after="0"/>
              <w:rPr>
                <w:sz w:val="20"/>
                <w:szCs w:val="20"/>
                <w:color w:val="auto"/>
              </w:rPr>
            </w:pPr>
            <w:r>
              <w:rPr>
                <w:rFonts w:ascii="Arial" w:cs="Arial" w:eastAsia="Arial" w:hAnsi="Arial"/>
                <w:sz w:val="14"/>
                <w:szCs w:val="14"/>
                <w:color w:val="auto"/>
              </w:rPr>
              <w:t>US$ 000</w:t>
            </w:r>
          </w:p>
        </w:tc>
        <w:tc>
          <w:tcPr>
            <w:tcW w:w="12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Arial" w:cs="Arial" w:eastAsia="Arial" w:hAnsi="Arial"/>
                <w:sz w:val="14"/>
                <w:szCs w:val="14"/>
                <w:b w:val="1"/>
                <w:bCs w:val="1"/>
                <w:color w:val="auto"/>
              </w:rPr>
              <w:t>4Q12</w:t>
            </w:r>
          </w:p>
        </w:tc>
        <w:tc>
          <w:tcPr>
            <w:tcW w:w="20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Arial" w:cs="Arial" w:eastAsia="Arial" w:hAnsi="Arial"/>
                <w:sz w:val="14"/>
                <w:szCs w:val="14"/>
                <w:b w:val="1"/>
                <w:bCs w:val="1"/>
                <w:color w:val="auto"/>
              </w:rPr>
              <w:t>3Q12</w:t>
            </w:r>
          </w:p>
        </w:tc>
        <w:tc>
          <w:tcPr>
            <w:tcW w:w="20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Arial" w:cs="Arial" w:eastAsia="Arial" w:hAnsi="Arial"/>
                <w:sz w:val="14"/>
                <w:szCs w:val="14"/>
                <w:b w:val="1"/>
                <w:bCs w:val="1"/>
                <w:color w:val="auto"/>
              </w:rPr>
              <w:t>4Q11</w:t>
            </w:r>
          </w:p>
        </w:tc>
        <w:tc>
          <w:tcPr>
            <w:tcW w:w="200" w:type="dxa"/>
            <w:vAlign w:val="bottom"/>
          </w:tcPr>
          <w:p>
            <w:pPr>
              <w:spacing w:after="0"/>
              <w:rPr>
                <w:sz w:val="14"/>
                <w:szCs w:val="14"/>
                <w:color w:val="auto"/>
              </w:rPr>
            </w:pPr>
          </w:p>
        </w:tc>
        <w:tc>
          <w:tcPr>
            <w:tcW w:w="920" w:type="dxa"/>
            <w:vAlign w:val="bottom"/>
          </w:tcPr>
          <w:p>
            <w:pPr>
              <w:jc w:val="right"/>
              <w:ind w:right="248"/>
              <w:spacing w:after="0"/>
              <w:rPr>
                <w:sz w:val="20"/>
                <w:szCs w:val="20"/>
                <w:color w:val="auto"/>
              </w:rPr>
            </w:pPr>
            <w:r>
              <w:rPr>
                <w:rFonts w:ascii="Arial" w:cs="Arial" w:eastAsia="Arial" w:hAnsi="Arial"/>
                <w:sz w:val="14"/>
                <w:szCs w:val="14"/>
                <w:b w:val="1"/>
                <w:bCs w:val="1"/>
                <w:color w:val="auto"/>
              </w:rPr>
              <w:t>QoQ</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jc w:val="right"/>
              <w:ind w:right="248"/>
              <w:spacing w:after="0"/>
              <w:rPr>
                <w:sz w:val="20"/>
                <w:szCs w:val="20"/>
                <w:color w:val="auto"/>
              </w:rPr>
            </w:pPr>
            <w:r>
              <w:rPr>
                <w:rFonts w:ascii="Arial" w:cs="Arial" w:eastAsia="Arial" w:hAnsi="Arial"/>
                <w:sz w:val="14"/>
                <w:szCs w:val="14"/>
                <w:b w:val="1"/>
                <w:bCs w:val="1"/>
                <w:color w:val="auto"/>
              </w:rPr>
              <w:t>YoY</w:t>
            </w:r>
          </w:p>
        </w:tc>
        <w:tc>
          <w:tcPr>
            <w:tcW w:w="26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Arial" w:cs="Arial" w:eastAsia="Arial" w:hAnsi="Arial"/>
                <w:sz w:val="14"/>
                <w:szCs w:val="14"/>
                <w:b w:val="1"/>
                <w:bCs w:val="1"/>
                <w:color w:val="auto"/>
              </w:rPr>
              <w:t>Dec 12</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jc w:val="right"/>
              <w:ind w:right="188"/>
              <w:spacing w:after="0"/>
              <w:rPr>
                <w:sz w:val="20"/>
                <w:szCs w:val="20"/>
                <w:color w:val="auto"/>
              </w:rPr>
            </w:pPr>
            <w:r>
              <w:rPr>
                <w:rFonts w:ascii="Arial" w:cs="Arial" w:eastAsia="Arial" w:hAnsi="Arial"/>
                <w:sz w:val="14"/>
                <w:szCs w:val="14"/>
                <w:b w:val="1"/>
                <w:bCs w:val="1"/>
                <w:color w:val="auto"/>
                <w:w w:val="84"/>
              </w:rPr>
              <w:t>Dec 11</w:t>
            </w:r>
          </w:p>
        </w:tc>
        <w:tc>
          <w:tcPr>
            <w:tcW w:w="100" w:type="dxa"/>
            <w:vAlign w:val="bottom"/>
          </w:tcPr>
          <w:p>
            <w:pPr>
              <w:spacing w:after="0"/>
              <w:rPr>
                <w:sz w:val="14"/>
                <w:szCs w:val="14"/>
                <w:color w:val="auto"/>
              </w:rPr>
            </w:pPr>
          </w:p>
        </w:tc>
        <w:tc>
          <w:tcPr>
            <w:tcW w:w="1180" w:type="dxa"/>
            <w:vAlign w:val="bottom"/>
            <w:gridSpan w:val="3"/>
          </w:tcPr>
          <w:p>
            <w:pPr>
              <w:jc w:val="right"/>
              <w:ind w:right="68"/>
              <w:spacing w:after="0"/>
              <w:rPr>
                <w:sz w:val="20"/>
                <w:szCs w:val="20"/>
                <w:color w:val="auto"/>
              </w:rPr>
            </w:pPr>
            <w:r>
              <w:rPr>
                <w:rFonts w:ascii="Arial" w:cs="Arial" w:eastAsia="Arial" w:hAnsi="Arial"/>
                <w:sz w:val="14"/>
                <w:szCs w:val="14"/>
                <w:b w:val="1"/>
                <w:bCs w:val="1"/>
                <w:color w:val="auto"/>
              </w:rPr>
              <w:t>Dec 12 / Dec 11</w:t>
            </w:r>
          </w:p>
        </w:tc>
        <w:tc>
          <w:tcPr>
            <w:tcW w:w="0" w:type="dxa"/>
            <w:vAlign w:val="bottom"/>
          </w:tcPr>
          <w:p>
            <w:pPr>
              <w:spacing w:after="0"/>
              <w:rPr>
                <w:sz w:val="1"/>
                <w:szCs w:val="1"/>
                <w:color w:val="auto"/>
              </w:rPr>
            </w:pPr>
          </w:p>
        </w:tc>
      </w:tr>
      <w:tr>
        <w:trPr>
          <w:trHeight w:val="20"/>
        </w:trPr>
        <w:tc>
          <w:tcPr>
            <w:tcW w:w="230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FFC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FFC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FFC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FFC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FFCC"/>
          </w:tcPr>
          <w:p>
            <w:pPr>
              <w:spacing w:after="0" w:line="20" w:lineRule="exact"/>
              <w:rPr>
                <w:sz w:val="1"/>
                <w:szCs w:val="1"/>
                <w:color w:val="auto"/>
              </w:rPr>
            </w:pPr>
          </w:p>
        </w:tc>
        <w:tc>
          <w:tcPr>
            <w:tcW w:w="120" w:type="dxa"/>
            <w:vAlign w:val="bottom"/>
            <w:vMerge w:val="restart"/>
            <w:shd w:val="clear" w:color="auto" w:fill="CCFFC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30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Banking services commissions</w:t>
            </w:r>
          </w:p>
        </w:tc>
        <w:tc>
          <w:tcPr>
            <w:tcW w:w="120" w:type="dxa"/>
            <w:vAlign w:val="bottom"/>
            <w:vMerge w:val="continue"/>
            <w:shd w:val="clear" w:color="auto" w:fill="CCFFCC"/>
          </w:tcPr>
          <w:p>
            <w:pPr>
              <w:spacing w:after="0"/>
              <w:rPr>
                <w:sz w:val="12"/>
                <w:szCs w:val="12"/>
                <w:color w:val="auto"/>
              </w:rPr>
            </w:pPr>
          </w:p>
        </w:tc>
        <w:tc>
          <w:tcPr>
            <w:tcW w:w="92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150,940</w:t>
            </w:r>
          </w:p>
        </w:tc>
        <w:tc>
          <w:tcPr>
            <w:tcW w:w="200" w:type="dxa"/>
            <w:vAlign w:val="bottom"/>
            <w:vMerge w:val="continue"/>
            <w:shd w:val="clear" w:color="auto" w:fill="CCFFCC"/>
          </w:tcPr>
          <w:p>
            <w:pPr>
              <w:spacing w:after="0"/>
              <w:rPr>
                <w:sz w:val="12"/>
                <w:szCs w:val="12"/>
                <w:color w:val="auto"/>
              </w:rPr>
            </w:pPr>
          </w:p>
        </w:tc>
        <w:tc>
          <w:tcPr>
            <w:tcW w:w="92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172,626</w:t>
            </w:r>
          </w:p>
        </w:tc>
        <w:tc>
          <w:tcPr>
            <w:tcW w:w="200" w:type="dxa"/>
            <w:vAlign w:val="bottom"/>
            <w:vMerge w:val="continue"/>
            <w:shd w:val="clear" w:color="auto" w:fill="CCFFCC"/>
          </w:tcPr>
          <w:p>
            <w:pPr>
              <w:spacing w:after="0"/>
              <w:rPr>
                <w:sz w:val="12"/>
                <w:szCs w:val="12"/>
                <w:color w:val="auto"/>
              </w:rPr>
            </w:pPr>
          </w:p>
        </w:tc>
        <w:tc>
          <w:tcPr>
            <w:tcW w:w="92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140,896</w:t>
            </w:r>
          </w:p>
        </w:tc>
        <w:tc>
          <w:tcPr>
            <w:tcW w:w="200" w:type="dxa"/>
            <w:vAlign w:val="bottom"/>
            <w:vMerge w:val="continue"/>
            <w:shd w:val="clear" w:color="auto" w:fill="CCFFCC"/>
          </w:tcPr>
          <w:p>
            <w:pPr>
              <w:spacing w:after="0"/>
              <w:rPr>
                <w:sz w:val="12"/>
                <w:szCs w:val="12"/>
                <w:color w:val="auto"/>
              </w:rPr>
            </w:pPr>
          </w:p>
        </w:tc>
        <w:tc>
          <w:tcPr>
            <w:tcW w:w="1160" w:type="dxa"/>
            <w:vAlign w:val="bottom"/>
            <w:gridSpan w:val="2"/>
            <w:shd w:val="clear" w:color="auto" w:fill="CCFFCC"/>
          </w:tcPr>
          <w:p>
            <w:pPr>
              <w:jc w:val="right"/>
              <w:ind w:right="48"/>
              <w:spacing w:after="0" w:line="142" w:lineRule="exact"/>
              <w:rPr>
                <w:sz w:val="20"/>
                <w:szCs w:val="20"/>
                <w:color w:val="auto"/>
              </w:rPr>
            </w:pPr>
            <w:r>
              <w:rPr>
                <w:rFonts w:ascii="Arial" w:cs="Arial" w:eastAsia="Arial" w:hAnsi="Arial"/>
                <w:sz w:val="14"/>
                <w:szCs w:val="14"/>
                <w:color w:val="auto"/>
              </w:rPr>
              <w:t>-12.6%</w:t>
            </w:r>
          </w:p>
        </w:tc>
        <w:tc>
          <w:tcPr>
            <w:tcW w:w="26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rPr>
              <w:t>7.1%</w:t>
            </w:r>
          </w:p>
        </w:tc>
        <w:tc>
          <w:tcPr>
            <w:tcW w:w="9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617,149</w:t>
            </w:r>
          </w:p>
        </w:tc>
        <w:tc>
          <w:tcPr>
            <w:tcW w:w="220" w:type="dxa"/>
            <w:vAlign w:val="bottom"/>
            <w:vMerge w:val="continue"/>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66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527,637</w:t>
            </w:r>
          </w:p>
        </w:tc>
        <w:tc>
          <w:tcPr>
            <w:tcW w:w="100" w:type="dxa"/>
            <w:vAlign w:val="bottom"/>
            <w:vMerge w:val="continue"/>
            <w:shd w:val="clear" w:color="auto" w:fill="CCFFCC"/>
          </w:tcPr>
          <w:p>
            <w:pPr>
              <w:spacing w:after="0"/>
              <w:rPr>
                <w:sz w:val="12"/>
                <w:szCs w:val="12"/>
                <w:color w:val="auto"/>
              </w:rPr>
            </w:pPr>
          </w:p>
        </w:tc>
        <w:tc>
          <w:tcPr>
            <w:tcW w:w="120" w:type="dxa"/>
            <w:vAlign w:val="bottom"/>
            <w:vMerge w:val="continue"/>
            <w:shd w:val="clear" w:color="auto" w:fill="CCFFCC"/>
          </w:tcPr>
          <w:p>
            <w:pPr>
              <w:spacing w:after="0"/>
              <w:rPr>
                <w:sz w:val="12"/>
                <w:szCs w:val="12"/>
                <w:color w:val="auto"/>
              </w:rPr>
            </w:pPr>
          </w:p>
        </w:tc>
        <w:tc>
          <w:tcPr>
            <w:tcW w:w="106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130"/>
        </w:trPr>
        <w:tc>
          <w:tcPr>
            <w:tcW w:w="2420" w:type="dxa"/>
            <w:vAlign w:val="bottom"/>
            <w:gridSpan w:val="2"/>
          </w:tcPr>
          <w:p>
            <w:pPr>
              <w:spacing w:after="0" w:line="130" w:lineRule="exact"/>
              <w:rPr>
                <w:sz w:val="20"/>
                <w:szCs w:val="20"/>
                <w:color w:val="auto"/>
              </w:rPr>
            </w:pPr>
            <w:r>
              <w:rPr>
                <w:rFonts w:ascii="Arial" w:cs="Arial" w:eastAsia="Arial" w:hAnsi="Arial"/>
                <w:sz w:val="14"/>
                <w:szCs w:val="14"/>
                <w:color w:val="auto"/>
              </w:rPr>
              <w:t>Net gain on foreign exchange</w:t>
            </w: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20" w:type="dxa"/>
            <w:vAlign w:val="bottom"/>
            <w:gridSpan w:val="2"/>
          </w:tcPr>
          <w:p>
            <w:pPr>
              <w:spacing w:after="0"/>
              <w:rPr>
                <w:sz w:val="20"/>
                <w:szCs w:val="20"/>
                <w:color w:val="auto"/>
              </w:rPr>
            </w:pPr>
            <w:r>
              <w:rPr>
                <w:rFonts w:ascii="Arial" w:cs="Arial" w:eastAsia="Arial" w:hAnsi="Arial"/>
                <w:sz w:val="14"/>
                <w:szCs w:val="14"/>
                <w:color w:val="auto"/>
              </w:rPr>
              <w:t>transactions</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49,178</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44,948</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37,021</w:t>
            </w:r>
          </w:p>
        </w:tc>
        <w:tc>
          <w:tcPr>
            <w:tcW w:w="1160" w:type="dxa"/>
            <w:vAlign w:val="bottom"/>
            <w:gridSpan w:val="2"/>
          </w:tcPr>
          <w:p>
            <w:pPr>
              <w:jc w:val="right"/>
              <w:ind w:right="48"/>
              <w:spacing w:after="0"/>
              <w:rPr>
                <w:sz w:val="20"/>
                <w:szCs w:val="20"/>
                <w:color w:val="auto"/>
              </w:rPr>
            </w:pPr>
            <w:r>
              <w:rPr>
                <w:rFonts w:ascii="Arial" w:cs="Arial" w:eastAsia="Arial" w:hAnsi="Arial"/>
                <w:sz w:val="14"/>
                <w:szCs w:val="14"/>
                <w:color w:val="auto"/>
              </w:rPr>
              <w:t>9.4%</w:t>
            </w:r>
          </w:p>
        </w:tc>
        <w:tc>
          <w:tcPr>
            <w:tcW w:w="260" w:type="dxa"/>
            <w:vAlign w:val="bottom"/>
          </w:tcPr>
          <w:p>
            <w:pPr>
              <w:spacing w:after="0"/>
              <w:rPr>
                <w:sz w:val="14"/>
                <w:szCs w:val="14"/>
                <w:color w:val="auto"/>
              </w:rPr>
            </w:pPr>
          </w:p>
        </w:tc>
        <w:tc>
          <w:tcPr>
            <w:tcW w:w="920" w:type="dxa"/>
            <w:vAlign w:val="bottom"/>
            <w:gridSpan w:val="2"/>
          </w:tcPr>
          <w:p>
            <w:pPr>
              <w:jc w:val="right"/>
              <w:ind w:right="68"/>
              <w:spacing w:after="0"/>
              <w:rPr>
                <w:sz w:val="20"/>
                <w:szCs w:val="20"/>
                <w:color w:val="auto"/>
              </w:rPr>
            </w:pPr>
            <w:r>
              <w:rPr>
                <w:rFonts w:ascii="Arial" w:cs="Arial" w:eastAsia="Arial" w:hAnsi="Arial"/>
                <w:sz w:val="14"/>
                <w:szCs w:val="14"/>
                <w:color w:val="auto"/>
              </w:rPr>
              <w:t>32.8%</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177,106</w:t>
            </w:r>
          </w:p>
        </w:tc>
        <w:tc>
          <w:tcPr>
            <w:tcW w:w="24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138,912</w:t>
            </w:r>
          </w:p>
        </w:tc>
        <w:tc>
          <w:tcPr>
            <w:tcW w:w="1180" w:type="dxa"/>
            <w:vAlign w:val="bottom"/>
            <w:gridSpan w:val="3"/>
          </w:tcPr>
          <w:p>
            <w:pPr>
              <w:jc w:val="right"/>
              <w:spacing w:after="0"/>
              <w:rPr>
                <w:sz w:val="20"/>
                <w:szCs w:val="20"/>
                <w:color w:val="auto"/>
              </w:rPr>
            </w:pPr>
            <w:r>
              <w:rPr>
                <w:rFonts w:ascii="Arial" w:cs="Arial" w:eastAsia="Arial" w:hAnsi="Arial"/>
                <w:sz w:val="14"/>
                <w:szCs w:val="14"/>
                <w:color w:val="auto"/>
              </w:rPr>
              <w:t>27.5%</w:t>
            </w:r>
          </w:p>
        </w:tc>
        <w:tc>
          <w:tcPr>
            <w:tcW w:w="0" w:type="dxa"/>
            <w:vAlign w:val="bottom"/>
          </w:tcPr>
          <w:p>
            <w:pPr>
              <w:spacing w:after="0"/>
              <w:rPr>
                <w:sz w:val="1"/>
                <w:szCs w:val="1"/>
                <w:color w:val="auto"/>
              </w:rPr>
            </w:pPr>
          </w:p>
        </w:tc>
      </w:tr>
      <w:tr>
        <w:trPr>
          <w:trHeight w:val="149"/>
        </w:trPr>
        <w:tc>
          <w:tcPr>
            <w:tcW w:w="24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Net gain on sales of securities</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36,078</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28,315</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13,066</w:t>
            </w:r>
          </w:p>
        </w:tc>
        <w:tc>
          <w:tcPr>
            <w:tcW w:w="116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27.4%</w:t>
            </w:r>
          </w:p>
        </w:tc>
        <w:tc>
          <w:tcPr>
            <w:tcW w:w="26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176.1%</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88,981</w:t>
            </w:r>
          </w:p>
        </w:tc>
        <w:tc>
          <w:tcPr>
            <w:tcW w:w="240" w:type="dxa"/>
            <w:vAlign w:val="bottom"/>
            <w:shd w:val="clear" w:color="auto" w:fill="CCFFCC"/>
          </w:tcPr>
          <w:p>
            <w:pPr>
              <w:spacing w:after="0"/>
              <w:rPr>
                <w:sz w:val="12"/>
                <w:szCs w:val="12"/>
                <w:color w:val="auto"/>
              </w:rPr>
            </w:pPr>
          </w:p>
        </w:tc>
        <w:tc>
          <w:tcPr>
            <w:tcW w:w="7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22,984</w:t>
            </w:r>
          </w:p>
        </w:tc>
        <w:tc>
          <w:tcPr>
            <w:tcW w:w="1180" w:type="dxa"/>
            <w:vAlign w:val="bottom"/>
            <w:gridSpan w:val="3"/>
            <w:shd w:val="clear" w:color="auto" w:fill="CCFFCC"/>
          </w:tcPr>
          <w:p>
            <w:pPr>
              <w:jc w:val="right"/>
              <w:spacing w:after="0" w:line="149" w:lineRule="exact"/>
              <w:rPr>
                <w:sz w:val="20"/>
                <w:szCs w:val="20"/>
                <w:color w:val="auto"/>
              </w:rPr>
            </w:pPr>
            <w:r>
              <w:rPr>
                <w:rFonts w:ascii="Arial" w:cs="Arial" w:eastAsia="Arial" w:hAnsi="Arial"/>
                <w:sz w:val="14"/>
                <w:szCs w:val="14"/>
                <w:color w:val="auto"/>
              </w:rPr>
              <w:t>287.1%</w:t>
            </w:r>
          </w:p>
        </w:tc>
        <w:tc>
          <w:tcPr>
            <w:tcW w:w="0" w:type="dxa"/>
            <w:vAlign w:val="bottom"/>
          </w:tcPr>
          <w:p>
            <w:pPr>
              <w:spacing w:after="0"/>
              <w:rPr>
                <w:sz w:val="1"/>
                <w:szCs w:val="1"/>
                <w:color w:val="auto"/>
              </w:rPr>
            </w:pPr>
          </w:p>
        </w:tc>
      </w:tr>
      <w:tr>
        <w:trPr>
          <w:trHeight w:val="162"/>
        </w:trPr>
        <w:tc>
          <w:tcPr>
            <w:tcW w:w="2420" w:type="dxa"/>
            <w:vAlign w:val="bottom"/>
            <w:gridSpan w:val="2"/>
          </w:tcPr>
          <w:p>
            <w:pPr>
              <w:spacing w:after="0"/>
              <w:rPr>
                <w:sz w:val="20"/>
                <w:szCs w:val="20"/>
                <w:color w:val="auto"/>
              </w:rPr>
            </w:pPr>
            <w:r>
              <w:rPr>
                <w:rFonts w:ascii="Arial" w:cs="Arial" w:eastAsia="Arial" w:hAnsi="Arial"/>
                <w:sz w:val="14"/>
                <w:szCs w:val="14"/>
                <w:color w:val="auto"/>
              </w:rPr>
              <w:t>Other income</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5,949</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2,102</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6,627</w:t>
            </w:r>
          </w:p>
        </w:tc>
        <w:tc>
          <w:tcPr>
            <w:tcW w:w="1160" w:type="dxa"/>
            <w:vAlign w:val="bottom"/>
            <w:gridSpan w:val="2"/>
          </w:tcPr>
          <w:p>
            <w:pPr>
              <w:jc w:val="right"/>
              <w:ind w:right="48"/>
              <w:spacing w:after="0"/>
              <w:rPr>
                <w:sz w:val="20"/>
                <w:szCs w:val="20"/>
                <w:color w:val="auto"/>
              </w:rPr>
            </w:pPr>
            <w:r>
              <w:rPr>
                <w:rFonts w:ascii="Arial" w:cs="Arial" w:eastAsia="Arial" w:hAnsi="Arial"/>
                <w:sz w:val="14"/>
                <w:szCs w:val="14"/>
                <w:color w:val="auto"/>
              </w:rPr>
              <w:t>183.0%</w:t>
            </w:r>
          </w:p>
        </w:tc>
        <w:tc>
          <w:tcPr>
            <w:tcW w:w="260" w:type="dxa"/>
            <w:vAlign w:val="bottom"/>
          </w:tcPr>
          <w:p>
            <w:pPr>
              <w:spacing w:after="0"/>
              <w:rPr>
                <w:sz w:val="14"/>
                <w:szCs w:val="14"/>
                <w:color w:val="auto"/>
              </w:rPr>
            </w:pPr>
          </w:p>
        </w:tc>
        <w:tc>
          <w:tcPr>
            <w:tcW w:w="920" w:type="dxa"/>
            <w:vAlign w:val="bottom"/>
            <w:gridSpan w:val="2"/>
          </w:tcPr>
          <w:p>
            <w:pPr>
              <w:jc w:val="right"/>
              <w:ind w:right="68"/>
              <w:spacing w:after="0"/>
              <w:rPr>
                <w:sz w:val="20"/>
                <w:szCs w:val="20"/>
                <w:color w:val="auto"/>
              </w:rPr>
            </w:pPr>
            <w:r>
              <w:rPr>
                <w:rFonts w:ascii="Arial" w:cs="Arial" w:eastAsia="Arial" w:hAnsi="Arial"/>
                <w:sz w:val="14"/>
                <w:szCs w:val="14"/>
                <w:color w:val="auto"/>
              </w:rPr>
              <w:t>-10.2%</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23,318</w:t>
            </w:r>
          </w:p>
        </w:tc>
        <w:tc>
          <w:tcPr>
            <w:tcW w:w="24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19,001</w:t>
            </w:r>
          </w:p>
        </w:tc>
        <w:tc>
          <w:tcPr>
            <w:tcW w:w="1180" w:type="dxa"/>
            <w:vAlign w:val="bottom"/>
            <w:gridSpan w:val="3"/>
          </w:tcPr>
          <w:p>
            <w:pPr>
              <w:jc w:val="right"/>
              <w:spacing w:after="0"/>
              <w:rPr>
                <w:sz w:val="20"/>
                <w:szCs w:val="20"/>
                <w:color w:val="auto"/>
              </w:rPr>
            </w:pPr>
            <w:r>
              <w:rPr>
                <w:rFonts w:ascii="Arial" w:cs="Arial" w:eastAsia="Arial" w:hAnsi="Arial"/>
                <w:sz w:val="14"/>
                <w:szCs w:val="14"/>
                <w:color w:val="auto"/>
              </w:rPr>
              <w:t>22.7%</w:t>
            </w:r>
          </w:p>
        </w:tc>
        <w:tc>
          <w:tcPr>
            <w:tcW w:w="0" w:type="dxa"/>
            <w:vAlign w:val="bottom"/>
          </w:tcPr>
          <w:p>
            <w:pPr>
              <w:spacing w:after="0"/>
              <w:rPr>
                <w:sz w:val="1"/>
                <w:szCs w:val="1"/>
                <w:color w:val="auto"/>
              </w:rPr>
            </w:pPr>
          </w:p>
        </w:tc>
      </w:tr>
      <w:tr>
        <w:trPr>
          <w:trHeight w:val="142"/>
        </w:trPr>
        <w:tc>
          <w:tcPr>
            <w:tcW w:w="2420" w:type="dxa"/>
            <w:vAlign w:val="bottom"/>
            <w:tcBorders>
              <w:top w:val="single" w:sz="8" w:color="CCFFCC"/>
            </w:tcBorders>
            <w:gridSpan w:val="2"/>
            <w:shd w:val="clear" w:color="auto" w:fill="CCFFCC"/>
          </w:tcPr>
          <w:p>
            <w:pPr>
              <w:spacing w:after="0" w:line="142" w:lineRule="exact"/>
              <w:rPr>
                <w:sz w:val="20"/>
                <w:szCs w:val="20"/>
                <w:color w:val="auto"/>
              </w:rPr>
            </w:pPr>
            <w:r>
              <w:rPr>
                <w:rFonts w:ascii="Arial" w:cs="Arial" w:eastAsia="Arial" w:hAnsi="Arial"/>
                <w:sz w:val="14"/>
                <w:szCs w:val="14"/>
                <w:b w:val="1"/>
                <w:bCs w:val="1"/>
                <w:color w:val="auto"/>
              </w:rPr>
              <w:t>Total non financial income</w:t>
            </w:r>
          </w:p>
        </w:tc>
        <w:tc>
          <w:tcPr>
            <w:tcW w:w="92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242,145</w:t>
            </w:r>
          </w:p>
        </w:tc>
        <w:tc>
          <w:tcPr>
            <w:tcW w:w="200" w:type="dxa"/>
            <w:vAlign w:val="bottom"/>
            <w:tcBorders>
              <w:top w:val="single" w:sz="8" w:color="CCFFCC"/>
            </w:tcBorders>
            <w:shd w:val="clear" w:color="auto" w:fill="CCFFCC"/>
          </w:tcPr>
          <w:p>
            <w:pPr>
              <w:spacing w:after="0"/>
              <w:rPr>
                <w:sz w:val="12"/>
                <w:szCs w:val="12"/>
                <w:color w:val="auto"/>
              </w:rPr>
            </w:pPr>
          </w:p>
        </w:tc>
        <w:tc>
          <w:tcPr>
            <w:tcW w:w="92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247,991</w:t>
            </w:r>
          </w:p>
        </w:tc>
        <w:tc>
          <w:tcPr>
            <w:tcW w:w="200" w:type="dxa"/>
            <w:vAlign w:val="bottom"/>
            <w:tcBorders>
              <w:top w:val="single" w:sz="8" w:color="CCFFCC"/>
            </w:tcBorders>
            <w:shd w:val="clear" w:color="auto" w:fill="CCFFCC"/>
          </w:tcPr>
          <w:p>
            <w:pPr>
              <w:spacing w:after="0"/>
              <w:rPr>
                <w:sz w:val="12"/>
                <w:szCs w:val="12"/>
                <w:color w:val="auto"/>
              </w:rPr>
            </w:pPr>
          </w:p>
        </w:tc>
        <w:tc>
          <w:tcPr>
            <w:tcW w:w="92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197,610</w:t>
            </w:r>
          </w:p>
        </w:tc>
        <w:tc>
          <w:tcPr>
            <w:tcW w:w="200" w:type="dxa"/>
            <w:vAlign w:val="bottom"/>
            <w:tcBorders>
              <w:top w:val="single" w:sz="8" w:color="CCFFCC"/>
            </w:tcBorders>
            <w:shd w:val="clear" w:color="auto" w:fill="CCFFCC"/>
          </w:tcPr>
          <w:p>
            <w:pPr>
              <w:spacing w:after="0"/>
              <w:rPr>
                <w:sz w:val="12"/>
                <w:szCs w:val="12"/>
                <w:color w:val="auto"/>
              </w:rPr>
            </w:pPr>
          </w:p>
        </w:tc>
        <w:tc>
          <w:tcPr>
            <w:tcW w:w="92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-2.4</w:t>
            </w:r>
          </w:p>
        </w:tc>
        <w:tc>
          <w:tcPr>
            <w:tcW w:w="240" w:type="dxa"/>
            <w:vAlign w:val="bottom"/>
            <w:tcBorders>
              <w:top w:val="single" w:sz="8" w:color="CCFFCC"/>
            </w:tcBorders>
            <w:shd w:val="clear" w:color="auto" w:fill="CCFFCC"/>
          </w:tcPr>
          <w:p>
            <w:pPr>
              <w:jc w:val="right"/>
              <w:ind w:right="28"/>
              <w:spacing w:after="0" w:line="142" w:lineRule="exact"/>
              <w:rPr>
                <w:sz w:val="20"/>
                <w:szCs w:val="20"/>
                <w:color w:val="auto"/>
              </w:rPr>
            </w:pPr>
            <w:r>
              <w:rPr>
                <w:rFonts w:ascii="Arial" w:cs="Arial" w:eastAsia="Arial" w:hAnsi="Arial"/>
                <w:sz w:val="14"/>
                <w:szCs w:val="14"/>
                <w:b w:val="1"/>
                <w:bCs w:val="1"/>
                <w:color w:val="auto"/>
                <w:w w:val="96"/>
              </w:rPr>
              <w:t>%</w:t>
            </w:r>
          </w:p>
        </w:tc>
        <w:tc>
          <w:tcPr>
            <w:tcW w:w="260" w:type="dxa"/>
            <w:vAlign w:val="bottom"/>
            <w:tcBorders>
              <w:top w:val="single" w:sz="8" w:color="auto"/>
              <w:bottom w:val="single" w:sz="8" w:color="auto"/>
            </w:tcBorders>
            <w:shd w:val="clear" w:color="auto" w:fill="CCFFCC"/>
          </w:tcPr>
          <w:p>
            <w:pPr>
              <w:spacing w:after="0"/>
              <w:rPr>
                <w:sz w:val="12"/>
                <w:szCs w:val="12"/>
                <w:color w:val="auto"/>
              </w:rPr>
            </w:pPr>
          </w:p>
        </w:tc>
        <w:tc>
          <w:tcPr>
            <w:tcW w:w="66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22.5</w:t>
            </w:r>
          </w:p>
        </w:tc>
        <w:tc>
          <w:tcPr>
            <w:tcW w:w="260" w:type="dxa"/>
            <w:vAlign w:val="bottom"/>
            <w:tcBorders>
              <w:top w:val="single" w:sz="8" w:color="CCFFCC"/>
            </w:tcBorders>
            <w:shd w:val="clear" w:color="auto" w:fill="CCFFCC"/>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9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906,554</w:t>
            </w:r>
          </w:p>
        </w:tc>
        <w:tc>
          <w:tcPr>
            <w:tcW w:w="220" w:type="dxa"/>
            <w:vAlign w:val="bottom"/>
            <w:tcBorders>
              <w:top w:val="single" w:sz="8" w:color="CCFFCC"/>
            </w:tcBorders>
            <w:shd w:val="clear" w:color="auto" w:fill="CCFFCC"/>
          </w:tcPr>
          <w:p>
            <w:pPr>
              <w:spacing w:after="0"/>
              <w:rPr>
                <w:sz w:val="12"/>
                <w:szCs w:val="12"/>
                <w:color w:val="auto"/>
              </w:rPr>
            </w:pPr>
          </w:p>
        </w:tc>
        <w:tc>
          <w:tcPr>
            <w:tcW w:w="240" w:type="dxa"/>
            <w:vAlign w:val="bottom"/>
            <w:tcBorders>
              <w:top w:val="single" w:sz="8" w:color="auto"/>
              <w:bottom w:val="single" w:sz="8" w:color="auto"/>
            </w:tcBorders>
            <w:shd w:val="clear" w:color="auto" w:fill="CCFFCC"/>
          </w:tcPr>
          <w:p>
            <w:pPr>
              <w:spacing w:after="0"/>
              <w:rPr>
                <w:sz w:val="12"/>
                <w:szCs w:val="12"/>
                <w:color w:val="auto"/>
              </w:rPr>
            </w:pPr>
          </w:p>
        </w:tc>
        <w:tc>
          <w:tcPr>
            <w:tcW w:w="66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708,534</w:t>
            </w:r>
          </w:p>
        </w:tc>
        <w:tc>
          <w:tcPr>
            <w:tcW w:w="10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92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27.9</w:t>
            </w:r>
          </w:p>
        </w:tc>
        <w:tc>
          <w:tcPr>
            <w:tcW w:w="140" w:type="dxa"/>
            <w:vAlign w:val="bottom"/>
            <w:tcBorders>
              <w:top w:val="single" w:sz="8" w:color="CCFFCC"/>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Non financial income fell 2.4% QoQ. This was attributable primarily to a decline in Banking services commissions, which fell as a result of the spinoff of the investment banking business from BCP (Credifondo, Credibolsa, Credititulo, Finanzas Corporativas) and the sale of IM Trust to Credicorp Investments. The fees and commissions generated by these two businesses in 4Q12 represent approximately US$ 17 million and thus explain 77% of the drop recorded in BCP’s Banking services commissions.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Nevertheless, the drop in Banking services commissions was significantly attenuated by:</w:t>
      </w:r>
    </w:p>
    <w:p>
      <w:pPr>
        <w:spacing w:after="0" w:line="225" w:lineRule="exact"/>
        <w:rPr>
          <w:sz w:val="20"/>
          <w:szCs w:val="20"/>
          <w:color w:val="auto"/>
        </w:rPr>
      </w:pPr>
    </w:p>
    <w:p>
      <w:pPr>
        <w:ind w:left="1020" w:hanging="377"/>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Higher gains on the sales of securities (+27.4%), which was primarily due to an increase in sales of Sovereign Bonds; and</w:t>
      </w:r>
    </w:p>
    <w:p>
      <w:pPr>
        <w:spacing w:after="0" w:line="225" w:lineRule="exact"/>
        <w:rPr>
          <w:rFonts w:ascii="Arial" w:cs="Arial" w:eastAsia="Arial" w:hAnsi="Arial"/>
          <w:sz w:val="18"/>
          <w:szCs w:val="18"/>
          <w:color w:val="auto"/>
        </w:rPr>
      </w:pPr>
    </w:p>
    <w:p>
      <w:pPr>
        <w:ind w:left="1020" w:hanging="377"/>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Higher net gains on foreign trade transactions (+9.4%) after an increase in the trading volume.</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2" w:name="page23"/>
    <w:bookmarkEnd w:id="22"/>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6254750</wp:posOffset>
            </wp:positionH>
            <wp:positionV relativeFrom="page">
              <wp:posOffset>568960</wp:posOffset>
            </wp:positionV>
            <wp:extent cx="1149350" cy="3175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r>
    </w:p>
    <w:p>
      <w:pPr>
        <w:jc w:val="both"/>
        <w:spacing w:after="0" w:line="259" w:lineRule="auto"/>
        <w:rPr>
          <w:sz w:val="20"/>
          <w:szCs w:val="20"/>
          <w:color w:val="auto"/>
        </w:rPr>
      </w:pPr>
      <w:r>
        <w:rPr>
          <w:rFonts w:ascii="Arial" w:cs="Arial" w:eastAsia="Arial" w:hAnsi="Arial"/>
          <w:sz w:val="18"/>
          <w:szCs w:val="18"/>
          <w:color w:val="auto"/>
        </w:rPr>
        <w:t>The accumulated evolution shows that total non-financial income grew considerably (+27.9%) due to the good performance of all segments. It is noteworthy the significant 17% growth seen in Banking services commissions, which was primarily attributable to expansion in the Retail Banking division and in the Wholesale Banking fee generation (mainly from cash management products and services, foreign trade and advisory; as well as higher net gains on sales of securities (+287.1%); and growth in net gains on foreign exchange transactions (+27.5%).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 Channels and Transactions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number of transactions this quarter grew 4.3% with regard to 3Q12’s level, which was in line with the increase in banking penetration throughout the country. This growth was mainly due to growth in transactional activity in the following channels: Agente BCP (+6.8% QoQ) and ATM ViaBCP (+6.8% QoQ), which together represent 36.8% of total transactions. It is also important to note the increases reported in other cost-efficient channels such as Telephone Banking Via BCP (+17.1% QoQ) and Mobile Banking (+31.2% QoQ), which were in line with the Bank’s strategy to bolster the efficient use of the channel network.</w:t>
      </w:r>
    </w:p>
    <w:p>
      <w:pPr>
        <w:spacing w:after="0" w:line="18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 the YoY analysis, it is important to mention that although the average transaction volume grew 17.8% YoY, cost-efficient channels reported significantly higher growth rates: +32.2% in Agentes BCP, +17.6% in ATMs, and +41.9% in Telephone Banking, +15.8% in Internet Banking, and +13.7% in Telecredito.</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80" w:type="dxa"/>
            <w:vAlign w:val="bottom"/>
            <w:gridSpan w:val="4"/>
          </w:tcPr>
          <w:p>
            <w:pPr>
              <w:jc w:val="right"/>
              <w:ind w:right="168"/>
              <w:spacing w:after="0"/>
              <w:rPr>
                <w:sz w:val="20"/>
                <w:szCs w:val="20"/>
                <w:color w:val="auto"/>
              </w:rPr>
            </w:pPr>
            <w:r>
              <w:rPr>
                <w:rFonts w:ascii="Arial" w:cs="Arial" w:eastAsia="Arial" w:hAnsi="Arial"/>
                <w:sz w:val="14"/>
                <w:szCs w:val="14"/>
                <w:b w:val="1"/>
                <w:bCs w:val="1"/>
                <w:color w:val="auto"/>
                <w:w w:val="94"/>
              </w:rPr>
              <w:t>Monthly average in each quarter</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4"/>
                <w:szCs w:val="14"/>
                <w:b w:val="1"/>
                <w:bCs w:val="1"/>
                <w:color w:val="auto"/>
              </w:rPr>
              <w:t>Change %</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2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 of Transactions per channel</w:t>
            </w:r>
          </w:p>
        </w:tc>
        <w:tc>
          <w:tcPr>
            <w:tcW w:w="120" w:type="dxa"/>
            <w:vAlign w:val="bottom"/>
            <w:tcBorders>
              <w:bottom w:val="single" w:sz="8" w:color="CCFFCC"/>
            </w:tcBorders>
          </w:tcPr>
          <w:p>
            <w:pPr>
              <w:spacing w:after="0"/>
              <w:rPr>
                <w:sz w:val="14"/>
                <w:szCs w:val="14"/>
                <w:color w:val="auto"/>
              </w:rPr>
            </w:pPr>
          </w:p>
        </w:tc>
        <w:tc>
          <w:tcPr>
            <w:tcW w:w="9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4Q12</w:t>
            </w:r>
          </w:p>
        </w:tc>
        <w:tc>
          <w:tcPr>
            <w:tcW w:w="220" w:type="dxa"/>
            <w:vAlign w:val="bottom"/>
            <w:tcBorders>
              <w:bottom w:val="single" w:sz="8" w:color="CCFFCC"/>
            </w:tcBorders>
          </w:tcPr>
          <w:p>
            <w:pPr>
              <w:spacing w:after="0"/>
              <w:rPr>
                <w:sz w:val="14"/>
                <w:szCs w:val="14"/>
                <w:color w:val="auto"/>
              </w:rPr>
            </w:pPr>
          </w:p>
        </w:tc>
        <w:tc>
          <w:tcPr>
            <w:tcW w:w="8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FFCC"/>
            </w:tcBorders>
          </w:tcPr>
          <w:p>
            <w:pPr>
              <w:spacing w:after="0"/>
              <w:rPr>
                <w:sz w:val="14"/>
                <w:szCs w:val="14"/>
                <w:color w:val="auto"/>
              </w:rPr>
            </w:pPr>
          </w:p>
        </w:tc>
        <w:tc>
          <w:tcPr>
            <w:tcW w:w="9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3Q12</w:t>
            </w:r>
          </w:p>
        </w:tc>
        <w:tc>
          <w:tcPr>
            <w:tcW w:w="220" w:type="dxa"/>
            <w:vAlign w:val="bottom"/>
            <w:tcBorders>
              <w:bottom w:val="single" w:sz="8" w:color="CCFFCC"/>
            </w:tcBorders>
          </w:tcPr>
          <w:p>
            <w:pPr>
              <w:spacing w:after="0"/>
              <w:rPr>
                <w:sz w:val="14"/>
                <w:szCs w:val="14"/>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FFCC"/>
            </w:tcBorders>
          </w:tcPr>
          <w:p>
            <w:pPr>
              <w:spacing w:after="0"/>
              <w:rPr>
                <w:sz w:val="14"/>
                <w:szCs w:val="14"/>
                <w:color w:val="auto"/>
              </w:rPr>
            </w:pPr>
          </w:p>
        </w:tc>
        <w:tc>
          <w:tcPr>
            <w:tcW w:w="9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4Q11</w:t>
            </w:r>
          </w:p>
        </w:tc>
        <w:tc>
          <w:tcPr>
            <w:tcW w:w="220" w:type="dxa"/>
            <w:vAlign w:val="bottom"/>
            <w:tcBorders>
              <w:bottom w:val="single" w:sz="8" w:color="CCFFCC"/>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auto"/>
            </w:tcBorders>
          </w:tcPr>
          <w:p>
            <w:pPr>
              <w:spacing w:after="0"/>
              <w:rPr>
                <w:sz w:val="14"/>
                <w:szCs w:val="14"/>
                <w:color w:val="auto"/>
              </w:rPr>
            </w:pPr>
          </w:p>
        </w:tc>
        <w:tc>
          <w:tcPr>
            <w:tcW w:w="260" w:type="dxa"/>
            <w:vAlign w:val="bottom"/>
            <w:tcBorders>
              <w:bottom w:val="single" w:sz="8" w:color="CCFFCC"/>
            </w:tcBorders>
          </w:tcPr>
          <w:p>
            <w:pPr>
              <w:spacing w:after="0"/>
              <w:rPr>
                <w:sz w:val="14"/>
                <w:szCs w:val="14"/>
                <w:color w:val="auto"/>
              </w:rPr>
            </w:pPr>
          </w:p>
        </w:tc>
        <w:tc>
          <w:tcPr>
            <w:tcW w:w="64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QoQ</w:t>
            </w: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CCFFC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YoY</w:t>
            </w:r>
          </w:p>
        </w:tc>
        <w:tc>
          <w:tcPr>
            <w:tcW w:w="120" w:type="dxa"/>
            <w:vAlign w:val="bottom"/>
            <w:tcBorders>
              <w:bottom w:val="single" w:sz="8" w:color="CCFFCC"/>
            </w:tcBorders>
          </w:tcPr>
          <w:p>
            <w:pPr>
              <w:spacing w:after="0"/>
              <w:rPr>
                <w:sz w:val="14"/>
                <w:szCs w:val="14"/>
                <w:color w:val="auto"/>
              </w:rPr>
            </w:pPr>
          </w:p>
        </w:tc>
      </w:tr>
      <w:tr>
        <w:trPr>
          <w:trHeight w:val="142"/>
        </w:trPr>
        <w:tc>
          <w:tcPr>
            <w:tcW w:w="226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Teller</w:t>
            </w:r>
          </w:p>
        </w:tc>
        <w:tc>
          <w:tcPr>
            <w:tcW w:w="12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10,344,823</w:t>
            </w:r>
          </w:p>
        </w:tc>
        <w:tc>
          <w:tcPr>
            <w:tcW w:w="22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rPr>
              <w:t>13.1%</w:t>
            </w:r>
          </w:p>
        </w:tc>
        <w:tc>
          <w:tcPr>
            <w:tcW w:w="9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10,512,965</w:t>
            </w:r>
          </w:p>
        </w:tc>
        <w:tc>
          <w:tcPr>
            <w:tcW w:w="22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rPr>
              <w:t>13.9%</w:t>
            </w:r>
          </w:p>
        </w:tc>
        <w:tc>
          <w:tcPr>
            <w:tcW w:w="9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9,792,521</w:t>
            </w:r>
          </w:p>
        </w:tc>
        <w:tc>
          <w:tcPr>
            <w:tcW w:w="22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600" w:type="dxa"/>
            <w:vAlign w:val="bottom"/>
            <w:gridSpan w:val="2"/>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rPr>
              <w:t>14.6%</w:t>
            </w:r>
          </w:p>
        </w:tc>
        <w:tc>
          <w:tcPr>
            <w:tcW w:w="640" w:type="dxa"/>
            <w:vAlign w:val="bottom"/>
            <w:shd w:val="clear" w:color="auto" w:fill="CCFFCC"/>
          </w:tcPr>
          <w:p>
            <w:pPr>
              <w:spacing w:after="0"/>
              <w:rPr>
                <w:sz w:val="12"/>
                <w:szCs w:val="12"/>
                <w:color w:val="auto"/>
              </w:rPr>
            </w:pPr>
          </w:p>
        </w:tc>
        <w:tc>
          <w:tcPr>
            <w:tcW w:w="520" w:type="dxa"/>
            <w:vAlign w:val="bottom"/>
            <w:gridSpan w:val="2"/>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w w:val="98"/>
              </w:rPr>
              <w:t>-1.6%</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5.6%</w:t>
            </w:r>
          </w:p>
        </w:tc>
      </w:tr>
      <w:tr>
        <w:trPr>
          <w:trHeight w:val="149"/>
        </w:trPr>
        <w:tc>
          <w:tcPr>
            <w:tcW w:w="2380" w:type="dxa"/>
            <w:vAlign w:val="bottom"/>
            <w:gridSpan w:val="2"/>
          </w:tcPr>
          <w:p>
            <w:pPr>
              <w:spacing w:after="0" w:line="149" w:lineRule="exact"/>
              <w:rPr>
                <w:sz w:val="20"/>
                <w:szCs w:val="20"/>
                <w:color w:val="auto"/>
              </w:rPr>
            </w:pPr>
            <w:r>
              <w:rPr>
                <w:rFonts w:ascii="Arial" w:cs="Arial" w:eastAsia="Arial" w:hAnsi="Arial"/>
                <w:sz w:val="14"/>
                <w:szCs w:val="14"/>
                <w:color w:val="auto"/>
              </w:rPr>
              <w:t>ATMs Via BCP</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14,469,188</w:t>
            </w:r>
          </w:p>
        </w:tc>
        <w:tc>
          <w:tcPr>
            <w:tcW w:w="11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18.4%</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13,543,934</w:t>
            </w:r>
          </w:p>
        </w:tc>
        <w:tc>
          <w:tcPr>
            <w:tcW w:w="11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17.9%</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12,299,099</w:t>
            </w:r>
          </w:p>
        </w:tc>
        <w:tc>
          <w:tcPr>
            <w:tcW w:w="560" w:type="dxa"/>
            <w:vAlign w:val="bottom"/>
          </w:tcPr>
          <w:p>
            <w:pPr>
              <w:spacing w:after="0"/>
              <w:rPr>
                <w:sz w:val="12"/>
                <w:szCs w:val="12"/>
                <w:color w:val="auto"/>
              </w:rPr>
            </w:pPr>
          </w:p>
        </w:tc>
        <w:tc>
          <w:tcPr>
            <w:tcW w:w="6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18.4%</w:t>
            </w:r>
          </w:p>
        </w:tc>
        <w:tc>
          <w:tcPr>
            <w:tcW w:w="640" w:type="dxa"/>
            <w:vAlign w:val="bottom"/>
          </w:tcPr>
          <w:p>
            <w:pPr>
              <w:spacing w:after="0"/>
              <w:rPr>
                <w:sz w:val="12"/>
                <w:szCs w:val="12"/>
                <w:color w:val="auto"/>
              </w:rPr>
            </w:pPr>
          </w:p>
        </w:tc>
        <w:tc>
          <w:tcPr>
            <w:tcW w:w="5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6.8%</w:t>
            </w:r>
          </w:p>
        </w:tc>
        <w:tc>
          <w:tcPr>
            <w:tcW w:w="26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17.6%</w:t>
            </w:r>
          </w:p>
        </w:tc>
      </w:tr>
      <w:tr>
        <w:trPr>
          <w:trHeight w:val="149"/>
        </w:trPr>
        <w:tc>
          <w:tcPr>
            <w:tcW w:w="238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Balance Inquiries</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3,784,401</w:t>
            </w:r>
          </w:p>
        </w:tc>
        <w:tc>
          <w:tcPr>
            <w:tcW w:w="114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4.8%</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3,659,282</w:t>
            </w:r>
          </w:p>
        </w:tc>
        <w:tc>
          <w:tcPr>
            <w:tcW w:w="116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4.8%</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3,805,341</w:t>
            </w:r>
          </w:p>
        </w:tc>
        <w:tc>
          <w:tcPr>
            <w:tcW w:w="560" w:type="dxa"/>
            <w:vAlign w:val="bottom"/>
            <w:shd w:val="clear" w:color="auto" w:fill="CCFFCC"/>
          </w:tcPr>
          <w:p>
            <w:pPr>
              <w:spacing w:after="0"/>
              <w:rPr>
                <w:sz w:val="12"/>
                <w:szCs w:val="12"/>
                <w:color w:val="auto"/>
              </w:rPr>
            </w:pPr>
          </w:p>
        </w:tc>
        <w:tc>
          <w:tcPr>
            <w:tcW w:w="60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5.7%</w:t>
            </w:r>
          </w:p>
        </w:tc>
        <w:tc>
          <w:tcPr>
            <w:tcW w:w="640" w:type="dxa"/>
            <w:vAlign w:val="bottom"/>
            <w:shd w:val="clear" w:color="auto" w:fill="CCFFCC"/>
          </w:tcPr>
          <w:p>
            <w:pPr>
              <w:spacing w:after="0"/>
              <w:rPr>
                <w:sz w:val="12"/>
                <w:szCs w:val="12"/>
                <w:color w:val="auto"/>
              </w:rPr>
            </w:pPr>
          </w:p>
        </w:tc>
        <w:tc>
          <w:tcPr>
            <w:tcW w:w="52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3.4%</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-0.6%</w:t>
            </w:r>
          </w:p>
        </w:tc>
      </w:tr>
      <w:tr>
        <w:trPr>
          <w:trHeight w:val="149"/>
        </w:trPr>
        <w:tc>
          <w:tcPr>
            <w:tcW w:w="2380" w:type="dxa"/>
            <w:vAlign w:val="bottom"/>
            <w:gridSpan w:val="2"/>
          </w:tcPr>
          <w:p>
            <w:pPr>
              <w:spacing w:after="0" w:line="149" w:lineRule="exact"/>
              <w:rPr>
                <w:sz w:val="20"/>
                <w:szCs w:val="20"/>
                <w:color w:val="auto"/>
              </w:rPr>
            </w:pPr>
            <w:r>
              <w:rPr>
                <w:rFonts w:ascii="Arial" w:cs="Arial" w:eastAsia="Arial" w:hAnsi="Arial"/>
                <w:sz w:val="14"/>
                <w:szCs w:val="14"/>
                <w:color w:val="auto"/>
              </w:rPr>
              <w:t>Telephone Banking</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3,071,021</w:t>
            </w:r>
          </w:p>
        </w:tc>
        <w:tc>
          <w:tcPr>
            <w:tcW w:w="11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3.9%</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2,622,774</w:t>
            </w:r>
          </w:p>
        </w:tc>
        <w:tc>
          <w:tcPr>
            <w:tcW w:w="11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3.5%</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2,163,687</w:t>
            </w:r>
          </w:p>
        </w:tc>
        <w:tc>
          <w:tcPr>
            <w:tcW w:w="560" w:type="dxa"/>
            <w:vAlign w:val="bottom"/>
          </w:tcPr>
          <w:p>
            <w:pPr>
              <w:spacing w:after="0"/>
              <w:rPr>
                <w:sz w:val="12"/>
                <w:szCs w:val="12"/>
                <w:color w:val="auto"/>
              </w:rPr>
            </w:pPr>
          </w:p>
        </w:tc>
        <w:tc>
          <w:tcPr>
            <w:tcW w:w="6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3.2%</w:t>
            </w:r>
          </w:p>
        </w:tc>
        <w:tc>
          <w:tcPr>
            <w:tcW w:w="640" w:type="dxa"/>
            <w:vAlign w:val="bottom"/>
          </w:tcPr>
          <w:p>
            <w:pPr>
              <w:spacing w:after="0"/>
              <w:rPr>
                <w:sz w:val="12"/>
                <w:szCs w:val="12"/>
                <w:color w:val="auto"/>
              </w:rPr>
            </w:pPr>
          </w:p>
        </w:tc>
        <w:tc>
          <w:tcPr>
            <w:tcW w:w="5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w w:val="90"/>
              </w:rPr>
              <w:t>17.1%</w:t>
            </w:r>
          </w:p>
        </w:tc>
        <w:tc>
          <w:tcPr>
            <w:tcW w:w="26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41.9%</w:t>
            </w:r>
          </w:p>
        </w:tc>
      </w:tr>
      <w:tr>
        <w:trPr>
          <w:trHeight w:val="149"/>
        </w:trPr>
        <w:tc>
          <w:tcPr>
            <w:tcW w:w="238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Internet Banking Via BCP</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16,365,183</w:t>
            </w:r>
          </w:p>
        </w:tc>
        <w:tc>
          <w:tcPr>
            <w:tcW w:w="114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20.8%</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16,374,601</w:t>
            </w:r>
          </w:p>
        </w:tc>
        <w:tc>
          <w:tcPr>
            <w:tcW w:w="116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21.7%</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14,128,630</w:t>
            </w:r>
          </w:p>
        </w:tc>
        <w:tc>
          <w:tcPr>
            <w:tcW w:w="560" w:type="dxa"/>
            <w:vAlign w:val="bottom"/>
            <w:shd w:val="clear" w:color="auto" w:fill="CCFFCC"/>
          </w:tcPr>
          <w:p>
            <w:pPr>
              <w:spacing w:after="0"/>
              <w:rPr>
                <w:sz w:val="12"/>
                <w:szCs w:val="12"/>
                <w:color w:val="auto"/>
              </w:rPr>
            </w:pPr>
          </w:p>
        </w:tc>
        <w:tc>
          <w:tcPr>
            <w:tcW w:w="60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21.1%</w:t>
            </w:r>
          </w:p>
        </w:tc>
        <w:tc>
          <w:tcPr>
            <w:tcW w:w="640" w:type="dxa"/>
            <w:vAlign w:val="bottom"/>
            <w:shd w:val="clear" w:color="auto" w:fill="CCFFCC"/>
          </w:tcPr>
          <w:p>
            <w:pPr>
              <w:spacing w:after="0"/>
              <w:rPr>
                <w:sz w:val="12"/>
                <w:szCs w:val="12"/>
                <w:color w:val="auto"/>
              </w:rPr>
            </w:pPr>
          </w:p>
        </w:tc>
        <w:tc>
          <w:tcPr>
            <w:tcW w:w="52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w w:val="98"/>
              </w:rPr>
              <w:t>-0.1%</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15.8%</w:t>
            </w:r>
          </w:p>
        </w:tc>
      </w:tr>
      <w:tr>
        <w:trPr>
          <w:trHeight w:val="149"/>
        </w:trPr>
        <w:tc>
          <w:tcPr>
            <w:tcW w:w="2380" w:type="dxa"/>
            <w:vAlign w:val="bottom"/>
            <w:gridSpan w:val="2"/>
          </w:tcPr>
          <w:p>
            <w:pPr>
              <w:spacing w:after="0" w:line="149" w:lineRule="exact"/>
              <w:rPr>
                <w:sz w:val="20"/>
                <w:szCs w:val="20"/>
                <w:color w:val="auto"/>
              </w:rPr>
            </w:pPr>
            <w:r>
              <w:rPr>
                <w:rFonts w:ascii="Arial" w:cs="Arial" w:eastAsia="Arial" w:hAnsi="Arial"/>
                <w:sz w:val="14"/>
                <w:szCs w:val="14"/>
                <w:color w:val="auto"/>
              </w:rPr>
              <w:t>Agente BCP</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14,496,471</w:t>
            </w:r>
          </w:p>
        </w:tc>
        <w:tc>
          <w:tcPr>
            <w:tcW w:w="11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18.4%</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13,569,423</w:t>
            </w:r>
          </w:p>
        </w:tc>
        <w:tc>
          <w:tcPr>
            <w:tcW w:w="11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18.0%</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10,966,961</w:t>
            </w:r>
          </w:p>
        </w:tc>
        <w:tc>
          <w:tcPr>
            <w:tcW w:w="560" w:type="dxa"/>
            <w:vAlign w:val="bottom"/>
          </w:tcPr>
          <w:p>
            <w:pPr>
              <w:spacing w:after="0"/>
              <w:rPr>
                <w:sz w:val="12"/>
                <w:szCs w:val="12"/>
                <w:color w:val="auto"/>
              </w:rPr>
            </w:pPr>
          </w:p>
        </w:tc>
        <w:tc>
          <w:tcPr>
            <w:tcW w:w="6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16.4%</w:t>
            </w:r>
          </w:p>
        </w:tc>
        <w:tc>
          <w:tcPr>
            <w:tcW w:w="640" w:type="dxa"/>
            <w:vAlign w:val="bottom"/>
          </w:tcPr>
          <w:p>
            <w:pPr>
              <w:spacing w:after="0"/>
              <w:rPr>
                <w:sz w:val="12"/>
                <w:szCs w:val="12"/>
                <w:color w:val="auto"/>
              </w:rPr>
            </w:pPr>
          </w:p>
        </w:tc>
        <w:tc>
          <w:tcPr>
            <w:tcW w:w="5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6.8%</w:t>
            </w:r>
          </w:p>
        </w:tc>
        <w:tc>
          <w:tcPr>
            <w:tcW w:w="26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32.2%</w:t>
            </w:r>
          </w:p>
        </w:tc>
      </w:tr>
      <w:tr>
        <w:trPr>
          <w:trHeight w:val="149"/>
        </w:trPr>
        <w:tc>
          <w:tcPr>
            <w:tcW w:w="238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Telecrédito</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7,174,307</w:t>
            </w:r>
          </w:p>
        </w:tc>
        <w:tc>
          <w:tcPr>
            <w:tcW w:w="114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9.1%</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6,781,285</w:t>
            </w:r>
          </w:p>
        </w:tc>
        <w:tc>
          <w:tcPr>
            <w:tcW w:w="116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9.0%</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6,309,965</w:t>
            </w:r>
          </w:p>
        </w:tc>
        <w:tc>
          <w:tcPr>
            <w:tcW w:w="560" w:type="dxa"/>
            <w:vAlign w:val="bottom"/>
            <w:shd w:val="clear" w:color="auto" w:fill="CCFFCC"/>
          </w:tcPr>
          <w:p>
            <w:pPr>
              <w:spacing w:after="0"/>
              <w:rPr>
                <w:sz w:val="12"/>
                <w:szCs w:val="12"/>
                <w:color w:val="auto"/>
              </w:rPr>
            </w:pPr>
          </w:p>
        </w:tc>
        <w:tc>
          <w:tcPr>
            <w:tcW w:w="60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9.4%</w:t>
            </w:r>
          </w:p>
        </w:tc>
        <w:tc>
          <w:tcPr>
            <w:tcW w:w="640" w:type="dxa"/>
            <w:vAlign w:val="bottom"/>
            <w:shd w:val="clear" w:color="auto" w:fill="CCFFCC"/>
          </w:tcPr>
          <w:p>
            <w:pPr>
              <w:spacing w:after="0"/>
              <w:rPr>
                <w:sz w:val="12"/>
                <w:szCs w:val="12"/>
                <w:color w:val="auto"/>
              </w:rPr>
            </w:pPr>
          </w:p>
        </w:tc>
        <w:tc>
          <w:tcPr>
            <w:tcW w:w="52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5.8%</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13.7%</w:t>
            </w:r>
          </w:p>
        </w:tc>
      </w:tr>
      <w:tr>
        <w:trPr>
          <w:trHeight w:val="149"/>
        </w:trPr>
        <w:tc>
          <w:tcPr>
            <w:tcW w:w="2380" w:type="dxa"/>
            <w:vAlign w:val="bottom"/>
            <w:gridSpan w:val="2"/>
          </w:tcPr>
          <w:p>
            <w:pPr>
              <w:spacing w:after="0" w:line="149" w:lineRule="exact"/>
              <w:rPr>
                <w:sz w:val="20"/>
                <w:szCs w:val="20"/>
                <w:color w:val="auto"/>
              </w:rPr>
            </w:pPr>
            <w:r>
              <w:rPr>
                <w:rFonts w:ascii="Arial" w:cs="Arial" w:eastAsia="Arial" w:hAnsi="Arial"/>
                <w:sz w:val="14"/>
                <w:szCs w:val="14"/>
                <w:color w:val="auto"/>
              </w:rPr>
              <w:t>Mobile banking</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1,271,945</w:t>
            </w:r>
          </w:p>
        </w:tc>
        <w:tc>
          <w:tcPr>
            <w:tcW w:w="11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1.6%</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969,813</w:t>
            </w:r>
          </w:p>
        </w:tc>
        <w:tc>
          <w:tcPr>
            <w:tcW w:w="11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1.3%</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756,745</w:t>
            </w:r>
          </w:p>
        </w:tc>
        <w:tc>
          <w:tcPr>
            <w:tcW w:w="560" w:type="dxa"/>
            <w:vAlign w:val="bottom"/>
          </w:tcPr>
          <w:p>
            <w:pPr>
              <w:spacing w:after="0"/>
              <w:rPr>
                <w:sz w:val="12"/>
                <w:szCs w:val="12"/>
                <w:color w:val="auto"/>
              </w:rPr>
            </w:pPr>
          </w:p>
        </w:tc>
        <w:tc>
          <w:tcPr>
            <w:tcW w:w="6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1.1%</w:t>
            </w:r>
          </w:p>
        </w:tc>
        <w:tc>
          <w:tcPr>
            <w:tcW w:w="640" w:type="dxa"/>
            <w:vAlign w:val="bottom"/>
          </w:tcPr>
          <w:p>
            <w:pPr>
              <w:spacing w:after="0"/>
              <w:rPr>
                <w:sz w:val="12"/>
                <w:szCs w:val="12"/>
                <w:color w:val="auto"/>
              </w:rPr>
            </w:pPr>
          </w:p>
        </w:tc>
        <w:tc>
          <w:tcPr>
            <w:tcW w:w="5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w w:val="90"/>
              </w:rPr>
              <w:t>31.2%</w:t>
            </w:r>
          </w:p>
        </w:tc>
        <w:tc>
          <w:tcPr>
            <w:tcW w:w="26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68.1%</w:t>
            </w:r>
          </w:p>
        </w:tc>
      </w:tr>
      <w:tr>
        <w:trPr>
          <w:trHeight w:val="149"/>
        </w:trPr>
        <w:tc>
          <w:tcPr>
            <w:tcW w:w="238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Direct Debit</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574,402</w:t>
            </w:r>
          </w:p>
        </w:tc>
        <w:tc>
          <w:tcPr>
            <w:tcW w:w="114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0.7%</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565,564</w:t>
            </w:r>
          </w:p>
        </w:tc>
        <w:tc>
          <w:tcPr>
            <w:tcW w:w="116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0.7%</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481,233</w:t>
            </w:r>
          </w:p>
        </w:tc>
        <w:tc>
          <w:tcPr>
            <w:tcW w:w="560" w:type="dxa"/>
            <w:vAlign w:val="bottom"/>
            <w:shd w:val="clear" w:color="auto" w:fill="CCFFCC"/>
          </w:tcPr>
          <w:p>
            <w:pPr>
              <w:spacing w:after="0"/>
              <w:rPr>
                <w:sz w:val="12"/>
                <w:szCs w:val="12"/>
                <w:color w:val="auto"/>
              </w:rPr>
            </w:pPr>
          </w:p>
        </w:tc>
        <w:tc>
          <w:tcPr>
            <w:tcW w:w="60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0.7%</w:t>
            </w:r>
          </w:p>
        </w:tc>
        <w:tc>
          <w:tcPr>
            <w:tcW w:w="640" w:type="dxa"/>
            <w:vAlign w:val="bottom"/>
            <w:shd w:val="clear" w:color="auto" w:fill="CCFFCC"/>
          </w:tcPr>
          <w:p>
            <w:pPr>
              <w:spacing w:after="0"/>
              <w:rPr>
                <w:sz w:val="12"/>
                <w:szCs w:val="12"/>
                <w:color w:val="auto"/>
              </w:rPr>
            </w:pPr>
          </w:p>
        </w:tc>
        <w:tc>
          <w:tcPr>
            <w:tcW w:w="52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1.6%</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19.4%</w:t>
            </w:r>
          </w:p>
        </w:tc>
      </w:tr>
      <w:tr>
        <w:trPr>
          <w:trHeight w:val="149"/>
        </w:trPr>
        <w:tc>
          <w:tcPr>
            <w:tcW w:w="2380" w:type="dxa"/>
            <w:vAlign w:val="bottom"/>
            <w:gridSpan w:val="2"/>
          </w:tcPr>
          <w:p>
            <w:pPr>
              <w:spacing w:after="0" w:line="149" w:lineRule="exact"/>
              <w:rPr>
                <w:sz w:val="20"/>
                <w:szCs w:val="20"/>
                <w:color w:val="auto"/>
              </w:rPr>
            </w:pPr>
            <w:r>
              <w:rPr>
                <w:rFonts w:ascii="Arial" w:cs="Arial" w:eastAsia="Arial" w:hAnsi="Arial"/>
                <w:sz w:val="14"/>
                <w:szCs w:val="14"/>
                <w:color w:val="auto"/>
              </w:rPr>
              <w:t>Points of Sale P.O.S.</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6,847,910</w:t>
            </w:r>
          </w:p>
        </w:tc>
        <w:tc>
          <w:tcPr>
            <w:tcW w:w="11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8.7%</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6,539,434</w:t>
            </w:r>
          </w:p>
        </w:tc>
        <w:tc>
          <w:tcPr>
            <w:tcW w:w="11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8.7%</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5,794,072</w:t>
            </w:r>
          </w:p>
        </w:tc>
        <w:tc>
          <w:tcPr>
            <w:tcW w:w="560" w:type="dxa"/>
            <w:vAlign w:val="bottom"/>
          </w:tcPr>
          <w:p>
            <w:pPr>
              <w:spacing w:after="0"/>
              <w:rPr>
                <w:sz w:val="12"/>
                <w:szCs w:val="12"/>
                <w:color w:val="auto"/>
              </w:rPr>
            </w:pPr>
          </w:p>
        </w:tc>
        <w:tc>
          <w:tcPr>
            <w:tcW w:w="6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8.7%</w:t>
            </w:r>
          </w:p>
        </w:tc>
        <w:tc>
          <w:tcPr>
            <w:tcW w:w="640" w:type="dxa"/>
            <w:vAlign w:val="bottom"/>
          </w:tcPr>
          <w:p>
            <w:pPr>
              <w:spacing w:after="0"/>
              <w:rPr>
                <w:sz w:val="12"/>
                <w:szCs w:val="12"/>
                <w:color w:val="auto"/>
              </w:rPr>
            </w:pPr>
          </w:p>
        </w:tc>
        <w:tc>
          <w:tcPr>
            <w:tcW w:w="5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4.7%</w:t>
            </w:r>
          </w:p>
        </w:tc>
        <w:tc>
          <w:tcPr>
            <w:tcW w:w="26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18.2%</w:t>
            </w:r>
          </w:p>
        </w:tc>
      </w:tr>
      <w:tr>
        <w:trPr>
          <w:trHeight w:val="162"/>
        </w:trPr>
        <w:tc>
          <w:tcPr>
            <w:tcW w:w="238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Other ATMs network</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356,546</w:t>
            </w:r>
          </w:p>
        </w:tc>
        <w:tc>
          <w:tcPr>
            <w:tcW w:w="1140" w:type="dxa"/>
            <w:vAlign w:val="bottom"/>
            <w:gridSpan w:val="2"/>
            <w:shd w:val="clear" w:color="auto" w:fill="CCFFCC"/>
          </w:tcPr>
          <w:p>
            <w:pPr>
              <w:jc w:val="right"/>
              <w:ind w:right="68"/>
              <w:spacing w:after="0"/>
              <w:rPr>
                <w:sz w:val="20"/>
                <w:szCs w:val="20"/>
                <w:color w:val="auto"/>
              </w:rPr>
            </w:pPr>
            <w:r>
              <w:rPr>
                <w:rFonts w:ascii="Arial" w:cs="Arial" w:eastAsia="Arial" w:hAnsi="Arial"/>
                <w:sz w:val="14"/>
                <w:szCs w:val="14"/>
                <w:color w:val="auto"/>
              </w:rPr>
              <w:t>0.5%</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374,900</w:t>
            </w:r>
          </w:p>
        </w:tc>
        <w:tc>
          <w:tcPr>
            <w:tcW w:w="1160" w:type="dxa"/>
            <w:vAlign w:val="bottom"/>
            <w:gridSpan w:val="2"/>
            <w:shd w:val="clear" w:color="auto" w:fill="CCFFCC"/>
          </w:tcPr>
          <w:p>
            <w:pPr>
              <w:jc w:val="right"/>
              <w:ind w:right="68"/>
              <w:spacing w:after="0"/>
              <w:rPr>
                <w:sz w:val="20"/>
                <w:szCs w:val="20"/>
                <w:color w:val="auto"/>
              </w:rPr>
            </w:pPr>
            <w:r>
              <w:rPr>
                <w:rFonts w:ascii="Arial" w:cs="Arial" w:eastAsia="Arial" w:hAnsi="Arial"/>
                <w:sz w:val="14"/>
                <w:szCs w:val="14"/>
                <w:color w:val="auto"/>
              </w:rPr>
              <w:t>0.5%</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374,615</w:t>
            </w:r>
          </w:p>
        </w:tc>
        <w:tc>
          <w:tcPr>
            <w:tcW w:w="560" w:type="dxa"/>
            <w:vAlign w:val="bottom"/>
            <w:shd w:val="clear" w:color="auto" w:fill="CCFFCC"/>
          </w:tcPr>
          <w:p>
            <w:pPr>
              <w:spacing w:after="0"/>
              <w:rPr>
                <w:sz w:val="14"/>
                <w:szCs w:val="14"/>
                <w:color w:val="auto"/>
              </w:rPr>
            </w:pPr>
          </w:p>
        </w:tc>
        <w:tc>
          <w:tcPr>
            <w:tcW w:w="600" w:type="dxa"/>
            <w:vAlign w:val="bottom"/>
            <w:gridSpan w:val="2"/>
            <w:shd w:val="clear" w:color="auto" w:fill="CCFFCC"/>
          </w:tcPr>
          <w:p>
            <w:pPr>
              <w:jc w:val="right"/>
              <w:ind w:right="68"/>
              <w:spacing w:after="0"/>
              <w:rPr>
                <w:sz w:val="20"/>
                <w:szCs w:val="20"/>
                <w:color w:val="auto"/>
              </w:rPr>
            </w:pPr>
            <w:r>
              <w:rPr>
                <w:rFonts w:ascii="Arial" w:cs="Arial" w:eastAsia="Arial" w:hAnsi="Arial"/>
                <w:sz w:val="14"/>
                <w:szCs w:val="14"/>
                <w:color w:val="auto"/>
              </w:rPr>
              <w:t>0.6%</w:t>
            </w:r>
          </w:p>
        </w:tc>
        <w:tc>
          <w:tcPr>
            <w:tcW w:w="640" w:type="dxa"/>
            <w:vAlign w:val="bottom"/>
            <w:shd w:val="clear" w:color="auto" w:fill="CCFFCC"/>
          </w:tcPr>
          <w:p>
            <w:pPr>
              <w:spacing w:after="0"/>
              <w:rPr>
                <w:sz w:val="14"/>
                <w:szCs w:val="14"/>
                <w:color w:val="auto"/>
              </w:rPr>
            </w:pPr>
          </w:p>
        </w:tc>
        <w:tc>
          <w:tcPr>
            <w:tcW w:w="520" w:type="dxa"/>
            <w:vAlign w:val="bottom"/>
            <w:gridSpan w:val="2"/>
            <w:shd w:val="clear" w:color="auto" w:fill="CCFFCC"/>
          </w:tcPr>
          <w:p>
            <w:pPr>
              <w:jc w:val="right"/>
              <w:ind w:right="68"/>
              <w:spacing w:after="0"/>
              <w:rPr>
                <w:sz w:val="20"/>
                <w:szCs w:val="20"/>
                <w:color w:val="auto"/>
              </w:rPr>
            </w:pPr>
            <w:r>
              <w:rPr>
                <w:rFonts w:ascii="Arial" w:cs="Arial" w:eastAsia="Arial" w:hAnsi="Arial"/>
                <w:sz w:val="14"/>
                <w:szCs w:val="14"/>
                <w:color w:val="auto"/>
                <w:w w:val="98"/>
              </w:rPr>
              <w:t>-4.9%</w:t>
            </w:r>
          </w:p>
        </w:tc>
        <w:tc>
          <w:tcPr>
            <w:tcW w:w="260" w:type="dxa"/>
            <w:vAlign w:val="bottom"/>
            <w:shd w:val="clear" w:color="auto" w:fill="CCFFCC"/>
          </w:tcPr>
          <w:p>
            <w:pPr>
              <w:spacing w:after="0"/>
              <w:rPr>
                <w:sz w:val="14"/>
                <w:szCs w:val="14"/>
                <w:color w:val="auto"/>
              </w:rPr>
            </w:pPr>
          </w:p>
        </w:tc>
        <w:tc>
          <w:tcPr>
            <w:tcW w:w="80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-4.8%</w:t>
            </w:r>
          </w:p>
        </w:tc>
      </w:tr>
      <w:tr>
        <w:trPr>
          <w:trHeight w:val="142"/>
        </w:trPr>
        <w:tc>
          <w:tcPr>
            <w:tcW w:w="23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Total transactions</w:t>
            </w: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78,756,197</w:t>
            </w:r>
          </w:p>
        </w:tc>
        <w:tc>
          <w:tcPr>
            <w:tcW w:w="220" w:type="dxa"/>
            <w:vAlign w:val="bottom"/>
          </w:tcPr>
          <w:p>
            <w:pPr>
              <w:spacing w:after="0"/>
              <w:rPr>
                <w:sz w:val="12"/>
                <w:szCs w:val="12"/>
                <w:color w:val="auto"/>
              </w:rPr>
            </w:pPr>
          </w:p>
        </w:tc>
        <w:tc>
          <w:tcPr>
            <w:tcW w:w="8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100.0</w:t>
            </w:r>
          </w:p>
        </w:tc>
        <w:tc>
          <w:tcPr>
            <w:tcW w:w="260" w:type="dxa"/>
            <w:vAlign w:val="bottom"/>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75,513,975</w:t>
            </w:r>
          </w:p>
        </w:tc>
        <w:tc>
          <w:tcPr>
            <w:tcW w:w="220" w:type="dxa"/>
            <w:vAlign w:val="bottom"/>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100.0</w:t>
            </w:r>
          </w:p>
        </w:tc>
        <w:tc>
          <w:tcPr>
            <w:tcW w:w="260" w:type="dxa"/>
            <w:vAlign w:val="bottom"/>
          </w:tcPr>
          <w:p>
            <w:pPr>
              <w:jc w:val="right"/>
              <w:ind w:right="28"/>
              <w:spacing w:after="0" w:line="142" w:lineRule="exact"/>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66,872,870</w:t>
            </w:r>
          </w:p>
        </w:tc>
        <w:tc>
          <w:tcPr>
            <w:tcW w:w="22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100.0</w:t>
            </w:r>
          </w:p>
        </w:tc>
        <w:tc>
          <w:tcPr>
            <w:tcW w:w="260" w:type="dxa"/>
            <w:vAlign w:val="bottom"/>
          </w:tcPr>
          <w:p>
            <w:pPr>
              <w:jc w:val="right"/>
              <w:ind w:right="28"/>
              <w:spacing w:after="0" w:line="142" w:lineRule="exact"/>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w w:val="71"/>
              </w:rPr>
              <w:t>4.3</w:t>
            </w:r>
          </w:p>
        </w:tc>
        <w:tc>
          <w:tcPr>
            <w:tcW w:w="260" w:type="dxa"/>
            <w:vAlign w:val="bottom"/>
          </w:tcPr>
          <w:p>
            <w:pPr>
              <w:jc w:val="right"/>
              <w:ind w:right="28"/>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17.8</w:t>
            </w:r>
          </w:p>
        </w:tc>
        <w:tc>
          <w:tcPr>
            <w:tcW w:w="1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9"/>
              </w:rPr>
              <w:t>%</w:t>
            </w:r>
          </w:p>
        </w:tc>
      </w:tr>
      <w:tr>
        <w:trPr>
          <w:trHeight w:val="20"/>
        </w:trPr>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Source: BCP</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BCP’s distribution channels continued to post sustained growth and reached a total of 7,922 points of access at the end of 4Q12, which is in line with BCP’s strategy to increase banking penetration in the country. This represents an increase of +4.4% QoQ and +21.9% YoY. The expansion was led, in absolute terms, by Agentes BCP (+4.3% QoQ and +22.2% YoY), and to a lesser extent by ATMs (+5.3% QoQ and 24.2% YoY). Finally, BCP achieved a net increased of 23 branches.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4"/>
              </w:rPr>
              <w:t>Balance as of</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00" w:type="dxa"/>
            <w:vAlign w:val="bottom"/>
            <w:gridSpan w:val="3"/>
          </w:tcPr>
          <w:p>
            <w:pPr>
              <w:ind w:left="40"/>
              <w:spacing w:after="0"/>
              <w:rPr>
                <w:sz w:val="20"/>
                <w:szCs w:val="20"/>
                <w:color w:val="auto"/>
              </w:rPr>
            </w:pPr>
            <w:r>
              <w:rPr>
                <w:rFonts w:ascii="Arial" w:cs="Arial" w:eastAsia="Arial" w:hAnsi="Arial"/>
                <w:sz w:val="18"/>
                <w:szCs w:val="18"/>
                <w:b w:val="1"/>
                <w:bCs w:val="1"/>
                <w:color w:val="auto"/>
                <w:w w:val="96"/>
              </w:rPr>
              <w:t>Change %</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4"/>
        </w:trPr>
        <w:tc>
          <w:tcPr>
            <w:tcW w:w="5220" w:type="dxa"/>
            <w:vAlign w:val="bottom"/>
            <w:tcBorders>
              <w:bottom w:val="single" w:sz="8" w:color="CCFFCC"/>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4Q12</w:t>
            </w:r>
          </w:p>
        </w:tc>
        <w:tc>
          <w:tcPr>
            <w:tcW w:w="220" w:type="dxa"/>
            <w:vAlign w:val="bottom"/>
            <w:tcBorders>
              <w:bottom w:val="single" w:sz="8" w:color="CCFFCC"/>
            </w:tcBorders>
          </w:tcPr>
          <w:p>
            <w:pPr>
              <w:spacing w:after="0"/>
              <w:rPr>
                <w:sz w:val="20"/>
                <w:szCs w:val="20"/>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3Q12</w:t>
            </w:r>
          </w:p>
        </w:tc>
        <w:tc>
          <w:tcPr>
            <w:tcW w:w="220" w:type="dxa"/>
            <w:vAlign w:val="bottom"/>
            <w:tcBorders>
              <w:bottom w:val="single" w:sz="8" w:color="CCFFCC"/>
            </w:tcBorders>
          </w:tcPr>
          <w:p>
            <w:pPr>
              <w:spacing w:after="0"/>
              <w:rPr>
                <w:sz w:val="20"/>
                <w:szCs w:val="20"/>
                <w:color w:val="auto"/>
              </w:rPr>
            </w:pP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4Q11</w:t>
            </w:r>
          </w:p>
        </w:tc>
        <w:tc>
          <w:tcPr>
            <w:tcW w:w="200" w:type="dxa"/>
            <w:vAlign w:val="bottom"/>
            <w:tcBorders>
              <w:bottom w:val="single" w:sz="8" w:color="CCFFCC"/>
            </w:tcBorders>
          </w:tcPr>
          <w:p>
            <w:pPr>
              <w:spacing w:after="0"/>
              <w:rPr>
                <w:sz w:val="20"/>
                <w:szCs w:val="20"/>
                <w:color w:val="auto"/>
              </w:rPr>
            </w:pPr>
          </w:p>
        </w:tc>
        <w:tc>
          <w:tcPr>
            <w:tcW w:w="72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TaT</w:t>
            </w:r>
          </w:p>
        </w:tc>
        <w:tc>
          <w:tcPr>
            <w:tcW w:w="300" w:type="dxa"/>
            <w:vAlign w:val="bottom"/>
            <w:tcBorders>
              <w:bottom w:val="single" w:sz="8" w:color="auto"/>
            </w:tcBorders>
          </w:tcPr>
          <w:p>
            <w:pPr>
              <w:spacing w:after="0"/>
              <w:rPr>
                <w:sz w:val="20"/>
                <w:szCs w:val="20"/>
                <w:color w:val="auto"/>
              </w:rPr>
            </w:pPr>
          </w:p>
        </w:tc>
        <w:tc>
          <w:tcPr>
            <w:tcW w:w="300" w:type="dxa"/>
            <w:vAlign w:val="bottom"/>
            <w:tcBorders>
              <w:bottom w:val="single" w:sz="8" w:color="CCFFC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AaA</w:t>
            </w:r>
          </w:p>
        </w:tc>
        <w:tc>
          <w:tcPr>
            <w:tcW w:w="160" w:type="dxa"/>
            <w:vAlign w:val="bottom"/>
            <w:tcBorders>
              <w:bottom w:val="single" w:sz="8" w:color="CCFFCC"/>
            </w:tcBorders>
          </w:tcPr>
          <w:p>
            <w:pPr>
              <w:spacing w:after="0"/>
              <w:rPr>
                <w:sz w:val="20"/>
                <w:szCs w:val="20"/>
                <w:color w:val="auto"/>
              </w:rPr>
            </w:pPr>
          </w:p>
        </w:tc>
      </w:tr>
      <w:tr>
        <w:trPr>
          <w:trHeight w:val="210"/>
        </w:trPr>
        <w:tc>
          <w:tcPr>
            <w:tcW w:w="5220" w:type="dxa"/>
            <w:vAlign w:val="bottom"/>
            <w:shd w:val="clear" w:color="auto" w:fill="CCFFCC"/>
          </w:tcPr>
          <w:p>
            <w:pPr>
              <w:spacing w:after="0"/>
              <w:rPr>
                <w:sz w:val="20"/>
                <w:szCs w:val="20"/>
                <w:color w:val="auto"/>
              </w:rPr>
            </w:pPr>
            <w:r>
              <w:rPr>
                <w:rFonts w:ascii="Arial" w:cs="Arial" w:eastAsia="Arial" w:hAnsi="Arial"/>
                <w:sz w:val="18"/>
                <w:szCs w:val="18"/>
                <w:color w:val="auto"/>
              </w:rPr>
              <w:t>Branches</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365</w:t>
            </w:r>
          </w:p>
        </w:tc>
        <w:tc>
          <w:tcPr>
            <w:tcW w:w="22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359</w:t>
            </w:r>
          </w:p>
        </w:tc>
        <w:tc>
          <w:tcPr>
            <w:tcW w:w="22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342</w:t>
            </w:r>
          </w:p>
        </w:tc>
        <w:tc>
          <w:tcPr>
            <w:tcW w:w="20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60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1.7%</w:t>
            </w:r>
          </w:p>
        </w:tc>
        <w:tc>
          <w:tcPr>
            <w:tcW w:w="3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ATMs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1,844</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1,752</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1,485</w:t>
            </w:r>
          </w:p>
        </w:tc>
        <w:tc>
          <w:tcPr>
            <w:tcW w:w="720" w:type="dxa"/>
            <w:vAlign w:val="bottom"/>
          </w:tcPr>
          <w:p>
            <w:pPr>
              <w:spacing w:after="0"/>
              <w:rPr>
                <w:sz w:val="18"/>
                <w:szCs w:val="18"/>
                <w:color w:val="auto"/>
              </w:rPr>
            </w:pPr>
          </w:p>
        </w:tc>
        <w:tc>
          <w:tcPr>
            <w:tcW w:w="600" w:type="dxa"/>
            <w:vAlign w:val="bottom"/>
            <w:gridSpan w:val="2"/>
          </w:tcPr>
          <w:p>
            <w:pPr>
              <w:ind w:left="80"/>
              <w:spacing w:after="0"/>
              <w:rPr>
                <w:sz w:val="20"/>
                <w:szCs w:val="20"/>
                <w:color w:val="auto"/>
              </w:rPr>
            </w:pPr>
            <w:r>
              <w:rPr>
                <w:rFonts w:ascii="Arial" w:cs="Arial" w:eastAsia="Arial" w:hAnsi="Arial"/>
                <w:sz w:val="18"/>
                <w:szCs w:val="18"/>
                <w:color w:val="auto"/>
              </w:rPr>
              <w:t>5.3%</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24.2%</w:t>
            </w:r>
          </w:p>
        </w:tc>
      </w:tr>
      <w:tr>
        <w:trPr>
          <w:trHeight w:val="230"/>
        </w:trPr>
        <w:tc>
          <w:tcPr>
            <w:tcW w:w="5220" w:type="dxa"/>
            <w:vAlign w:val="bottom"/>
            <w:shd w:val="clear" w:color="auto" w:fill="CCFFCC"/>
          </w:tcPr>
          <w:p>
            <w:pPr>
              <w:spacing w:after="0"/>
              <w:rPr>
                <w:sz w:val="20"/>
                <w:szCs w:val="20"/>
                <w:color w:val="auto"/>
              </w:rPr>
            </w:pPr>
            <w:r>
              <w:rPr>
                <w:rFonts w:ascii="Arial" w:cs="Arial" w:eastAsia="Arial" w:hAnsi="Arial"/>
                <w:sz w:val="18"/>
                <w:szCs w:val="18"/>
                <w:color w:val="auto"/>
              </w:rPr>
              <w:t>Agentes BCP</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5,713</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5,479</w:t>
            </w: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4,674</w:t>
            </w:r>
          </w:p>
        </w:tc>
        <w:tc>
          <w:tcPr>
            <w:tcW w:w="720" w:type="dxa"/>
            <w:vAlign w:val="bottom"/>
            <w:shd w:val="clear" w:color="auto" w:fill="CCFFCC"/>
          </w:tcPr>
          <w:p>
            <w:pPr>
              <w:spacing w:after="0"/>
              <w:rPr>
                <w:sz w:val="19"/>
                <w:szCs w:val="19"/>
                <w:color w:val="auto"/>
              </w:rPr>
            </w:pPr>
          </w:p>
        </w:tc>
        <w:tc>
          <w:tcPr>
            <w:tcW w:w="60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4.3%</w:t>
            </w:r>
          </w:p>
        </w:tc>
        <w:tc>
          <w:tcPr>
            <w:tcW w:w="300" w:type="dxa"/>
            <w:vAlign w:val="bottom"/>
            <w:shd w:val="clear" w:color="auto" w:fill="CCFFCC"/>
          </w:tcPr>
          <w:p>
            <w:pPr>
              <w:spacing w:after="0"/>
              <w:rPr>
                <w:sz w:val="19"/>
                <w:szCs w:val="19"/>
                <w:color w:val="auto"/>
              </w:rPr>
            </w:pP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22.2%</w:t>
            </w:r>
          </w:p>
        </w:tc>
      </w:tr>
      <w:tr>
        <w:trPr>
          <w:trHeight w:val="210"/>
        </w:trPr>
        <w:tc>
          <w:tcPr>
            <w:tcW w:w="52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7,922</w:t>
            </w:r>
          </w:p>
        </w:tc>
        <w:tc>
          <w:tcPr>
            <w:tcW w:w="22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7,590</w:t>
            </w:r>
          </w:p>
        </w:tc>
        <w:tc>
          <w:tcPr>
            <w:tcW w:w="22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6,501</w:t>
            </w:r>
          </w:p>
        </w:tc>
        <w:tc>
          <w:tcPr>
            <w:tcW w:w="20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ind w:left="80"/>
              <w:spacing w:after="0"/>
              <w:rPr>
                <w:sz w:val="20"/>
                <w:szCs w:val="20"/>
                <w:color w:val="auto"/>
              </w:rPr>
            </w:pPr>
            <w:r>
              <w:rPr>
                <w:rFonts w:ascii="Arial" w:cs="Arial" w:eastAsia="Arial" w:hAnsi="Arial"/>
                <w:sz w:val="18"/>
                <w:szCs w:val="18"/>
                <w:b w:val="1"/>
                <w:bCs w:val="1"/>
                <w:color w:val="auto"/>
                <w:w w:val="79"/>
              </w:rPr>
              <w:t>4.4</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3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21.9</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87"/>
              </w:rPr>
              <w:t>%</w:t>
            </w:r>
          </w:p>
        </w:tc>
      </w:tr>
      <w:tr>
        <w:trPr>
          <w:trHeight w:val="20"/>
        </w:trPr>
        <w:tc>
          <w:tcPr>
            <w:tcW w:w="5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Source: BCP</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7266940</wp:posOffset>
            </wp:positionH>
            <wp:positionV relativeFrom="page">
              <wp:posOffset>568960</wp:posOffset>
            </wp:positionV>
            <wp:extent cx="13716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137160" cy="137160"/>
                    </a:xfrm>
                    <a:prstGeom prst="rect">
                      <a:avLst/>
                    </a:prstGeom>
                    <a:noFill/>
                  </pic:spPr>
                </pic:pic>
              </a:graphicData>
            </a:graphic>
          </wp:anchor>
        </w:drawing>
        <w:t>II.6 Operating Expenses and Efficiency</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Business expansion, which was accentuated by seasonality in operating expenses in 4Q and the effect of the appreciation of the Nuevo Sol, explains the deterioration posted in the efficiency ratio (50.6% in 3Q12 versus 55.7% at the end of 4Q12).</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Operating expenses</w:t>
            </w: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388"/>
              <w:spacing w:after="0"/>
              <w:rPr>
                <w:sz w:val="20"/>
                <w:szCs w:val="20"/>
                <w:color w:val="auto"/>
              </w:rPr>
            </w:pPr>
            <w:r>
              <w:rPr>
                <w:rFonts w:ascii="Arial" w:cs="Arial" w:eastAsia="Arial" w:hAnsi="Arial"/>
                <w:sz w:val="14"/>
                <w:szCs w:val="14"/>
                <w:b w:val="1"/>
                <w:bCs w:val="1"/>
                <w:color w:val="auto"/>
              </w:rPr>
              <w:t>Quarter</w:t>
            </w: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gridSpan w:val="3"/>
          </w:tcPr>
          <w:p>
            <w:pPr>
              <w:ind w:left="80"/>
              <w:spacing w:after="0"/>
              <w:rPr>
                <w:sz w:val="20"/>
                <w:szCs w:val="20"/>
                <w:color w:val="auto"/>
              </w:rPr>
            </w:pPr>
            <w:r>
              <w:rPr>
                <w:rFonts w:ascii="Arial" w:cs="Arial" w:eastAsia="Arial" w:hAnsi="Arial"/>
                <w:sz w:val="14"/>
                <w:szCs w:val="14"/>
                <w:b w:val="1"/>
                <w:bCs w:val="1"/>
                <w:color w:val="auto"/>
              </w:rPr>
              <w:t>Change %</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3"/>
          </w:tcPr>
          <w:p>
            <w:pPr>
              <w:ind w:left="680"/>
              <w:spacing w:after="0"/>
              <w:rPr>
                <w:sz w:val="20"/>
                <w:szCs w:val="20"/>
                <w:color w:val="auto"/>
              </w:rPr>
            </w:pPr>
            <w:r>
              <w:rPr>
                <w:rFonts w:ascii="Arial" w:cs="Arial" w:eastAsia="Arial" w:hAnsi="Arial"/>
                <w:sz w:val="14"/>
                <w:szCs w:val="14"/>
                <w:b w:val="1"/>
                <w:bCs w:val="1"/>
                <w:color w:val="auto"/>
                <w:w w:val="90"/>
              </w:rPr>
              <w:t>Year ended</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tcPr>
          <w:p>
            <w:pPr>
              <w:jc w:val="right"/>
              <w:ind w:right="208"/>
              <w:spacing w:after="0"/>
              <w:rPr>
                <w:sz w:val="20"/>
                <w:szCs w:val="20"/>
                <w:color w:val="auto"/>
              </w:rPr>
            </w:pPr>
            <w:r>
              <w:rPr>
                <w:rFonts w:ascii="Arial" w:cs="Arial" w:eastAsia="Arial" w:hAnsi="Arial"/>
                <w:sz w:val="14"/>
                <w:szCs w:val="14"/>
                <w:b w:val="1"/>
                <w:bCs w:val="1"/>
                <w:color w:val="auto"/>
              </w:rPr>
              <w:t>Change %</w:t>
            </w:r>
          </w:p>
        </w:tc>
        <w:tc>
          <w:tcPr>
            <w:tcW w:w="0" w:type="dxa"/>
            <w:vAlign w:val="bottom"/>
          </w:tcPr>
          <w:p>
            <w:pPr>
              <w:spacing w:after="0"/>
              <w:rPr>
                <w:sz w:val="1"/>
                <w:szCs w:val="1"/>
                <w:color w:val="auto"/>
              </w:rPr>
            </w:pPr>
          </w:p>
        </w:tc>
      </w:tr>
      <w:tr>
        <w:trPr>
          <w:trHeight w:val="171"/>
        </w:trPr>
        <w:tc>
          <w:tcPr>
            <w:tcW w:w="2200" w:type="dxa"/>
            <w:vAlign w:val="bottom"/>
          </w:tcPr>
          <w:p>
            <w:pPr>
              <w:spacing w:after="0"/>
              <w:rPr>
                <w:sz w:val="20"/>
                <w:szCs w:val="20"/>
                <w:color w:val="auto"/>
              </w:rPr>
            </w:pPr>
            <w:r>
              <w:rPr>
                <w:rFonts w:ascii="Arial" w:cs="Arial" w:eastAsia="Arial" w:hAnsi="Arial"/>
                <w:sz w:val="14"/>
                <w:szCs w:val="14"/>
                <w:color w:val="auto"/>
              </w:rPr>
              <w:t>US$ 000</w:t>
            </w:r>
          </w:p>
        </w:tc>
        <w:tc>
          <w:tcPr>
            <w:tcW w:w="100" w:type="dxa"/>
            <w:vAlign w:val="bottom"/>
          </w:tcPr>
          <w:p>
            <w:pPr>
              <w:spacing w:after="0"/>
              <w:rPr>
                <w:sz w:val="14"/>
                <w:szCs w:val="14"/>
                <w:color w:val="auto"/>
              </w:rPr>
            </w:pPr>
          </w:p>
        </w:tc>
        <w:tc>
          <w:tcPr>
            <w:tcW w:w="900" w:type="dxa"/>
            <w:vAlign w:val="bottom"/>
          </w:tcPr>
          <w:p>
            <w:pPr>
              <w:jc w:val="right"/>
              <w:ind w:right="208"/>
              <w:spacing w:after="0"/>
              <w:rPr>
                <w:sz w:val="20"/>
                <w:szCs w:val="20"/>
                <w:color w:val="auto"/>
              </w:rPr>
            </w:pPr>
            <w:r>
              <w:rPr>
                <w:rFonts w:ascii="Arial" w:cs="Arial" w:eastAsia="Arial" w:hAnsi="Arial"/>
                <w:sz w:val="14"/>
                <w:szCs w:val="14"/>
                <w:b w:val="1"/>
                <w:bCs w:val="1"/>
                <w:color w:val="auto"/>
              </w:rPr>
              <w:t>4Q12</w:t>
            </w:r>
          </w:p>
        </w:tc>
        <w:tc>
          <w:tcPr>
            <w:tcW w:w="260" w:type="dxa"/>
            <w:vAlign w:val="bottom"/>
          </w:tcPr>
          <w:p>
            <w:pPr>
              <w:spacing w:after="0"/>
              <w:rPr>
                <w:sz w:val="14"/>
                <w:szCs w:val="14"/>
                <w:color w:val="auto"/>
              </w:rPr>
            </w:pPr>
          </w:p>
        </w:tc>
        <w:tc>
          <w:tcPr>
            <w:tcW w:w="880" w:type="dxa"/>
            <w:vAlign w:val="bottom"/>
          </w:tcPr>
          <w:p>
            <w:pPr>
              <w:jc w:val="right"/>
              <w:ind w:right="208"/>
              <w:spacing w:after="0"/>
              <w:rPr>
                <w:sz w:val="20"/>
                <w:szCs w:val="20"/>
                <w:color w:val="auto"/>
              </w:rPr>
            </w:pPr>
            <w:r>
              <w:rPr>
                <w:rFonts w:ascii="Arial" w:cs="Arial" w:eastAsia="Arial" w:hAnsi="Arial"/>
                <w:sz w:val="14"/>
                <w:szCs w:val="14"/>
                <w:b w:val="1"/>
                <w:bCs w:val="1"/>
                <w:color w:val="auto"/>
              </w:rPr>
              <w:t>3Q12</w:t>
            </w:r>
          </w:p>
        </w:tc>
        <w:tc>
          <w:tcPr>
            <w:tcW w:w="26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Arial" w:cs="Arial" w:eastAsia="Arial" w:hAnsi="Arial"/>
                <w:sz w:val="14"/>
                <w:szCs w:val="14"/>
                <w:b w:val="1"/>
                <w:bCs w:val="1"/>
                <w:color w:val="auto"/>
              </w:rPr>
              <w:t>4Q11</w:t>
            </w:r>
          </w:p>
        </w:tc>
        <w:tc>
          <w:tcPr>
            <w:tcW w:w="240" w:type="dxa"/>
            <w:vAlign w:val="bottom"/>
          </w:tcPr>
          <w:p>
            <w:pPr>
              <w:spacing w:after="0"/>
              <w:rPr>
                <w:sz w:val="14"/>
                <w:szCs w:val="14"/>
                <w:color w:val="auto"/>
              </w:rPr>
            </w:pPr>
          </w:p>
        </w:tc>
        <w:tc>
          <w:tcPr>
            <w:tcW w:w="620" w:type="dxa"/>
            <w:vAlign w:val="bottom"/>
          </w:tcPr>
          <w:p>
            <w:pPr>
              <w:ind w:left="300"/>
              <w:spacing w:after="0"/>
              <w:rPr>
                <w:sz w:val="20"/>
                <w:szCs w:val="20"/>
                <w:color w:val="auto"/>
              </w:rPr>
            </w:pPr>
            <w:r>
              <w:rPr>
                <w:rFonts w:ascii="Arial" w:cs="Arial" w:eastAsia="Arial" w:hAnsi="Arial"/>
                <w:sz w:val="14"/>
                <w:szCs w:val="14"/>
                <w:b w:val="1"/>
                <w:bCs w:val="1"/>
                <w:color w:val="auto"/>
                <w:w w:val="98"/>
              </w:rPr>
              <w:t>QoQ</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ind w:left="320"/>
              <w:spacing w:after="0"/>
              <w:rPr>
                <w:sz w:val="20"/>
                <w:szCs w:val="20"/>
                <w:color w:val="auto"/>
              </w:rPr>
            </w:pPr>
            <w:r>
              <w:rPr>
                <w:rFonts w:ascii="Arial" w:cs="Arial" w:eastAsia="Arial" w:hAnsi="Arial"/>
                <w:sz w:val="14"/>
                <w:szCs w:val="14"/>
                <w:b w:val="1"/>
                <w:bCs w:val="1"/>
                <w:color w:val="auto"/>
              </w:rPr>
              <w:t>YoY</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Arial" w:cs="Arial" w:eastAsia="Arial" w:hAnsi="Arial"/>
                <w:sz w:val="14"/>
                <w:szCs w:val="14"/>
                <w:b w:val="1"/>
                <w:bCs w:val="1"/>
                <w:color w:val="auto"/>
              </w:rPr>
              <w:t>Dec 12</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188"/>
              <w:spacing w:after="0"/>
              <w:rPr>
                <w:sz w:val="20"/>
                <w:szCs w:val="20"/>
                <w:color w:val="auto"/>
              </w:rPr>
            </w:pPr>
            <w:r>
              <w:rPr>
                <w:rFonts w:ascii="Arial" w:cs="Arial" w:eastAsia="Arial" w:hAnsi="Arial"/>
                <w:sz w:val="14"/>
                <w:szCs w:val="14"/>
                <w:b w:val="1"/>
                <w:bCs w:val="1"/>
                <w:color w:val="auto"/>
                <w:w w:val="88"/>
              </w:rPr>
              <w:t>Dec 11</w:t>
            </w:r>
          </w:p>
        </w:tc>
        <w:tc>
          <w:tcPr>
            <w:tcW w:w="260" w:type="dxa"/>
            <w:vAlign w:val="bottom"/>
          </w:tcPr>
          <w:p>
            <w:pPr>
              <w:spacing w:after="0"/>
              <w:rPr>
                <w:sz w:val="14"/>
                <w:szCs w:val="14"/>
                <w:color w:val="auto"/>
              </w:rPr>
            </w:pPr>
          </w:p>
        </w:tc>
        <w:tc>
          <w:tcPr>
            <w:tcW w:w="106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w w:val="88"/>
              </w:rPr>
              <w:t>Dec 12 / Dec 11</w:t>
            </w:r>
          </w:p>
        </w:tc>
        <w:tc>
          <w:tcPr>
            <w:tcW w:w="0" w:type="dxa"/>
            <w:vAlign w:val="bottom"/>
          </w:tcPr>
          <w:p>
            <w:pPr>
              <w:spacing w:after="0"/>
              <w:rPr>
                <w:sz w:val="1"/>
                <w:szCs w:val="1"/>
                <w:color w:val="auto"/>
              </w:rPr>
            </w:pPr>
          </w:p>
        </w:tc>
      </w:tr>
      <w:tr>
        <w:trPr>
          <w:trHeight w:val="20"/>
        </w:trPr>
        <w:tc>
          <w:tcPr>
            <w:tcW w:w="22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FFC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Borders>
              <w:right w:val="single" w:sz="8" w:color="CCFFCC"/>
            </w:tcBorders>
            <w:vMerge w:val="restart"/>
            <w:shd w:val="clear" w:color="auto" w:fill="CCFFC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0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Salaries and employees benefits</w:t>
            </w:r>
          </w:p>
        </w:tc>
        <w:tc>
          <w:tcPr>
            <w:tcW w:w="100" w:type="dxa"/>
            <w:vAlign w:val="bottom"/>
            <w:vMerge w:val="continue"/>
            <w:shd w:val="clear" w:color="auto" w:fill="CCFFCC"/>
          </w:tcPr>
          <w:p>
            <w:pPr>
              <w:spacing w:after="0"/>
              <w:rPr>
                <w:sz w:val="12"/>
                <w:szCs w:val="12"/>
                <w:color w:val="auto"/>
              </w:rPr>
            </w:pPr>
          </w:p>
        </w:tc>
        <w:tc>
          <w:tcPr>
            <w:tcW w:w="9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171,307</w:t>
            </w:r>
          </w:p>
        </w:tc>
        <w:tc>
          <w:tcPr>
            <w:tcW w:w="260" w:type="dxa"/>
            <w:vAlign w:val="bottom"/>
            <w:vMerge w:val="continue"/>
            <w:shd w:val="clear" w:color="auto" w:fill="CCFFCC"/>
          </w:tcPr>
          <w:p>
            <w:pPr>
              <w:spacing w:after="0"/>
              <w:rPr>
                <w:sz w:val="12"/>
                <w:szCs w:val="12"/>
                <w:color w:val="auto"/>
              </w:rPr>
            </w:pPr>
          </w:p>
        </w:tc>
        <w:tc>
          <w:tcPr>
            <w:tcW w:w="8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164,073</w:t>
            </w:r>
          </w:p>
        </w:tc>
        <w:tc>
          <w:tcPr>
            <w:tcW w:w="260" w:type="dxa"/>
            <w:vAlign w:val="bottom"/>
            <w:vMerge w:val="continue"/>
            <w:shd w:val="clear" w:color="auto" w:fill="CCFFCC"/>
          </w:tcPr>
          <w:p>
            <w:pPr>
              <w:spacing w:after="0"/>
              <w:rPr>
                <w:sz w:val="12"/>
                <w:szCs w:val="12"/>
                <w:color w:val="auto"/>
              </w:rPr>
            </w:pPr>
          </w:p>
        </w:tc>
        <w:tc>
          <w:tcPr>
            <w:tcW w:w="9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137,715</w:t>
            </w:r>
          </w:p>
        </w:tc>
        <w:tc>
          <w:tcPr>
            <w:tcW w:w="240" w:type="dxa"/>
            <w:vAlign w:val="bottom"/>
            <w:vMerge w:val="continue"/>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520" w:type="dxa"/>
            <w:vAlign w:val="bottom"/>
            <w:gridSpan w:val="2"/>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rPr>
              <w:t>4.4%</w:t>
            </w:r>
          </w:p>
        </w:tc>
        <w:tc>
          <w:tcPr>
            <w:tcW w:w="620" w:type="dxa"/>
            <w:vAlign w:val="bottom"/>
            <w:shd w:val="clear" w:color="auto" w:fill="CCFFCC"/>
          </w:tcPr>
          <w:p>
            <w:pPr>
              <w:spacing w:after="0"/>
              <w:rPr>
                <w:sz w:val="12"/>
                <w:szCs w:val="12"/>
                <w:color w:val="auto"/>
              </w:rPr>
            </w:pPr>
          </w:p>
        </w:tc>
        <w:tc>
          <w:tcPr>
            <w:tcW w:w="540" w:type="dxa"/>
            <w:vAlign w:val="bottom"/>
            <w:gridSpan w:val="2"/>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w w:val="95"/>
              </w:rPr>
              <w:t>24.4%</w:t>
            </w:r>
          </w:p>
        </w:tc>
        <w:tc>
          <w:tcPr>
            <w:tcW w:w="9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622,193</w:t>
            </w:r>
          </w:p>
        </w:tc>
        <w:tc>
          <w:tcPr>
            <w:tcW w:w="260" w:type="dxa"/>
            <w:vAlign w:val="bottom"/>
            <w:vMerge w:val="continue"/>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495,099</w:t>
            </w:r>
          </w:p>
        </w:tc>
        <w:tc>
          <w:tcPr>
            <w:tcW w:w="260" w:type="dxa"/>
            <w:vAlign w:val="bottom"/>
            <w:tcBorders>
              <w:right w:val="single" w:sz="8" w:color="CCFFCC"/>
            </w:tcBorders>
            <w:vMerge w:val="continue"/>
            <w:shd w:val="clear" w:color="auto" w:fill="CCFFCC"/>
          </w:tcPr>
          <w:p>
            <w:pPr>
              <w:spacing w:after="0"/>
              <w:rPr>
                <w:sz w:val="12"/>
                <w:szCs w:val="12"/>
                <w:color w:val="auto"/>
              </w:rPr>
            </w:pPr>
          </w:p>
        </w:tc>
        <w:tc>
          <w:tcPr>
            <w:tcW w:w="106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25.7%</w:t>
            </w:r>
          </w:p>
        </w:tc>
        <w:tc>
          <w:tcPr>
            <w:tcW w:w="0" w:type="dxa"/>
            <w:vAlign w:val="bottom"/>
          </w:tcPr>
          <w:p>
            <w:pPr>
              <w:spacing w:after="0"/>
              <w:rPr>
                <w:sz w:val="1"/>
                <w:szCs w:val="1"/>
                <w:color w:val="auto"/>
              </w:rPr>
            </w:pPr>
          </w:p>
        </w:tc>
      </w:tr>
      <w:tr>
        <w:trPr>
          <w:trHeight w:val="130"/>
        </w:trPr>
        <w:tc>
          <w:tcPr>
            <w:tcW w:w="2300" w:type="dxa"/>
            <w:vAlign w:val="bottom"/>
            <w:gridSpan w:val="2"/>
          </w:tcPr>
          <w:p>
            <w:pPr>
              <w:spacing w:after="0" w:line="130" w:lineRule="exact"/>
              <w:rPr>
                <w:sz w:val="20"/>
                <w:szCs w:val="20"/>
                <w:color w:val="auto"/>
              </w:rPr>
            </w:pPr>
            <w:r>
              <w:rPr>
                <w:rFonts w:ascii="Arial" w:cs="Arial" w:eastAsia="Arial" w:hAnsi="Arial"/>
                <w:sz w:val="14"/>
                <w:szCs w:val="14"/>
                <w:color w:val="auto"/>
              </w:rPr>
              <w:t>Administrative, general and tax</w:t>
            </w: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00" w:type="dxa"/>
            <w:vAlign w:val="bottom"/>
            <w:gridSpan w:val="2"/>
          </w:tcPr>
          <w:p>
            <w:pPr>
              <w:spacing w:after="0"/>
              <w:rPr>
                <w:sz w:val="20"/>
                <w:szCs w:val="20"/>
                <w:color w:val="auto"/>
              </w:rPr>
            </w:pPr>
            <w:r>
              <w:rPr>
                <w:rFonts w:ascii="Arial" w:cs="Arial" w:eastAsia="Arial" w:hAnsi="Arial"/>
                <w:sz w:val="14"/>
                <w:szCs w:val="14"/>
                <w:color w:val="auto"/>
              </w:rPr>
              <w:t>expenses</w:t>
            </w:r>
          </w:p>
        </w:tc>
        <w:tc>
          <w:tcPr>
            <w:tcW w:w="1160" w:type="dxa"/>
            <w:vAlign w:val="bottom"/>
            <w:gridSpan w:val="2"/>
          </w:tcPr>
          <w:p>
            <w:pPr>
              <w:jc w:val="right"/>
              <w:ind w:right="188"/>
              <w:spacing w:after="0"/>
              <w:rPr>
                <w:sz w:val="20"/>
                <w:szCs w:val="20"/>
                <w:color w:val="auto"/>
              </w:rPr>
            </w:pPr>
            <w:r>
              <w:rPr>
                <w:rFonts w:ascii="Arial" w:cs="Arial" w:eastAsia="Arial" w:hAnsi="Arial"/>
                <w:sz w:val="14"/>
                <w:szCs w:val="14"/>
                <w:color w:val="auto"/>
              </w:rPr>
              <w:t>135,347</w:t>
            </w:r>
          </w:p>
        </w:tc>
        <w:tc>
          <w:tcPr>
            <w:tcW w:w="880" w:type="dxa"/>
            <w:vAlign w:val="bottom"/>
          </w:tcPr>
          <w:p>
            <w:pPr>
              <w:jc w:val="right"/>
              <w:spacing w:after="0"/>
              <w:rPr>
                <w:sz w:val="20"/>
                <w:szCs w:val="20"/>
                <w:color w:val="auto"/>
              </w:rPr>
            </w:pPr>
            <w:r>
              <w:rPr>
                <w:rFonts w:ascii="Arial" w:cs="Arial" w:eastAsia="Arial" w:hAnsi="Arial"/>
                <w:sz w:val="14"/>
                <w:szCs w:val="14"/>
                <w:color w:val="auto"/>
              </w:rPr>
              <w:t>116,974</w:t>
            </w:r>
          </w:p>
        </w:tc>
        <w:tc>
          <w:tcPr>
            <w:tcW w:w="260" w:type="dxa"/>
            <w:vAlign w:val="bottom"/>
          </w:tcPr>
          <w:p>
            <w:pPr>
              <w:spacing w:after="0"/>
              <w:rPr>
                <w:sz w:val="14"/>
                <w:szCs w:val="14"/>
                <w:color w:val="auto"/>
              </w:rPr>
            </w:pPr>
          </w:p>
        </w:tc>
        <w:tc>
          <w:tcPr>
            <w:tcW w:w="1140" w:type="dxa"/>
            <w:vAlign w:val="bottom"/>
            <w:gridSpan w:val="2"/>
          </w:tcPr>
          <w:p>
            <w:pPr>
              <w:jc w:val="right"/>
              <w:ind w:right="168"/>
              <w:spacing w:after="0"/>
              <w:rPr>
                <w:sz w:val="20"/>
                <w:szCs w:val="20"/>
                <w:color w:val="auto"/>
              </w:rPr>
            </w:pPr>
            <w:r>
              <w:rPr>
                <w:rFonts w:ascii="Arial" w:cs="Arial" w:eastAsia="Arial" w:hAnsi="Arial"/>
                <w:sz w:val="14"/>
                <w:szCs w:val="14"/>
                <w:color w:val="auto"/>
              </w:rPr>
              <w:t>100,721</w:t>
            </w:r>
          </w:p>
        </w:tc>
        <w:tc>
          <w:tcPr>
            <w:tcW w:w="620" w:type="dxa"/>
            <w:vAlign w:val="bottom"/>
          </w:tcPr>
          <w:p>
            <w:pPr>
              <w:spacing w:after="0"/>
              <w:rPr>
                <w:sz w:val="14"/>
                <w:szCs w:val="14"/>
                <w:color w:val="auto"/>
              </w:rPr>
            </w:pPr>
          </w:p>
        </w:tc>
        <w:tc>
          <w:tcPr>
            <w:tcW w:w="520" w:type="dxa"/>
            <w:vAlign w:val="bottom"/>
            <w:gridSpan w:val="2"/>
          </w:tcPr>
          <w:p>
            <w:pPr>
              <w:jc w:val="right"/>
              <w:ind w:right="68"/>
              <w:spacing w:after="0"/>
              <w:rPr>
                <w:sz w:val="20"/>
                <w:szCs w:val="20"/>
                <w:color w:val="auto"/>
              </w:rPr>
            </w:pPr>
            <w:r>
              <w:rPr>
                <w:rFonts w:ascii="Arial" w:cs="Arial" w:eastAsia="Arial" w:hAnsi="Arial"/>
                <w:sz w:val="14"/>
                <w:szCs w:val="14"/>
                <w:color w:val="auto"/>
                <w:w w:val="90"/>
              </w:rPr>
              <w:t>15.7%</w:t>
            </w:r>
          </w:p>
        </w:tc>
        <w:tc>
          <w:tcPr>
            <w:tcW w:w="620" w:type="dxa"/>
            <w:vAlign w:val="bottom"/>
          </w:tcPr>
          <w:p>
            <w:pPr>
              <w:spacing w:after="0"/>
              <w:rPr>
                <w:sz w:val="14"/>
                <w:szCs w:val="14"/>
                <w:color w:val="auto"/>
              </w:rPr>
            </w:pPr>
          </w:p>
        </w:tc>
        <w:tc>
          <w:tcPr>
            <w:tcW w:w="540" w:type="dxa"/>
            <w:vAlign w:val="bottom"/>
            <w:gridSpan w:val="2"/>
          </w:tcPr>
          <w:p>
            <w:pPr>
              <w:jc w:val="right"/>
              <w:ind w:right="68"/>
              <w:spacing w:after="0"/>
              <w:rPr>
                <w:sz w:val="20"/>
                <w:szCs w:val="20"/>
                <w:color w:val="auto"/>
              </w:rPr>
            </w:pPr>
            <w:r>
              <w:rPr>
                <w:rFonts w:ascii="Arial" w:cs="Arial" w:eastAsia="Arial" w:hAnsi="Arial"/>
                <w:sz w:val="14"/>
                <w:szCs w:val="14"/>
                <w:color w:val="auto"/>
                <w:w w:val="95"/>
              </w:rPr>
              <w:t>34.4%</w:t>
            </w:r>
          </w:p>
        </w:tc>
        <w:tc>
          <w:tcPr>
            <w:tcW w:w="1160" w:type="dxa"/>
            <w:vAlign w:val="bottom"/>
            <w:gridSpan w:val="2"/>
          </w:tcPr>
          <w:p>
            <w:pPr>
              <w:jc w:val="right"/>
              <w:ind w:right="188"/>
              <w:spacing w:after="0"/>
              <w:rPr>
                <w:sz w:val="20"/>
                <w:szCs w:val="20"/>
                <w:color w:val="auto"/>
              </w:rPr>
            </w:pPr>
            <w:r>
              <w:rPr>
                <w:rFonts w:ascii="Arial" w:cs="Arial" w:eastAsia="Arial" w:hAnsi="Arial"/>
                <w:sz w:val="14"/>
                <w:szCs w:val="14"/>
                <w:color w:val="auto"/>
              </w:rPr>
              <w:t>440,243</w:t>
            </w:r>
          </w:p>
        </w:tc>
        <w:tc>
          <w:tcPr>
            <w:tcW w:w="220" w:type="dxa"/>
            <w:vAlign w:val="bottom"/>
          </w:tcPr>
          <w:p>
            <w:pPr>
              <w:spacing w:after="0"/>
              <w:rPr>
                <w:sz w:val="14"/>
                <w:szCs w:val="14"/>
                <w:color w:val="auto"/>
              </w:rPr>
            </w:pPr>
          </w:p>
        </w:tc>
        <w:tc>
          <w:tcPr>
            <w:tcW w:w="940" w:type="dxa"/>
            <w:vAlign w:val="bottom"/>
            <w:gridSpan w:val="2"/>
          </w:tcPr>
          <w:p>
            <w:pPr>
              <w:jc w:val="right"/>
              <w:ind w:right="188"/>
              <w:spacing w:after="0"/>
              <w:rPr>
                <w:sz w:val="20"/>
                <w:szCs w:val="20"/>
                <w:color w:val="auto"/>
              </w:rPr>
            </w:pPr>
            <w:r>
              <w:rPr>
                <w:rFonts w:ascii="Arial" w:cs="Arial" w:eastAsia="Arial" w:hAnsi="Arial"/>
                <w:sz w:val="14"/>
                <w:szCs w:val="14"/>
                <w:color w:val="auto"/>
              </w:rPr>
              <w:t>337,228</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30.5%</w:t>
            </w:r>
          </w:p>
        </w:tc>
        <w:tc>
          <w:tcPr>
            <w:tcW w:w="0" w:type="dxa"/>
            <w:vAlign w:val="bottom"/>
          </w:tcPr>
          <w:p>
            <w:pPr>
              <w:spacing w:after="0"/>
              <w:rPr>
                <w:sz w:val="1"/>
                <w:szCs w:val="1"/>
                <w:color w:val="auto"/>
              </w:rPr>
            </w:pPr>
          </w:p>
        </w:tc>
      </w:tr>
      <w:tr>
        <w:trPr>
          <w:trHeight w:val="149"/>
        </w:trPr>
        <w:tc>
          <w:tcPr>
            <w:tcW w:w="230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Depreciation and amortizacion</w:t>
            </w:r>
          </w:p>
        </w:tc>
        <w:tc>
          <w:tcPr>
            <w:tcW w:w="116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color w:val="auto"/>
              </w:rPr>
              <w:t>24,577</w:t>
            </w:r>
          </w:p>
        </w:tc>
        <w:tc>
          <w:tcPr>
            <w:tcW w:w="114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color w:val="auto"/>
              </w:rPr>
              <w:t>22,376</w:t>
            </w:r>
          </w:p>
        </w:tc>
        <w:tc>
          <w:tcPr>
            <w:tcW w:w="1140" w:type="dxa"/>
            <w:vAlign w:val="bottom"/>
            <w:gridSpan w:val="2"/>
            <w:shd w:val="clear" w:color="auto" w:fill="CCFFCC"/>
          </w:tcPr>
          <w:p>
            <w:pPr>
              <w:jc w:val="right"/>
              <w:ind w:right="168"/>
              <w:spacing w:after="0" w:line="149" w:lineRule="exact"/>
              <w:rPr>
                <w:sz w:val="20"/>
                <w:szCs w:val="20"/>
                <w:color w:val="auto"/>
              </w:rPr>
            </w:pPr>
            <w:r>
              <w:rPr>
                <w:rFonts w:ascii="Arial" w:cs="Arial" w:eastAsia="Arial" w:hAnsi="Arial"/>
                <w:sz w:val="14"/>
                <w:szCs w:val="14"/>
                <w:color w:val="auto"/>
              </w:rPr>
              <w:t>23,411</w:t>
            </w:r>
          </w:p>
        </w:tc>
        <w:tc>
          <w:tcPr>
            <w:tcW w:w="620" w:type="dxa"/>
            <w:vAlign w:val="bottom"/>
            <w:shd w:val="clear" w:color="auto" w:fill="CCFFCC"/>
          </w:tcPr>
          <w:p>
            <w:pPr>
              <w:spacing w:after="0"/>
              <w:rPr>
                <w:sz w:val="12"/>
                <w:szCs w:val="12"/>
                <w:color w:val="auto"/>
              </w:rPr>
            </w:pPr>
          </w:p>
        </w:tc>
        <w:tc>
          <w:tcPr>
            <w:tcW w:w="52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9.8%</w:t>
            </w:r>
          </w:p>
        </w:tc>
        <w:tc>
          <w:tcPr>
            <w:tcW w:w="620" w:type="dxa"/>
            <w:vAlign w:val="bottom"/>
            <w:shd w:val="clear" w:color="auto" w:fill="CCFFCC"/>
          </w:tcPr>
          <w:p>
            <w:pPr>
              <w:spacing w:after="0"/>
              <w:rPr>
                <w:sz w:val="12"/>
                <w:szCs w:val="12"/>
                <w:color w:val="auto"/>
              </w:rPr>
            </w:pPr>
          </w:p>
        </w:tc>
        <w:tc>
          <w:tcPr>
            <w:tcW w:w="54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5.0%</w:t>
            </w:r>
          </w:p>
        </w:tc>
        <w:tc>
          <w:tcPr>
            <w:tcW w:w="116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color w:val="auto"/>
              </w:rPr>
              <w:t>93,721</w:t>
            </w:r>
          </w:p>
        </w:tc>
        <w:tc>
          <w:tcPr>
            <w:tcW w:w="220" w:type="dxa"/>
            <w:vAlign w:val="bottom"/>
            <w:shd w:val="clear" w:color="auto" w:fill="CCFFCC"/>
          </w:tcPr>
          <w:p>
            <w:pPr>
              <w:spacing w:after="0"/>
              <w:rPr>
                <w:sz w:val="12"/>
                <w:szCs w:val="12"/>
                <w:color w:val="auto"/>
              </w:rPr>
            </w:pPr>
          </w:p>
        </w:tc>
        <w:tc>
          <w:tcPr>
            <w:tcW w:w="940" w:type="dxa"/>
            <w:vAlign w:val="bottom"/>
            <w:tcBorders>
              <w:right w:val="single" w:sz="8" w:color="CCFFCC"/>
            </w:tcBorders>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color w:val="auto"/>
              </w:rPr>
              <w:t>81,820</w:t>
            </w:r>
          </w:p>
        </w:tc>
        <w:tc>
          <w:tcPr>
            <w:tcW w:w="10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162"/>
        </w:trPr>
        <w:tc>
          <w:tcPr>
            <w:tcW w:w="2300" w:type="dxa"/>
            <w:vAlign w:val="bottom"/>
            <w:gridSpan w:val="2"/>
          </w:tcPr>
          <w:p>
            <w:pPr>
              <w:spacing w:after="0"/>
              <w:rPr>
                <w:sz w:val="20"/>
                <w:szCs w:val="20"/>
                <w:color w:val="auto"/>
              </w:rPr>
            </w:pPr>
            <w:r>
              <w:rPr>
                <w:rFonts w:ascii="Arial" w:cs="Arial" w:eastAsia="Arial" w:hAnsi="Arial"/>
                <w:sz w:val="14"/>
                <w:szCs w:val="14"/>
                <w:color w:val="auto"/>
              </w:rPr>
              <w:t>Other expenses</w:t>
            </w:r>
          </w:p>
        </w:tc>
        <w:tc>
          <w:tcPr>
            <w:tcW w:w="1160" w:type="dxa"/>
            <w:vAlign w:val="bottom"/>
            <w:gridSpan w:val="2"/>
          </w:tcPr>
          <w:p>
            <w:pPr>
              <w:jc w:val="right"/>
              <w:ind w:right="188"/>
              <w:spacing w:after="0"/>
              <w:rPr>
                <w:sz w:val="20"/>
                <w:szCs w:val="20"/>
                <w:color w:val="auto"/>
              </w:rPr>
            </w:pPr>
            <w:r>
              <w:rPr>
                <w:rFonts w:ascii="Arial" w:cs="Arial" w:eastAsia="Arial" w:hAnsi="Arial"/>
                <w:sz w:val="14"/>
                <w:szCs w:val="14"/>
                <w:color w:val="auto"/>
              </w:rPr>
              <w:t>12,330</w:t>
            </w:r>
          </w:p>
        </w:tc>
        <w:tc>
          <w:tcPr>
            <w:tcW w:w="1140" w:type="dxa"/>
            <w:vAlign w:val="bottom"/>
            <w:gridSpan w:val="2"/>
          </w:tcPr>
          <w:p>
            <w:pPr>
              <w:jc w:val="right"/>
              <w:ind w:right="188"/>
              <w:spacing w:after="0"/>
              <w:rPr>
                <w:sz w:val="20"/>
                <w:szCs w:val="20"/>
                <w:color w:val="auto"/>
              </w:rPr>
            </w:pPr>
            <w:r>
              <w:rPr>
                <w:rFonts w:ascii="Arial" w:cs="Arial" w:eastAsia="Arial" w:hAnsi="Arial"/>
                <w:sz w:val="14"/>
                <w:szCs w:val="14"/>
                <w:color w:val="auto"/>
              </w:rPr>
              <w:t>10,020</w:t>
            </w:r>
          </w:p>
        </w:tc>
        <w:tc>
          <w:tcPr>
            <w:tcW w:w="1140" w:type="dxa"/>
            <w:vAlign w:val="bottom"/>
            <w:gridSpan w:val="2"/>
          </w:tcPr>
          <w:p>
            <w:pPr>
              <w:jc w:val="right"/>
              <w:ind w:right="168"/>
              <w:spacing w:after="0"/>
              <w:rPr>
                <w:sz w:val="20"/>
                <w:szCs w:val="20"/>
                <w:color w:val="auto"/>
              </w:rPr>
            </w:pPr>
            <w:r>
              <w:rPr>
                <w:rFonts w:ascii="Arial" w:cs="Arial" w:eastAsia="Arial" w:hAnsi="Arial"/>
                <w:sz w:val="14"/>
                <w:szCs w:val="14"/>
                <w:color w:val="auto"/>
              </w:rPr>
              <w:t>7,757</w:t>
            </w:r>
          </w:p>
        </w:tc>
        <w:tc>
          <w:tcPr>
            <w:tcW w:w="620" w:type="dxa"/>
            <w:vAlign w:val="bottom"/>
          </w:tcPr>
          <w:p>
            <w:pPr>
              <w:spacing w:after="0"/>
              <w:rPr>
                <w:sz w:val="14"/>
                <w:szCs w:val="14"/>
                <w:color w:val="auto"/>
              </w:rPr>
            </w:pPr>
          </w:p>
        </w:tc>
        <w:tc>
          <w:tcPr>
            <w:tcW w:w="520" w:type="dxa"/>
            <w:vAlign w:val="bottom"/>
            <w:gridSpan w:val="2"/>
          </w:tcPr>
          <w:p>
            <w:pPr>
              <w:jc w:val="right"/>
              <w:ind w:right="68"/>
              <w:spacing w:after="0"/>
              <w:rPr>
                <w:sz w:val="20"/>
                <w:szCs w:val="20"/>
                <w:color w:val="auto"/>
              </w:rPr>
            </w:pPr>
            <w:r>
              <w:rPr>
                <w:rFonts w:ascii="Arial" w:cs="Arial" w:eastAsia="Arial" w:hAnsi="Arial"/>
                <w:sz w:val="14"/>
                <w:szCs w:val="14"/>
                <w:color w:val="auto"/>
                <w:w w:val="90"/>
              </w:rPr>
              <w:t>23.1%</w:t>
            </w:r>
          </w:p>
        </w:tc>
        <w:tc>
          <w:tcPr>
            <w:tcW w:w="620" w:type="dxa"/>
            <w:vAlign w:val="bottom"/>
          </w:tcPr>
          <w:p>
            <w:pPr>
              <w:spacing w:after="0"/>
              <w:rPr>
                <w:sz w:val="14"/>
                <w:szCs w:val="14"/>
                <w:color w:val="auto"/>
              </w:rPr>
            </w:pPr>
          </w:p>
        </w:tc>
        <w:tc>
          <w:tcPr>
            <w:tcW w:w="540" w:type="dxa"/>
            <w:vAlign w:val="bottom"/>
            <w:gridSpan w:val="2"/>
          </w:tcPr>
          <w:p>
            <w:pPr>
              <w:jc w:val="right"/>
              <w:ind w:right="68"/>
              <w:spacing w:after="0"/>
              <w:rPr>
                <w:sz w:val="20"/>
                <w:szCs w:val="20"/>
                <w:color w:val="auto"/>
              </w:rPr>
            </w:pPr>
            <w:r>
              <w:rPr>
                <w:rFonts w:ascii="Arial" w:cs="Arial" w:eastAsia="Arial" w:hAnsi="Arial"/>
                <w:sz w:val="14"/>
                <w:szCs w:val="14"/>
                <w:color w:val="auto"/>
                <w:w w:val="95"/>
              </w:rPr>
              <w:t>59.0%</w:t>
            </w:r>
          </w:p>
        </w:tc>
        <w:tc>
          <w:tcPr>
            <w:tcW w:w="1160" w:type="dxa"/>
            <w:vAlign w:val="bottom"/>
            <w:gridSpan w:val="2"/>
          </w:tcPr>
          <w:p>
            <w:pPr>
              <w:jc w:val="right"/>
              <w:ind w:right="188"/>
              <w:spacing w:after="0"/>
              <w:rPr>
                <w:sz w:val="20"/>
                <w:szCs w:val="20"/>
                <w:color w:val="auto"/>
              </w:rPr>
            </w:pPr>
            <w:r>
              <w:rPr>
                <w:rFonts w:ascii="Arial" w:cs="Arial" w:eastAsia="Arial" w:hAnsi="Arial"/>
                <w:sz w:val="14"/>
                <w:szCs w:val="14"/>
                <w:color w:val="auto"/>
              </w:rPr>
              <w:t>40,439</w:t>
            </w:r>
          </w:p>
        </w:tc>
        <w:tc>
          <w:tcPr>
            <w:tcW w:w="220" w:type="dxa"/>
            <w:vAlign w:val="bottom"/>
          </w:tcPr>
          <w:p>
            <w:pPr>
              <w:spacing w:after="0"/>
              <w:rPr>
                <w:sz w:val="14"/>
                <w:szCs w:val="14"/>
                <w:color w:val="auto"/>
              </w:rPr>
            </w:pPr>
          </w:p>
        </w:tc>
        <w:tc>
          <w:tcPr>
            <w:tcW w:w="940" w:type="dxa"/>
            <w:vAlign w:val="bottom"/>
            <w:gridSpan w:val="2"/>
          </w:tcPr>
          <w:p>
            <w:pPr>
              <w:jc w:val="right"/>
              <w:ind w:right="188"/>
              <w:spacing w:after="0"/>
              <w:rPr>
                <w:sz w:val="20"/>
                <w:szCs w:val="20"/>
                <w:color w:val="auto"/>
              </w:rPr>
            </w:pPr>
            <w:r>
              <w:rPr>
                <w:rFonts w:ascii="Arial" w:cs="Arial" w:eastAsia="Arial" w:hAnsi="Arial"/>
                <w:sz w:val="14"/>
                <w:szCs w:val="14"/>
                <w:color w:val="auto"/>
              </w:rPr>
              <w:t>38,012</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42"/>
        </w:trPr>
        <w:tc>
          <w:tcPr>
            <w:tcW w:w="2300" w:type="dxa"/>
            <w:vAlign w:val="bottom"/>
            <w:tcBorders>
              <w:top w:val="single" w:sz="8" w:color="CCFFCC"/>
            </w:tcBorders>
            <w:gridSpan w:val="2"/>
            <w:shd w:val="clear" w:color="auto" w:fill="CCFFCC"/>
          </w:tcPr>
          <w:p>
            <w:pPr>
              <w:spacing w:after="0" w:line="142" w:lineRule="exact"/>
              <w:rPr>
                <w:sz w:val="20"/>
                <w:szCs w:val="20"/>
                <w:color w:val="auto"/>
              </w:rPr>
            </w:pPr>
            <w:r>
              <w:rPr>
                <w:rFonts w:ascii="Arial" w:cs="Arial" w:eastAsia="Arial" w:hAnsi="Arial"/>
                <w:sz w:val="14"/>
                <w:szCs w:val="14"/>
                <w:b w:val="1"/>
                <w:bCs w:val="1"/>
                <w:color w:val="auto"/>
              </w:rPr>
              <w:t>Total operating expenses</w:t>
            </w:r>
          </w:p>
        </w:tc>
        <w:tc>
          <w:tcPr>
            <w:tcW w:w="9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343,561</w:t>
            </w:r>
          </w:p>
        </w:tc>
        <w:tc>
          <w:tcPr>
            <w:tcW w:w="260" w:type="dxa"/>
            <w:vAlign w:val="bottom"/>
            <w:tcBorders>
              <w:top w:val="single" w:sz="8" w:color="CCFFCC"/>
            </w:tcBorders>
            <w:shd w:val="clear" w:color="auto" w:fill="CCFFCC"/>
          </w:tcPr>
          <w:p>
            <w:pPr>
              <w:spacing w:after="0"/>
              <w:rPr>
                <w:sz w:val="12"/>
                <w:szCs w:val="12"/>
                <w:color w:val="auto"/>
              </w:rPr>
            </w:pPr>
          </w:p>
        </w:tc>
        <w:tc>
          <w:tcPr>
            <w:tcW w:w="88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313,443</w:t>
            </w:r>
          </w:p>
        </w:tc>
        <w:tc>
          <w:tcPr>
            <w:tcW w:w="260" w:type="dxa"/>
            <w:vAlign w:val="bottom"/>
            <w:tcBorders>
              <w:top w:val="single" w:sz="8" w:color="CCFFCC"/>
            </w:tcBorders>
            <w:shd w:val="clear" w:color="auto" w:fill="CCFFCC"/>
          </w:tcPr>
          <w:p>
            <w:pPr>
              <w:spacing w:after="0"/>
              <w:rPr>
                <w:sz w:val="12"/>
                <w:szCs w:val="12"/>
                <w:color w:val="auto"/>
              </w:rPr>
            </w:pPr>
          </w:p>
        </w:tc>
        <w:tc>
          <w:tcPr>
            <w:tcW w:w="9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269,604</w:t>
            </w:r>
          </w:p>
        </w:tc>
        <w:tc>
          <w:tcPr>
            <w:tcW w:w="240" w:type="dxa"/>
            <w:vAlign w:val="bottom"/>
            <w:tcBorders>
              <w:top w:val="single" w:sz="8" w:color="CCFFCC"/>
            </w:tcBorders>
            <w:shd w:val="clear" w:color="auto" w:fill="CCFFCC"/>
          </w:tcPr>
          <w:p>
            <w:pPr>
              <w:spacing w:after="0"/>
              <w:rPr>
                <w:sz w:val="12"/>
                <w:szCs w:val="12"/>
                <w:color w:val="auto"/>
              </w:rPr>
            </w:pPr>
          </w:p>
        </w:tc>
        <w:tc>
          <w:tcPr>
            <w:tcW w:w="620" w:type="dxa"/>
            <w:vAlign w:val="bottom"/>
            <w:tcBorders>
              <w:top w:val="single" w:sz="8" w:color="auto"/>
              <w:bottom w:val="single" w:sz="8" w:color="auto"/>
            </w:tcBorders>
            <w:shd w:val="clear" w:color="auto" w:fill="CCFFCC"/>
          </w:tcPr>
          <w:p>
            <w:pPr>
              <w:spacing w:after="0"/>
              <w:rPr>
                <w:sz w:val="12"/>
                <w:szCs w:val="12"/>
                <w:color w:val="auto"/>
              </w:rPr>
            </w:pPr>
          </w:p>
        </w:tc>
        <w:tc>
          <w:tcPr>
            <w:tcW w:w="26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9.6</w:t>
            </w:r>
          </w:p>
        </w:tc>
        <w:tc>
          <w:tcPr>
            <w:tcW w:w="260" w:type="dxa"/>
            <w:vAlign w:val="bottom"/>
            <w:tcBorders>
              <w:top w:val="single" w:sz="8" w:color="CCFFCC"/>
            </w:tcBorders>
            <w:shd w:val="clear" w:color="auto" w:fill="CCFFCC"/>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620" w:type="dxa"/>
            <w:vAlign w:val="bottom"/>
            <w:tcBorders>
              <w:top w:val="single" w:sz="8" w:color="auto"/>
              <w:bottom w:val="single" w:sz="8" w:color="auto"/>
            </w:tcBorders>
            <w:shd w:val="clear" w:color="auto" w:fill="CCFFCC"/>
          </w:tcPr>
          <w:p>
            <w:pPr>
              <w:spacing w:after="0"/>
              <w:rPr>
                <w:sz w:val="12"/>
                <w:szCs w:val="12"/>
                <w:color w:val="auto"/>
              </w:rPr>
            </w:pPr>
          </w:p>
        </w:tc>
        <w:tc>
          <w:tcPr>
            <w:tcW w:w="28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w w:val="95"/>
              </w:rPr>
              <w:t>27.4</w:t>
            </w:r>
          </w:p>
        </w:tc>
        <w:tc>
          <w:tcPr>
            <w:tcW w:w="260" w:type="dxa"/>
            <w:vAlign w:val="bottom"/>
            <w:tcBorders>
              <w:top w:val="single" w:sz="8" w:color="CCFFCC"/>
            </w:tcBorders>
            <w:shd w:val="clear" w:color="auto" w:fill="CCFFCC"/>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9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1,196,596</w:t>
            </w:r>
          </w:p>
        </w:tc>
        <w:tc>
          <w:tcPr>
            <w:tcW w:w="260" w:type="dxa"/>
            <w:vAlign w:val="bottom"/>
            <w:tcBorders>
              <w:top w:val="single" w:sz="8" w:color="CCFFCC"/>
            </w:tcBorders>
            <w:shd w:val="clear" w:color="auto" w:fill="CCFFCC"/>
          </w:tcPr>
          <w:p>
            <w:pPr>
              <w:spacing w:after="0"/>
              <w:rPr>
                <w:sz w:val="12"/>
                <w:szCs w:val="12"/>
                <w:color w:val="auto"/>
              </w:rPr>
            </w:pPr>
          </w:p>
        </w:tc>
        <w:tc>
          <w:tcPr>
            <w:tcW w:w="220" w:type="dxa"/>
            <w:vAlign w:val="bottom"/>
            <w:tcBorders>
              <w:top w:val="single" w:sz="8" w:color="auto"/>
              <w:bottom w:val="single" w:sz="8" w:color="auto"/>
            </w:tcBorders>
            <w:shd w:val="clear" w:color="auto" w:fill="CCFFCC"/>
          </w:tcPr>
          <w:p>
            <w:pPr>
              <w:spacing w:after="0"/>
              <w:rPr>
                <w:sz w:val="12"/>
                <w:szCs w:val="12"/>
                <w:color w:val="auto"/>
              </w:rPr>
            </w:pPr>
          </w:p>
        </w:tc>
        <w:tc>
          <w:tcPr>
            <w:tcW w:w="68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952,159</w:t>
            </w:r>
          </w:p>
        </w:tc>
        <w:tc>
          <w:tcPr>
            <w:tcW w:w="260" w:type="dxa"/>
            <w:vAlign w:val="bottom"/>
            <w:tcBorders>
              <w:top w:val="single" w:sz="8" w:color="CCFFCC"/>
              <w:right w:val="single" w:sz="8" w:color="CCFFCC"/>
            </w:tcBorders>
            <w:shd w:val="clear" w:color="auto" w:fill="CCFFCC"/>
          </w:tcPr>
          <w:p>
            <w:pPr>
              <w:spacing w:after="0"/>
              <w:rPr>
                <w:sz w:val="12"/>
                <w:szCs w:val="12"/>
                <w:color w:val="auto"/>
              </w:rPr>
            </w:pPr>
          </w:p>
        </w:tc>
        <w:tc>
          <w:tcPr>
            <w:tcW w:w="92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25.7</w:t>
            </w:r>
          </w:p>
        </w:tc>
        <w:tc>
          <w:tcPr>
            <w:tcW w:w="140" w:type="dxa"/>
            <w:vAlign w:val="bottom"/>
            <w:tcBorders>
              <w:top w:val="single" w:sz="8" w:color="CCFFCC"/>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56"/>
        </w:trPr>
        <w:tc>
          <w:tcPr>
            <w:tcW w:w="2300" w:type="dxa"/>
            <w:vAlign w:val="bottom"/>
            <w:tcBorders>
              <w:bottom w:val="single" w:sz="8" w:color="CCFFCC"/>
            </w:tcBorders>
            <w:gridSpan w:val="2"/>
          </w:tcPr>
          <w:p>
            <w:pPr>
              <w:spacing w:after="0" w:line="155" w:lineRule="exact"/>
              <w:rPr>
                <w:sz w:val="20"/>
                <w:szCs w:val="20"/>
                <w:color w:val="auto"/>
              </w:rPr>
            </w:pPr>
            <w:r>
              <w:rPr>
                <w:rFonts w:ascii="Arial" w:cs="Arial" w:eastAsia="Arial" w:hAnsi="Arial"/>
                <w:sz w:val="14"/>
                <w:szCs w:val="14"/>
                <w:b w:val="1"/>
                <w:bCs w:val="1"/>
                <w:color w:val="auto"/>
              </w:rPr>
              <w:t>Total Income (1)</w:t>
            </w: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594,537</w:t>
            </w:r>
          </w:p>
        </w:tc>
        <w:tc>
          <w:tcPr>
            <w:tcW w:w="260" w:type="dxa"/>
            <w:vAlign w:val="bottom"/>
            <w:tcBorders>
              <w:bottom w:val="single" w:sz="8" w:color="CCFFCC"/>
            </w:tcBorders>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600,000</w:t>
            </w:r>
          </w:p>
        </w:tc>
        <w:tc>
          <w:tcPr>
            <w:tcW w:w="260" w:type="dxa"/>
            <w:vAlign w:val="bottom"/>
            <w:tcBorders>
              <w:bottom w:val="single" w:sz="8" w:color="CCFFCC"/>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501,310</w:t>
            </w:r>
          </w:p>
        </w:tc>
        <w:tc>
          <w:tcPr>
            <w:tcW w:w="240" w:type="dxa"/>
            <w:vAlign w:val="bottom"/>
            <w:tcBorders>
              <w:bottom w:val="single" w:sz="8" w:color="CCFFCC"/>
            </w:tcBorders>
          </w:tcPr>
          <w:p>
            <w:pPr>
              <w:spacing w:after="0"/>
              <w:rPr>
                <w:sz w:val="13"/>
                <w:szCs w:val="13"/>
                <w:color w:val="auto"/>
              </w:rPr>
            </w:pPr>
          </w:p>
        </w:tc>
        <w:tc>
          <w:tcPr>
            <w:tcW w:w="620" w:type="dxa"/>
            <w:vAlign w:val="bottom"/>
            <w:tcBorders>
              <w:bottom w:val="single" w:sz="8" w:color="CCFFCC"/>
            </w:tcBorders>
          </w:tcPr>
          <w:p>
            <w:pPr>
              <w:spacing w:after="0"/>
              <w:rPr>
                <w:sz w:val="13"/>
                <w:szCs w:val="13"/>
                <w:color w:val="auto"/>
              </w:rPr>
            </w:pPr>
          </w:p>
        </w:tc>
        <w:tc>
          <w:tcPr>
            <w:tcW w:w="260" w:type="dxa"/>
            <w:vAlign w:val="bottom"/>
            <w:tcBorders>
              <w:bottom w:val="single" w:sz="8" w:color="CCFFCC"/>
            </w:tcBorders>
          </w:tcPr>
          <w:p>
            <w:pPr>
              <w:spacing w:after="0"/>
              <w:rPr>
                <w:sz w:val="13"/>
                <w:szCs w:val="13"/>
                <w:color w:val="auto"/>
              </w:rPr>
            </w:pPr>
          </w:p>
        </w:tc>
        <w:tc>
          <w:tcPr>
            <w:tcW w:w="260" w:type="dxa"/>
            <w:vAlign w:val="bottom"/>
            <w:tcBorders>
              <w:bottom w:val="single" w:sz="8" w:color="CCFFCC"/>
            </w:tcBorders>
          </w:tcPr>
          <w:p>
            <w:pPr>
              <w:spacing w:after="0"/>
              <w:rPr>
                <w:sz w:val="13"/>
                <w:szCs w:val="13"/>
                <w:color w:val="auto"/>
              </w:rPr>
            </w:pPr>
          </w:p>
        </w:tc>
        <w:tc>
          <w:tcPr>
            <w:tcW w:w="620" w:type="dxa"/>
            <w:vAlign w:val="bottom"/>
            <w:tcBorders>
              <w:bottom w:val="single" w:sz="8" w:color="CCFFCC"/>
            </w:tcBorders>
          </w:tcPr>
          <w:p>
            <w:pPr>
              <w:spacing w:after="0"/>
              <w:rPr>
                <w:sz w:val="13"/>
                <w:szCs w:val="13"/>
                <w:color w:val="auto"/>
              </w:rPr>
            </w:pPr>
          </w:p>
        </w:tc>
        <w:tc>
          <w:tcPr>
            <w:tcW w:w="280" w:type="dxa"/>
            <w:vAlign w:val="bottom"/>
            <w:tcBorders>
              <w:bottom w:val="single" w:sz="8" w:color="CCFFCC"/>
            </w:tcBorders>
          </w:tcPr>
          <w:p>
            <w:pPr>
              <w:spacing w:after="0"/>
              <w:rPr>
                <w:sz w:val="13"/>
                <w:szCs w:val="13"/>
                <w:color w:val="auto"/>
              </w:rPr>
            </w:pPr>
          </w:p>
        </w:tc>
        <w:tc>
          <w:tcPr>
            <w:tcW w:w="260" w:type="dxa"/>
            <w:vAlign w:val="bottom"/>
            <w:tcBorders>
              <w:bottom w:val="single" w:sz="8" w:color="CCFFCC"/>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2,267,894</w:t>
            </w:r>
          </w:p>
        </w:tc>
        <w:tc>
          <w:tcPr>
            <w:tcW w:w="260" w:type="dxa"/>
            <w:vAlign w:val="bottom"/>
            <w:tcBorders>
              <w:bottom w:val="single" w:sz="8" w:color="CCFFC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1,850,237</w:t>
            </w:r>
          </w:p>
        </w:tc>
        <w:tc>
          <w:tcPr>
            <w:tcW w:w="260" w:type="dxa"/>
            <w:vAlign w:val="bottom"/>
            <w:tcBorders>
              <w:bottom w:val="single" w:sz="8" w:color="CCFFCC"/>
            </w:tcBorders>
          </w:tcPr>
          <w:p>
            <w:pPr>
              <w:spacing w:after="0"/>
              <w:rPr>
                <w:sz w:val="13"/>
                <w:szCs w:val="13"/>
                <w:color w:val="auto"/>
              </w:rPr>
            </w:pPr>
          </w:p>
        </w:tc>
        <w:tc>
          <w:tcPr>
            <w:tcW w:w="920" w:type="dxa"/>
            <w:vAlign w:val="bottom"/>
            <w:tcBorders>
              <w:bottom w:val="single" w:sz="8" w:color="CCFFCC"/>
            </w:tcBorders>
          </w:tcPr>
          <w:p>
            <w:pPr>
              <w:spacing w:after="0"/>
              <w:rPr>
                <w:sz w:val="13"/>
                <w:szCs w:val="13"/>
                <w:color w:val="auto"/>
              </w:rPr>
            </w:pPr>
          </w:p>
        </w:tc>
        <w:tc>
          <w:tcPr>
            <w:tcW w:w="140" w:type="dxa"/>
            <w:vAlign w:val="bottom"/>
            <w:tcBorders>
              <w:bottom w:val="single" w:sz="8" w:color="CCFFC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300" w:type="dxa"/>
            <w:vAlign w:val="bottom"/>
            <w:gridSpan w:val="2"/>
            <w:shd w:val="clear" w:color="auto" w:fill="CCFFCC"/>
          </w:tcPr>
          <w:p>
            <w:pPr>
              <w:spacing w:after="0" w:line="142" w:lineRule="exact"/>
              <w:rPr>
                <w:sz w:val="20"/>
                <w:szCs w:val="20"/>
                <w:color w:val="auto"/>
              </w:rPr>
            </w:pPr>
            <w:r>
              <w:rPr>
                <w:rFonts w:ascii="Arial" w:cs="Arial" w:eastAsia="Arial" w:hAnsi="Arial"/>
                <w:sz w:val="14"/>
                <w:szCs w:val="14"/>
                <w:b w:val="1"/>
                <w:bCs w:val="1"/>
                <w:color w:val="auto"/>
              </w:rPr>
              <w:t>Efficiency ratio (2)</w:t>
            </w:r>
          </w:p>
        </w:tc>
        <w:tc>
          <w:tcPr>
            <w:tcW w:w="90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55.7</w:t>
            </w:r>
          </w:p>
        </w:tc>
        <w:tc>
          <w:tcPr>
            <w:tcW w:w="260" w:type="dxa"/>
            <w:vAlign w:val="bottom"/>
            <w:shd w:val="clear" w:color="auto" w:fill="CCFFCC"/>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88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50.6</w:t>
            </w:r>
          </w:p>
        </w:tc>
        <w:tc>
          <w:tcPr>
            <w:tcW w:w="260" w:type="dxa"/>
            <w:vAlign w:val="bottom"/>
            <w:shd w:val="clear" w:color="auto" w:fill="CCFFCC"/>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90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52.2</w:t>
            </w:r>
          </w:p>
        </w:tc>
        <w:tc>
          <w:tcPr>
            <w:tcW w:w="240" w:type="dxa"/>
            <w:vAlign w:val="bottom"/>
            <w:shd w:val="clear" w:color="auto" w:fill="CCFFCC"/>
          </w:tcPr>
          <w:p>
            <w:pPr>
              <w:jc w:val="right"/>
              <w:ind w:right="28"/>
              <w:spacing w:after="0" w:line="142" w:lineRule="exact"/>
              <w:rPr>
                <w:sz w:val="20"/>
                <w:szCs w:val="20"/>
                <w:color w:val="auto"/>
              </w:rPr>
            </w:pPr>
            <w:r>
              <w:rPr>
                <w:rFonts w:ascii="Arial" w:cs="Arial" w:eastAsia="Arial" w:hAnsi="Arial"/>
                <w:sz w:val="14"/>
                <w:szCs w:val="14"/>
                <w:b w:val="1"/>
                <w:bCs w:val="1"/>
                <w:color w:val="auto"/>
                <w:w w:val="96"/>
              </w:rPr>
              <w:t>%</w:t>
            </w:r>
          </w:p>
        </w:tc>
        <w:tc>
          <w:tcPr>
            <w:tcW w:w="6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0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51.0</w:t>
            </w:r>
          </w:p>
        </w:tc>
        <w:tc>
          <w:tcPr>
            <w:tcW w:w="260" w:type="dxa"/>
            <w:vAlign w:val="bottom"/>
            <w:shd w:val="clear" w:color="auto" w:fill="CCFFCC"/>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220" w:type="dxa"/>
            <w:vAlign w:val="bottom"/>
            <w:tcBorders>
              <w:bottom w:val="single" w:sz="8" w:color="auto"/>
            </w:tcBorders>
            <w:shd w:val="clear" w:color="auto" w:fill="CCFFCC"/>
          </w:tcPr>
          <w:p>
            <w:pPr>
              <w:spacing w:after="0"/>
              <w:rPr>
                <w:sz w:val="12"/>
                <w:szCs w:val="12"/>
                <w:color w:val="auto"/>
              </w:rPr>
            </w:pPr>
          </w:p>
        </w:tc>
        <w:tc>
          <w:tcPr>
            <w:tcW w:w="68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49.4</w:t>
            </w:r>
          </w:p>
        </w:tc>
        <w:tc>
          <w:tcPr>
            <w:tcW w:w="260" w:type="dxa"/>
            <w:vAlign w:val="bottom"/>
            <w:tcBorders>
              <w:right w:val="single" w:sz="8" w:color="CCFFCC"/>
            </w:tcBorders>
            <w:shd w:val="clear" w:color="auto" w:fill="CCFFCC"/>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bl>
    <w:p>
      <w:pPr>
        <w:ind w:left="340" w:hanging="248"/>
        <w:spacing w:after="0"/>
        <w:tabs>
          <w:tab w:leader="none" w:pos="34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Total income includes net interest income, fee income and net gain on foreign exchange transactions.</w:t>
      </w:r>
    </w:p>
    <w:p>
      <w:pPr>
        <w:spacing w:after="0" w:line="9" w:lineRule="exact"/>
        <w:rPr>
          <w:rFonts w:ascii="Arial" w:cs="Arial" w:eastAsia="Arial" w:hAnsi="Arial"/>
          <w:sz w:val="18"/>
          <w:szCs w:val="18"/>
          <w:i w:val="1"/>
          <w:iCs w:val="1"/>
          <w:color w:val="auto"/>
        </w:rPr>
      </w:pPr>
    </w:p>
    <w:p>
      <w:pPr>
        <w:ind w:left="340" w:right="6280" w:hanging="248"/>
        <w:spacing w:after="0" w:line="261" w:lineRule="auto"/>
        <w:tabs>
          <w:tab w:leader="none" w:pos="354"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Other expenses are not included in the efficiency ratio calculation. Source: BCP</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expenses increased 9.6% QoQ. This was primarily due the fact that administrative expenses grew 15.7% QoQ while salaries and employee benefits expanded +4.4% in the same period. These increases reflect seasonal factors that are typical at year-end; the impact of the 1.7% appreciation of the Nuevo Sol; and continuous business expansion (both in terms of the number of employees and growth in the channel network to cover the increase in transactional activity).</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Growth in administrative and general expenses was driven by an increase in costs in: (i) Marketing (+46.7%), due to the costs associated with developing customer loyalty, including “LANPASS kilometers”; (ii) Consultants (+98.1%); (iii) Transportation (+22.5%), due to higher expenses associated with transporting cash at year-end; and (iv) Other minor expenses (+18.2%), which include noteworthy increases in commissions paid to third parties and Agentes BCP due to an increase in transactional activity.</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Higher spending on salaries and employee benefits (+4.4%) is due primarily to an increase in the number of employees as well as the need to set aside more provisions to cover additional profit-sharing (PAU).</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annual terms operating expenses grew 27.4% YoY, which was due primarily to the increase posted in administrative and general expenses (+34.4%). This increase was associated with: (i) expenses for IT outsourcing, a project included in our reporting since 3Q12 and that promises to generate savings in the future, mainly due to the fact that the Bank will significantly decrease its investment in IT infrastructure; and (ii) Other minor expenses, including an increase in commissions paid to Agentes BCP and higher costs to rent branches. The two factors aforementioned are in line with business expansion mainly in Retail Banking.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information on the Bank’s administrative expenses and their respective quarterly variations: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60" w:type="dxa"/>
            <w:vAlign w:val="bottom"/>
            <w:gridSpan w:val="2"/>
          </w:tcPr>
          <w:p>
            <w:pPr>
              <w:spacing w:after="0"/>
              <w:rPr>
                <w:sz w:val="20"/>
                <w:szCs w:val="20"/>
                <w:color w:val="auto"/>
              </w:rPr>
            </w:pPr>
            <w:r>
              <w:rPr>
                <w:rFonts w:ascii="Arial" w:cs="Arial" w:eastAsia="Arial" w:hAnsi="Arial"/>
                <w:sz w:val="14"/>
                <w:szCs w:val="14"/>
                <w:b w:val="1"/>
                <w:bCs w:val="1"/>
                <w:color w:val="auto"/>
              </w:rPr>
              <w:t>Administrative Expenses</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3"/>
          </w:tcPr>
          <w:p>
            <w:pPr>
              <w:ind w:left="760"/>
              <w:spacing w:after="0"/>
              <w:rPr>
                <w:sz w:val="20"/>
                <w:szCs w:val="20"/>
                <w:color w:val="auto"/>
              </w:rPr>
            </w:pPr>
            <w:r>
              <w:rPr>
                <w:rFonts w:ascii="Arial" w:cs="Arial" w:eastAsia="Arial" w:hAnsi="Arial"/>
                <w:sz w:val="14"/>
                <w:szCs w:val="14"/>
                <w:b w:val="1"/>
                <w:bCs w:val="1"/>
                <w:color w:val="auto"/>
              </w:rPr>
              <w:t>Quarter</w:t>
            </w: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3"/>
          </w:tcPr>
          <w:p>
            <w:pPr>
              <w:ind w:left="720"/>
              <w:spacing w:after="0"/>
              <w:rPr>
                <w:sz w:val="20"/>
                <w:szCs w:val="20"/>
                <w:color w:val="auto"/>
              </w:rPr>
            </w:pPr>
            <w:r>
              <w:rPr>
                <w:rFonts w:ascii="Arial" w:cs="Arial" w:eastAsia="Arial" w:hAnsi="Arial"/>
                <w:sz w:val="14"/>
                <w:szCs w:val="14"/>
                <w:b w:val="1"/>
                <w:bCs w:val="1"/>
                <w:color w:val="auto"/>
              </w:rPr>
              <w:t>Change %</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1"/>
        </w:trPr>
        <w:tc>
          <w:tcPr>
            <w:tcW w:w="2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US$ (000)</w:t>
            </w:r>
          </w:p>
        </w:tc>
        <w:tc>
          <w:tcPr>
            <w:tcW w:w="120" w:type="dxa"/>
            <w:vAlign w:val="bottom"/>
            <w:tcBorders>
              <w:bottom w:val="single" w:sz="8" w:color="CCFFCC"/>
            </w:tcBorders>
          </w:tcPr>
          <w:p>
            <w:pPr>
              <w:spacing w:after="0"/>
              <w:rPr>
                <w:sz w:val="14"/>
                <w:szCs w:val="14"/>
                <w:color w:val="auto"/>
              </w:rPr>
            </w:pPr>
          </w:p>
        </w:tc>
        <w:tc>
          <w:tcPr>
            <w:tcW w:w="9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4Q12</w:t>
            </w:r>
          </w:p>
        </w:tc>
        <w:tc>
          <w:tcPr>
            <w:tcW w:w="220" w:type="dxa"/>
            <w:vAlign w:val="bottom"/>
            <w:tcBorders>
              <w:bottom w:val="single" w:sz="8" w:color="CCFFCC"/>
            </w:tcBorders>
          </w:tcPr>
          <w:p>
            <w:pPr>
              <w:spacing w:after="0"/>
              <w:rPr>
                <w:sz w:val="14"/>
                <w:szCs w:val="14"/>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FFCC"/>
            </w:tcBorders>
          </w:tcPr>
          <w:p>
            <w:pPr>
              <w:spacing w:after="0"/>
              <w:rPr>
                <w:sz w:val="14"/>
                <w:szCs w:val="14"/>
                <w:color w:val="auto"/>
              </w:rPr>
            </w:pPr>
          </w:p>
        </w:tc>
        <w:tc>
          <w:tcPr>
            <w:tcW w:w="9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3Q12</w:t>
            </w:r>
          </w:p>
        </w:tc>
        <w:tc>
          <w:tcPr>
            <w:tcW w:w="220" w:type="dxa"/>
            <w:vAlign w:val="bottom"/>
            <w:tcBorders>
              <w:bottom w:val="single" w:sz="8" w:color="CCFFC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auto"/>
            </w:tcBorders>
          </w:tcPr>
          <w:p>
            <w:pPr>
              <w:spacing w:after="0"/>
              <w:rPr>
                <w:sz w:val="14"/>
                <w:szCs w:val="14"/>
                <w:color w:val="auto"/>
              </w:rPr>
            </w:pPr>
          </w:p>
        </w:tc>
        <w:tc>
          <w:tcPr>
            <w:tcW w:w="260" w:type="dxa"/>
            <w:vAlign w:val="bottom"/>
            <w:tcBorders>
              <w:bottom w:val="single" w:sz="8" w:color="CCFFCC"/>
            </w:tcBorders>
          </w:tcPr>
          <w:p>
            <w:pPr>
              <w:spacing w:after="0"/>
              <w:rPr>
                <w:sz w:val="14"/>
                <w:szCs w:val="14"/>
                <w:color w:val="auto"/>
              </w:rPr>
            </w:pPr>
          </w:p>
        </w:tc>
        <w:tc>
          <w:tcPr>
            <w:tcW w:w="9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4Q11</w:t>
            </w:r>
          </w:p>
        </w:tc>
        <w:tc>
          <w:tcPr>
            <w:tcW w:w="220" w:type="dxa"/>
            <w:vAlign w:val="bottom"/>
            <w:tcBorders>
              <w:bottom w:val="single" w:sz="8" w:color="CCFFCC"/>
            </w:tcBorders>
          </w:tcPr>
          <w:p>
            <w:pPr>
              <w:spacing w:after="0"/>
              <w:rPr>
                <w:sz w:val="14"/>
                <w:szCs w:val="14"/>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FFCC"/>
            </w:tcBorders>
          </w:tcPr>
          <w:p>
            <w:pPr>
              <w:spacing w:after="0"/>
              <w:rPr>
                <w:sz w:val="14"/>
                <w:szCs w:val="14"/>
                <w:color w:val="auto"/>
              </w:rPr>
            </w:pPr>
          </w:p>
        </w:tc>
        <w:tc>
          <w:tcPr>
            <w:tcW w:w="9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QoQ</w:t>
            </w:r>
          </w:p>
        </w:tc>
        <w:tc>
          <w:tcPr>
            <w:tcW w:w="260" w:type="dxa"/>
            <w:vAlign w:val="bottom"/>
            <w:tcBorders>
              <w:bottom w:val="single" w:sz="8" w:color="CCFFC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YoY</w:t>
            </w:r>
          </w:p>
        </w:tc>
        <w:tc>
          <w:tcPr>
            <w:tcW w:w="140" w:type="dxa"/>
            <w:vAlign w:val="bottom"/>
            <w:tcBorders>
              <w:bottom w:val="single" w:sz="8" w:color="CCFFCC"/>
            </w:tcBorders>
          </w:tcPr>
          <w:p>
            <w:pPr>
              <w:spacing w:after="0"/>
              <w:rPr>
                <w:sz w:val="14"/>
                <w:szCs w:val="14"/>
                <w:color w:val="auto"/>
              </w:rPr>
            </w:pPr>
          </w:p>
        </w:tc>
      </w:tr>
      <w:tr>
        <w:trPr>
          <w:trHeight w:val="142"/>
        </w:trPr>
        <w:tc>
          <w:tcPr>
            <w:tcW w:w="224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Marketing</w:t>
            </w:r>
          </w:p>
        </w:tc>
        <w:tc>
          <w:tcPr>
            <w:tcW w:w="12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20,866</w:t>
            </w:r>
          </w:p>
        </w:tc>
        <w:tc>
          <w:tcPr>
            <w:tcW w:w="22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rPr>
              <w:t>15.4%</w:t>
            </w:r>
          </w:p>
        </w:tc>
        <w:tc>
          <w:tcPr>
            <w:tcW w:w="9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14,220</w:t>
            </w:r>
          </w:p>
        </w:tc>
        <w:tc>
          <w:tcPr>
            <w:tcW w:w="2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600" w:type="dxa"/>
            <w:vAlign w:val="bottom"/>
            <w:gridSpan w:val="2"/>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rPr>
              <w:t>12.2%</w:t>
            </w:r>
          </w:p>
        </w:tc>
        <w:tc>
          <w:tcPr>
            <w:tcW w:w="9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18,867</w:t>
            </w:r>
          </w:p>
        </w:tc>
        <w:tc>
          <w:tcPr>
            <w:tcW w:w="22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rPr>
              <w:t>22.5%</w:t>
            </w:r>
          </w:p>
        </w:tc>
        <w:tc>
          <w:tcPr>
            <w:tcW w:w="1160" w:type="dxa"/>
            <w:vAlign w:val="bottom"/>
            <w:gridSpan w:val="2"/>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rPr>
              <w:t>46.7%</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10.6%</w:t>
            </w:r>
          </w:p>
        </w:tc>
      </w:tr>
      <w:tr>
        <w:trPr>
          <w:trHeight w:val="149"/>
        </w:trPr>
        <w:tc>
          <w:tcPr>
            <w:tcW w:w="2360" w:type="dxa"/>
            <w:vAlign w:val="bottom"/>
            <w:gridSpan w:val="2"/>
          </w:tcPr>
          <w:p>
            <w:pPr>
              <w:spacing w:after="0" w:line="149" w:lineRule="exact"/>
              <w:rPr>
                <w:sz w:val="20"/>
                <w:szCs w:val="20"/>
                <w:color w:val="auto"/>
              </w:rPr>
            </w:pPr>
            <w:r>
              <w:rPr>
                <w:rFonts w:ascii="Arial" w:cs="Arial" w:eastAsia="Arial" w:hAnsi="Arial"/>
                <w:sz w:val="14"/>
                <w:szCs w:val="14"/>
                <w:color w:val="auto"/>
              </w:rPr>
              <w:t>Systems</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14,223</w:t>
            </w:r>
          </w:p>
        </w:tc>
        <w:tc>
          <w:tcPr>
            <w:tcW w:w="11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10.5%</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11,901</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10.2%</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11,003</w:t>
            </w:r>
          </w:p>
        </w:tc>
        <w:tc>
          <w:tcPr>
            <w:tcW w:w="11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13.1%</w:t>
            </w:r>
          </w:p>
        </w:tc>
        <w:tc>
          <w:tcPr>
            <w:tcW w:w="11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19.5%</w:t>
            </w:r>
          </w:p>
        </w:tc>
        <w:tc>
          <w:tcPr>
            <w:tcW w:w="26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29.3%</w:t>
            </w:r>
          </w:p>
        </w:tc>
      </w:tr>
      <w:tr>
        <w:trPr>
          <w:trHeight w:val="149"/>
        </w:trPr>
        <w:tc>
          <w:tcPr>
            <w:tcW w:w="236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Systems Outsourcing</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9,238</w:t>
            </w:r>
          </w:p>
        </w:tc>
        <w:tc>
          <w:tcPr>
            <w:tcW w:w="116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53.8%</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9,501</w:t>
            </w:r>
          </w:p>
        </w:tc>
        <w:tc>
          <w:tcPr>
            <w:tcW w:w="26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60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8.1%</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8,681</w:t>
            </w:r>
          </w:p>
        </w:tc>
        <w:tc>
          <w:tcPr>
            <w:tcW w:w="116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10.3%</w:t>
            </w:r>
          </w:p>
        </w:tc>
        <w:tc>
          <w:tcPr>
            <w:tcW w:w="116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-2.8%</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6.4%</w:t>
            </w:r>
          </w:p>
        </w:tc>
      </w:tr>
      <w:tr>
        <w:trPr>
          <w:trHeight w:val="149"/>
        </w:trPr>
        <w:tc>
          <w:tcPr>
            <w:tcW w:w="2360" w:type="dxa"/>
            <w:vAlign w:val="bottom"/>
            <w:gridSpan w:val="2"/>
          </w:tcPr>
          <w:p>
            <w:pPr>
              <w:spacing w:after="0" w:line="149" w:lineRule="exact"/>
              <w:rPr>
                <w:sz w:val="20"/>
                <w:szCs w:val="20"/>
                <w:color w:val="auto"/>
              </w:rPr>
            </w:pPr>
            <w:r>
              <w:rPr>
                <w:rFonts w:ascii="Arial" w:cs="Arial" w:eastAsia="Arial" w:hAnsi="Arial"/>
                <w:sz w:val="14"/>
                <w:szCs w:val="14"/>
                <w:color w:val="auto"/>
              </w:rPr>
              <w:t>Transport</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10,906</w:t>
            </w:r>
          </w:p>
        </w:tc>
        <w:tc>
          <w:tcPr>
            <w:tcW w:w="11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8.1%</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8,905</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7.6%</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4,302</w:t>
            </w:r>
          </w:p>
        </w:tc>
        <w:tc>
          <w:tcPr>
            <w:tcW w:w="11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5.1%</w:t>
            </w:r>
          </w:p>
        </w:tc>
        <w:tc>
          <w:tcPr>
            <w:tcW w:w="11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22.5%</w:t>
            </w:r>
          </w:p>
        </w:tc>
        <w:tc>
          <w:tcPr>
            <w:tcW w:w="26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153.5%</w:t>
            </w:r>
          </w:p>
        </w:tc>
      </w:tr>
      <w:tr>
        <w:trPr>
          <w:trHeight w:val="149"/>
        </w:trPr>
        <w:tc>
          <w:tcPr>
            <w:tcW w:w="236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Maintenance</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5,466</w:t>
            </w:r>
          </w:p>
        </w:tc>
        <w:tc>
          <w:tcPr>
            <w:tcW w:w="116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4.0%</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4,327</w:t>
            </w:r>
          </w:p>
        </w:tc>
        <w:tc>
          <w:tcPr>
            <w:tcW w:w="26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60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3.7%</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5,125</w:t>
            </w:r>
          </w:p>
        </w:tc>
        <w:tc>
          <w:tcPr>
            <w:tcW w:w="116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6.1%</w:t>
            </w:r>
          </w:p>
        </w:tc>
        <w:tc>
          <w:tcPr>
            <w:tcW w:w="116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26.3%</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6.6%</w:t>
            </w:r>
          </w:p>
        </w:tc>
      </w:tr>
      <w:tr>
        <w:trPr>
          <w:trHeight w:val="149"/>
        </w:trPr>
        <w:tc>
          <w:tcPr>
            <w:tcW w:w="2360" w:type="dxa"/>
            <w:vAlign w:val="bottom"/>
            <w:gridSpan w:val="2"/>
          </w:tcPr>
          <w:p>
            <w:pPr>
              <w:spacing w:after="0" w:line="149" w:lineRule="exact"/>
              <w:rPr>
                <w:sz w:val="20"/>
                <w:szCs w:val="20"/>
                <w:color w:val="auto"/>
              </w:rPr>
            </w:pPr>
            <w:r>
              <w:rPr>
                <w:rFonts w:ascii="Arial" w:cs="Arial" w:eastAsia="Arial" w:hAnsi="Arial"/>
                <w:sz w:val="14"/>
                <w:szCs w:val="14"/>
                <w:color w:val="auto"/>
              </w:rPr>
              <w:t>Communications</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5,713</w:t>
            </w:r>
          </w:p>
        </w:tc>
        <w:tc>
          <w:tcPr>
            <w:tcW w:w="11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4.2%</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6,007</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5.1%</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7,476</w:t>
            </w:r>
          </w:p>
        </w:tc>
        <w:tc>
          <w:tcPr>
            <w:tcW w:w="11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8.9%</w:t>
            </w:r>
          </w:p>
        </w:tc>
        <w:tc>
          <w:tcPr>
            <w:tcW w:w="11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-4.9%</w:t>
            </w:r>
          </w:p>
        </w:tc>
        <w:tc>
          <w:tcPr>
            <w:tcW w:w="26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-23.6%</w:t>
            </w:r>
          </w:p>
        </w:tc>
      </w:tr>
      <w:tr>
        <w:trPr>
          <w:trHeight w:val="149"/>
        </w:trPr>
        <w:tc>
          <w:tcPr>
            <w:tcW w:w="236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Consulting</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9,125</w:t>
            </w:r>
          </w:p>
        </w:tc>
        <w:tc>
          <w:tcPr>
            <w:tcW w:w="116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6.7%</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4,607</w:t>
            </w:r>
          </w:p>
        </w:tc>
        <w:tc>
          <w:tcPr>
            <w:tcW w:w="26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60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3.9%</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26,206</w:t>
            </w:r>
          </w:p>
        </w:tc>
        <w:tc>
          <w:tcPr>
            <w:tcW w:w="116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31.2%</w:t>
            </w:r>
          </w:p>
        </w:tc>
        <w:tc>
          <w:tcPr>
            <w:tcW w:w="116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98.1%</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-65.2%</w:t>
            </w:r>
          </w:p>
        </w:tc>
      </w:tr>
      <w:tr>
        <w:trPr>
          <w:trHeight w:val="149"/>
        </w:trPr>
        <w:tc>
          <w:tcPr>
            <w:tcW w:w="2360" w:type="dxa"/>
            <w:vAlign w:val="bottom"/>
            <w:gridSpan w:val="2"/>
          </w:tcPr>
          <w:p>
            <w:pPr>
              <w:spacing w:after="0" w:line="149" w:lineRule="exact"/>
              <w:rPr>
                <w:sz w:val="20"/>
                <w:szCs w:val="20"/>
                <w:color w:val="auto"/>
              </w:rPr>
            </w:pPr>
            <w:r>
              <w:rPr>
                <w:rFonts w:ascii="Arial" w:cs="Arial" w:eastAsia="Arial" w:hAnsi="Arial"/>
                <w:sz w:val="14"/>
                <w:szCs w:val="14"/>
                <w:color w:val="auto"/>
              </w:rPr>
              <w:t>Others</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37,515</w:t>
            </w:r>
          </w:p>
        </w:tc>
        <w:tc>
          <w:tcPr>
            <w:tcW w:w="11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27.7%</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31,745</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27.1%</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8,072</w:t>
            </w:r>
          </w:p>
        </w:tc>
        <w:tc>
          <w:tcPr>
            <w:tcW w:w="11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9.6%</w:t>
            </w:r>
          </w:p>
        </w:tc>
        <w:tc>
          <w:tcPr>
            <w:tcW w:w="11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18.2%</w:t>
            </w:r>
          </w:p>
        </w:tc>
        <w:tc>
          <w:tcPr>
            <w:tcW w:w="26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364.8%</w:t>
            </w:r>
          </w:p>
        </w:tc>
      </w:tr>
      <w:tr>
        <w:trPr>
          <w:trHeight w:val="149"/>
        </w:trPr>
        <w:tc>
          <w:tcPr>
            <w:tcW w:w="236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Taxes and contributions</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5,137</w:t>
            </w:r>
          </w:p>
        </w:tc>
        <w:tc>
          <w:tcPr>
            <w:tcW w:w="116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3.8%</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10,491</w:t>
            </w:r>
          </w:p>
        </w:tc>
        <w:tc>
          <w:tcPr>
            <w:tcW w:w="26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60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9.0%</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10,989</w:t>
            </w:r>
          </w:p>
        </w:tc>
        <w:tc>
          <w:tcPr>
            <w:tcW w:w="116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13.1%</w:t>
            </w:r>
          </w:p>
        </w:tc>
        <w:tc>
          <w:tcPr>
            <w:tcW w:w="116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-51.0%</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-53.3%</w:t>
            </w:r>
          </w:p>
        </w:tc>
      </w:tr>
      <w:tr>
        <w:trPr>
          <w:trHeight w:val="130"/>
        </w:trPr>
        <w:tc>
          <w:tcPr>
            <w:tcW w:w="2360" w:type="dxa"/>
            <w:vAlign w:val="bottom"/>
            <w:gridSpan w:val="2"/>
          </w:tcPr>
          <w:p>
            <w:pPr>
              <w:spacing w:after="0" w:line="130" w:lineRule="exact"/>
              <w:rPr>
                <w:sz w:val="20"/>
                <w:szCs w:val="20"/>
                <w:color w:val="auto"/>
              </w:rPr>
            </w:pPr>
            <w:r>
              <w:rPr>
                <w:rFonts w:ascii="Arial" w:cs="Arial" w:eastAsia="Arial" w:hAnsi="Arial"/>
                <w:sz w:val="14"/>
                <w:szCs w:val="14"/>
                <w:color w:val="auto"/>
              </w:rPr>
              <w:t>Other subsidiaries and eliminations,</w:t>
            </w: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81"/>
        </w:trPr>
        <w:tc>
          <w:tcPr>
            <w:tcW w:w="2360" w:type="dxa"/>
            <w:vAlign w:val="bottom"/>
            <w:gridSpan w:val="2"/>
          </w:tcPr>
          <w:p>
            <w:pPr>
              <w:spacing w:after="0"/>
              <w:rPr>
                <w:sz w:val="20"/>
                <w:szCs w:val="20"/>
                <w:color w:val="auto"/>
              </w:rPr>
            </w:pPr>
            <w:r>
              <w:rPr>
                <w:rFonts w:ascii="Arial" w:cs="Arial" w:eastAsia="Arial" w:hAnsi="Arial"/>
                <w:sz w:val="14"/>
                <w:szCs w:val="14"/>
                <w:color w:val="auto"/>
              </w:rPr>
              <w:t>net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17,158</w:t>
            </w:r>
          </w:p>
        </w:tc>
        <w:tc>
          <w:tcPr>
            <w:tcW w:w="1160" w:type="dxa"/>
            <w:vAlign w:val="bottom"/>
            <w:gridSpan w:val="2"/>
          </w:tcPr>
          <w:p>
            <w:pPr>
              <w:jc w:val="right"/>
              <w:ind w:right="68"/>
              <w:spacing w:after="0"/>
              <w:rPr>
                <w:sz w:val="20"/>
                <w:szCs w:val="20"/>
                <w:color w:val="auto"/>
              </w:rPr>
            </w:pPr>
            <w:r>
              <w:rPr>
                <w:rFonts w:ascii="Arial" w:cs="Arial" w:eastAsia="Arial" w:hAnsi="Arial"/>
                <w:sz w:val="14"/>
                <w:szCs w:val="14"/>
                <w:color w:val="auto"/>
              </w:rPr>
              <w:t>12.7%</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15,270</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gridSpan w:val="2"/>
          </w:tcPr>
          <w:p>
            <w:pPr>
              <w:jc w:val="right"/>
              <w:ind w:right="68"/>
              <w:spacing w:after="0"/>
              <w:rPr>
                <w:sz w:val="20"/>
                <w:szCs w:val="20"/>
                <w:color w:val="auto"/>
              </w:rPr>
            </w:pPr>
            <w:r>
              <w:rPr>
                <w:rFonts w:ascii="Arial" w:cs="Arial" w:eastAsia="Arial" w:hAnsi="Arial"/>
                <w:sz w:val="14"/>
                <w:szCs w:val="14"/>
                <w:color w:val="auto"/>
              </w:rPr>
              <w:t>13.1%</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100,721</w:t>
            </w:r>
          </w:p>
        </w:tc>
        <w:tc>
          <w:tcPr>
            <w:tcW w:w="1160" w:type="dxa"/>
            <w:vAlign w:val="bottom"/>
            <w:gridSpan w:val="2"/>
          </w:tcPr>
          <w:p>
            <w:pPr>
              <w:jc w:val="right"/>
              <w:ind w:right="68"/>
              <w:spacing w:after="0"/>
              <w:rPr>
                <w:sz w:val="20"/>
                <w:szCs w:val="20"/>
                <w:color w:val="auto"/>
              </w:rPr>
            </w:pPr>
            <w:r>
              <w:rPr>
                <w:rFonts w:ascii="Arial" w:cs="Arial" w:eastAsia="Arial" w:hAnsi="Arial"/>
                <w:sz w:val="14"/>
                <w:szCs w:val="14"/>
                <w:color w:val="auto"/>
              </w:rPr>
              <w:t>119.9%</w:t>
            </w:r>
          </w:p>
        </w:tc>
        <w:tc>
          <w:tcPr>
            <w:tcW w:w="1160" w:type="dxa"/>
            <w:vAlign w:val="bottom"/>
            <w:gridSpan w:val="2"/>
          </w:tcPr>
          <w:p>
            <w:pPr>
              <w:jc w:val="right"/>
              <w:ind w:right="68"/>
              <w:spacing w:after="0"/>
              <w:rPr>
                <w:sz w:val="20"/>
                <w:szCs w:val="20"/>
                <w:color w:val="auto"/>
              </w:rPr>
            </w:pPr>
            <w:r>
              <w:rPr>
                <w:rFonts w:ascii="Arial" w:cs="Arial" w:eastAsia="Arial" w:hAnsi="Arial"/>
                <w:sz w:val="14"/>
                <w:szCs w:val="14"/>
                <w:color w:val="auto"/>
              </w:rPr>
              <w:t>12.4%</w:t>
            </w:r>
          </w:p>
        </w:tc>
        <w:tc>
          <w:tcPr>
            <w:tcW w:w="26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-83.0%</w:t>
            </w:r>
          </w:p>
        </w:tc>
      </w:tr>
      <w:tr>
        <w:trPr>
          <w:trHeight w:val="142"/>
        </w:trPr>
        <w:tc>
          <w:tcPr>
            <w:tcW w:w="2360" w:type="dxa"/>
            <w:vAlign w:val="bottom"/>
            <w:tcBorders>
              <w:top w:val="single" w:sz="8" w:color="CCFFCC"/>
            </w:tcBorders>
            <w:gridSpan w:val="2"/>
            <w:shd w:val="clear" w:color="auto" w:fill="CCFFCC"/>
          </w:tcPr>
          <w:p>
            <w:pPr>
              <w:spacing w:after="0" w:line="142" w:lineRule="exact"/>
              <w:rPr>
                <w:sz w:val="20"/>
                <w:szCs w:val="20"/>
                <w:color w:val="auto"/>
              </w:rPr>
            </w:pPr>
            <w:r>
              <w:rPr>
                <w:rFonts w:ascii="Arial" w:cs="Arial" w:eastAsia="Arial" w:hAnsi="Arial"/>
                <w:sz w:val="14"/>
                <w:szCs w:val="14"/>
                <w:b w:val="1"/>
                <w:bCs w:val="1"/>
                <w:color w:val="auto"/>
              </w:rPr>
              <w:t>Total Administrative Expenses</w:t>
            </w:r>
          </w:p>
        </w:tc>
        <w:tc>
          <w:tcPr>
            <w:tcW w:w="9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135,347</w:t>
            </w:r>
          </w:p>
        </w:tc>
        <w:tc>
          <w:tcPr>
            <w:tcW w:w="220" w:type="dxa"/>
            <w:vAlign w:val="bottom"/>
            <w:tcBorders>
              <w:top w:val="single" w:sz="8" w:color="CCFFCC"/>
            </w:tcBorders>
            <w:shd w:val="clear" w:color="auto" w:fill="CCFFCC"/>
          </w:tcPr>
          <w:p>
            <w:pPr>
              <w:spacing w:after="0"/>
              <w:rPr>
                <w:sz w:val="12"/>
                <w:szCs w:val="12"/>
                <w:color w:val="auto"/>
              </w:rPr>
            </w:pPr>
          </w:p>
        </w:tc>
        <w:tc>
          <w:tcPr>
            <w:tcW w:w="9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100.0</w:t>
            </w:r>
          </w:p>
        </w:tc>
        <w:tc>
          <w:tcPr>
            <w:tcW w:w="260" w:type="dxa"/>
            <w:vAlign w:val="bottom"/>
            <w:tcBorders>
              <w:top w:val="single" w:sz="8" w:color="CCFFCC"/>
            </w:tcBorders>
            <w:shd w:val="clear" w:color="auto" w:fill="CCFFCC"/>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9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116,974</w:t>
            </w:r>
          </w:p>
        </w:tc>
        <w:tc>
          <w:tcPr>
            <w:tcW w:w="220" w:type="dxa"/>
            <w:vAlign w:val="bottom"/>
            <w:tcBorders>
              <w:top w:val="single" w:sz="8" w:color="CCFFCC"/>
            </w:tcBorders>
            <w:shd w:val="clear" w:color="auto" w:fill="CCFFCC"/>
          </w:tcPr>
          <w:p>
            <w:pPr>
              <w:spacing w:after="0"/>
              <w:rPr>
                <w:sz w:val="12"/>
                <w:szCs w:val="12"/>
                <w:color w:val="auto"/>
              </w:rPr>
            </w:pPr>
          </w:p>
        </w:tc>
        <w:tc>
          <w:tcPr>
            <w:tcW w:w="260" w:type="dxa"/>
            <w:vAlign w:val="bottom"/>
            <w:tcBorders>
              <w:top w:val="single" w:sz="8" w:color="auto"/>
              <w:bottom w:val="single" w:sz="8" w:color="auto"/>
            </w:tcBorders>
            <w:shd w:val="clear" w:color="auto" w:fill="CCFFCC"/>
          </w:tcPr>
          <w:p>
            <w:pPr>
              <w:spacing w:after="0"/>
              <w:rPr>
                <w:sz w:val="12"/>
                <w:szCs w:val="12"/>
                <w:color w:val="auto"/>
              </w:rPr>
            </w:pPr>
          </w:p>
        </w:tc>
        <w:tc>
          <w:tcPr>
            <w:tcW w:w="300" w:type="dxa"/>
            <w:vAlign w:val="bottom"/>
            <w:tcBorders>
              <w:top w:val="single" w:sz="8" w:color="auto"/>
              <w:bottom w:val="single" w:sz="8" w:color="auto"/>
            </w:tcBorders>
            <w:shd w:val="clear" w:color="auto" w:fill="CCFFCC"/>
          </w:tcPr>
          <w:p>
            <w:pPr>
              <w:spacing w:after="0"/>
              <w:rPr>
                <w:sz w:val="12"/>
                <w:szCs w:val="12"/>
                <w:color w:val="auto"/>
              </w:rPr>
            </w:pPr>
          </w:p>
        </w:tc>
        <w:tc>
          <w:tcPr>
            <w:tcW w:w="34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w w:val="91"/>
              </w:rPr>
              <w:t>100.0</w:t>
            </w:r>
          </w:p>
        </w:tc>
        <w:tc>
          <w:tcPr>
            <w:tcW w:w="260" w:type="dxa"/>
            <w:vAlign w:val="bottom"/>
            <w:tcBorders>
              <w:top w:val="single" w:sz="8" w:color="CCFFCC"/>
            </w:tcBorders>
            <w:shd w:val="clear" w:color="auto" w:fill="CCFFCC"/>
          </w:tcPr>
          <w:p>
            <w:pPr>
              <w:jc w:val="right"/>
              <w:ind w:right="28"/>
              <w:spacing w:after="0" w:line="142" w:lineRule="exact"/>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84,025</w:t>
            </w:r>
          </w:p>
        </w:tc>
        <w:tc>
          <w:tcPr>
            <w:tcW w:w="220" w:type="dxa"/>
            <w:vAlign w:val="bottom"/>
            <w:tcBorders>
              <w:top w:val="single" w:sz="8" w:color="CCFFCC"/>
            </w:tcBorders>
            <w:shd w:val="clear" w:color="auto" w:fill="CCFFCC"/>
          </w:tcPr>
          <w:p>
            <w:pPr>
              <w:spacing w:after="0"/>
              <w:rPr>
                <w:sz w:val="12"/>
                <w:szCs w:val="12"/>
                <w:color w:val="auto"/>
              </w:rPr>
            </w:pPr>
          </w:p>
        </w:tc>
        <w:tc>
          <w:tcPr>
            <w:tcW w:w="9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100.0</w:t>
            </w:r>
          </w:p>
        </w:tc>
        <w:tc>
          <w:tcPr>
            <w:tcW w:w="260" w:type="dxa"/>
            <w:vAlign w:val="bottom"/>
            <w:tcBorders>
              <w:top w:val="single" w:sz="8" w:color="CCFFCC"/>
            </w:tcBorders>
            <w:shd w:val="clear" w:color="auto" w:fill="CCFFCC"/>
          </w:tcPr>
          <w:p>
            <w:pPr>
              <w:jc w:val="right"/>
              <w:ind w:right="28"/>
              <w:spacing w:after="0" w:line="142" w:lineRule="exact"/>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15.7</w:t>
            </w:r>
          </w:p>
        </w:tc>
        <w:tc>
          <w:tcPr>
            <w:tcW w:w="260" w:type="dxa"/>
            <w:vAlign w:val="bottom"/>
            <w:tcBorders>
              <w:top w:val="single" w:sz="8" w:color="CCFFCC"/>
            </w:tcBorders>
            <w:shd w:val="clear" w:color="auto" w:fill="CCFFCC"/>
          </w:tcPr>
          <w:p>
            <w:pPr>
              <w:jc w:val="right"/>
              <w:ind w:right="28"/>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bottom w:val="single" w:sz="8" w:color="auto"/>
            </w:tcBorders>
            <w:shd w:val="clear" w:color="auto" w:fill="CCFFCC"/>
          </w:tcPr>
          <w:p>
            <w:pPr>
              <w:spacing w:after="0"/>
              <w:rPr>
                <w:sz w:val="12"/>
                <w:szCs w:val="12"/>
                <w:color w:val="auto"/>
              </w:rPr>
            </w:pPr>
          </w:p>
        </w:tc>
        <w:tc>
          <w:tcPr>
            <w:tcW w:w="66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61.1</w:t>
            </w:r>
          </w:p>
        </w:tc>
        <w:tc>
          <w:tcPr>
            <w:tcW w:w="140" w:type="dxa"/>
            <w:vAlign w:val="bottom"/>
            <w:tcBorders>
              <w:top w:val="single" w:sz="8" w:color="CCFFCC"/>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r>
    </w:tbl>
    <w:p>
      <w:pPr>
        <w:spacing w:after="0"/>
        <w:rPr>
          <w:sz w:val="20"/>
          <w:szCs w:val="20"/>
          <w:color w:val="auto"/>
        </w:rPr>
      </w:pPr>
      <w:r>
        <w:rPr>
          <w:rFonts w:ascii="Arial" w:cs="Arial" w:eastAsia="Arial" w:hAnsi="Arial"/>
          <w:sz w:val="18"/>
          <w:szCs w:val="18"/>
          <w:i w:val="1"/>
          <w:iCs w:val="1"/>
          <w:color w:val="auto"/>
        </w:rPr>
        <w:t>Source: BCP</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1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7266940</wp:posOffset>
            </wp:positionH>
            <wp:positionV relativeFrom="page">
              <wp:posOffset>568960</wp:posOffset>
            </wp:positionV>
            <wp:extent cx="13716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137160" cy="137160"/>
                    </a:xfrm>
                    <a:prstGeom prst="rect">
                      <a:avLst/>
                    </a:prstGeom>
                    <a:noFill/>
                  </pic:spPr>
                </pic:pic>
              </a:graphicData>
            </a:graphic>
          </wp:anchor>
        </w:drawing>
        <w:t>II.7 Net Shareholders’ Equity and Regulatory Capital</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BCP posted a ROAE of 25.2% in 4Q12. This represents a decrease with regard to 3Q12 that was attributable to an increase in net shareholders‘ equity (+4.9% QoQ) and a drop in the Bank’s net income for 4Q (-11% QoQ). The BIS ratio rose from 14.11% in 3Q12 to 14.72% in 4Q12, which reflects the adequate capital management approach of the Bank to maintain ratios well above the legal minimum of 10% and our internal limit of 13.75%.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80" w:type="dxa"/>
            <w:vAlign w:val="bottom"/>
            <w:gridSpan w:val="2"/>
          </w:tcPr>
          <w:p>
            <w:pPr>
              <w:spacing w:after="0"/>
              <w:rPr>
                <w:sz w:val="20"/>
                <w:szCs w:val="20"/>
                <w:color w:val="auto"/>
              </w:rPr>
            </w:pPr>
            <w:r>
              <w:rPr>
                <w:rFonts w:ascii="Arial" w:cs="Arial" w:eastAsia="Arial" w:hAnsi="Arial"/>
                <w:sz w:val="18"/>
                <w:szCs w:val="18"/>
                <w:b w:val="1"/>
                <w:bCs w:val="1"/>
                <w:color w:val="auto"/>
              </w:rPr>
              <w:t>Shareholders' equity</w:t>
            </w: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Quarter</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gridSpan w:val="3"/>
          </w:tcPr>
          <w:p>
            <w:pPr>
              <w:ind w:left="780"/>
              <w:spacing w:after="0"/>
              <w:rPr>
                <w:sz w:val="20"/>
                <w:szCs w:val="20"/>
                <w:color w:val="auto"/>
              </w:rPr>
            </w:pPr>
            <w:r>
              <w:rPr>
                <w:rFonts w:ascii="Arial" w:cs="Arial" w:eastAsia="Arial" w:hAnsi="Arial"/>
                <w:sz w:val="18"/>
                <w:szCs w:val="18"/>
                <w:b w:val="1"/>
                <w:bCs w:val="1"/>
                <w:color w:val="auto"/>
                <w:w w:val="96"/>
              </w:rPr>
              <w:t>Change %</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4"/>
        </w:trPr>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US$ 000</w:t>
            </w:r>
          </w:p>
        </w:tc>
        <w:tc>
          <w:tcPr>
            <w:tcW w:w="100" w:type="dxa"/>
            <w:vAlign w:val="bottom"/>
            <w:tcBorders>
              <w:bottom w:val="single" w:sz="8" w:color="CCFFCC"/>
            </w:tcBorders>
          </w:tcPr>
          <w:p>
            <w:pPr>
              <w:spacing w:after="0"/>
              <w:rPr>
                <w:sz w:val="20"/>
                <w:szCs w:val="20"/>
                <w:color w:val="auto"/>
              </w:rPr>
            </w:pPr>
          </w:p>
        </w:tc>
        <w:tc>
          <w:tcPr>
            <w:tcW w:w="106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4Q12</w:t>
            </w:r>
          </w:p>
        </w:tc>
        <w:tc>
          <w:tcPr>
            <w:tcW w:w="300" w:type="dxa"/>
            <w:vAlign w:val="bottom"/>
            <w:tcBorders>
              <w:bottom w:val="single" w:sz="8" w:color="CCFFCC"/>
            </w:tcBorders>
          </w:tcPr>
          <w:p>
            <w:pPr>
              <w:spacing w:after="0"/>
              <w:rPr>
                <w:sz w:val="20"/>
                <w:szCs w:val="20"/>
                <w:color w:val="auto"/>
              </w:rPr>
            </w:pPr>
          </w:p>
        </w:tc>
        <w:tc>
          <w:tcPr>
            <w:tcW w:w="10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3Q12</w:t>
            </w:r>
          </w:p>
        </w:tc>
        <w:tc>
          <w:tcPr>
            <w:tcW w:w="280" w:type="dxa"/>
            <w:vAlign w:val="bottom"/>
            <w:tcBorders>
              <w:bottom w:val="single" w:sz="8" w:color="CCFFCC"/>
            </w:tcBorders>
          </w:tcPr>
          <w:p>
            <w:pPr>
              <w:spacing w:after="0"/>
              <w:rPr>
                <w:sz w:val="20"/>
                <w:szCs w:val="20"/>
                <w:color w:val="auto"/>
              </w:rPr>
            </w:pPr>
          </w:p>
        </w:tc>
        <w:tc>
          <w:tcPr>
            <w:tcW w:w="10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4Q11</w:t>
            </w:r>
          </w:p>
        </w:tc>
        <w:tc>
          <w:tcPr>
            <w:tcW w:w="300" w:type="dxa"/>
            <w:vAlign w:val="bottom"/>
            <w:tcBorders>
              <w:bottom w:val="single" w:sz="8" w:color="CCFFCC"/>
            </w:tcBorders>
          </w:tcPr>
          <w:p>
            <w:pPr>
              <w:spacing w:after="0"/>
              <w:rPr>
                <w:sz w:val="20"/>
                <w:szCs w:val="20"/>
                <w:color w:val="auto"/>
              </w:rPr>
            </w:pP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FFC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FFCC"/>
            </w:tcBorders>
          </w:tcPr>
          <w:p>
            <w:pPr>
              <w:spacing w:after="0"/>
              <w:rPr>
                <w:sz w:val="20"/>
                <w:szCs w:val="20"/>
                <w:color w:val="auto"/>
              </w:rPr>
            </w:pPr>
          </w:p>
        </w:tc>
      </w:tr>
      <w:tr>
        <w:trPr>
          <w:trHeight w:val="210"/>
        </w:trPr>
        <w:tc>
          <w:tcPr>
            <w:tcW w:w="4080" w:type="dxa"/>
            <w:vAlign w:val="bottom"/>
            <w:shd w:val="clear" w:color="auto" w:fill="CCFFCC"/>
          </w:tcPr>
          <w:p>
            <w:pPr>
              <w:spacing w:after="0"/>
              <w:rPr>
                <w:sz w:val="20"/>
                <w:szCs w:val="20"/>
                <w:color w:val="auto"/>
              </w:rPr>
            </w:pPr>
            <w:r>
              <w:rPr>
                <w:rFonts w:ascii="Arial" w:cs="Arial" w:eastAsia="Arial" w:hAnsi="Arial"/>
                <w:sz w:val="18"/>
                <w:szCs w:val="18"/>
                <w:color w:val="auto"/>
              </w:rPr>
              <w:t>Capital stock</w:t>
            </w:r>
          </w:p>
        </w:tc>
        <w:tc>
          <w:tcPr>
            <w:tcW w:w="100" w:type="dxa"/>
            <w:vAlign w:val="bottom"/>
            <w:shd w:val="clear" w:color="auto" w:fill="CCFFCC"/>
          </w:tcPr>
          <w:p>
            <w:pPr>
              <w:spacing w:after="0"/>
              <w:rPr>
                <w:sz w:val="18"/>
                <w:szCs w:val="18"/>
                <w:color w:val="auto"/>
              </w:rPr>
            </w:pPr>
          </w:p>
        </w:tc>
        <w:tc>
          <w:tcPr>
            <w:tcW w:w="1060" w:type="dxa"/>
            <w:vAlign w:val="bottom"/>
            <w:shd w:val="clear" w:color="auto" w:fill="CCFFCC"/>
          </w:tcPr>
          <w:p>
            <w:pPr>
              <w:ind w:left="480"/>
              <w:spacing w:after="0"/>
              <w:rPr>
                <w:sz w:val="20"/>
                <w:szCs w:val="20"/>
                <w:color w:val="auto"/>
              </w:rPr>
            </w:pPr>
            <w:r>
              <w:rPr>
                <w:rFonts w:ascii="Arial" w:cs="Arial" w:eastAsia="Arial" w:hAnsi="Arial"/>
                <w:sz w:val="18"/>
                <w:szCs w:val="18"/>
                <w:color w:val="auto"/>
                <w:w w:val="86"/>
              </w:rPr>
              <w:t>986,697</w:t>
            </w:r>
          </w:p>
        </w:tc>
        <w:tc>
          <w:tcPr>
            <w:tcW w:w="30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1,019,491</w:t>
            </w:r>
          </w:p>
        </w:tc>
        <w:tc>
          <w:tcPr>
            <w:tcW w:w="28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783,213</w:t>
            </w:r>
          </w:p>
        </w:tc>
        <w:tc>
          <w:tcPr>
            <w:tcW w:w="30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-3.2%</w:t>
            </w:r>
          </w:p>
        </w:tc>
        <w:tc>
          <w:tcPr>
            <w:tcW w:w="300" w:type="dxa"/>
            <w:vAlign w:val="bottom"/>
            <w:shd w:val="clear" w:color="auto" w:fill="CCFFCC"/>
          </w:tcPr>
          <w:p>
            <w:pPr>
              <w:spacing w:after="0"/>
              <w:rPr>
                <w:sz w:val="18"/>
                <w:szCs w:val="18"/>
                <w:color w:val="auto"/>
              </w:rPr>
            </w:pPr>
          </w:p>
        </w:tc>
        <w:tc>
          <w:tcPr>
            <w:tcW w:w="920" w:type="dxa"/>
            <w:vAlign w:val="bottom"/>
            <w:gridSpan w:val="2"/>
            <w:shd w:val="clear" w:color="auto" w:fill="CCFFCC"/>
          </w:tcPr>
          <w:p>
            <w:pPr>
              <w:ind w:left="420"/>
              <w:spacing w:after="0"/>
              <w:rPr>
                <w:sz w:val="20"/>
                <w:szCs w:val="20"/>
                <w:color w:val="auto"/>
              </w:rPr>
            </w:pPr>
            <w:r>
              <w:rPr>
                <w:rFonts w:ascii="Arial" w:cs="Arial" w:eastAsia="Arial" w:hAnsi="Arial"/>
                <w:sz w:val="18"/>
                <w:szCs w:val="18"/>
                <w:color w:val="auto"/>
                <w:w w:val="93"/>
              </w:rPr>
              <w:t>26.0%</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Reserves</w:t>
            </w:r>
          </w:p>
        </w:tc>
        <w:tc>
          <w:tcPr>
            <w:tcW w:w="1360" w:type="dxa"/>
            <w:vAlign w:val="bottom"/>
            <w:gridSpan w:val="2"/>
          </w:tcPr>
          <w:p>
            <w:pPr>
              <w:ind w:left="480"/>
              <w:spacing w:after="0"/>
              <w:rPr>
                <w:sz w:val="20"/>
                <w:szCs w:val="20"/>
                <w:color w:val="auto"/>
              </w:rPr>
            </w:pPr>
            <w:r>
              <w:rPr>
                <w:rFonts w:ascii="Arial" w:cs="Arial" w:eastAsia="Arial" w:hAnsi="Arial"/>
                <w:sz w:val="18"/>
                <w:szCs w:val="18"/>
                <w:color w:val="auto"/>
              </w:rPr>
              <w:t>700,491</w:t>
            </w:r>
          </w:p>
        </w:tc>
        <w:tc>
          <w:tcPr>
            <w:tcW w:w="1360" w:type="dxa"/>
            <w:vAlign w:val="bottom"/>
            <w:gridSpan w:val="2"/>
          </w:tcPr>
          <w:p>
            <w:pPr>
              <w:jc w:val="right"/>
              <w:ind w:right="190"/>
              <w:spacing w:after="0"/>
              <w:rPr>
                <w:sz w:val="20"/>
                <w:szCs w:val="20"/>
                <w:color w:val="auto"/>
              </w:rPr>
            </w:pPr>
            <w:r>
              <w:rPr>
                <w:rFonts w:ascii="Arial" w:cs="Arial" w:eastAsia="Arial" w:hAnsi="Arial"/>
                <w:sz w:val="18"/>
                <w:szCs w:val="18"/>
                <w:color w:val="auto"/>
              </w:rPr>
              <w:t>711,685</w:t>
            </w:r>
          </w:p>
        </w:tc>
        <w:tc>
          <w:tcPr>
            <w:tcW w:w="1380" w:type="dxa"/>
            <w:vAlign w:val="bottom"/>
            <w:gridSpan w:val="2"/>
          </w:tcPr>
          <w:p>
            <w:pPr>
              <w:jc w:val="right"/>
              <w:ind w:right="210"/>
              <w:spacing w:after="0"/>
              <w:rPr>
                <w:sz w:val="20"/>
                <w:szCs w:val="20"/>
                <w:color w:val="auto"/>
              </w:rPr>
            </w:pPr>
            <w:r>
              <w:rPr>
                <w:rFonts w:ascii="Arial" w:cs="Arial" w:eastAsia="Arial" w:hAnsi="Arial"/>
                <w:sz w:val="18"/>
                <w:szCs w:val="18"/>
                <w:color w:val="auto"/>
              </w:rPr>
              <w:t>628,987</w:t>
            </w:r>
          </w:p>
        </w:tc>
        <w:tc>
          <w:tcPr>
            <w:tcW w:w="1340" w:type="dxa"/>
            <w:vAlign w:val="bottom"/>
            <w:gridSpan w:val="2"/>
          </w:tcPr>
          <w:p>
            <w:pPr>
              <w:jc w:val="right"/>
              <w:ind w:right="70"/>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18"/>
                <w:szCs w:val="18"/>
                <w:color w:val="auto"/>
              </w:rPr>
            </w:pPr>
          </w:p>
        </w:tc>
        <w:tc>
          <w:tcPr>
            <w:tcW w:w="920" w:type="dxa"/>
            <w:vAlign w:val="bottom"/>
            <w:gridSpan w:val="2"/>
          </w:tcPr>
          <w:p>
            <w:pPr>
              <w:ind w:left="420"/>
              <w:spacing w:after="0"/>
              <w:rPr>
                <w:sz w:val="20"/>
                <w:szCs w:val="20"/>
                <w:color w:val="auto"/>
              </w:rPr>
            </w:pPr>
            <w:r>
              <w:rPr>
                <w:rFonts w:ascii="Arial" w:cs="Arial" w:eastAsia="Arial" w:hAnsi="Arial"/>
                <w:sz w:val="18"/>
                <w:szCs w:val="18"/>
                <w:color w:val="auto"/>
                <w:w w:val="93"/>
              </w:rPr>
              <w:t>11.4%</w:t>
            </w:r>
          </w:p>
        </w:tc>
      </w:tr>
      <w:tr>
        <w:trPr>
          <w:trHeight w:val="216"/>
        </w:trPr>
        <w:tc>
          <w:tcPr>
            <w:tcW w:w="41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Unrealized gains and losses</w:t>
            </w:r>
          </w:p>
        </w:tc>
        <w:tc>
          <w:tcPr>
            <w:tcW w:w="1360" w:type="dxa"/>
            <w:vAlign w:val="bottom"/>
            <w:gridSpan w:val="2"/>
            <w:shd w:val="clear" w:color="auto" w:fill="CCFFCC"/>
          </w:tcPr>
          <w:p>
            <w:pPr>
              <w:ind w:left="480"/>
              <w:spacing w:after="0"/>
              <w:rPr>
                <w:sz w:val="20"/>
                <w:szCs w:val="20"/>
                <w:color w:val="auto"/>
              </w:rPr>
            </w:pPr>
            <w:r>
              <w:rPr>
                <w:rFonts w:ascii="Arial" w:cs="Arial" w:eastAsia="Arial" w:hAnsi="Arial"/>
                <w:sz w:val="18"/>
                <w:szCs w:val="18"/>
                <w:color w:val="auto"/>
              </w:rPr>
              <w:t>152,209</w:t>
            </w:r>
          </w:p>
        </w:tc>
        <w:tc>
          <w:tcPr>
            <w:tcW w:w="136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148,707</w:t>
            </w:r>
          </w:p>
        </w:tc>
        <w:tc>
          <w:tcPr>
            <w:tcW w:w="1380" w:type="dxa"/>
            <w:vAlign w:val="bottom"/>
            <w:gridSpan w:val="2"/>
            <w:shd w:val="clear" w:color="auto" w:fill="CCFFCC"/>
          </w:tcPr>
          <w:p>
            <w:pPr>
              <w:jc w:val="right"/>
              <w:ind w:right="210"/>
              <w:spacing w:after="0"/>
              <w:rPr>
                <w:sz w:val="20"/>
                <w:szCs w:val="20"/>
                <w:color w:val="auto"/>
              </w:rPr>
            </w:pPr>
            <w:r>
              <w:rPr>
                <w:rFonts w:ascii="Arial" w:cs="Arial" w:eastAsia="Arial" w:hAnsi="Arial"/>
                <w:sz w:val="18"/>
                <w:szCs w:val="18"/>
                <w:color w:val="auto"/>
              </w:rPr>
              <w:t>114,760</w:t>
            </w:r>
          </w:p>
        </w:tc>
        <w:tc>
          <w:tcPr>
            <w:tcW w:w="134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2.4%</w:t>
            </w:r>
          </w:p>
        </w:tc>
        <w:tc>
          <w:tcPr>
            <w:tcW w:w="300" w:type="dxa"/>
            <w:vAlign w:val="bottom"/>
            <w:shd w:val="clear" w:color="auto" w:fill="CCFFCC"/>
          </w:tcPr>
          <w:p>
            <w:pPr>
              <w:spacing w:after="0"/>
              <w:rPr>
                <w:sz w:val="18"/>
                <w:szCs w:val="18"/>
                <w:color w:val="auto"/>
              </w:rPr>
            </w:pPr>
          </w:p>
        </w:tc>
        <w:tc>
          <w:tcPr>
            <w:tcW w:w="920" w:type="dxa"/>
            <w:vAlign w:val="bottom"/>
            <w:gridSpan w:val="2"/>
            <w:shd w:val="clear" w:color="auto" w:fill="CCFFCC"/>
          </w:tcPr>
          <w:p>
            <w:pPr>
              <w:ind w:left="420"/>
              <w:spacing w:after="0"/>
              <w:rPr>
                <w:sz w:val="20"/>
                <w:szCs w:val="20"/>
                <w:color w:val="auto"/>
              </w:rPr>
            </w:pPr>
            <w:r>
              <w:rPr>
                <w:rFonts w:ascii="Arial" w:cs="Arial" w:eastAsia="Arial" w:hAnsi="Arial"/>
                <w:sz w:val="18"/>
                <w:szCs w:val="18"/>
                <w:color w:val="auto"/>
                <w:w w:val="93"/>
              </w:rPr>
              <w:t>32.6%</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Retained earnings</w:t>
            </w:r>
          </w:p>
        </w:tc>
        <w:tc>
          <w:tcPr>
            <w:tcW w:w="1360" w:type="dxa"/>
            <w:vAlign w:val="bottom"/>
            <w:gridSpan w:val="2"/>
          </w:tcPr>
          <w:p>
            <w:pPr>
              <w:ind w:left="480"/>
              <w:spacing w:after="0"/>
              <w:rPr>
                <w:sz w:val="20"/>
                <w:szCs w:val="20"/>
                <w:color w:val="auto"/>
              </w:rPr>
            </w:pPr>
            <w:r>
              <w:rPr>
                <w:rFonts w:ascii="Arial" w:cs="Arial" w:eastAsia="Arial" w:hAnsi="Arial"/>
                <w:sz w:val="18"/>
                <w:szCs w:val="18"/>
                <w:color w:val="auto"/>
              </w:rPr>
              <w:t>274,596</w:t>
            </w:r>
          </w:p>
        </w:tc>
        <w:tc>
          <w:tcPr>
            <w:tcW w:w="1360" w:type="dxa"/>
            <w:vAlign w:val="bottom"/>
            <w:gridSpan w:val="2"/>
          </w:tcPr>
          <w:p>
            <w:pPr>
              <w:jc w:val="right"/>
              <w:ind w:right="190"/>
              <w:spacing w:after="0"/>
              <w:rPr>
                <w:sz w:val="20"/>
                <w:szCs w:val="20"/>
                <w:color w:val="auto"/>
              </w:rPr>
            </w:pPr>
            <w:r>
              <w:rPr>
                <w:rFonts w:ascii="Arial" w:cs="Arial" w:eastAsia="Arial" w:hAnsi="Arial"/>
                <w:sz w:val="18"/>
                <w:szCs w:val="18"/>
                <w:color w:val="auto"/>
              </w:rPr>
              <w:t>274,596</w:t>
            </w:r>
          </w:p>
        </w:tc>
        <w:tc>
          <w:tcPr>
            <w:tcW w:w="1380" w:type="dxa"/>
            <w:vAlign w:val="bottom"/>
            <w:gridSpan w:val="2"/>
          </w:tcPr>
          <w:p>
            <w:pPr>
              <w:jc w:val="right"/>
              <w:ind w:right="210"/>
              <w:spacing w:after="0"/>
              <w:rPr>
                <w:sz w:val="20"/>
                <w:szCs w:val="20"/>
                <w:color w:val="auto"/>
              </w:rPr>
            </w:pPr>
            <w:r>
              <w:rPr>
                <w:rFonts w:ascii="Arial" w:cs="Arial" w:eastAsia="Arial" w:hAnsi="Arial"/>
                <w:sz w:val="18"/>
                <w:szCs w:val="18"/>
                <w:color w:val="auto"/>
              </w:rPr>
              <w:t>236,738</w:t>
            </w:r>
          </w:p>
        </w:tc>
        <w:tc>
          <w:tcPr>
            <w:tcW w:w="1340" w:type="dxa"/>
            <w:vAlign w:val="bottom"/>
            <w:gridSpan w:val="2"/>
          </w:tcPr>
          <w:p>
            <w:pPr>
              <w:jc w:val="right"/>
              <w:ind w:right="70"/>
              <w:spacing w:after="0"/>
              <w:rPr>
                <w:sz w:val="20"/>
                <w:szCs w:val="20"/>
                <w:color w:val="auto"/>
              </w:rPr>
            </w:pPr>
            <w:r>
              <w:rPr>
                <w:rFonts w:ascii="Arial" w:cs="Arial" w:eastAsia="Arial" w:hAnsi="Arial"/>
                <w:sz w:val="18"/>
                <w:szCs w:val="18"/>
                <w:color w:val="auto"/>
              </w:rPr>
              <w:t>0.0%</w:t>
            </w:r>
          </w:p>
        </w:tc>
        <w:tc>
          <w:tcPr>
            <w:tcW w:w="300" w:type="dxa"/>
            <w:vAlign w:val="bottom"/>
          </w:tcPr>
          <w:p>
            <w:pPr>
              <w:spacing w:after="0"/>
              <w:rPr>
                <w:sz w:val="18"/>
                <w:szCs w:val="18"/>
                <w:color w:val="auto"/>
              </w:rPr>
            </w:pPr>
          </w:p>
        </w:tc>
        <w:tc>
          <w:tcPr>
            <w:tcW w:w="920" w:type="dxa"/>
            <w:vAlign w:val="bottom"/>
            <w:gridSpan w:val="2"/>
          </w:tcPr>
          <w:p>
            <w:pPr>
              <w:ind w:left="420"/>
              <w:spacing w:after="0"/>
              <w:rPr>
                <w:sz w:val="20"/>
                <w:szCs w:val="20"/>
                <w:color w:val="auto"/>
              </w:rPr>
            </w:pPr>
            <w:r>
              <w:rPr>
                <w:rFonts w:ascii="Arial" w:cs="Arial" w:eastAsia="Arial" w:hAnsi="Arial"/>
                <w:sz w:val="18"/>
                <w:szCs w:val="18"/>
                <w:color w:val="auto"/>
                <w:w w:val="93"/>
              </w:rPr>
              <w:t>16.0%</w:t>
            </w:r>
          </w:p>
        </w:tc>
      </w:tr>
      <w:tr>
        <w:trPr>
          <w:trHeight w:val="230"/>
        </w:trPr>
        <w:tc>
          <w:tcPr>
            <w:tcW w:w="41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Income for the year</w:t>
            </w:r>
          </w:p>
        </w:tc>
        <w:tc>
          <w:tcPr>
            <w:tcW w:w="1360" w:type="dxa"/>
            <w:vAlign w:val="bottom"/>
            <w:gridSpan w:val="2"/>
            <w:shd w:val="clear" w:color="auto" w:fill="CCFFCC"/>
          </w:tcPr>
          <w:p>
            <w:pPr>
              <w:ind w:left="480"/>
              <w:spacing w:after="0"/>
              <w:rPr>
                <w:sz w:val="20"/>
                <w:szCs w:val="20"/>
                <w:color w:val="auto"/>
              </w:rPr>
            </w:pPr>
            <w:r>
              <w:rPr>
                <w:rFonts w:ascii="Arial" w:cs="Arial" w:eastAsia="Arial" w:hAnsi="Arial"/>
                <w:sz w:val="18"/>
                <w:szCs w:val="18"/>
                <w:color w:val="auto"/>
              </w:rPr>
              <w:t>661,358</w:t>
            </w:r>
          </w:p>
        </w:tc>
        <w:tc>
          <w:tcPr>
            <w:tcW w:w="136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490,402</w:t>
            </w:r>
          </w:p>
        </w:tc>
        <w:tc>
          <w:tcPr>
            <w:tcW w:w="1380" w:type="dxa"/>
            <w:vAlign w:val="bottom"/>
            <w:gridSpan w:val="2"/>
            <w:shd w:val="clear" w:color="auto" w:fill="CCFFCC"/>
          </w:tcPr>
          <w:p>
            <w:pPr>
              <w:jc w:val="right"/>
              <w:ind w:right="210"/>
              <w:spacing w:after="0"/>
              <w:rPr>
                <w:sz w:val="20"/>
                <w:szCs w:val="20"/>
                <w:color w:val="auto"/>
              </w:rPr>
            </w:pPr>
            <w:r>
              <w:rPr>
                <w:rFonts w:ascii="Arial" w:cs="Arial" w:eastAsia="Arial" w:hAnsi="Arial"/>
                <w:sz w:val="18"/>
                <w:szCs w:val="18"/>
                <w:color w:val="auto"/>
              </w:rPr>
              <w:t>577,711</w:t>
            </w:r>
          </w:p>
        </w:tc>
        <w:tc>
          <w:tcPr>
            <w:tcW w:w="134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34.9%</w:t>
            </w:r>
          </w:p>
        </w:tc>
        <w:tc>
          <w:tcPr>
            <w:tcW w:w="300" w:type="dxa"/>
            <w:vAlign w:val="bottom"/>
            <w:shd w:val="clear" w:color="auto" w:fill="CCFFCC"/>
          </w:tcPr>
          <w:p>
            <w:pPr>
              <w:spacing w:after="0"/>
              <w:rPr>
                <w:sz w:val="19"/>
                <w:szCs w:val="19"/>
                <w:color w:val="auto"/>
              </w:rPr>
            </w:pPr>
          </w:p>
        </w:tc>
        <w:tc>
          <w:tcPr>
            <w:tcW w:w="920" w:type="dxa"/>
            <w:vAlign w:val="bottom"/>
            <w:gridSpan w:val="2"/>
            <w:shd w:val="clear" w:color="auto" w:fill="CCFFCC"/>
          </w:tcPr>
          <w:p>
            <w:pPr>
              <w:ind w:left="420"/>
              <w:spacing w:after="0"/>
              <w:rPr>
                <w:sz w:val="20"/>
                <w:szCs w:val="20"/>
                <w:color w:val="auto"/>
              </w:rPr>
            </w:pPr>
            <w:r>
              <w:rPr>
                <w:rFonts w:ascii="Arial" w:cs="Arial" w:eastAsia="Arial" w:hAnsi="Arial"/>
                <w:sz w:val="18"/>
                <w:szCs w:val="18"/>
                <w:color w:val="auto"/>
                <w:w w:val="93"/>
              </w:rPr>
              <w:t>14.5%</w:t>
            </w:r>
          </w:p>
        </w:tc>
      </w:tr>
      <w:tr>
        <w:trPr>
          <w:trHeight w:val="210"/>
        </w:trPr>
        <w:tc>
          <w:tcPr>
            <w:tcW w:w="4180" w:type="dxa"/>
            <w:vAlign w:val="bottom"/>
            <w:tcBorders>
              <w:bottom w:val="single" w:sz="8" w:color="CCFFCC"/>
            </w:tcBorders>
            <w:gridSpan w:val="2"/>
          </w:tcPr>
          <w:p>
            <w:pPr>
              <w:spacing w:after="0"/>
              <w:rPr>
                <w:sz w:val="20"/>
                <w:szCs w:val="20"/>
                <w:color w:val="auto"/>
              </w:rPr>
            </w:pPr>
            <w:r>
              <w:rPr>
                <w:rFonts w:ascii="Arial" w:cs="Arial" w:eastAsia="Arial" w:hAnsi="Arial"/>
                <w:sz w:val="18"/>
                <w:szCs w:val="18"/>
                <w:b w:val="1"/>
                <w:bCs w:val="1"/>
                <w:color w:val="auto"/>
              </w:rPr>
              <w:t>Net shareholders' equity</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2,775,351</w:t>
            </w:r>
          </w:p>
        </w:tc>
        <w:tc>
          <w:tcPr>
            <w:tcW w:w="300" w:type="dxa"/>
            <w:vAlign w:val="bottom"/>
            <w:tcBorders>
              <w:bottom w:val="single" w:sz="8" w:color="CCFFCC"/>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2,644,881</w:t>
            </w:r>
          </w:p>
        </w:tc>
        <w:tc>
          <w:tcPr>
            <w:tcW w:w="280" w:type="dxa"/>
            <w:vAlign w:val="bottom"/>
            <w:tcBorders>
              <w:bottom w:val="single" w:sz="8" w:color="CCFFCC"/>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2,341,409</w:t>
            </w:r>
          </w:p>
        </w:tc>
        <w:tc>
          <w:tcPr>
            <w:tcW w:w="300" w:type="dxa"/>
            <w:vAlign w:val="bottom"/>
            <w:tcBorders>
              <w:bottom w:val="single" w:sz="8" w:color="CCFFCC"/>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w:t>
            </w:r>
          </w:p>
        </w:tc>
        <w:tc>
          <w:tcPr>
            <w:tcW w:w="300" w:type="dxa"/>
            <w:vAlign w:val="bottom"/>
            <w:tcBorders>
              <w:bottom w:val="single" w:sz="8" w:color="CCFFCC"/>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3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8"/>
                <w:szCs w:val="18"/>
                <w:b w:val="1"/>
                <w:bCs w:val="1"/>
                <w:color w:val="auto"/>
                <w:w w:val="85"/>
              </w:rPr>
              <w:t>18.5</w:t>
            </w:r>
          </w:p>
        </w:tc>
        <w:tc>
          <w:tcPr>
            <w:tcW w:w="180" w:type="dxa"/>
            <w:vAlign w:val="bottom"/>
            <w:tcBorders>
              <w:bottom w:val="single" w:sz="8" w:color="CCFFCC"/>
            </w:tcBorders>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23"/>
        </w:trPr>
        <w:tc>
          <w:tcPr>
            <w:tcW w:w="41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Return on average equity (ROAE)</w:t>
            </w:r>
          </w:p>
        </w:tc>
        <w:tc>
          <w:tcPr>
            <w:tcW w:w="10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25.2</w:t>
            </w:r>
          </w:p>
        </w:tc>
        <w:tc>
          <w:tcPr>
            <w:tcW w:w="300" w:type="dxa"/>
            <w:vAlign w:val="bottom"/>
            <w:shd w:val="clear" w:color="auto" w:fill="CCFFCC"/>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30.2</w:t>
            </w:r>
          </w:p>
        </w:tc>
        <w:tc>
          <w:tcPr>
            <w:tcW w:w="280" w:type="dxa"/>
            <w:vAlign w:val="bottom"/>
            <w:shd w:val="clear" w:color="auto" w:fill="CCFFCC"/>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29.4</w:t>
            </w:r>
          </w:p>
        </w:tc>
        <w:tc>
          <w:tcPr>
            <w:tcW w:w="300" w:type="dxa"/>
            <w:vAlign w:val="bottom"/>
            <w:shd w:val="clear" w:color="auto" w:fill="CCFFCC"/>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FFCC"/>
          </w:tcPr>
          <w:p>
            <w:pPr>
              <w:spacing w:after="0"/>
              <w:rPr>
                <w:sz w:val="19"/>
                <w:szCs w:val="19"/>
                <w:color w:val="auto"/>
              </w:rPr>
            </w:pPr>
          </w:p>
        </w:tc>
        <w:tc>
          <w:tcPr>
            <w:tcW w:w="300" w:type="dxa"/>
            <w:vAlign w:val="bottom"/>
            <w:shd w:val="clear" w:color="auto" w:fill="CCFFCC"/>
          </w:tcPr>
          <w:p>
            <w:pPr>
              <w:spacing w:after="0"/>
              <w:rPr>
                <w:sz w:val="19"/>
                <w:szCs w:val="19"/>
                <w:color w:val="auto"/>
              </w:rPr>
            </w:pPr>
          </w:p>
        </w:tc>
        <w:tc>
          <w:tcPr>
            <w:tcW w:w="300" w:type="dxa"/>
            <w:vAlign w:val="bottom"/>
            <w:shd w:val="clear" w:color="auto" w:fill="CCFFCC"/>
          </w:tcPr>
          <w:p>
            <w:pPr>
              <w:spacing w:after="0"/>
              <w:rPr>
                <w:sz w:val="19"/>
                <w:szCs w:val="19"/>
                <w:color w:val="auto"/>
              </w:rPr>
            </w:pPr>
          </w:p>
        </w:tc>
        <w:tc>
          <w:tcPr>
            <w:tcW w:w="74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shareholders’ equity increased 4.9% QoQ, which is in line with earnings growth in 4Q12. It is also important to note the decreases posted in capital stock (-3.2% QoQ) and reserves (-1.6%), which fell following the spinoff of the investment banking business from BCP. All of this led to a decrease in ROAE, which was situated at 25.2% versus 30.2% in 3Q12 and 29.4% in 4Q11.</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capital adequacy ratio (BIS) rose from 14.11% in 3Q12 to 14.72% in 4Q12. The aforementioned is due primarily to the fact that regulatory capital grew at a higher rate (+9.4% QoQ) than risk-weighted assets did (+4.9% QoQ). The increase in capital is mainly attributable to the Capitalization Agreement (which was approved at the board meeting in November) for US$ 152.2 million and lower deductions for investments in subsidiaries after unrealized gains and earnings (-31.5% QoQ), which was primarily attributable to the sale of IM Trust to Credicorp Investments and to a lesser extent to the decision to split the banking investment business (Credifondo, Credibolsa and Creditítulos) from BCP.</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It is important to note that the TIER 1 and TIER 1 Common ratios increased with regard to the figures reported at the end of 3Q12 (from 9.67% to 10.11% in the case of TIER 1 and from 8.03% to 8.52% in the case of TIER 1 Common), as explained before. Both of these ratios remain above our internal limit and are situated at 8.5% and 8% respectively.</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14"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49"/>
        </w:trPr>
        <w:tc>
          <w:tcPr>
            <w:tcW w:w="5840" w:type="dxa"/>
            <w:vAlign w:val="bottom"/>
            <w:gridSpan w:val="3"/>
          </w:tcPr>
          <w:p>
            <w:pPr>
              <w:spacing w:after="0"/>
              <w:rPr>
                <w:sz w:val="20"/>
                <w:szCs w:val="20"/>
                <w:color w:val="auto"/>
              </w:rPr>
            </w:pPr>
            <w:r>
              <w:rPr>
                <w:rFonts w:ascii="Arial" w:cs="Arial" w:eastAsia="Arial" w:hAnsi="Arial"/>
                <w:sz w:val="13"/>
                <w:szCs w:val="13"/>
                <w:b w:val="1"/>
                <w:bCs w:val="1"/>
                <w:color w:val="auto"/>
              </w:rPr>
              <w:t>Regulatory Capital and Capital Adequacy Ratios</w:t>
            </w: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2"/>
          </w:tcPr>
          <w:p>
            <w:pPr>
              <w:jc w:val="right"/>
              <w:ind w:right="282"/>
              <w:spacing w:after="0"/>
              <w:rPr>
                <w:sz w:val="20"/>
                <w:szCs w:val="20"/>
                <w:color w:val="auto"/>
              </w:rPr>
            </w:pPr>
            <w:r>
              <w:rPr>
                <w:rFonts w:ascii="Arial" w:cs="Arial" w:eastAsia="Arial" w:hAnsi="Arial"/>
                <w:sz w:val="13"/>
                <w:szCs w:val="13"/>
                <w:b w:val="1"/>
                <w:bCs w:val="1"/>
                <w:color w:val="auto"/>
                <w:w w:val="90"/>
              </w:rPr>
              <w:t>Balance as of</w:t>
            </w: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80" w:type="dxa"/>
            <w:vAlign w:val="bottom"/>
            <w:gridSpan w:val="4"/>
          </w:tcPr>
          <w:p>
            <w:pPr>
              <w:jc w:val="right"/>
              <w:ind w:right="880"/>
              <w:spacing w:after="0"/>
              <w:rPr>
                <w:sz w:val="20"/>
                <w:szCs w:val="20"/>
                <w:color w:val="auto"/>
              </w:rPr>
            </w:pPr>
            <w:r>
              <w:rPr>
                <w:rFonts w:ascii="Arial" w:cs="Arial" w:eastAsia="Arial" w:hAnsi="Arial"/>
                <w:sz w:val="13"/>
                <w:szCs w:val="13"/>
                <w:b w:val="1"/>
                <w:bCs w:val="1"/>
                <w:color w:val="auto"/>
              </w:rPr>
              <w:t>Change %</w:t>
            </w:r>
          </w:p>
        </w:tc>
        <w:tc>
          <w:tcPr>
            <w:tcW w:w="0" w:type="dxa"/>
            <w:vAlign w:val="bottom"/>
          </w:tcPr>
          <w:p>
            <w:pPr>
              <w:spacing w:after="0"/>
              <w:rPr>
                <w:sz w:val="1"/>
                <w:szCs w:val="1"/>
                <w:color w:val="auto"/>
              </w:rPr>
            </w:pPr>
          </w:p>
        </w:tc>
      </w:tr>
      <w:tr>
        <w:trPr>
          <w:trHeight w:val="153"/>
        </w:trPr>
        <w:tc>
          <w:tcPr>
            <w:tcW w:w="5840" w:type="dxa"/>
            <w:vAlign w:val="bottom"/>
            <w:gridSpan w:val="3"/>
          </w:tcPr>
          <w:p>
            <w:pPr>
              <w:spacing w:after="0"/>
              <w:rPr>
                <w:sz w:val="20"/>
                <w:szCs w:val="20"/>
                <w:color w:val="auto"/>
              </w:rPr>
            </w:pPr>
            <w:r>
              <w:rPr>
                <w:rFonts w:ascii="Arial" w:cs="Arial" w:eastAsia="Arial" w:hAnsi="Arial"/>
                <w:sz w:val="13"/>
                <w:szCs w:val="13"/>
                <w:color w:val="auto"/>
              </w:rPr>
              <w:t>US$ (000)</w:t>
            </w:r>
          </w:p>
        </w:tc>
        <w:tc>
          <w:tcPr>
            <w:tcW w:w="1160" w:type="dxa"/>
            <w:vAlign w:val="bottom"/>
            <w:gridSpan w:val="2"/>
          </w:tcPr>
          <w:p>
            <w:pPr>
              <w:jc w:val="right"/>
              <w:ind w:right="462"/>
              <w:spacing w:after="0"/>
              <w:rPr>
                <w:sz w:val="20"/>
                <w:szCs w:val="20"/>
                <w:color w:val="auto"/>
              </w:rPr>
            </w:pPr>
            <w:r>
              <w:rPr>
                <w:rFonts w:ascii="Arial" w:cs="Arial" w:eastAsia="Arial" w:hAnsi="Arial"/>
                <w:sz w:val="13"/>
                <w:szCs w:val="13"/>
                <w:b w:val="1"/>
                <w:bCs w:val="1"/>
                <w:color w:val="auto"/>
              </w:rPr>
              <w:t>Dec 12</w:t>
            </w:r>
          </w:p>
        </w:tc>
        <w:tc>
          <w:tcPr>
            <w:tcW w:w="1120" w:type="dxa"/>
            <w:vAlign w:val="bottom"/>
            <w:gridSpan w:val="2"/>
          </w:tcPr>
          <w:p>
            <w:pPr>
              <w:jc w:val="right"/>
              <w:ind w:right="442"/>
              <w:spacing w:after="0"/>
              <w:rPr>
                <w:sz w:val="20"/>
                <w:szCs w:val="20"/>
                <w:color w:val="auto"/>
              </w:rPr>
            </w:pPr>
            <w:r>
              <w:rPr>
                <w:rFonts w:ascii="Arial" w:cs="Arial" w:eastAsia="Arial" w:hAnsi="Arial"/>
                <w:sz w:val="13"/>
                <w:szCs w:val="13"/>
                <w:b w:val="1"/>
                <w:bCs w:val="1"/>
                <w:color w:val="auto"/>
              </w:rPr>
              <w:t>Sep 12</w:t>
            </w:r>
          </w:p>
        </w:tc>
        <w:tc>
          <w:tcPr>
            <w:tcW w:w="1120" w:type="dxa"/>
            <w:vAlign w:val="bottom"/>
            <w:gridSpan w:val="2"/>
          </w:tcPr>
          <w:p>
            <w:pPr>
              <w:jc w:val="right"/>
              <w:ind w:right="442"/>
              <w:spacing w:after="0"/>
              <w:rPr>
                <w:sz w:val="20"/>
                <w:szCs w:val="20"/>
                <w:color w:val="auto"/>
              </w:rPr>
            </w:pPr>
            <w:r>
              <w:rPr>
                <w:rFonts w:ascii="Arial" w:cs="Arial" w:eastAsia="Arial" w:hAnsi="Arial"/>
                <w:sz w:val="13"/>
                <w:szCs w:val="13"/>
                <w:b w:val="1"/>
                <w:bCs w:val="1"/>
                <w:color w:val="auto"/>
              </w:rPr>
              <w:t>Dec 11</w:t>
            </w:r>
          </w:p>
        </w:tc>
        <w:tc>
          <w:tcPr>
            <w:tcW w:w="114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88"/>
              </w:rPr>
              <w:t>Dec 12 / Sep 12</w:t>
            </w:r>
          </w:p>
        </w:tc>
        <w:tc>
          <w:tcPr>
            <w:tcW w:w="104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88"/>
              </w:rPr>
              <w:t>Dec 12 / Dec 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FFC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5700" w:type="dxa"/>
            <w:vAlign w:val="bottom"/>
            <w:shd w:val="clear" w:color="auto" w:fill="CCFFCC"/>
          </w:tcPr>
          <w:p>
            <w:pPr>
              <w:spacing w:after="0" w:line="129" w:lineRule="exact"/>
              <w:rPr>
                <w:sz w:val="20"/>
                <w:szCs w:val="20"/>
                <w:color w:val="auto"/>
              </w:rPr>
            </w:pPr>
            <w:r>
              <w:rPr>
                <w:rFonts w:ascii="Arial" w:cs="Arial" w:eastAsia="Arial" w:hAnsi="Arial"/>
                <w:sz w:val="13"/>
                <w:szCs w:val="13"/>
                <w:color w:val="auto"/>
              </w:rPr>
              <w:t>Capital Stock</w:t>
            </w:r>
          </w:p>
        </w:tc>
        <w:tc>
          <w:tcPr>
            <w:tcW w:w="120" w:type="dxa"/>
            <w:vAlign w:val="bottom"/>
            <w:vMerge w:val="continue"/>
            <w:shd w:val="clear" w:color="auto" w:fill="CCFFCC"/>
          </w:tcPr>
          <w:p>
            <w:pPr>
              <w:spacing w:after="0"/>
              <w:rPr>
                <w:sz w:val="11"/>
                <w:szCs w:val="11"/>
                <w:color w:val="auto"/>
              </w:rPr>
            </w:pPr>
          </w:p>
        </w:tc>
        <w:tc>
          <w:tcPr>
            <w:tcW w:w="94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1,216,822</w:t>
            </w:r>
          </w:p>
        </w:tc>
        <w:tc>
          <w:tcPr>
            <w:tcW w:w="220" w:type="dxa"/>
            <w:vAlign w:val="bottom"/>
            <w:vMerge w:val="continue"/>
            <w:shd w:val="clear" w:color="auto" w:fill="CCFFCC"/>
          </w:tcPr>
          <w:p>
            <w:pPr>
              <w:spacing w:after="0"/>
              <w:rPr>
                <w:sz w:val="11"/>
                <w:szCs w:val="11"/>
                <w:color w:val="auto"/>
              </w:rPr>
            </w:pPr>
          </w:p>
        </w:tc>
        <w:tc>
          <w:tcPr>
            <w:tcW w:w="90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1,227,058</w:t>
            </w:r>
          </w:p>
        </w:tc>
        <w:tc>
          <w:tcPr>
            <w:tcW w:w="220" w:type="dxa"/>
            <w:vAlign w:val="bottom"/>
            <w:vMerge w:val="continue"/>
            <w:shd w:val="clear" w:color="auto" w:fill="CCFFCC"/>
          </w:tcPr>
          <w:p>
            <w:pPr>
              <w:spacing w:after="0"/>
              <w:rPr>
                <w:sz w:val="11"/>
                <w:szCs w:val="11"/>
                <w:color w:val="auto"/>
              </w:rPr>
            </w:pPr>
          </w:p>
        </w:tc>
        <w:tc>
          <w:tcPr>
            <w:tcW w:w="90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948,716</w:t>
            </w:r>
          </w:p>
        </w:tc>
        <w:tc>
          <w:tcPr>
            <w:tcW w:w="220" w:type="dxa"/>
            <w:vAlign w:val="bottom"/>
            <w:shd w:val="clear" w:color="auto" w:fill="CCFFCC"/>
          </w:tcPr>
          <w:p>
            <w:pPr>
              <w:spacing w:after="0"/>
              <w:rPr>
                <w:sz w:val="11"/>
                <w:szCs w:val="11"/>
                <w:color w:val="auto"/>
              </w:rPr>
            </w:pPr>
          </w:p>
        </w:tc>
        <w:tc>
          <w:tcPr>
            <w:tcW w:w="1140" w:type="dxa"/>
            <w:vAlign w:val="bottom"/>
            <w:gridSpan w:val="2"/>
            <w:shd w:val="clear" w:color="auto" w:fill="CCFFCC"/>
          </w:tcPr>
          <w:p>
            <w:pPr>
              <w:jc w:val="right"/>
              <w:ind w:right="140"/>
              <w:spacing w:after="0" w:line="129" w:lineRule="exact"/>
              <w:rPr>
                <w:sz w:val="20"/>
                <w:szCs w:val="20"/>
                <w:color w:val="auto"/>
              </w:rPr>
            </w:pPr>
            <w:r>
              <w:rPr>
                <w:rFonts w:ascii="Arial" w:cs="Arial" w:eastAsia="Arial" w:hAnsi="Arial"/>
                <w:sz w:val="13"/>
                <w:szCs w:val="13"/>
                <w:color w:val="auto"/>
              </w:rPr>
              <w:t>-0.8%</w:t>
            </w:r>
          </w:p>
        </w:tc>
        <w:tc>
          <w:tcPr>
            <w:tcW w:w="1040" w:type="dxa"/>
            <w:vAlign w:val="bottom"/>
            <w:gridSpan w:val="2"/>
            <w:shd w:val="clear" w:color="auto" w:fill="CCFFCC"/>
          </w:tcPr>
          <w:p>
            <w:pPr>
              <w:jc w:val="right"/>
              <w:ind w:right="40"/>
              <w:spacing w:after="0" w:line="129" w:lineRule="exact"/>
              <w:rPr>
                <w:sz w:val="20"/>
                <w:szCs w:val="20"/>
                <w:color w:val="auto"/>
              </w:rPr>
            </w:pPr>
            <w:r>
              <w:rPr>
                <w:rFonts w:ascii="Arial" w:cs="Arial" w:eastAsia="Arial" w:hAnsi="Arial"/>
                <w:sz w:val="13"/>
                <w:szCs w:val="13"/>
                <w:color w:val="auto"/>
              </w:rPr>
              <w:t>28.3%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20" w:type="dxa"/>
            <w:vAlign w:val="bottom"/>
            <w:gridSpan w:val="2"/>
          </w:tcPr>
          <w:p>
            <w:pPr>
              <w:spacing w:after="0" w:line="135" w:lineRule="exact"/>
              <w:rPr>
                <w:sz w:val="20"/>
                <w:szCs w:val="20"/>
                <w:color w:val="auto"/>
              </w:rPr>
            </w:pPr>
            <w:r>
              <w:rPr>
                <w:rFonts w:ascii="Arial" w:cs="Arial" w:eastAsia="Arial" w:hAnsi="Arial"/>
                <w:sz w:val="13"/>
                <w:szCs w:val="13"/>
                <w:color w:val="auto"/>
              </w:rPr>
              <w:t>Legal and Other capital reserves</w:t>
            </w:r>
          </w:p>
        </w:tc>
        <w:tc>
          <w:tcPr>
            <w:tcW w:w="1160" w:type="dxa"/>
            <w:vAlign w:val="bottom"/>
            <w:gridSpan w:val="2"/>
          </w:tcPr>
          <w:p>
            <w:pPr>
              <w:jc w:val="right"/>
              <w:ind w:right="162"/>
              <w:spacing w:after="0" w:line="135" w:lineRule="exact"/>
              <w:rPr>
                <w:sz w:val="20"/>
                <w:szCs w:val="20"/>
                <w:color w:val="auto"/>
              </w:rPr>
            </w:pPr>
            <w:r>
              <w:rPr>
                <w:rFonts w:ascii="Arial" w:cs="Arial" w:eastAsia="Arial" w:hAnsi="Arial"/>
                <w:sz w:val="13"/>
                <w:szCs w:val="13"/>
                <w:color w:val="auto"/>
              </w:rPr>
              <w:t>860,717</w:t>
            </w:r>
          </w:p>
        </w:tc>
        <w:tc>
          <w:tcPr>
            <w:tcW w:w="1120" w:type="dxa"/>
            <w:vAlign w:val="bottom"/>
            <w:gridSpan w:val="2"/>
          </w:tcPr>
          <w:p>
            <w:pPr>
              <w:jc w:val="right"/>
              <w:ind w:right="162"/>
              <w:spacing w:after="0" w:line="135" w:lineRule="exact"/>
              <w:rPr>
                <w:sz w:val="20"/>
                <w:szCs w:val="20"/>
                <w:color w:val="auto"/>
              </w:rPr>
            </w:pPr>
            <w:r>
              <w:rPr>
                <w:rFonts w:ascii="Arial" w:cs="Arial" w:eastAsia="Arial" w:hAnsi="Arial"/>
                <w:sz w:val="13"/>
                <w:szCs w:val="13"/>
                <w:color w:val="auto"/>
              </w:rPr>
              <w:t>856,266</w:t>
            </w: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743,332</w:t>
            </w:r>
          </w:p>
        </w:tc>
        <w:tc>
          <w:tcPr>
            <w:tcW w:w="220" w:type="dxa"/>
            <w:vAlign w:val="bottom"/>
          </w:tcPr>
          <w:p>
            <w:pPr>
              <w:spacing w:after="0"/>
              <w:rPr>
                <w:sz w:val="11"/>
                <w:szCs w:val="11"/>
                <w:color w:val="auto"/>
              </w:rPr>
            </w:pPr>
          </w:p>
        </w:tc>
        <w:tc>
          <w:tcPr>
            <w:tcW w:w="11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0.5%</w:t>
            </w:r>
          </w:p>
        </w:tc>
        <w:tc>
          <w:tcPr>
            <w:tcW w:w="10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15.8%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2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Accumulated earnings with capitalization agreement</w:t>
            </w:r>
          </w:p>
        </w:tc>
        <w:tc>
          <w:tcPr>
            <w:tcW w:w="1160" w:type="dxa"/>
            <w:vAlign w:val="bottom"/>
            <w:gridSpan w:val="2"/>
            <w:shd w:val="clear" w:color="auto" w:fill="CCFFCC"/>
          </w:tcPr>
          <w:p>
            <w:pPr>
              <w:jc w:val="right"/>
              <w:ind w:right="162"/>
              <w:spacing w:after="0" w:line="135" w:lineRule="exact"/>
              <w:rPr>
                <w:sz w:val="20"/>
                <w:szCs w:val="20"/>
                <w:color w:val="auto"/>
              </w:rPr>
            </w:pPr>
            <w:r>
              <w:rPr>
                <w:rFonts w:ascii="Arial" w:cs="Arial" w:eastAsia="Arial" w:hAnsi="Arial"/>
                <w:sz w:val="13"/>
                <w:szCs w:val="13"/>
                <w:color w:val="auto"/>
              </w:rPr>
              <w:t>152,235</w:t>
            </w:r>
          </w:p>
        </w:tc>
        <w:tc>
          <w:tcPr>
            <w:tcW w:w="1120" w:type="dxa"/>
            <w:vAlign w:val="bottom"/>
            <w:gridSpan w:val="2"/>
            <w:shd w:val="clear" w:color="auto" w:fill="CCFFCC"/>
          </w:tcPr>
          <w:p>
            <w:pPr>
              <w:jc w:val="right"/>
              <w:ind w:right="162"/>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shd w:val="clear" w:color="auto" w:fill="CCFFCC"/>
          </w:tcPr>
          <w:p>
            <w:pPr>
              <w:jc w:val="right"/>
              <w:ind w:right="162"/>
              <w:spacing w:after="0" w:line="135" w:lineRule="exact"/>
              <w:rPr>
                <w:sz w:val="20"/>
                <w:szCs w:val="20"/>
                <w:color w:val="auto"/>
              </w:rPr>
            </w:pPr>
            <w:r>
              <w:rPr>
                <w:rFonts w:ascii="Arial" w:cs="Arial" w:eastAsia="Arial" w:hAnsi="Arial"/>
                <w:sz w:val="13"/>
                <w:szCs w:val="13"/>
                <w:color w:val="auto"/>
              </w:rPr>
              <w:t>-</w:t>
            </w:r>
          </w:p>
        </w:tc>
        <w:tc>
          <w:tcPr>
            <w:tcW w:w="11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20" w:type="dxa"/>
            <w:vAlign w:val="bottom"/>
            <w:gridSpan w:val="2"/>
          </w:tcPr>
          <w:p>
            <w:pPr>
              <w:spacing w:after="0" w:line="135" w:lineRule="exact"/>
              <w:rPr>
                <w:sz w:val="20"/>
                <w:szCs w:val="20"/>
                <w:color w:val="auto"/>
              </w:rPr>
            </w:pPr>
            <w:r>
              <w:rPr>
                <w:rFonts w:ascii="Arial" w:cs="Arial" w:eastAsia="Arial" w:hAnsi="Arial"/>
                <w:sz w:val="13"/>
                <w:szCs w:val="13"/>
                <w:color w:val="auto"/>
              </w:rPr>
              <w:t>Loan loss reserves (1)</w:t>
            </w:r>
          </w:p>
        </w:tc>
        <w:tc>
          <w:tcPr>
            <w:tcW w:w="1160" w:type="dxa"/>
            <w:vAlign w:val="bottom"/>
            <w:gridSpan w:val="2"/>
          </w:tcPr>
          <w:p>
            <w:pPr>
              <w:jc w:val="right"/>
              <w:ind w:right="162"/>
              <w:spacing w:after="0" w:line="135" w:lineRule="exact"/>
              <w:rPr>
                <w:sz w:val="20"/>
                <w:szCs w:val="20"/>
                <w:color w:val="auto"/>
              </w:rPr>
            </w:pPr>
            <w:r>
              <w:rPr>
                <w:rFonts w:ascii="Arial" w:cs="Arial" w:eastAsia="Arial" w:hAnsi="Arial"/>
                <w:sz w:val="13"/>
                <w:szCs w:val="13"/>
                <w:color w:val="auto"/>
              </w:rPr>
              <w:t>276,620</w:t>
            </w:r>
          </w:p>
        </w:tc>
        <w:tc>
          <w:tcPr>
            <w:tcW w:w="1120" w:type="dxa"/>
            <w:vAlign w:val="bottom"/>
            <w:gridSpan w:val="2"/>
          </w:tcPr>
          <w:p>
            <w:pPr>
              <w:jc w:val="right"/>
              <w:ind w:right="162"/>
              <w:spacing w:after="0" w:line="135" w:lineRule="exact"/>
              <w:rPr>
                <w:sz w:val="20"/>
                <w:szCs w:val="20"/>
                <w:color w:val="auto"/>
              </w:rPr>
            </w:pPr>
            <w:r>
              <w:rPr>
                <w:rFonts w:ascii="Arial" w:cs="Arial" w:eastAsia="Arial" w:hAnsi="Arial"/>
                <w:sz w:val="13"/>
                <w:szCs w:val="13"/>
                <w:color w:val="auto"/>
              </w:rPr>
              <w:t>260,052</w:t>
            </w: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212,497</w:t>
            </w:r>
          </w:p>
        </w:tc>
        <w:tc>
          <w:tcPr>
            <w:tcW w:w="220" w:type="dxa"/>
            <w:vAlign w:val="bottom"/>
          </w:tcPr>
          <w:p>
            <w:pPr>
              <w:spacing w:after="0"/>
              <w:rPr>
                <w:sz w:val="11"/>
                <w:szCs w:val="11"/>
                <w:color w:val="auto"/>
              </w:rPr>
            </w:pPr>
          </w:p>
        </w:tc>
        <w:tc>
          <w:tcPr>
            <w:tcW w:w="11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6.4%</w:t>
            </w:r>
          </w:p>
        </w:tc>
        <w:tc>
          <w:tcPr>
            <w:tcW w:w="10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30.2%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2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Perpetual subordinated debt</w:t>
            </w:r>
          </w:p>
        </w:tc>
        <w:tc>
          <w:tcPr>
            <w:tcW w:w="1160" w:type="dxa"/>
            <w:vAlign w:val="bottom"/>
            <w:gridSpan w:val="2"/>
            <w:shd w:val="clear" w:color="auto" w:fill="CCFFCC"/>
          </w:tcPr>
          <w:p>
            <w:pPr>
              <w:jc w:val="right"/>
              <w:ind w:right="162"/>
              <w:spacing w:after="0" w:line="135" w:lineRule="exact"/>
              <w:rPr>
                <w:sz w:val="20"/>
                <w:szCs w:val="20"/>
                <w:color w:val="auto"/>
              </w:rPr>
            </w:pPr>
            <w:r>
              <w:rPr>
                <w:rFonts w:ascii="Arial" w:cs="Arial" w:eastAsia="Arial" w:hAnsi="Arial"/>
                <w:sz w:val="13"/>
                <w:szCs w:val="13"/>
                <w:color w:val="auto"/>
              </w:rPr>
              <w:t>250,000</w:t>
            </w:r>
          </w:p>
        </w:tc>
        <w:tc>
          <w:tcPr>
            <w:tcW w:w="1120" w:type="dxa"/>
            <w:vAlign w:val="bottom"/>
            <w:gridSpan w:val="2"/>
            <w:shd w:val="clear" w:color="auto" w:fill="CCFFCC"/>
          </w:tcPr>
          <w:p>
            <w:pPr>
              <w:jc w:val="right"/>
              <w:ind w:right="162"/>
              <w:spacing w:after="0" w:line="135" w:lineRule="exact"/>
              <w:rPr>
                <w:sz w:val="20"/>
                <w:szCs w:val="20"/>
                <w:color w:val="auto"/>
              </w:rPr>
            </w:pPr>
            <w:r>
              <w:rPr>
                <w:rFonts w:ascii="Arial" w:cs="Arial" w:eastAsia="Arial" w:hAnsi="Arial"/>
                <w:sz w:val="13"/>
                <w:szCs w:val="13"/>
                <w:color w:val="auto"/>
              </w:rPr>
              <w:t>250,000</w:t>
            </w:r>
          </w:p>
        </w:tc>
        <w:tc>
          <w:tcPr>
            <w:tcW w:w="9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250,000</w:t>
            </w:r>
          </w:p>
        </w:tc>
        <w:tc>
          <w:tcPr>
            <w:tcW w:w="220" w:type="dxa"/>
            <w:vAlign w:val="bottom"/>
            <w:shd w:val="clear" w:color="auto" w:fill="CCFFCC"/>
          </w:tcPr>
          <w:p>
            <w:pPr>
              <w:spacing w:after="0"/>
              <w:rPr>
                <w:sz w:val="11"/>
                <w:szCs w:val="11"/>
                <w:color w:val="auto"/>
              </w:rPr>
            </w:pPr>
          </w:p>
        </w:tc>
        <w:tc>
          <w:tcPr>
            <w:tcW w:w="11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0.0%</w:t>
            </w:r>
          </w:p>
        </w:tc>
        <w:tc>
          <w:tcPr>
            <w:tcW w:w="104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20" w:type="dxa"/>
            <w:vAlign w:val="bottom"/>
            <w:gridSpan w:val="2"/>
          </w:tcPr>
          <w:p>
            <w:pPr>
              <w:spacing w:after="0" w:line="135" w:lineRule="exact"/>
              <w:rPr>
                <w:sz w:val="20"/>
                <w:szCs w:val="20"/>
                <w:color w:val="auto"/>
              </w:rPr>
            </w:pPr>
            <w:r>
              <w:rPr>
                <w:rFonts w:ascii="Arial" w:cs="Arial" w:eastAsia="Arial" w:hAnsi="Arial"/>
                <w:sz w:val="13"/>
                <w:szCs w:val="13"/>
                <w:color w:val="auto"/>
              </w:rPr>
              <w:t>Subordinated Debt</w:t>
            </w:r>
          </w:p>
        </w:tc>
        <w:tc>
          <w:tcPr>
            <w:tcW w:w="1160" w:type="dxa"/>
            <w:vAlign w:val="bottom"/>
            <w:gridSpan w:val="2"/>
          </w:tcPr>
          <w:p>
            <w:pPr>
              <w:jc w:val="right"/>
              <w:ind w:right="162"/>
              <w:spacing w:after="0" w:line="135" w:lineRule="exact"/>
              <w:rPr>
                <w:sz w:val="20"/>
                <w:szCs w:val="20"/>
                <w:color w:val="auto"/>
              </w:rPr>
            </w:pPr>
            <w:r>
              <w:rPr>
                <w:rFonts w:ascii="Arial" w:cs="Arial" w:eastAsia="Arial" w:hAnsi="Arial"/>
                <w:sz w:val="13"/>
                <w:szCs w:val="13"/>
                <w:color w:val="auto"/>
              </w:rPr>
              <w:t>1,092,777</w:t>
            </w:r>
          </w:p>
        </w:tc>
        <w:tc>
          <w:tcPr>
            <w:tcW w:w="1120" w:type="dxa"/>
            <w:vAlign w:val="bottom"/>
            <w:gridSpan w:val="2"/>
          </w:tcPr>
          <w:p>
            <w:pPr>
              <w:jc w:val="right"/>
              <w:ind w:right="162"/>
              <w:spacing w:after="0" w:line="135" w:lineRule="exact"/>
              <w:rPr>
                <w:sz w:val="20"/>
                <w:szCs w:val="20"/>
                <w:color w:val="auto"/>
              </w:rPr>
            </w:pPr>
            <w:r>
              <w:rPr>
                <w:rFonts w:ascii="Arial" w:cs="Arial" w:eastAsia="Arial" w:hAnsi="Arial"/>
                <w:sz w:val="13"/>
                <w:szCs w:val="13"/>
                <w:color w:val="auto"/>
              </w:rPr>
              <w:t>1,091,667</w:t>
            </w: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763,293</w:t>
            </w:r>
          </w:p>
        </w:tc>
        <w:tc>
          <w:tcPr>
            <w:tcW w:w="220" w:type="dxa"/>
            <w:vAlign w:val="bottom"/>
          </w:tcPr>
          <w:p>
            <w:pPr>
              <w:spacing w:after="0"/>
              <w:rPr>
                <w:sz w:val="11"/>
                <w:szCs w:val="11"/>
                <w:color w:val="auto"/>
              </w:rPr>
            </w:pPr>
          </w:p>
        </w:tc>
        <w:tc>
          <w:tcPr>
            <w:tcW w:w="11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0.1%</w:t>
            </w:r>
          </w:p>
        </w:tc>
        <w:tc>
          <w:tcPr>
            <w:tcW w:w="10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43.2%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2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Unrealized profit (loss)</w:t>
            </w:r>
          </w:p>
        </w:tc>
        <w:tc>
          <w:tcPr>
            <w:tcW w:w="1160" w:type="dxa"/>
            <w:vAlign w:val="bottom"/>
            <w:gridSpan w:val="2"/>
            <w:shd w:val="clear" w:color="auto" w:fill="CCFFCC"/>
          </w:tcPr>
          <w:p>
            <w:pPr>
              <w:jc w:val="right"/>
              <w:ind w:right="162"/>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shd w:val="clear" w:color="auto" w:fill="CCFFCC"/>
          </w:tcPr>
          <w:p>
            <w:pPr>
              <w:jc w:val="right"/>
              <w:ind w:right="162"/>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shd w:val="clear" w:color="auto" w:fill="CCFFCC"/>
          </w:tcPr>
          <w:p>
            <w:pPr>
              <w:jc w:val="right"/>
              <w:ind w:right="162"/>
              <w:spacing w:after="0" w:line="135" w:lineRule="exact"/>
              <w:rPr>
                <w:sz w:val="20"/>
                <w:szCs w:val="20"/>
                <w:color w:val="auto"/>
              </w:rPr>
            </w:pPr>
            <w:r>
              <w:rPr>
                <w:rFonts w:ascii="Arial" w:cs="Arial" w:eastAsia="Arial" w:hAnsi="Arial"/>
                <w:sz w:val="13"/>
                <w:szCs w:val="13"/>
                <w:color w:val="auto"/>
              </w:rPr>
              <w:t>-</w:t>
            </w:r>
          </w:p>
        </w:tc>
        <w:tc>
          <w:tcPr>
            <w:tcW w:w="11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20" w:type="dxa"/>
            <w:vAlign w:val="bottom"/>
            <w:gridSpan w:val="2"/>
          </w:tcPr>
          <w:p>
            <w:pPr>
              <w:spacing w:after="0" w:line="135" w:lineRule="exact"/>
              <w:rPr>
                <w:sz w:val="20"/>
                <w:szCs w:val="20"/>
                <w:color w:val="auto"/>
              </w:rPr>
            </w:pPr>
            <w:r>
              <w:rPr>
                <w:rFonts w:ascii="Arial" w:cs="Arial" w:eastAsia="Arial" w:hAnsi="Arial"/>
                <w:sz w:val="13"/>
                <w:szCs w:val="13"/>
                <w:color w:val="auto"/>
              </w:rPr>
              <w:t>Investment in subsidiaries and others, net of unrealized profit and net income</w:t>
            </w:r>
          </w:p>
        </w:tc>
        <w:tc>
          <w:tcPr>
            <w:tcW w:w="1160" w:type="dxa"/>
            <w:vAlign w:val="bottom"/>
            <w:gridSpan w:val="2"/>
          </w:tcPr>
          <w:p>
            <w:pPr>
              <w:jc w:val="right"/>
              <w:ind w:right="122"/>
              <w:spacing w:after="0" w:line="135" w:lineRule="exact"/>
              <w:rPr>
                <w:sz w:val="20"/>
                <w:szCs w:val="20"/>
                <w:color w:val="auto"/>
              </w:rPr>
            </w:pPr>
            <w:r>
              <w:rPr>
                <w:rFonts w:ascii="Arial" w:cs="Arial" w:eastAsia="Arial" w:hAnsi="Arial"/>
                <w:sz w:val="13"/>
                <w:szCs w:val="13"/>
                <w:color w:val="auto"/>
              </w:rPr>
              <w:t>(299,188)</w:t>
            </w:r>
          </w:p>
        </w:tc>
        <w:tc>
          <w:tcPr>
            <w:tcW w:w="1120" w:type="dxa"/>
            <w:vAlign w:val="bottom"/>
            <w:gridSpan w:val="2"/>
          </w:tcPr>
          <w:p>
            <w:pPr>
              <w:jc w:val="right"/>
              <w:ind w:right="122"/>
              <w:spacing w:after="0" w:line="135" w:lineRule="exact"/>
              <w:rPr>
                <w:sz w:val="20"/>
                <w:szCs w:val="20"/>
                <w:color w:val="auto"/>
              </w:rPr>
            </w:pPr>
            <w:r>
              <w:rPr>
                <w:rFonts w:ascii="Arial" w:cs="Arial" w:eastAsia="Arial" w:hAnsi="Arial"/>
                <w:sz w:val="13"/>
                <w:szCs w:val="13"/>
                <w:color w:val="auto"/>
              </w:rPr>
              <w:t>(436,517)</w:t>
            </w:r>
          </w:p>
        </w:tc>
        <w:tc>
          <w:tcPr>
            <w:tcW w:w="1120" w:type="dxa"/>
            <w:vAlign w:val="bottom"/>
            <w:gridSpan w:val="2"/>
          </w:tcPr>
          <w:p>
            <w:pPr>
              <w:jc w:val="right"/>
              <w:ind w:right="122"/>
              <w:spacing w:after="0" w:line="135" w:lineRule="exact"/>
              <w:rPr>
                <w:sz w:val="20"/>
                <w:szCs w:val="20"/>
                <w:color w:val="auto"/>
              </w:rPr>
            </w:pPr>
            <w:r>
              <w:rPr>
                <w:rFonts w:ascii="Arial" w:cs="Arial" w:eastAsia="Arial" w:hAnsi="Arial"/>
                <w:sz w:val="13"/>
                <w:szCs w:val="13"/>
                <w:color w:val="auto"/>
              </w:rPr>
              <w:t>(201,357)</w:t>
            </w:r>
          </w:p>
        </w:tc>
        <w:tc>
          <w:tcPr>
            <w:tcW w:w="11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-31.5%</w:t>
            </w:r>
          </w:p>
        </w:tc>
        <w:tc>
          <w:tcPr>
            <w:tcW w:w="10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48.6%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2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Goodwill</w:t>
            </w:r>
          </w:p>
        </w:tc>
        <w:tc>
          <w:tcPr>
            <w:tcW w:w="1160" w:type="dxa"/>
            <w:vAlign w:val="bottom"/>
            <w:gridSpan w:val="2"/>
            <w:shd w:val="clear" w:color="auto" w:fill="CCFFCC"/>
          </w:tcPr>
          <w:p>
            <w:pPr>
              <w:jc w:val="right"/>
              <w:ind w:right="122"/>
              <w:spacing w:after="0" w:line="135" w:lineRule="exact"/>
              <w:rPr>
                <w:sz w:val="20"/>
                <w:szCs w:val="20"/>
                <w:color w:val="auto"/>
              </w:rPr>
            </w:pPr>
            <w:r>
              <w:rPr>
                <w:rFonts w:ascii="Arial" w:cs="Arial" w:eastAsia="Arial" w:hAnsi="Arial"/>
                <w:sz w:val="13"/>
                <w:szCs w:val="13"/>
                <w:color w:val="auto"/>
              </w:rPr>
              <w:t>(47,876)</w:t>
            </w:r>
          </w:p>
        </w:tc>
        <w:tc>
          <w:tcPr>
            <w:tcW w:w="1120" w:type="dxa"/>
            <w:vAlign w:val="bottom"/>
            <w:gridSpan w:val="2"/>
            <w:shd w:val="clear" w:color="auto" w:fill="CCFFCC"/>
          </w:tcPr>
          <w:p>
            <w:pPr>
              <w:jc w:val="right"/>
              <w:ind w:right="122"/>
              <w:spacing w:after="0" w:line="135" w:lineRule="exact"/>
              <w:rPr>
                <w:sz w:val="20"/>
                <w:szCs w:val="20"/>
                <w:color w:val="auto"/>
              </w:rPr>
            </w:pPr>
            <w:r>
              <w:rPr>
                <w:rFonts w:ascii="Arial" w:cs="Arial" w:eastAsia="Arial" w:hAnsi="Arial"/>
                <w:sz w:val="13"/>
                <w:szCs w:val="13"/>
                <w:color w:val="auto"/>
              </w:rPr>
              <w:t>(46,991)</w:t>
            </w:r>
          </w:p>
        </w:tc>
        <w:tc>
          <w:tcPr>
            <w:tcW w:w="1120" w:type="dxa"/>
            <w:vAlign w:val="bottom"/>
            <w:gridSpan w:val="2"/>
            <w:shd w:val="clear" w:color="auto" w:fill="CCFFCC"/>
          </w:tcPr>
          <w:p>
            <w:pPr>
              <w:jc w:val="right"/>
              <w:ind w:right="122"/>
              <w:spacing w:after="0" w:line="135" w:lineRule="exact"/>
              <w:rPr>
                <w:sz w:val="20"/>
                <w:szCs w:val="20"/>
                <w:color w:val="auto"/>
              </w:rPr>
            </w:pPr>
            <w:r>
              <w:rPr>
                <w:rFonts w:ascii="Arial" w:cs="Arial" w:eastAsia="Arial" w:hAnsi="Arial"/>
                <w:sz w:val="13"/>
                <w:szCs w:val="13"/>
                <w:color w:val="auto"/>
              </w:rPr>
              <w:t>(45,283)</w:t>
            </w:r>
          </w:p>
        </w:tc>
        <w:tc>
          <w:tcPr>
            <w:tcW w:w="11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1.9%</w:t>
            </w:r>
          </w:p>
        </w:tc>
        <w:tc>
          <w:tcPr>
            <w:tcW w:w="104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gridSpan w:val="2"/>
          </w:tcPr>
          <w:p>
            <w:pPr>
              <w:spacing w:after="0"/>
              <w:rPr>
                <w:sz w:val="20"/>
                <w:szCs w:val="20"/>
                <w:color w:val="auto"/>
              </w:rPr>
            </w:pPr>
            <w:r>
              <w:rPr>
                <w:rFonts w:ascii="Arial" w:cs="Arial" w:eastAsia="Arial" w:hAnsi="Arial"/>
                <w:sz w:val="13"/>
                <w:szCs w:val="13"/>
                <w:b w:val="1"/>
                <w:bCs w:val="1"/>
                <w:color w:val="auto"/>
              </w:rPr>
              <w:t>Total Regulatory Capital</w:t>
            </w:r>
          </w:p>
        </w:tc>
        <w:tc>
          <w:tcPr>
            <w:tcW w:w="1160" w:type="dxa"/>
            <w:vAlign w:val="bottom"/>
            <w:gridSpan w:val="2"/>
          </w:tcPr>
          <w:p>
            <w:pPr>
              <w:jc w:val="right"/>
              <w:ind w:right="162"/>
              <w:spacing w:after="0"/>
              <w:rPr>
                <w:sz w:val="20"/>
                <w:szCs w:val="20"/>
                <w:color w:val="auto"/>
              </w:rPr>
            </w:pPr>
            <w:r>
              <w:rPr>
                <w:rFonts w:ascii="Arial" w:cs="Arial" w:eastAsia="Arial" w:hAnsi="Arial"/>
                <w:sz w:val="13"/>
                <w:szCs w:val="13"/>
                <w:b w:val="1"/>
                <w:bCs w:val="1"/>
                <w:color w:val="auto"/>
              </w:rPr>
              <w:t>3,502,108</w:t>
            </w:r>
          </w:p>
        </w:tc>
        <w:tc>
          <w:tcPr>
            <w:tcW w:w="1120" w:type="dxa"/>
            <w:vAlign w:val="bottom"/>
            <w:gridSpan w:val="2"/>
          </w:tcPr>
          <w:p>
            <w:pPr>
              <w:jc w:val="right"/>
              <w:ind w:right="162"/>
              <w:spacing w:after="0"/>
              <w:rPr>
                <w:sz w:val="20"/>
                <w:szCs w:val="20"/>
                <w:color w:val="auto"/>
              </w:rPr>
            </w:pPr>
            <w:r>
              <w:rPr>
                <w:rFonts w:ascii="Arial" w:cs="Arial" w:eastAsia="Arial" w:hAnsi="Arial"/>
                <w:sz w:val="13"/>
                <w:szCs w:val="13"/>
                <w:b w:val="1"/>
                <w:bCs w:val="1"/>
                <w:color w:val="auto"/>
              </w:rPr>
              <w:t>3,201,535</w:t>
            </w: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2,671,198</w:t>
            </w:r>
          </w:p>
        </w:tc>
        <w:tc>
          <w:tcPr>
            <w:tcW w:w="22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9.4%</w:t>
            </w:r>
          </w:p>
        </w:tc>
        <w:tc>
          <w:tcPr>
            <w:tcW w:w="1040" w:type="dxa"/>
            <w:vAlign w:val="bottom"/>
            <w:gridSpan w:val="2"/>
          </w:tcPr>
          <w:p>
            <w:pPr>
              <w:jc w:val="right"/>
              <w:spacing w:after="0"/>
              <w:rPr>
                <w:sz w:val="20"/>
                <w:szCs w:val="20"/>
                <w:color w:val="auto"/>
              </w:rPr>
            </w:pPr>
            <w:r>
              <w:rPr>
                <w:rFonts w:ascii="Arial" w:cs="Arial" w:eastAsia="Arial" w:hAnsi="Arial"/>
                <w:sz w:val="13"/>
                <w:szCs w:val="13"/>
                <w:b w:val="1"/>
                <w:bCs w:val="1"/>
                <w:color w:val="auto"/>
              </w:rPr>
              <w:t>31.1%</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700" w:type="dxa"/>
            <w:vAlign w:val="bottom"/>
            <w:tcBorders>
              <w:top w:val="single" w:sz="8" w:color="CCFFCC"/>
            </w:tcBorders>
            <w:shd w:val="clear" w:color="auto" w:fill="CCFFCC"/>
          </w:tcPr>
          <w:p>
            <w:pPr>
              <w:spacing w:after="0"/>
              <w:rPr>
                <w:sz w:val="11"/>
                <w:szCs w:val="11"/>
                <w:color w:val="auto"/>
              </w:rPr>
            </w:pPr>
          </w:p>
        </w:tc>
        <w:tc>
          <w:tcPr>
            <w:tcW w:w="120" w:type="dxa"/>
            <w:vAlign w:val="bottom"/>
            <w:tcBorders>
              <w:top w:val="single" w:sz="8" w:color="CCFFCC"/>
            </w:tcBorders>
            <w:shd w:val="clear" w:color="auto" w:fill="CCFFCC"/>
          </w:tcPr>
          <w:p>
            <w:pPr>
              <w:spacing w:after="0"/>
              <w:rPr>
                <w:sz w:val="11"/>
                <w:szCs w:val="11"/>
                <w:color w:val="auto"/>
              </w:rPr>
            </w:pPr>
          </w:p>
        </w:tc>
        <w:tc>
          <w:tcPr>
            <w:tcW w:w="940" w:type="dxa"/>
            <w:vAlign w:val="bottom"/>
            <w:tcBorders>
              <w:top w:val="single" w:sz="8" w:color="auto"/>
            </w:tcBorders>
            <w:shd w:val="clear" w:color="auto" w:fill="CCFFCC"/>
          </w:tcPr>
          <w:p>
            <w:pPr>
              <w:spacing w:after="0"/>
              <w:rPr>
                <w:sz w:val="11"/>
                <w:szCs w:val="11"/>
                <w:color w:val="auto"/>
              </w:rPr>
            </w:pPr>
          </w:p>
        </w:tc>
        <w:tc>
          <w:tcPr>
            <w:tcW w:w="220" w:type="dxa"/>
            <w:vAlign w:val="bottom"/>
            <w:tcBorders>
              <w:top w:val="single" w:sz="8" w:color="CCFFCC"/>
            </w:tcBorders>
            <w:shd w:val="clear" w:color="auto" w:fill="CCFFCC"/>
          </w:tcPr>
          <w:p>
            <w:pPr>
              <w:spacing w:after="0"/>
              <w:rPr>
                <w:sz w:val="11"/>
                <w:szCs w:val="11"/>
                <w:color w:val="auto"/>
              </w:rPr>
            </w:pPr>
          </w:p>
        </w:tc>
        <w:tc>
          <w:tcPr>
            <w:tcW w:w="900" w:type="dxa"/>
            <w:vAlign w:val="bottom"/>
            <w:tcBorders>
              <w:top w:val="single" w:sz="8" w:color="auto"/>
            </w:tcBorders>
            <w:shd w:val="clear" w:color="auto" w:fill="CCFFCC"/>
          </w:tcPr>
          <w:p>
            <w:pPr>
              <w:spacing w:after="0"/>
              <w:rPr>
                <w:sz w:val="11"/>
                <w:szCs w:val="11"/>
                <w:color w:val="auto"/>
              </w:rPr>
            </w:pPr>
          </w:p>
        </w:tc>
        <w:tc>
          <w:tcPr>
            <w:tcW w:w="220" w:type="dxa"/>
            <w:vAlign w:val="bottom"/>
            <w:tcBorders>
              <w:top w:val="single" w:sz="8" w:color="CCFFCC"/>
            </w:tcBorders>
            <w:shd w:val="clear" w:color="auto" w:fill="CCFFCC"/>
          </w:tcPr>
          <w:p>
            <w:pPr>
              <w:spacing w:after="0"/>
              <w:rPr>
                <w:sz w:val="11"/>
                <w:szCs w:val="11"/>
                <w:color w:val="auto"/>
              </w:rPr>
            </w:pPr>
          </w:p>
        </w:tc>
        <w:tc>
          <w:tcPr>
            <w:tcW w:w="900" w:type="dxa"/>
            <w:vAlign w:val="bottom"/>
            <w:tcBorders>
              <w:top w:val="single" w:sz="8" w:color="auto"/>
            </w:tcBorders>
            <w:shd w:val="clear" w:color="auto" w:fill="CCFFCC"/>
          </w:tcPr>
          <w:p>
            <w:pPr>
              <w:spacing w:after="0"/>
              <w:rPr>
                <w:sz w:val="11"/>
                <w:szCs w:val="11"/>
                <w:color w:val="auto"/>
              </w:rPr>
            </w:pPr>
          </w:p>
        </w:tc>
        <w:tc>
          <w:tcPr>
            <w:tcW w:w="220" w:type="dxa"/>
            <w:vAlign w:val="bottom"/>
            <w:tcBorders>
              <w:top w:val="single" w:sz="8" w:color="CCFFCC"/>
            </w:tcBorders>
            <w:shd w:val="clear" w:color="auto" w:fill="CCFFCC"/>
          </w:tcPr>
          <w:p>
            <w:pPr>
              <w:spacing w:after="0"/>
              <w:rPr>
                <w:sz w:val="11"/>
                <w:szCs w:val="11"/>
                <w:color w:val="auto"/>
              </w:rPr>
            </w:pPr>
          </w:p>
        </w:tc>
        <w:tc>
          <w:tcPr>
            <w:tcW w:w="900" w:type="dxa"/>
            <w:vAlign w:val="bottom"/>
            <w:tcBorders>
              <w:top w:val="single" w:sz="8" w:color="auto"/>
            </w:tcBorders>
            <w:shd w:val="clear" w:color="auto" w:fill="CCFFCC"/>
          </w:tcPr>
          <w:p>
            <w:pPr>
              <w:spacing w:after="0"/>
              <w:rPr>
                <w:sz w:val="11"/>
                <w:szCs w:val="11"/>
                <w:color w:val="auto"/>
              </w:rPr>
            </w:pPr>
          </w:p>
        </w:tc>
        <w:tc>
          <w:tcPr>
            <w:tcW w:w="240" w:type="dxa"/>
            <w:vAlign w:val="bottom"/>
            <w:tcBorders>
              <w:top w:val="single" w:sz="8" w:color="CCFFCC"/>
            </w:tcBorders>
            <w:shd w:val="clear" w:color="auto" w:fill="CCFFCC"/>
          </w:tcPr>
          <w:p>
            <w:pPr>
              <w:spacing w:after="0"/>
              <w:rPr>
                <w:sz w:val="11"/>
                <w:szCs w:val="11"/>
                <w:color w:val="auto"/>
              </w:rPr>
            </w:pPr>
          </w:p>
        </w:tc>
        <w:tc>
          <w:tcPr>
            <w:tcW w:w="900" w:type="dxa"/>
            <w:vAlign w:val="bottom"/>
            <w:tcBorders>
              <w:top w:val="single" w:sz="8" w:color="auto"/>
            </w:tcBorders>
            <w:shd w:val="clear" w:color="auto" w:fill="CCFFCC"/>
          </w:tcPr>
          <w:p>
            <w:pPr>
              <w:spacing w:after="0"/>
              <w:rPr>
                <w:sz w:val="11"/>
                <w:szCs w:val="11"/>
                <w:color w:val="auto"/>
              </w:rPr>
            </w:pPr>
          </w:p>
        </w:tc>
        <w:tc>
          <w:tcPr>
            <w:tcW w:w="140" w:type="dxa"/>
            <w:vAlign w:val="bottom"/>
            <w:tcBorders>
              <w:top w:val="single" w:sz="8" w:color="CCFFCC"/>
            </w:tcBorders>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5820" w:type="dxa"/>
            <w:vAlign w:val="bottom"/>
            <w:gridSpan w:val="2"/>
          </w:tcPr>
          <w:p>
            <w:pPr>
              <w:spacing w:after="0" w:line="135" w:lineRule="exact"/>
              <w:rPr>
                <w:sz w:val="20"/>
                <w:szCs w:val="20"/>
                <w:color w:val="auto"/>
              </w:rPr>
            </w:pPr>
            <w:r>
              <w:rPr>
                <w:rFonts w:ascii="Arial" w:cs="Arial" w:eastAsia="Arial" w:hAnsi="Arial"/>
                <w:sz w:val="13"/>
                <w:szCs w:val="13"/>
                <w:color w:val="auto"/>
              </w:rPr>
              <w:t>Tier 1 (2)</w:t>
            </w:r>
          </w:p>
        </w:tc>
        <w:tc>
          <w:tcPr>
            <w:tcW w:w="1160" w:type="dxa"/>
            <w:vAlign w:val="bottom"/>
            <w:gridSpan w:val="2"/>
          </w:tcPr>
          <w:p>
            <w:pPr>
              <w:jc w:val="right"/>
              <w:ind w:right="162"/>
              <w:spacing w:after="0" w:line="135" w:lineRule="exact"/>
              <w:rPr>
                <w:sz w:val="20"/>
                <w:szCs w:val="20"/>
                <w:color w:val="auto"/>
              </w:rPr>
            </w:pPr>
            <w:r>
              <w:rPr>
                <w:rFonts w:ascii="Arial" w:cs="Arial" w:eastAsia="Arial" w:hAnsi="Arial"/>
                <w:sz w:val="13"/>
                <w:szCs w:val="13"/>
                <w:color w:val="auto"/>
              </w:rPr>
              <w:t>2,405,255</w:t>
            </w:r>
          </w:p>
        </w:tc>
        <w:tc>
          <w:tcPr>
            <w:tcW w:w="1120" w:type="dxa"/>
            <w:vAlign w:val="bottom"/>
            <w:gridSpan w:val="2"/>
          </w:tcPr>
          <w:p>
            <w:pPr>
              <w:jc w:val="right"/>
              <w:ind w:right="162"/>
              <w:spacing w:after="0" w:line="135" w:lineRule="exact"/>
              <w:rPr>
                <w:sz w:val="20"/>
                <w:szCs w:val="20"/>
                <w:color w:val="auto"/>
              </w:rPr>
            </w:pPr>
            <w:r>
              <w:rPr>
                <w:rFonts w:ascii="Arial" w:cs="Arial" w:eastAsia="Arial" w:hAnsi="Arial"/>
                <w:sz w:val="13"/>
                <w:szCs w:val="13"/>
                <w:color w:val="auto"/>
              </w:rPr>
              <w:t>2,193,632</w:t>
            </w: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1,906,509</w:t>
            </w:r>
          </w:p>
        </w:tc>
        <w:tc>
          <w:tcPr>
            <w:tcW w:w="220" w:type="dxa"/>
            <w:vAlign w:val="bottom"/>
          </w:tcPr>
          <w:p>
            <w:pPr>
              <w:spacing w:after="0"/>
              <w:rPr>
                <w:sz w:val="11"/>
                <w:szCs w:val="11"/>
                <w:color w:val="auto"/>
              </w:rPr>
            </w:pPr>
          </w:p>
        </w:tc>
        <w:tc>
          <w:tcPr>
            <w:tcW w:w="11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9.6%</w:t>
            </w:r>
          </w:p>
        </w:tc>
        <w:tc>
          <w:tcPr>
            <w:tcW w:w="10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gridSpan w:val="2"/>
            <w:shd w:val="clear" w:color="auto" w:fill="CCFFCC"/>
          </w:tcPr>
          <w:p>
            <w:pPr>
              <w:spacing w:after="0"/>
              <w:rPr>
                <w:sz w:val="20"/>
                <w:szCs w:val="20"/>
                <w:color w:val="auto"/>
              </w:rPr>
            </w:pPr>
            <w:r>
              <w:rPr>
                <w:rFonts w:ascii="Arial" w:cs="Arial" w:eastAsia="Arial" w:hAnsi="Arial"/>
                <w:sz w:val="13"/>
                <w:szCs w:val="13"/>
                <w:color w:val="auto"/>
              </w:rPr>
              <w:t>Tier 2 (3) + Tier 3 (4)</w:t>
            </w:r>
          </w:p>
        </w:tc>
        <w:tc>
          <w:tcPr>
            <w:tcW w:w="1160" w:type="dxa"/>
            <w:vAlign w:val="bottom"/>
            <w:gridSpan w:val="2"/>
            <w:shd w:val="clear" w:color="auto" w:fill="CCFFCC"/>
          </w:tcPr>
          <w:p>
            <w:pPr>
              <w:jc w:val="right"/>
              <w:ind w:right="162"/>
              <w:spacing w:after="0"/>
              <w:rPr>
                <w:sz w:val="20"/>
                <w:szCs w:val="20"/>
                <w:color w:val="auto"/>
              </w:rPr>
            </w:pPr>
            <w:r>
              <w:rPr>
                <w:rFonts w:ascii="Arial" w:cs="Arial" w:eastAsia="Arial" w:hAnsi="Arial"/>
                <w:sz w:val="13"/>
                <w:szCs w:val="13"/>
                <w:color w:val="auto"/>
              </w:rPr>
              <w:t>1,096,853</w:t>
            </w:r>
          </w:p>
        </w:tc>
        <w:tc>
          <w:tcPr>
            <w:tcW w:w="1120" w:type="dxa"/>
            <w:vAlign w:val="bottom"/>
            <w:gridSpan w:val="2"/>
            <w:shd w:val="clear" w:color="auto" w:fill="CCFFCC"/>
          </w:tcPr>
          <w:p>
            <w:pPr>
              <w:jc w:val="right"/>
              <w:ind w:right="162"/>
              <w:spacing w:after="0"/>
              <w:rPr>
                <w:sz w:val="20"/>
                <w:szCs w:val="20"/>
                <w:color w:val="auto"/>
              </w:rPr>
            </w:pPr>
            <w:r>
              <w:rPr>
                <w:rFonts w:ascii="Arial" w:cs="Arial" w:eastAsia="Arial" w:hAnsi="Arial"/>
                <w:sz w:val="13"/>
                <w:szCs w:val="13"/>
                <w:color w:val="auto"/>
              </w:rPr>
              <w:t>1,007,903</w:t>
            </w:r>
          </w:p>
        </w:tc>
        <w:tc>
          <w:tcPr>
            <w:tcW w:w="900" w:type="dxa"/>
            <w:vAlign w:val="bottom"/>
            <w:shd w:val="clear" w:color="auto" w:fill="CCFFCC"/>
          </w:tcPr>
          <w:p>
            <w:pPr>
              <w:jc w:val="right"/>
              <w:spacing w:after="0"/>
              <w:rPr>
                <w:sz w:val="20"/>
                <w:szCs w:val="20"/>
                <w:color w:val="auto"/>
              </w:rPr>
            </w:pPr>
            <w:r>
              <w:rPr>
                <w:rFonts w:ascii="Arial" w:cs="Arial" w:eastAsia="Arial" w:hAnsi="Arial"/>
                <w:sz w:val="13"/>
                <w:szCs w:val="13"/>
                <w:color w:val="auto"/>
              </w:rPr>
              <w:t>764,689</w:t>
            </w:r>
          </w:p>
        </w:tc>
        <w:tc>
          <w:tcPr>
            <w:tcW w:w="22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8.8%</w:t>
            </w:r>
          </w:p>
        </w:tc>
        <w:tc>
          <w:tcPr>
            <w:tcW w:w="1040" w:type="dxa"/>
            <w:vAlign w:val="bottom"/>
            <w:gridSpan w:val="2"/>
            <w:shd w:val="clear" w:color="auto" w:fill="CCFFCC"/>
          </w:tcPr>
          <w:p>
            <w:pPr>
              <w:jc w:val="right"/>
              <w:ind w:right="40"/>
              <w:spacing w:after="0"/>
              <w:rPr>
                <w:sz w:val="20"/>
                <w:szCs w:val="20"/>
                <w:color w:val="auto"/>
              </w:rPr>
            </w:pPr>
            <w:r>
              <w:rPr>
                <w:rFonts w:ascii="Arial" w:cs="Arial" w:eastAsia="Arial" w:hAnsi="Arial"/>
                <w:sz w:val="13"/>
                <w:szCs w:val="13"/>
                <w:color w:val="auto"/>
              </w:rPr>
              <w:t>43.4%</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820" w:type="dxa"/>
            <w:vAlign w:val="bottom"/>
            <w:gridSpan w:val="2"/>
            <w:shd w:val="clear" w:color="auto" w:fill="CCFFCC"/>
          </w:tcPr>
          <w:p>
            <w:pPr>
              <w:spacing w:after="0"/>
              <w:rPr>
                <w:sz w:val="20"/>
                <w:szCs w:val="20"/>
                <w:color w:val="auto"/>
              </w:rPr>
            </w:pPr>
            <w:r>
              <w:rPr>
                <w:rFonts w:ascii="Arial" w:cs="Arial" w:eastAsia="Arial" w:hAnsi="Arial"/>
                <w:sz w:val="13"/>
                <w:szCs w:val="13"/>
                <w:b w:val="1"/>
                <w:bCs w:val="1"/>
                <w:color w:val="auto"/>
              </w:rPr>
              <w:t>Total risk-weighted assets</w:t>
            </w:r>
          </w:p>
        </w:tc>
        <w:tc>
          <w:tcPr>
            <w:tcW w:w="940" w:type="dxa"/>
            <w:vAlign w:val="bottom"/>
            <w:shd w:val="clear" w:color="auto" w:fill="CCFFCC"/>
          </w:tcPr>
          <w:p>
            <w:pPr>
              <w:jc w:val="right"/>
              <w:spacing w:after="0"/>
              <w:rPr>
                <w:sz w:val="20"/>
                <w:szCs w:val="20"/>
                <w:color w:val="auto"/>
              </w:rPr>
            </w:pPr>
            <w:r>
              <w:rPr>
                <w:rFonts w:ascii="Arial" w:cs="Arial" w:eastAsia="Arial" w:hAnsi="Arial"/>
                <w:sz w:val="13"/>
                <w:szCs w:val="13"/>
                <w:b w:val="1"/>
                <w:bCs w:val="1"/>
                <w:color w:val="auto"/>
              </w:rPr>
              <w:t>23,789,338</w:t>
            </w: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3"/>
                <w:szCs w:val="13"/>
                <w:b w:val="1"/>
                <w:bCs w:val="1"/>
                <w:color w:val="auto"/>
              </w:rPr>
              <w:t>22,687,882</w:t>
            </w: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3"/>
                <w:szCs w:val="13"/>
                <w:b w:val="1"/>
                <w:bCs w:val="1"/>
                <w:color w:val="auto"/>
              </w:rPr>
              <w:t>18,382,429</w:t>
            </w:r>
          </w:p>
        </w:tc>
        <w:tc>
          <w:tcPr>
            <w:tcW w:w="22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b w:val="1"/>
                <w:bCs w:val="1"/>
                <w:color w:val="auto"/>
              </w:rPr>
              <w:t>4.9%</w:t>
            </w: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3"/>
                <w:szCs w:val="13"/>
                <w:b w:val="1"/>
                <w:bCs w:val="1"/>
                <w:color w:val="auto"/>
              </w:rPr>
              <w:t>29.4%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gridSpan w:val="2"/>
            <w:vMerge w:val="restart"/>
          </w:tcPr>
          <w:p>
            <w:pPr>
              <w:spacing w:after="0"/>
              <w:rPr>
                <w:sz w:val="20"/>
                <w:szCs w:val="20"/>
                <w:color w:val="auto"/>
              </w:rPr>
            </w:pPr>
            <w:r>
              <w:rPr>
                <w:rFonts w:ascii="Arial" w:cs="Arial" w:eastAsia="Arial" w:hAnsi="Arial"/>
                <w:sz w:val="13"/>
                <w:szCs w:val="13"/>
                <w:color w:val="auto"/>
              </w:rPr>
              <w:t>Market risk-weighted assets (5)</w:t>
            </w:r>
          </w:p>
        </w:tc>
        <w:tc>
          <w:tcPr>
            <w:tcW w:w="9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5820" w:type="dxa"/>
            <w:vAlign w:val="bottom"/>
            <w:gridSpan w:val="2"/>
            <w:vMerge w:val="continue"/>
          </w:tcPr>
          <w:p>
            <w:pPr>
              <w:spacing w:after="0"/>
              <w:rPr>
                <w:sz w:val="11"/>
                <w:szCs w:val="11"/>
                <w:color w:val="auto"/>
              </w:rPr>
            </w:pPr>
          </w:p>
        </w:tc>
        <w:tc>
          <w:tcPr>
            <w:tcW w:w="940" w:type="dxa"/>
            <w:vAlign w:val="bottom"/>
          </w:tcPr>
          <w:p>
            <w:pPr>
              <w:jc w:val="right"/>
              <w:spacing w:after="0" w:line="129" w:lineRule="exact"/>
              <w:rPr>
                <w:sz w:val="20"/>
                <w:szCs w:val="20"/>
                <w:color w:val="auto"/>
              </w:rPr>
            </w:pPr>
            <w:r>
              <w:rPr>
                <w:rFonts w:ascii="Arial" w:cs="Arial" w:eastAsia="Arial" w:hAnsi="Arial"/>
                <w:sz w:val="13"/>
                <w:szCs w:val="13"/>
                <w:color w:val="auto"/>
              </w:rPr>
              <w:t>488,910</w:t>
            </w:r>
          </w:p>
        </w:tc>
        <w:tc>
          <w:tcPr>
            <w:tcW w:w="220" w:type="dxa"/>
            <w:vAlign w:val="bottom"/>
            <w:vMerge w:val="continue"/>
          </w:tcPr>
          <w:p>
            <w:pPr>
              <w:spacing w:after="0"/>
              <w:rPr>
                <w:sz w:val="11"/>
                <w:szCs w:val="11"/>
                <w:color w:val="auto"/>
              </w:rPr>
            </w:pPr>
          </w:p>
        </w:tc>
        <w:tc>
          <w:tcPr>
            <w:tcW w:w="900" w:type="dxa"/>
            <w:vAlign w:val="bottom"/>
          </w:tcPr>
          <w:p>
            <w:pPr>
              <w:jc w:val="right"/>
              <w:spacing w:after="0" w:line="129" w:lineRule="exact"/>
              <w:rPr>
                <w:sz w:val="20"/>
                <w:szCs w:val="20"/>
                <w:color w:val="auto"/>
              </w:rPr>
            </w:pPr>
            <w:r>
              <w:rPr>
                <w:rFonts w:ascii="Arial" w:cs="Arial" w:eastAsia="Arial" w:hAnsi="Arial"/>
                <w:sz w:val="13"/>
                <w:szCs w:val="13"/>
                <w:color w:val="auto"/>
              </w:rPr>
              <w:t>783,651</w:t>
            </w:r>
          </w:p>
        </w:tc>
        <w:tc>
          <w:tcPr>
            <w:tcW w:w="220" w:type="dxa"/>
            <w:vAlign w:val="bottom"/>
            <w:vMerge w:val="continue"/>
          </w:tcPr>
          <w:p>
            <w:pPr>
              <w:spacing w:after="0"/>
              <w:rPr>
                <w:sz w:val="11"/>
                <w:szCs w:val="11"/>
                <w:color w:val="auto"/>
              </w:rPr>
            </w:pPr>
          </w:p>
        </w:tc>
        <w:tc>
          <w:tcPr>
            <w:tcW w:w="900" w:type="dxa"/>
            <w:vAlign w:val="bottom"/>
          </w:tcPr>
          <w:p>
            <w:pPr>
              <w:jc w:val="right"/>
              <w:spacing w:after="0" w:line="129" w:lineRule="exact"/>
              <w:rPr>
                <w:sz w:val="20"/>
                <w:szCs w:val="20"/>
                <w:color w:val="auto"/>
              </w:rPr>
            </w:pPr>
            <w:r>
              <w:rPr>
                <w:rFonts w:ascii="Arial" w:cs="Arial" w:eastAsia="Arial" w:hAnsi="Arial"/>
                <w:sz w:val="13"/>
                <w:szCs w:val="13"/>
                <w:color w:val="auto"/>
              </w:rPr>
              <w:t>602,351</w:t>
            </w:r>
          </w:p>
        </w:tc>
        <w:tc>
          <w:tcPr>
            <w:tcW w:w="220" w:type="dxa"/>
            <w:vAlign w:val="bottom"/>
          </w:tcPr>
          <w:p>
            <w:pPr>
              <w:spacing w:after="0"/>
              <w:rPr>
                <w:sz w:val="11"/>
                <w:szCs w:val="11"/>
                <w:color w:val="auto"/>
              </w:rPr>
            </w:pPr>
          </w:p>
        </w:tc>
        <w:tc>
          <w:tcPr>
            <w:tcW w:w="1140" w:type="dxa"/>
            <w:vAlign w:val="bottom"/>
            <w:gridSpan w:val="2"/>
          </w:tcPr>
          <w:p>
            <w:pPr>
              <w:jc w:val="right"/>
              <w:ind w:right="140"/>
              <w:spacing w:after="0" w:line="129" w:lineRule="exact"/>
              <w:rPr>
                <w:sz w:val="20"/>
                <w:szCs w:val="20"/>
                <w:color w:val="auto"/>
              </w:rPr>
            </w:pPr>
            <w:r>
              <w:rPr>
                <w:rFonts w:ascii="Arial" w:cs="Arial" w:eastAsia="Arial" w:hAnsi="Arial"/>
                <w:sz w:val="13"/>
                <w:szCs w:val="13"/>
                <w:color w:val="auto"/>
              </w:rPr>
              <w:t>-37.6%</w:t>
            </w:r>
          </w:p>
        </w:tc>
        <w:tc>
          <w:tcPr>
            <w:tcW w:w="1040" w:type="dxa"/>
            <w:vAlign w:val="bottom"/>
            <w:gridSpan w:val="2"/>
          </w:tcPr>
          <w:p>
            <w:pPr>
              <w:jc w:val="right"/>
              <w:ind w:right="40"/>
              <w:spacing w:after="0" w:line="129" w:lineRule="exact"/>
              <w:rPr>
                <w:sz w:val="20"/>
                <w:szCs w:val="20"/>
                <w:color w:val="auto"/>
              </w:rPr>
            </w:pPr>
            <w:r>
              <w:rPr>
                <w:rFonts w:ascii="Arial" w:cs="Arial" w:eastAsia="Arial" w:hAnsi="Arial"/>
                <w:sz w:val="13"/>
                <w:szCs w:val="13"/>
                <w:color w:val="auto"/>
              </w:rPr>
              <w:t>-18.8%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2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Credit risk-weighted assets</w:t>
            </w:r>
          </w:p>
        </w:tc>
        <w:tc>
          <w:tcPr>
            <w:tcW w:w="1160" w:type="dxa"/>
            <w:vAlign w:val="bottom"/>
            <w:gridSpan w:val="2"/>
            <w:shd w:val="clear" w:color="auto" w:fill="CCFFCC"/>
          </w:tcPr>
          <w:p>
            <w:pPr>
              <w:jc w:val="right"/>
              <w:ind w:right="162"/>
              <w:spacing w:after="0" w:line="135" w:lineRule="exact"/>
              <w:rPr>
                <w:sz w:val="20"/>
                <w:szCs w:val="20"/>
                <w:color w:val="auto"/>
              </w:rPr>
            </w:pPr>
            <w:r>
              <w:rPr>
                <w:rFonts w:ascii="Arial" w:cs="Arial" w:eastAsia="Arial" w:hAnsi="Arial"/>
                <w:sz w:val="13"/>
                <w:szCs w:val="13"/>
                <w:color w:val="auto"/>
              </w:rPr>
              <w:t>22,074,645</w:t>
            </w:r>
          </w:p>
        </w:tc>
        <w:tc>
          <w:tcPr>
            <w:tcW w:w="1120" w:type="dxa"/>
            <w:vAlign w:val="bottom"/>
            <w:gridSpan w:val="2"/>
            <w:shd w:val="clear" w:color="auto" w:fill="CCFFCC"/>
          </w:tcPr>
          <w:p>
            <w:pPr>
              <w:jc w:val="right"/>
              <w:ind w:right="162"/>
              <w:spacing w:after="0" w:line="135" w:lineRule="exact"/>
              <w:rPr>
                <w:sz w:val="20"/>
                <w:szCs w:val="20"/>
                <w:color w:val="auto"/>
              </w:rPr>
            </w:pPr>
            <w:r>
              <w:rPr>
                <w:rFonts w:ascii="Arial" w:cs="Arial" w:eastAsia="Arial" w:hAnsi="Arial"/>
                <w:sz w:val="13"/>
                <w:szCs w:val="13"/>
                <w:color w:val="auto"/>
              </w:rPr>
              <w:t>20,744,731</w:t>
            </w:r>
          </w:p>
        </w:tc>
        <w:tc>
          <w:tcPr>
            <w:tcW w:w="1120" w:type="dxa"/>
            <w:vAlign w:val="bottom"/>
            <w:gridSpan w:val="2"/>
            <w:shd w:val="clear" w:color="auto" w:fill="CCFFCC"/>
          </w:tcPr>
          <w:p>
            <w:pPr>
              <w:jc w:val="right"/>
              <w:ind w:right="162"/>
              <w:spacing w:after="0" w:line="135" w:lineRule="exact"/>
              <w:rPr>
                <w:sz w:val="20"/>
                <w:szCs w:val="20"/>
                <w:color w:val="auto"/>
              </w:rPr>
            </w:pPr>
            <w:r>
              <w:rPr>
                <w:rFonts w:ascii="Arial" w:cs="Arial" w:eastAsia="Arial" w:hAnsi="Arial"/>
                <w:sz w:val="13"/>
                <w:szCs w:val="13"/>
                <w:color w:val="auto"/>
              </w:rPr>
              <w:t>16,960,579</w:t>
            </w:r>
          </w:p>
        </w:tc>
        <w:tc>
          <w:tcPr>
            <w:tcW w:w="11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6.4%</w:t>
            </w:r>
          </w:p>
        </w:tc>
        <w:tc>
          <w:tcPr>
            <w:tcW w:w="104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30.2%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gridSpan w:val="2"/>
          </w:tcPr>
          <w:p>
            <w:pPr>
              <w:spacing w:after="0"/>
              <w:rPr>
                <w:sz w:val="20"/>
                <w:szCs w:val="20"/>
                <w:color w:val="auto"/>
              </w:rPr>
            </w:pPr>
            <w:r>
              <w:rPr>
                <w:rFonts w:ascii="Arial" w:cs="Arial" w:eastAsia="Arial" w:hAnsi="Arial"/>
                <w:sz w:val="13"/>
                <w:szCs w:val="13"/>
                <w:color w:val="auto"/>
              </w:rPr>
              <w:t>Operational risk-weighted assets</w:t>
            </w:r>
          </w:p>
        </w:tc>
        <w:tc>
          <w:tcPr>
            <w:tcW w:w="1160" w:type="dxa"/>
            <w:vAlign w:val="bottom"/>
            <w:gridSpan w:val="2"/>
          </w:tcPr>
          <w:p>
            <w:pPr>
              <w:jc w:val="right"/>
              <w:ind w:right="162"/>
              <w:spacing w:after="0"/>
              <w:rPr>
                <w:sz w:val="20"/>
                <w:szCs w:val="20"/>
                <w:color w:val="auto"/>
              </w:rPr>
            </w:pPr>
            <w:r>
              <w:rPr>
                <w:rFonts w:ascii="Arial" w:cs="Arial" w:eastAsia="Arial" w:hAnsi="Arial"/>
                <w:sz w:val="13"/>
                <w:szCs w:val="13"/>
                <w:color w:val="auto"/>
              </w:rPr>
              <w:t>1,225,784</w:t>
            </w:r>
          </w:p>
        </w:tc>
        <w:tc>
          <w:tcPr>
            <w:tcW w:w="1120" w:type="dxa"/>
            <w:vAlign w:val="bottom"/>
            <w:gridSpan w:val="2"/>
          </w:tcPr>
          <w:p>
            <w:pPr>
              <w:jc w:val="right"/>
              <w:ind w:right="162"/>
              <w:spacing w:after="0"/>
              <w:rPr>
                <w:sz w:val="20"/>
                <w:szCs w:val="20"/>
                <w:color w:val="auto"/>
              </w:rPr>
            </w:pPr>
            <w:r>
              <w:rPr>
                <w:rFonts w:ascii="Arial" w:cs="Arial" w:eastAsia="Arial" w:hAnsi="Arial"/>
                <w:sz w:val="13"/>
                <w:szCs w:val="13"/>
                <w:color w:val="auto"/>
              </w:rPr>
              <w:t>1,159,500</w:t>
            </w:r>
          </w:p>
        </w:tc>
        <w:tc>
          <w:tcPr>
            <w:tcW w:w="900" w:type="dxa"/>
            <w:vAlign w:val="bottom"/>
          </w:tcPr>
          <w:p>
            <w:pPr>
              <w:jc w:val="right"/>
              <w:spacing w:after="0"/>
              <w:rPr>
                <w:sz w:val="20"/>
                <w:szCs w:val="20"/>
                <w:color w:val="auto"/>
              </w:rPr>
            </w:pPr>
            <w:r>
              <w:rPr>
                <w:rFonts w:ascii="Arial" w:cs="Arial" w:eastAsia="Arial" w:hAnsi="Arial"/>
                <w:sz w:val="13"/>
                <w:szCs w:val="13"/>
                <w:color w:val="auto"/>
              </w:rPr>
              <w:t>819,499</w:t>
            </w:r>
          </w:p>
        </w:tc>
        <w:tc>
          <w:tcPr>
            <w:tcW w:w="220" w:type="dxa"/>
            <w:vAlign w:val="bottom"/>
          </w:tcPr>
          <w:p>
            <w:pPr>
              <w:spacing w:after="0"/>
              <w:rPr>
                <w:sz w:val="12"/>
                <w:szCs w:val="12"/>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5.7%</w:t>
            </w:r>
          </w:p>
        </w:tc>
        <w:tc>
          <w:tcPr>
            <w:tcW w:w="1040" w:type="dxa"/>
            <w:vAlign w:val="bottom"/>
            <w:gridSpan w:val="2"/>
          </w:tcPr>
          <w:p>
            <w:pPr>
              <w:jc w:val="right"/>
              <w:ind w:right="40"/>
              <w:spacing w:after="0"/>
              <w:rPr>
                <w:sz w:val="20"/>
                <w:szCs w:val="20"/>
                <w:color w:val="auto"/>
              </w:rPr>
            </w:pPr>
            <w:r>
              <w:rPr>
                <w:rFonts w:ascii="Arial" w:cs="Arial" w:eastAsia="Arial" w:hAnsi="Arial"/>
                <w:sz w:val="13"/>
                <w:szCs w:val="13"/>
                <w:color w:val="auto"/>
              </w:rPr>
              <w:t>49.6%</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700" w:type="dxa"/>
            <w:vAlign w:val="bottom"/>
            <w:tcBorders>
              <w:top w:val="single" w:sz="8" w:color="CCFFCC"/>
            </w:tcBorders>
            <w:shd w:val="clear" w:color="auto" w:fill="CCFFCC"/>
          </w:tcPr>
          <w:p>
            <w:pPr>
              <w:spacing w:after="0"/>
              <w:rPr>
                <w:sz w:val="11"/>
                <w:szCs w:val="11"/>
                <w:color w:val="auto"/>
              </w:rPr>
            </w:pPr>
          </w:p>
        </w:tc>
        <w:tc>
          <w:tcPr>
            <w:tcW w:w="120" w:type="dxa"/>
            <w:vAlign w:val="bottom"/>
            <w:tcBorders>
              <w:top w:val="single" w:sz="8" w:color="CCFFCC"/>
            </w:tcBorders>
            <w:shd w:val="clear" w:color="auto" w:fill="CCFFCC"/>
          </w:tcPr>
          <w:p>
            <w:pPr>
              <w:spacing w:after="0"/>
              <w:rPr>
                <w:sz w:val="11"/>
                <w:szCs w:val="11"/>
                <w:color w:val="auto"/>
              </w:rPr>
            </w:pPr>
          </w:p>
        </w:tc>
        <w:tc>
          <w:tcPr>
            <w:tcW w:w="940" w:type="dxa"/>
            <w:vAlign w:val="bottom"/>
            <w:tcBorders>
              <w:top w:val="single" w:sz="8" w:color="auto"/>
            </w:tcBorders>
            <w:shd w:val="clear" w:color="auto" w:fill="CCFFCC"/>
          </w:tcPr>
          <w:p>
            <w:pPr>
              <w:spacing w:after="0"/>
              <w:rPr>
                <w:sz w:val="11"/>
                <w:szCs w:val="11"/>
                <w:color w:val="auto"/>
              </w:rPr>
            </w:pPr>
          </w:p>
        </w:tc>
        <w:tc>
          <w:tcPr>
            <w:tcW w:w="220" w:type="dxa"/>
            <w:vAlign w:val="bottom"/>
            <w:tcBorders>
              <w:top w:val="single" w:sz="8" w:color="CCFFCC"/>
            </w:tcBorders>
            <w:shd w:val="clear" w:color="auto" w:fill="CCFFCC"/>
          </w:tcPr>
          <w:p>
            <w:pPr>
              <w:spacing w:after="0"/>
              <w:rPr>
                <w:sz w:val="11"/>
                <w:szCs w:val="11"/>
                <w:color w:val="auto"/>
              </w:rPr>
            </w:pPr>
          </w:p>
        </w:tc>
        <w:tc>
          <w:tcPr>
            <w:tcW w:w="900" w:type="dxa"/>
            <w:vAlign w:val="bottom"/>
            <w:tcBorders>
              <w:top w:val="single" w:sz="8" w:color="auto"/>
            </w:tcBorders>
            <w:shd w:val="clear" w:color="auto" w:fill="CCFFCC"/>
          </w:tcPr>
          <w:p>
            <w:pPr>
              <w:spacing w:after="0"/>
              <w:rPr>
                <w:sz w:val="11"/>
                <w:szCs w:val="11"/>
                <w:color w:val="auto"/>
              </w:rPr>
            </w:pPr>
          </w:p>
        </w:tc>
        <w:tc>
          <w:tcPr>
            <w:tcW w:w="220" w:type="dxa"/>
            <w:vAlign w:val="bottom"/>
            <w:tcBorders>
              <w:top w:val="single" w:sz="8" w:color="CCFFCC"/>
            </w:tcBorders>
            <w:shd w:val="clear" w:color="auto" w:fill="CCFFCC"/>
          </w:tcPr>
          <w:p>
            <w:pPr>
              <w:spacing w:after="0"/>
              <w:rPr>
                <w:sz w:val="11"/>
                <w:szCs w:val="11"/>
                <w:color w:val="auto"/>
              </w:rPr>
            </w:pPr>
          </w:p>
        </w:tc>
        <w:tc>
          <w:tcPr>
            <w:tcW w:w="900" w:type="dxa"/>
            <w:vAlign w:val="bottom"/>
            <w:tcBorders>
              <w:top w:val="single" w:sz="8" w:color="auto"/>
            </w:tcBorders>
            <w:shd w:val="clear" w:color="auto" w:fill="CCFFCC"/>
          </w:tcPr>
          <w:p>
            <w:pPr>
              <w:spacing w:after="0"/>
              <w:rPr>
                <w:sz w:val="11"/>
                <w:szCs w:val="11"/>
                <w:color w:val="auto"/>
              </w:rPr>
            </w:pPr>
          </w:p>
        </w:tc>
        <w:tc>
          <w:tcPr>
            <w:tcW w:w="220" w:type="dxa"/>
            <w:vAlign w:val="bottom"/>
            <w:tcBorders>
              <w:top w:val="single" w:sz="8" w:color="CCFFCC"/>
            </w:tcBorders>
            <w:shd w:val="clear" w:color="auto" w:fill="CCFFCC"/>
          </w:tcPr>
          <w:p>
            <w:pPr>
              <w:spacing w:after="0"/>
              <w:rPr>
                <w:sz w:val="11"/>
                <w:szCs w:val="11"/>
                <w:color w:val="auto"/>
              </w:rPr>
            </w:pPr>
          </w:p>
        </w:tc>
        <w:tc>
          <w:tcPr>
            <w:tcW w:w="900" w:type="dxa"/>
            <w:vAlign w:val="bottom"/>
            <w:tcBorders>
              <w:top w:val="single" w:sz="8" w:color="auto"/>
            </w:tcBorders>
            <w:shd w:val="clear" w:color="auto" w:fill="CCFFCC"/>
          </w:tcPr>
          <w:p>
            <w:pPr>
              <w:spacing w:after="0"/>
              <w:rPr>
                <w:sz w:val="11"/>
                <w:szCs w:val="11"/>
                <w:color w:val="auto"/>
              </w:rPr>
            </w:pPr>
          </w:p>
        </w:tc>
        <w:tc>
          <w:tcPr>
            <w:tcW w:w="240" w:type="dxa"/>
            <w:vAlign w:val="bottom"/>
            <w:tcBorders>
              <w:top w:val="single" w:sz="8" w:color="CCFFCC"/>
            </w:tcBorders>
            <w:shd w:val="clear" w:color="auto" w:fill="CCFFCC"/>
          </w:tcPr>
          <w:p>
            <w:pPr>
              <w:spacing w:after="0"/>
              <w:rPr>
                <w:sz w:val="11"/>
                <w:szCs w:val="11"/>
                <w:color w:val="auto"/>
              </w:rPr>
            </w:pPr>
          </w:p>
        </w:tc>
        <w:tc>
          <w:tcPr>
            <w:tcW w:w="900" w:type="dxa"/>
            <w:vAlign w:val="bottom"/>
            <w:tcBorders>
              <w:top w:val="single" w:sz="8" w:color="auto"/>
            </w:tcBorders>
            <w:shd w:val="clear" w:color="auto" w:fill="CCFFCC"/>
          </w:tcPr>
          <w:p>
            <w:pPr>
              <w:spacing w:after="0"/>
              <w:rPr>
                <w:sz w:val="11"/>
                <w:szCs w:val="11"/>
                <w:color w:val="auto"/>
              </w:rPr>
            </w:pPr>
          </w:p>
        </w:tc>
        <w:tc>
          <w:tcPr>
            <w:tcW w:w="140" w:type="dxa"/>
            <w:vAlign w:val="bottom"/>
            <w:tcBorders>
              <w:top w:val="single" w:sz="8" w:color="CCFFCC"/>
            </w:tcBorders>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5820" w:type="dxa"/>
            <w:vAlign w:val="bottom"/>
            <w:gridSpan w:val="2"/>
          </w:tcPr>
          <w:p>
            <w:pPr>
              <w:spacing w:after="0" w:line="135" w:lineRule="exact"/>
              <w:rPr>
                <w:sz w:val="20"/>
                <w:szCs w:val="20"/>
                <w:color w:val="auto"/>
              </w:rPr>
            </w:pPr>
            <w:r>
              <w:rPr>
                <w:rFonts w:ascii="Arial" w:cs="Arial" w:eastAsia="Arial" w:hAnsi="Arial"/>
                <w:sz w:val="13"/>
                <w:szCs w:val="13"/>
                <w:color w:val="auto"/>
              </w:rPr>
              <w:t>Market risk capital requirement</w:t>
            </w:r>
          </w:p>
        </w:tc>
        <w:tc>
          <w:tcPr>
            <w:tcW w:w="1160" w:type="dxa"/>
            <w:vAlign w:val="bottom"/>
            <w:gridSpan w:val="2"/>
          </w:tcPr>
          <w:p>
            <w:pPr>
              <w:jc w:val="right"/>
              <w:ind w:right="162"/>
              <w:spacing w:after="0" w:line="135" w:lineRule="exact"/>
              <w:rPr>
                <w:sz w:val="20"/>
                <w:szCs w:val="20"/>
                <w:color w:val="auto"/>
              </w:rPr>
            </w:pPr>
            <w:r>
              <w:rPr>
                <w:rFonts w:ascii="Arial" w:cs="Arial" w:eastAsia="Arial" w:hAnsi="Arial"/>
                <w:sz w:val="13"/>
                <w:szCs w:val="13"/>
                <w:color w:val="auto"/>
              </w:rPr>
              <w:t>48,891</w:t>
            </w:r>
          </w:p>
        </w:tc>
        <w:tc>
          <w:tcPr>
            <w:tcW w:w="1120" w:type="dxa"/>
            <w:vAlign w:val="bottom"/>
            <w:gridSpan w:val="2"/>
          </w:tcPr>
          <w:p>
            <w:pPr>
              <w:jc w:val="right"/>
              <w:ind w:right="162"/>
              <w:spacing w:after="0" w:line="135" w:lineRule="exact"/>
              <w:rPr>
                <w:sz w:val="20"/>
                <w:szCs w:val="20"/>
                <w:color w:val="auto"/>
              </w:rPr>
            </w:pPr>
            <w:r>
              <w:rPr>
                <w:rFonts w:ascii="Arial" w:cs="Arial" w:eastAsia="Arial" w:hAnsi="Arial"/>
                <w:sz w:val="13"/>
                <w:szCs w:val="13"/>
                <w:color w:val="auto"/>
              </w:rPr>
              <w:t>78,365</w:t>
            </w:r>
          </w:p>
        </w:tc>
        <w:tc>
          <w:tcPr>
            <w:tcW w:w="1120" w:type="dxa"/>
            <w:vAlign w:val="bottom"/>
            <w:gridSpan w:val="2"/>
          </w:tcPr>
          <w:p>
            <w:pPr>
              <w:jc w:val="right"/>
              <w:ind w:right="162"/>
              <w:spacing w:after="0" w:line="135" w:lineRule="exact"/>
              <w:rPr>
                <w:sz w:val="20"/>
                <w:szCs w:val="20"/>
                <w:color w:val="auto"/>
              </w:rPr>
            </w:pPr>
            <w:r>
              <w:rPr>
                <w:rFonts w:ascii="Arial" w:cs="Arial" w:eastAsia="Arial" w:hAnsi="Arial"/>
                <w:sz w:val="13"/>
                <w:szCs w:val="13"/>
                <w:color w:val="auto"/>
              </w:rPr>
              <w:t>59,030</w:t>
            </w:r>
          </w:p>
        </w:tc>
        <w:tc>
          <w:tcPr>
            <w:tcW w:w="11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-37.6%</w:t>
            </w:r>
          </w:p>
        </w:tc>
        <w:tc>
          <w:tcPr>
            <w:tcW w:w="10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-17.2%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2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Credit risk capital requirement</w:t>
            </w:r>
          </w:p>
        </w:tc>
        <w:tc>
          <w:tcPr>
            <w:tcW w:w="1160" w:type="dxa"/>
            <w:vAlign w:val="bottom"/>
            <w:gridSpan w:val="2"/>
            <w:shd w:val="clear" w:color="auto" w:fill="CCFFCC"/>
          </w:tcPr>
          <w:p>
            <w:pPr>
              <w:jc w:val="right"/>
              <w:ind w:right="162"/>
              <w:spacing w:after="0" w:line="135" w:lineRule="exact"/>
              <w:rPr>
                <w:sz w:val="20"/>
                <w:szCs w:val="20"/>
                <w:color w:val="auto"/>
              </w:rPr>
            </w:pPr>
            <w:r>
              <w:rPr>
                <w:rFonts w:ascii="Arial" w:cs="Arial" w:eastAsia="Arial" w:hAnsi="Arial"/>
                <w:sz w:val="13"/>
                <w:szCs w:val="13"/>
                <w:color w:val="auto"/>
              </w:rPr>
              <w:t>2,207,464</w:t>
            </w:r>
          </w:p>
        </w:tc>
        <w:tc>
          <w:tcPr>
            <w:tcW w:w="1120" w:type="dxa"/>
            <w:vAlign w:val="bottom"/>
            <w:gridSpan w:val="2"/>
            <w:shd w:val="clear" w:color="auto" w:fill="CCFFCC"/>
          </w:tcPr>
          <w:p>
            <w:pPr>
              <w:jc w:val="right"/>
              <w:ind w:right="162"/>
              <w:spacing w:after="0" w:line="135" w:lineRule="exact"/>
              <w:rPr>
                <w:sz w:val="20"/>
                <w:szCs w:val="20"/>
                <w:color w:val="auto"/>
              </w:rPr>
            </w:pPr>
            <w:r>
              <w:rPr>
                <w:rFonts w:ascii="Arial" w:cs="Arial" w:eastAsia="Arial" w:hAnsi="Arial"/>
                <w:sz w:val="13"/>
                <w:szCs w:val="13"/>
                <w:color w:val="auto"/>
              </w:rPr>
              <w:t>2,074,473</w:t>
            </w:r>
          </w:p>
        </w:tc>
        <w:tc>
          <w:tcPr>
            <w:tcW w:w="9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1,662,137</w:t>
            </w:r>
          </w:p>
        </w:tc>
        <w:tc>
          <w:tcPr>
            <w:tcW w:w="220" w:type="dxa"/>
            <w:vAlign w:val="bottom"/>
            <w:shd w:val="clear" w:color="auto" w:fill="CCFFCC"/>
          </w:tcPr>
          <w:p>
            <w:pPr>
              <w:spacing w:after="0"/>
              <w:rPr>
                <w:sz w:val="11"/>
                <w:szCs w:val="11"/>
                <w:color w:val="auto"/>
              </w:rPr>
            </w:pPr>
          </w:p>
        </w:tc>
        <w:tc>
          <w:tcPr>
            <w:tcW w:w="11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6.4%</w:t>
            </w:r>
          </w:p>
        </w:tc>
        <w:tc>
          <w:tcPr>
            <w:tcW w:w="104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32.8%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20" w:type="dxa"/>
            <w:vAlign w:val="bottom"/>
            <w:gridSpan w:val="2"/>
          </w:tcPr>
          <w:p>
            <w:pPr>
              <w:spacing w:after="0" w:line="135" w:lineRule="exact"/>
              <w:rPr>
                <w:sz w:val="20"/>
                <w:szCs w:val="20"/>
                <w:color w:val="auto"/>
              </w:rPr>
            </w:pPr>
            <w:r>
              <w:rPr>
                <w:rFonts w:ascii="Arial" w:cs="Arial" w:eastAsia="Arial" w:hAnsi="Arial"/>
                <w:sz w:val="13"/>
                <w:szCs w:val="13"/>
                <w:color w:val="auto"/>
              </w:rPr>
              <w:t>Operational risk capital requirement</w:t>
            </w:r>
          </w:p>
        </w:tc>
        <w:tc>
          <w:tcPr>
            <w:tcW w:w="1160" w:type="dxa"/>
            <w:vAlign w:val="bottom"/>
            <w:gridSpan w:val="2"/>
          </w:tcPr>
          <w:p>
            <w:pPr>
              <w:jc w:val="right"/>
              <w:ind w:right="162"/>
              <w:spacing w:after="0" w:line="135" w:lineRule="exact"/>
              <w:rPr>
                <w:sz w:val="20"/>
                <w:szCs w:val="20"/>
                <w:color w:val="auto"/>
              </w:rPr>
            </w:pPr>
            <w:r>
              <w:rPr>
                <w:rFonts w:ascii="Arial" w:cs="Arial" w:eastAsia="Arial" w:hAnsi="Arial"/>
                <w:sz w:val="13"/>
                <w:szCs w:val="13"/>
                <w:color w:val="auto"/>
              </w:rPr>
              <w:t>122,578</w:t>
            </w:r>
          </w:p>
        </w:tc>
        <w:tc>
          <w:tcPr>
            <w:tcW w:w="1120" w:type="dxa"/>
            <w:vAlign w:val="bottom"/>
            <w:gridSpan w:val="2"/>
          </w:tcPr>
          <w:p>
            <w:pPr>
              <w:jc w:val="right"/>
              <w:ind w:right="162"/>
              <w:spacing w:after="0" w:line="135" w:lineRule="exact"/>
              <w:rPr>
                <w:sz w:val="20"/>
                <w:szCs w:val="20"/>
                <w:color w:val="auto"/>
              </w:rPr>
            </w:pPr>
            <w:r>
              <w:rPr>
                <w:rFonts w:ascii="Arial" w:cs="Arial" w:eastAsia="Arial" w:hAnsi="Arial"/>
                <w:sz w:val="13"/>
                <w:szCs w:val="13"/>
                <w:color w:val="auto"/>
              </w:rPr>
              <w:t>115,950</w:t>
            </w:r>
          </w:p>
        </w:tc>
        <w:tc>
          <w:tcPr>
            <w:tcW w:w="1120" w:type="dxa"/>
            <w:vAlign w:val="bottom"/>
            <w:gridSpan w:val="2"/>
          </w:tcPr>
          <w:p>
            <w:pPr>
              <w:jc w:val="right"/>
              <w:ind w:right="162"/>
              <w:spacing w:after="0" w:line="135" w:lineRule="exact"/>
              <w:rPr>
                <w:sz w:val="20"/>
                <w:szCs w:val="20"/>
                <w:color w:val="auto"/>
              </w:rPr>
            </w:pPr>
            <w:r>
              <w:rPr>
                <w:rFonts w:ascii="Arial" w:cs="Arial" w:eastAsia="Arial" w:hAnsi="Arial"/>
                <w:sz w:val="13"/>
                <w:szCs w:val="13"/>
                <w:color w:val="auto"/>
              </w:rPr>
              <w:t>80,311</w:t>
            </w:r>
          </w:p>
        </w:tc>
        <w:tc>
          <w:tcPr>
            <w:tcW w:w="11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5.7%</w:t>
            </w:r>
          </w:p>
        </w:tc>
        <w:tc>
          <w:tcPr>
            <w:tcW w:w="10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52.6%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gridSpan w:val="2"/>
            <w:shd w:val="clear" w:color="auto" w:fill="CCFFCC"/>
          </w:tcPr>
          <w:p>
            <w:pPr>
              <w:spacing w:after="0"/>
              <w:rPr>
                <w:sz w:val="20"/>
                <w:szCs w:val="20"/>
                <w:color w:val="auto"/>
              </w:rPr>
            </w:pPr>
            <w:r>
              <w:rPr>
                <w:rFonts w:ascii="Arial" w:cs="Arial" w:eastAsia="Arial" w:hAnsi="Arial"/>
                <w:sz w:val="13"/>
                <w:szCs w:val="13"/>
                <w:color w:val="auto"/>
              </w:rPr>
              <w:t>Additional capital requirements</w:t>
            </w:r>
          </w:p>
        </w:tc>
        <w:tc>
          <w:tcPr>
            <w:tcW w:w="1160" w:type="dxa"/>
            <w:vAlign w:val="bottom"/>
            <w:gridSpan w:val="2"/>
            <w:shd w:val="clear" w:color="auto" w:fill="CCFFCC"/>
          </w:tcPr>
          <w:p>
            <w:pPr>
              <w:jc w:val="right"/>
              <w:ind w:right="162"/>
              <w:spacing w:after="0"/>
              <w:rPr>
                <w:sz w:val="20"/>
                <w:szCs w:val="20"/>
                <w:color w:val="auto"/>
              </w:rPr>
            </w:pPr>
            <w:r>
              <w:rPr>
                <w:rFonts w:ascii="Arial" w:cs="Arial" w:eastAsia="Arial" w:hAnsi="Arial"/>
                <w:sz w:val="13"/>
                <w:szCs w:val="13"/>
                <w:color w:val="auto"/>
              </w:rPr>
              <w:t>309,245</w:t>
            </w:r>
          </w:p>
        </w:tc>
        <w:tc>
          <w:tcPr>
            <w:tcW w:w="1120" w:type="dxa"/>
            <w:vAlign w:val="bottom"/>
            <w:gridSpan w:val="2"/>
            <w:shd w:val="clear" w:color="auto" w:fill="CCFFCC"/>
          </w:tcPr>
          <w:p>
            <w:pPr>
              <w:jc w:val="right"/>
              <w:ind w:right="162"/>
              <w:spacing w:after="0"/>
              <w:rPr>
                <w:sz w:val="20"/>
                <w:szCs w:val="20"/>
                <w:color w:val="auto"/>
              </w:rPr>
            </w:pPr>
            <w:r>
              <w:rPr>
                <w:rFonts w:ascii="Arial" w:cs="Arial" w:eastAsia="Arial" w:hAnsi="Arial"/>
                <w:sz w:val="13"/>
                <w:szCs w:val="13"/>
                <w:color w:val="auto"/>
              </w:rPr>
              <w:t>291,467</w:t>
            </w:r>
          </w:p>
        </w:tc>
        <w:tc>
          <w:tcPr>
            <w:tcW w:w="1120" w:type="dxa"/>
            <w:vAlign w:val="bottom"/>
            <w:gridSpan w:val="2"/>
            <w:shd w:val="clear" w:color="auto" w:fill="CCFFCC"/>
          </w:tcPr>
          <w:p>
            <w:pPr>
              <w:jc w:val="right"/>
              <w:ind w:right="162"/>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0.0%</w:t>
            </w:r>
          </w:p>
        </w:tc>
        <w:tc>
          <w:tcPr>
            <w:tcW w:w="1040" w:type="dxa"/>
            <w:vAlign w:val="bottom"/>
            <w:gridSpan w:val="2"/>
            <w:shd w:val="clear" w:color="auto" w:fill="CCFFCC"/>
          </w:tcPr>
          <w:p>
            <w:pPr>
              <w:jc w:val="right"/>
              <w:ind w:right="40"/>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582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Capital ratios</w:t>
            </w:r>
          </w:p>
        </w:tc>
        <w:tc>
          <w:tcPr>
            <w:tcW w:w="9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gridSpan w:val="2"/>
          </w:tcPr>
          <w:p>
            <w:pPr>
              <w:spacing w:after="0"/>
              <w:rPr>
                <w:sz w:val="20"/>
                <w:szCs w:val="20"/>
                <w:color w:val="auto"/>
              </w:rPr>
            </w:pPr>
            <w:r>
              <w:rPr>
                <w:rFonts w:ascii="Arial" w:cs="Arial" w:eastAsia="Arial" w:hAnsi="Arial"/>
                <w:sz w:val="13"/>
                <w:szCs w:val="13"/>
                <w:color w:val="auto"/>
              </w:rPr>
              <w:t>Tier 1 ratio (6)</w:t>
            </w:r>
          </w:p>
        </w:tc>
        <w:tc>
          <w:tcPr>
            <w:tcW w:w="1160" w:type="dxa"/>
            <w:vAlign w:val="bottom"/>
            <w:gridSpan w:val="2"/>
          </w:tcPr>
          <w:p>
            <w:pPr>
              <w:jc w:val="right"/>
              <w:ind w:right="62"/>
              <w:spacing w:after="0"/>
              <w:rPr>
                <w:sz w:val="20"/>
                <w:szCs w:val="20"/>
                <w:color w:val="auto"/>
              </w:rPr>
            </w:pPr>
            <w:r>
              <w:rPr>
                <w:rFonts w:ascii="Arial" w:cs="Arial" w:eastAsia="Arial" w:hAnsi="Arial"/>
                <w:sz w:val="13"/>
                <w:szCs w:val="13"/>
                <w:color w:val="auto"/>
              </w:rPr>
              <w:t>10.11%</w:t>
            </w:r>
          </w:p>
        </w:tc>
        <w:tc>
          <w:tcPr>
            <w:tcW w:w="1120" w:type="dxa"/>
            <w:vAlign w:val="bottom"/>
            <w:gridSpan w:val="2"/>
          </w:tcPr>
          <w:p>
            <w:pPr>
              <w:jc w:val="right"/>
              <w:ind w:right="62"/>
              <w:spacing w:after="0"/>
              <w:rPr>
                <w:sz w:val="20"/>
                <w:szCs w:val="20"/>
                <w:color w:val="auto"/>
              </w:rPr>
            </w:pPr>
            <w:r>
              <w:rPr>
                <w:rFonts w:ascii="Arial" w:cs="Arial" w:eastAsia="Arial" w:hAnsi="Arial"/>
                <w:sz w:val="13"/>
                <w:szCs w:val="13"/>
                <w:color w:val="auto"/>
              </w:rPr>
              <w:t>9.67%</w:t>
            </w:r>
          </w:p>
        </w:tc>
        <w:tc>
          <w:tcPr>
            <w:tcW w:w="1120" w:type="dxa"/>
            <w:vAlign w:val="bottom"/>
            <w:gridSpan w:val="2"/>
          </w:tcPr>
          <w:p>
            <w:pPr>
              <w:jc w:val="right"/>
              <w:ind w:right="62"/>
              <w:spacing w:after="0"/>
              <w:rPr>
                <w:sz w:val="20"/>
                <w:szCs w:val="20"/>
                <w:color w:val="auto"/>
              </w:rPr>
            </w:pPr>
            <w:r>
              <w:rPr>
                <w:rFonts w:ascii="Arial" w:cs="Arial" w:eastAsia="Arial" w:hAnsi="Arial"/>
                <w:sz w:val="13"/>
                <w:szCs w:val="13"/>
                <w:color w:val="auto"/>
              </w:rPr>
              <w:t>10.37%</w:t>
            </w: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820" w:type="dxa"/>
            <w:vAlign w:val="bottom"/>
            <w:tcBorders>
              <w:top w:val="single" w:sz="8" w:color="CCFFCC"/>
            </w:tcBorders>
            <w:gridSpan w:val="2"/>
            <w:shd w:val="clear" w:color="auto" w:fill="CCFFCC"/>
          </w:tcPr>
          <w:p>
            <w:pPr>
              <w:spacing w:after="0" w:line="129" w:lineRule="exact"/>
              <w:rPr>
                <w:sz w:val="20"/>
                <w:szCs w:val="20"/>
                <w:color w:val="auto"/>
              </w:rPr>
            </w:pPr>
            <w:r>
              <w:rPr>
                <w:rFonts w:ascii="Arial" w:cs="Arial" w:eastAsia="Arial" w:hAnsi="Arial"/>
                <w:sz w:val="13"/>
                <w:szCs w:val="13"/>
                <w:color w:val="auto"/>
              </w:rPr>
              <w:t>Tier 1 Common ratio (7)</w:t>
            </w:r>
          </w:p>
        </w:tc>
        <w:tc>
          <w:tcPr>
            <w:tcW w:w="940" w:type="dxa"/>
            <w:vAlign w:val="bottom"/>
            <w:tcBorders>
              <w:top w:val="single" w:sz="8" w:color="auto"/>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8.52</w:t>
            </w:r>
          </w:p>
        </w:tc>
        <w:tc>
          <w:tcPr>
            <w:tcW w:w="220" w:type="dxa"/>
            <w:vAlign w:val="bottom"/>
            <w:tcBorders>
              <w:top w:val="single" w:sz="8" w:color="CCFFCC"/>
            </w:tcBorders>
            <w:shd w:val="clear" w:color="auto" w:fill="CCFFCC"/>
          </w:tcPr>
          <w:p>
            <w:pPr>
              <w:jc w:val="right"/>
              <w:ind w:right="62"/>
              <w:spacing w:after="0" w:line="129" w:lineRule="exact"/>
              <w:rPr>
                <w:sz w:val="20"/>
                <w:szCs w:val="20"/>
                <w:color w:val="auto"/>
              </w:rPr>
            </w:pPr>
            <w:r>
              <w:rPr>
                <w:rFonts w:ascii="Arial" w:cs="Arial" w:eastAsia="Arial" w:hAnsi="Arial"/>
                <w:sz w:val="12"/>
                <w:szCs w:val="12"/>
                <w:color w:val="auto"/>
                <w:w w:val="74"/>
              </w:rPr>
              <w:t>%</w:t>
            </w:r>
          </w:p>
        </w:tc>
        <w:tc>
          <w:tcPr>
            <w:tcW w:w="900" w:type="dxa"/>
            <w:vAlign w:val="bottom"/>
            <w:tcBorders>
              <w:top w:val="single" w:sz="8" w:color="auto"/>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8.03</w:t>
            </w:r>
          </w:p>
        </w:tc>
        <w:tc>
          <w:tcPr>
            <w:tcW w:w="220" w:type="dxa"/>
            <w:vAlign w:val="bottom"/>
            <w:tcBorders>
              <w:top w:val="single" w:sz="8" w:color="CCFFCC"/>
            </w:tcBorders>
            <w:shd w:val="clear" w:color="auto" w:fill="CCFFCC"/>
          </w:tcPr>
          <w:p>
            <w:pPr>
              <w:jc w:val="right"/>
              <w:ind w:right="62"/>
              <w:spacing w:after="0" w:line="129" w:lineRule="exact"/>
              <w:rPr>
                <w:sz w:val="20"/>
                <w:szCs w:val="20"/>
                <w:color w:val="auto"/>
              </w:rPr>
            </w:pPr>
            <w:r>
              <w:rPr>
                <w:rFonts w:ascii="Arial" w:cs="Arial" w:eastAsia="Arial" w:hAnsi="Arial"/>
                <w:sz w:val="12"/>
                <w:szCs w:val="12"/>
                <w:color w:val="auto"/>
                <w:w w:val="74"/>
              </w:rPr>
              <w:t>%</w:t>
            </w:r>
          </w:p>
        </w:tc>
        <w:tc>
          <w:tcPr>
            <w:tcW w:w="900" w:type="dxa"/>
            <w:vAlign w:val="bottom"/>
            <w:tcBorders>
              <w:top w:val="single" w:sz="8" w:color="auto"/>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9.07</w:t>
            </w:r>
          </w:p>
        </w:tc>
        <w:tc>
          <w:tcPr>
            <w:tcW w:w="220" w:type="dxa"/>
            <w:vAlign w:val="bottom"/>
            <w:tcBorders>
              <w:top w:val="single" w:sz="8" w:color="CCFFCC"/>
            </w:tcBorders>
            <w:shd w:val="clear" w:color="auto" w:fill="CCFFCC"/>
          </w:tcPr>
          <w:p>
            <w:pPr>
              <w:jc w:val="right"/>
              <w:ind w:right="62"/>
              <w:spacing w:after="0" w:line="129" w:lineRule="exact"/>
              <w:rPr>
                <w:sz w:val="20"/>
                <w:szCs w:val="20"/>
                <w:color w:val="auto"/>
              </w:rPr>
            </w:pPr>
            <w:r>
              <w:rPr>
                <w:rFonts w:ascii="Arial" w:cs="Arial" w:eastAsia="Arial" w:hAnsi="Arial"/>
                <w:sz w:val="12"/>
                <w:szCs w:val="12"/>
                <w:color w:val="auto"/>
                <w:w w:val="74"/>
              </w:rPr>
              <w:t>%</w:t>
            </w:r>
          </w:p>
        </w:tc>
        <w:tc>
          <w:tcPr>
            <w:tcW w:w="900" w:type="dxa"/>
            <w:vAlign w:val="bottom"/>
            <w:tcBorders>
              <w:top w:val="single" w:sz="8" w:color="CCFFCC"/>
            </w:tcBorders>
            <w:shd w:val="clear" w:color="auto" w:fill="CCFFCC"/>
          </w:tcPr>
          <w:p>
            <w:pPr>
              <w:spacing w:after="0"/>
              <w:rPr>
                <w:sz w:val="11"/>
                <w:szCs w:val="11"/>
                <w:color w:val="auto"/>
              </w:rPr>
            </w:pPr>
          </w:p>
        </w:tc>
        <w:tc>
          <w:tcPr>
            <w:tcW w:w="240" w:type="dxa"/>
            <w:vAlign w:val="bottom"/>
            <w:tcBorders>
              <w:top w:val="single" w:sz="8" w:color="CCFFCC"/>
            </w:tcBorders>
            <w:shd w:val="clear" w:color="auto" w:fill="CCFFCC"/>
          </w:tcPr>
          <w:p>
            <w:pPr>
              <w:spacing w:after="0"/>
              <w:rPr>
                <w:sz w:val="11"/>
                <w:szCs w:val="11"/>
                <w:color w:val="auto"/>
              </w:rPr>
            </w:pPr>
          </w:p>
        </w:tc>
        <w:tc>
          <w:tcPr>
            <w:tcW w:w="900" w:type="dxa"/>
            <w:vAlign w:val="bottom"/>
            <w:tcBorders>
              <w:top w:val="single" w:sz="8" w:color="CCFFCC"/>
            </w:tcBorders>
            <w:shd w:val="clear" w:color="auto" w:fill="CCFFCC"/>
          </w:tcPr>
          <w:p>
            <w:pPr>
              <w:spacing w:after="0"/>
              <w:rPr>
                <w:sz w:val="11"/>
                <w:szCs w:val="11"/>
                <w:color w:val="auto"/>
              </w:rPr>
            </w:pPr>
          </w:p>
        </w:tc>
        <w:tc>
          <w:tcPr>
            <w:tcW w:w="140" w:type="dxa"/>
            <w:vAlign w:val="bottom"/>
            <w:tcBorders>
              <w:top w:val="single" w:sz="8" w:color="CCFFCC"/>
            </w:tcBorders>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820" w:type="dxa"/>
            <w:vAlign w:val="bottom"/>
            <w:tcBorders>
              <w:bottom w:val="single" w:sz="8" w:color="CCFFCC"/>
            </w:tcBorders>
            <w:gridSpan w:val="2"/>
          </w:tcPr>
          <w:p>
            <w:pPr>
              <w:spacing w:after="0" w:line="129" w:lineRule="exact"/>
              <w:rPr>
                <w:sz w:val="20"/>
                <w:szCs w:val="20"/>
                <w:color w:val="auto"/>
              </w:rPr>
            </w:pPr>
            <w:r>
              <w:rPr>
                <w:rFonts w:ascii="Arial" w:cs="Arial" w:eastAsia="Arial" w:hAnsi="Arial"/>
                <w:sz w:val="13"/>
                <w:szCs w:val="13"/>
                <w:color w:val="auto"/>
              </w:rPr>
              <w:t>BIS ratio (8)</w:t>
            </w:r>
          </w:p>
        </w:tc>
        <w:tc>
          <w:tcPr>
            <w:tcW w:w="9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14.72</w:t>
            </w:r>
          </w:p>
        </w:tc>
        <w:tc>
          <w:tcPr>
            <w:tcW w:w="220" w:type="dxa"/>
            <w:vAlign w:val="bottom"/>
            <w:tcBorders>
              <w:bottom w:val="single" w:sz="8" w:color="CCFFCC"/>
            </w:tcBorders>
          </w:tcPr>
          <w:p>
            <w:pPr>
              <w:jc w:val="right"/>
              <w:ind w:right="62"/>
              <w:spacing w:after="0" w:line="129" w:lineRule="exact"/>
              <w:rPr>
                <w:sz w:val="20"/>
                <w:szCs w:val="20"/>
                <w:color w:val="auto"/>
              </w:rPr>
            </w:pPr>
            <w:r>
              <w:rPr>
                <w:rFonts w:ascii="Arial" w:cs="Arial" w:eastAsia="Arial" w:hAnsi="Arial"/>
                <w:sz w:val="12"/>
                <w:szCs w:val="12"/>
                <w:color w:val="auto"/>
                <w:w w:val="74"/>
              </w:rPr>
              <w:t>%</w:t>
            </w:r>
          </w:p>
        </w:tc>
        <w:tc>
          <w:tcPr>
            <w:tcW w:w="9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14.11</w:t>
            </w:r>
          </w:p>
        </w:tc>
        <w:tc>
          <w:tcPr>
            <w:tcW w:w="220" w:type="dxa"/>
            <w:vAlign w:val="bottom"/>
            <w:tcBorders>
              <w:bottom w:val="single" w:sz="8" w:color="CCFFCC"/>
            </w:tcBorders>
          </w:tcPr>
          <w:p>
            <w:pPr>
              <w:jc w:val="right"/>
              <w:ind w:right="62"/>
              <w:spacing w:after="0" w:line="129" w:lineRule="exact"/>
              <w:rPr>
                <w:sz w:val="20"/>
                <w:szCs w:val="20"/>
                <w:color w:val="auto"/>
              </w:rPr>
            </w:pPr>
            <w:r>
              <w:rPr>
                <w:rFonts w:ascii="Arial" w:cs="Arial" w:eastAsia="Arial" w:hAnsi="Arial"/>
                <w:sz w:val="12"/>
                <w:szCs w:val="12"/>
                <w:color w:val="auto"/>
                <w:w w:val="74"/>
              </w:rPr>
              <w:t>%</w:t>
            </w:r>
          </w:p>
        </w:tc>
        <w:tc>
          <w:tcPr>
            <w:tcW w:w="9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14.53</w:t>
            </w:r>
          </w:p>
        </w:tc>
        <w:tc>
          <w:tcPr>
            <w:tcW w:w="220" w:type="dxa"/>
            <w:vAlign w:val="bottom"/>
            <w:tcBorders>
              <w:bottom w:val="single" w:sz="8" w:color="CCFFCC"/>
            </w:tcBorders>
          </w:tcPr>
          <w:p>
            <w:pPr>
              <w:jc w:val="right"/>
              <w:ind w:right="62"/>
              <w:spacing w:after="0" w:line="129" w:lineRule="exact"/>
              <w:rPr>
                <w:sz w:val="20"/>
                <w:szCs w:val="20"/>
                <w:color w:val="auto"/>
              </w:rPr>
            </w:pPr>
            <w:r>
              <w:rPr>
                <w:rFonts w:ascii="Arial" w:cs="Arial" w:eastAsia="Arial" w:hAnsi="Arial"/>
                <w:sz w:val="12"/>
                <w:szCs w:val="12"/>
                <w:color w:val="auto"/>
                <w:w w:val="74"/>
              </w:rPr>
              <w:t>%</w:t>
            </w:r>
          </w:p>
        </w:tc>
        <w:tc>
          <w:tcPr>
            <w:tcW w:w="900" w:type="dxa"/>
            <w:vAlign w:val="bottom"/>
            <w:tcBorders>
              <w:bottom w:val="single" w:sz="8" w:color="CCFFCC"/>
            </w:tcBorders>
          </w:tcPr>
          <w:p>
            <w:pPr>
              <w:spacing w:after="0"/>
              <w:rPr>
                <w:sz w:val="11"/>
                <w:szCs w:val="11"/>
                <w:color w:val="auto"/>
              </w:rPr>
            </w:pPr>
          </w:p>
        </w:tc>
        <w:tc>
          <w:tcPr>
            <w:tcW w:w="240" w:type="dxa"/>
            <w:vAlign w:val="bottom"/>
            <w:tcBorders>
              <w:bottom w:val="single" w:sz="8" w:color="CCFFCC"/>
            </w:tcBorders>
          </w:tcPr>
          <w:p>
            <w:pPr>
              <w:spacing w:after="0"/>
              <w:rPr>
                <w:sz w:val="11"/>
                <w:szCs w:val="11"/>
                <w:color w:val="auto"/>
              </w:rPr>
            </w:pPr>
          </w:p>
        </w:tc>
        <w:tc>
          <w:tcPr>
            <w:tcW w:w="900" w:type="dxa"/>
            <w:vAlign w:val="bottom"/>
            <w:tcBorders>
              <w:bottom w:val="single" w:sz="8" w:color="CCFFCC"/>
            </w:tcBorders>
          </w:tcPr>
          <w:p>
            <w:pPr>
              <w:spacing w:after="0"/>
              <w:rPr>
                <w:sz w:val="11"/>
                <w:szCs w:val="11"/>
                <w:color w:val="auto"/>
              </w:rPr>
            </w:pPr>
          </w:p>
        </w:tc>
        <w:tc>
          <w:tcPr>
            <w:tcW w:w="140" w:type="dxa"/>
            <w:vAlign w:val="bottom"/>
            <w:tcBorders>
              <w:bottom w:val="single" w:sz="8" w:color="CCFFC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820" w:type="dxa"/>
            <w:vAlign w:val="bottom"/>
            <w:gridSpan w:val="2"/>
            <w:shd w:val="clear" w:color="auto" w:fill="CCFFCC"/>
          </w:tcPr>
          <w:p>
            <w:pPr>
              <w:spacing w:after="0" w:line="129" w:lineRule="exact"/>
              <w:rPr>
                <w:sz w:val="20"/>
                <w:szCs w:val="20"/>
                <w:color w:val="auto"/>
              </w:rPr>
            </w:pPr>
            <w:r>
              <w:rPr>
                <w:rFonts w:ascii="Arial" w:cs="Arial" w:eastAsia="Arial" w:hAnsi="Arial"/>
                <w:sz w:val="13"/>
                <w:szCs w:val="13"/>
                <w:color w:val="auto"/>
              </w:rPr>
              <w:t>Risk-weighted assets / Regulatory Capital (9)</w:t>
            </w:r>
          </w:p>
        </w:tc>
        <w:tc>
          <w:tcPr>
            <w:tcW w:w="940" w:type="dxa"/>
            <w:vAlign w:val="bottom"/>
            <w:tcBorders>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6.79</w:t>
            </w:r>
          </w:p>
        </w:tc>
        <w:tc>
          <w:tcPr>
            <w:tcW w:w="220" w:type="dxa"/>
            <w:vAlign w:val="bottom"/>
            <w:shd w:val="clear" w:color="auto" w:fill="CCFFCC"/>
          </w:tcPr>
          <w:p>
            <w:pPr>
              <w:spacing w:after="0"/>
              <w:rPr>
                <w:sz w:val="11"/>
                <w:szCs w:val="11"/>
                <w:color w:val="auto"/>
              </w:rPr>
            </w:pPr>
          </w:p>
        </w:tc>
        <w:tc>
          <w:tcPr>
            <w:tcW w:w="900" w:type="dxa"/>
            <w:vAlign w:val="bottom"/>
            <w:tcBorders>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7.09</w:t>
            </w:r>
          </w:p>
        </w:tc>
        <w:tc>
          <w:tcPr>
            <w:tcW w:w="220" w:type="dxa"/>
            <w:vAlign w:val="bottom"/>
            <w:shd w:val="clear" w:color="auto" w:fill="CCFFCC"/>
          </w:tcPr>
          <w:p>
            <w:pPr>
              <w:spacing w:after="0"/>
              <w:rPr>
                <w:sz w:val="11"/>
                <w:szCs w:val="11"/>
                <w:color w:val="auto"/>
              </w:rPr>
            </w:pPr>
          </w:p>
        </w:tc>
        <w:tc>
          <w:tcPr>
            <w:tcW w:w="900" w:type="dxa"/>
            <w:vAlign w:val="bottom"/>
            <w:tcBorders>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6.88</w:t>
            </w: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bl>
    <w:p>
      <w:pPr>
        <w:ind w:left="340" w:hanging="248"/>
        <w:spacing w:after="0"/>
        <w:tabs>
          <w:tab w:leader="none" w:pos="34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7266940</wp:posOffset>
            </wp:positionH>
            <wp:positionV relativeFrom="page">
              <wp:posOffset>568960</wp:posOffset>
            </wp:positionV>
            <wp:extent cx="13716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137160" cy="137160"/>
                    </a:xfrm>
                    <a:prstGeom prst="rect">
                      <a:avLst/>
                    </a:prstGeom>
                    <a:noFill/>
                  </pic:spPr>
                </pic:pic>
              </a:graphicData>
            </a:graphic>
          </wp:anchor>
        </w:drawing>
        <w:t>Up to 1.25% of total risk-weighted assets.</w:t>
      </w:r>
    </w:p>
    <w:p>
      <w:pPr>
        <w:spacing w:after="0" w:line="9" w:lineRule="exact"/>
        <w:rPr>
          <w:rFonts w:ascii="Arial" w:cs="Arial" w:eastAsia="Arial" w:hAnsi="Arial"/>
          <w:sz w:val="18"/>
          <w:szCs w:val="18"/>
          <w:i w:val="1"/>
          <w:iCs w:val="1"/>
          <w:color w:val="auto"/>
        </w:rPr>
      </w:pPr>
    </w:p>
    <w:p>
      <w:pPr>
        <w:ind w:left="100" w:right="520" w:hanging="8"/>
        <w:spacing w:after="0" w:line="250" w:lineRule="auto"/>
        <w:tabs>
          <w:tab w:leader="none" w:pos="355"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Tier 1 = Capital + Legal and other capital Reserves + Accumulated earnings with capitalization agreement + Unrealized profit and net income in subsidiaries</w:t>
      </w:r>
    </w:p>
    <w:p>
      <w:pPr>
        <w:ind w:left="100" w:right="1120"/>
        <w:spacing w:after="0" w:line="281" w:lineRule="auto"/>
        <w:rPr>
          <w:rFonts w:ascii="Arial" w:cs="Arial" w:eastAsia="Arial" w:hAnsi="Arial"/>
          <w:sz w:val="18"/>
          <w:szCs w:val="18"/>
          <w:i w:val="1"/>
          <w:iCs w:val="1"/>
          <w:color w:val="auto"/>
        </w:rPr>
      </w:pPr>
      <w:r>
        <w:rPr>
          <w:rFonts w:ascii="Arial" w:cs="Arial" w:eastAsia="Arial" w:hAnsi="Arial"/>
          <w:sz w:val="16"/>
          <w:szCs w:val="16"/>
          <w:i w:val="1"/>
          <w:iCs w:val="1"/>
          <w:color w:val="auto"/>
        </w:rPr>
        <w:t>- Goodwill - (0.5 x Investment in Subsidiaries) + Perpetual subordinated debt (maximum amount that can be included is 17.65% of Capital + Reserves + Accumulated earnings with capitalization agreement + Unrealized profit and net income in subsidiaries - Goodwill).</w:t>
      </w:r>
    </w:p>
    <w:p>
      <w:pPr>
        <w:spacing w:after="0" w:line="1" w:lineRule="exact"/>
        <w:rPr>
          <w:rFonts w:ascii="Arial" w:cs="Arial" w:eastAsia="Arial" w:hAnsi="Arial"/>
          <w:sz w:val="18"/>
          <w:szCs w:val="18"/>
          <w:i w:val="1"/>
          <w:iCs w:val="1"/>
          <w:color w:val="auto"/>
        </w:rPr>
      </w:pPr>
    </w:p>
    <w:p>
      <w:pPr>
        <w:ind w:left="340" w:hanging="248"/>
        <w:spacing w:after="0"/>
        <w:tabs>
          <w:tab w:leader="none" w:pos="34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Tier 2 = Subordinated debt + Loan loss reserves - (0.5 x Investment in subsidiaries).</w:t>
      </w:r>
    </w:p>
    <w:p>
      <w:pPr>
        <w:spacing w:after="0" w:line="9" w:lineRule="exact"/>
        <w:rPr>
          <w:rFonts w:ascii="Arial" w:cs="Arial" w:eastAsia="Arial" w:hAnsi="Arial"/>
          <w:sz w:val="18"/>
          <w:szCs w:val="18"/>
          <w:i w:val="1"/>
          <w:iCs w:val="1"/>
          <w:color w:val="auto"/>
        </w:rPr>
      </w:pPr>
    </w:p>
    <w:p>
      <w:pPr>
        <w:ind w:left="340" w:hanging="248"/>
        <w:spacing w:after="0"/>
        <w:tabs>
          <w:tab w:leader="none" w:pos="34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Tier 3 = Subordinated debt covering market risk only. Tier 3 exists since 1Q10.</w:t>
      </w:r>
    </w:p>
    <w:p>
      <w:pPr>
        <w:spacing w:after="0" w:line="9" w:lineRule="exact"/>
        <w:rPr>
          <w:rFonts w:ascii="Arial" w:cs="Arial" w:eastAsia="Arial" w:hAnsi="Arial"/>
          <w:sz w:val="18"/>
          <w:szCs w:val="18"/>
          <w:i w:val="1"/>
          <w:iCs w:val="1"/>
          <w:color w:val="auto"/>
        </w:rPr>
      </w:pPr>
    </w:p>
    <w:p>
      <w:pPr>
        <w:ind w:left="340" w:hanging="248"/>
        <w:spacing w:after="0"/>
        <w:tabs>
          <w:tab w:leader="none" w:pos="34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It includes capital requirement to cover price and rate risk.</w:t>
      </w:r>
    </w:p>
    <w:p>
      <w:pPr>
        <w:spacing w:after="0" w:line="9" w:lineRule="exact"/>
        <w:rPr>
          <w:rFonts w:ascii="Arial" w:cs="Arial" w:eastAsia="Arial" w:hAnsi="Arial"/>
          <w:sz w:val="18"/>
          <w:szCs w:val="18"/>
          <w:i w:val="1"/>
          <w:iCs w:val="1"/>
          <w:color w:val="auto"/>
        </w:rPr>
      </w:pPr>
    </w:p>
    <w:p>
      <w:pPr>
        <w:ind w:left="340" w:hanging="248"/>
        <w:spacing w:after="0"/>
        <w:tabs>
          <w:tab w:leader="none" w:pos="34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Tier 1 / Risk-weighted assets.</w:t>
      </w:r>
    </w:p>
    <w:p>
      <w:pPr>
        <w:spacing w:after="0" w:line="9" w:lineRule="exact"/>
        <w:rPr>
          <w:rFonts w:ascii="Arial" w:cs="Arial" w:eastAsia="Arial" w:hAnsi="Arial"/>
          <w:sz w:val="18"/>
          <w:szCs w:val="18"/>
          <w:i w:val="1"/>
          <w:iCs w:val="1"/>
          <w:color w:val="auto"/>
        </w:rPr>
      </w:pPr>
    </w:p>
    <w:p>
      <w:pPr>
        <w:ind w:left="340" w:hanging="248"/>
        <w:spacing w:after="0"/>
        <w:tabs>
          <w:tab w:leader="none" w:pos="34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Tier I Common = Capital + Reserves – 100% of Investment in Subsidiaries + retained earnings adjusted by average payout.</w:t>
      </w:r>
    </w:p>
    <w:p>
      <w:pPr>
        <w:spacing w:after="0" w:line="9" w:lineRule="exact"/>
        <w:rPr>
          <w:rFonts w:ascii="Arial" w:cs="Arial" w:eastAsia="Arial" w:hAnsi="Arial"/>
          <w:sz w:val="18"/>
          <w:szCs w:val="18"/>
          <w:i w:val="1"/>
          <w:iCs w:val="1"/>
          <w:color w:val="auto"/>
        </w:rPr>
      </w:pPr>
    </w:p>
    <w:p>
      <w:pPr>
        <w:ind w:left="340" w:hanging="248"/>
        <w:spacing w:after="0"/>
        <w:tabs>
          <w:tab w:leader="none" w:pos="34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Regulatory Capital / Risk-weighted assets (legal minimum = 10% since July 2011).</w:t>
      </w:r>
    </w:p>
    <w:p>
      <w:pPr>
        <w:spacing w:after="0" w:line="9" w:lineRule="exact"/>
        <w:rPr>
          <w:rFonts w:ascii="Arial" w:cs="Arial" w:eastAsia="Arial" w:hAnsi="Arial"/>
          <w:sz w:val="18"/>
          <w:szCs w:val="18"/>
          <w:i w:val="1"/>
          <w:iCs w:val="1"/>
          <w:color w:val="auto"/>
        </w:rPr>
      </w:pPr>
    </w:p>
    <w:p>
      <w:pPr>
        <w:ind w:left="340" w:hanging="248"/>
        <w:spacing w:after="0"/>
        <w:tabs>
          <w:tab w:leader="none" w:pos="34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Since July 2011, Risk-weighted assets = Credit risk-weighted assets * 0.98 + Capital requirement to cover market risk * 10 +</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Capital requirement to cover operational risk * 10 * 0.5.</w:t>
      </w:r>
    </w:p>
    <w:p>
      <w:pPr>
        <w:spacing w:after="0" w:line="200" w:lineRule="exact"/>
        <w:rPr>
          <w:sz w:val="20"/>
          <w:szCs w:val="20"/>
          <w:color w:val="auto"/>
        </w:rPr>
      </w:pPr>
    </w:p>
    <w:p>
      <w:pPr>
        <w:spacing w:after="0" w:line="227"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09"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7266940</wp:posOffset>
            </wp:positionH>
            <wp:positionV relativeFrom="page">
              <wp:posOffset>568960</wp:posOffset>
            </wp:positionV>
            <wp:extent cx="13716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137160" cy="137160"/>
                    </a:xfrm>
                    <a:prstGeom prst="rect">
                      <a:avLst/>
                    </a:prstGeom>
                    <a:noFill/>
                  </pic:spPr>
                </pic:pic>
              </a:graphicData>
            </a:graphic>
          </wp:anchor>
        </w:drawing>
        <w:t>III. Banco de Crédito de Bolivia</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20" w:type="dxa"/>
            <w:vAlign w:val="bottom"/>
            <w:gridSpan w:val="2"/>
          </w:tcPr>
          <w:p>
            <w:pPr>
              <w:spacing w:after="0"/>
              <w:rPr>
                <w:sz w:val="20"/>
                <w:szCs w:val="20"/>
                <w:color w:val="auto"/>
              </w:rPr>
            </w:pPr>
            <w:r>
              <w:rPr>
                <w:rFonts w:ascii="Arial" w:cs="Arial" w:eastAsia="Arial" w:hAnsi="Arial"/>
                <w:sz w:val="13"/>
                <w:szCs w:val="13"/>
                <w:b w:val="1"/>
                <w:bCs w:val="1"/>
                <w:color w:val="auto"/>
              </w:rPr>
              <w:t>Banco de Crédito de Bolivia</w:t>
            </w: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Quarter</w:t>
            </w: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3"/>
          </w:tcPr>
          <w:p>
            <w:pPr>
              <w:ind w:left="740"/>
              <w:spacing w:after="0"/>
              <w:rPr>
                <w:sz w:val="20"/>
                <w:szCs w:val="20"/>
                <w:color w:val="auto"/>
              </w:rPr>
            </w:pPr>
            <w:r>
              <w:rPr>
                <w:rFonts w:ascii="Arial" w:cs="Arial" w:eastAsia="Arial" w:hAnsi="Arial"/>
                <w:sz w:val="13"/>
                <w:szCs w:val="13"/>
                <w:b w:val="1"/>
                <w:bCs w:val="1"/>
                <w:color w:val="auto"/>
              </w:rPr>
              <w:t>Change %</w:t>
            </w: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gridSpan w:val="3"/>
          </w:tcPr>
          <w:p>
            <w:pPr>
              <w:ind w:left="700"/>
              <w:spacing w:after="0"/>
              <w:rPr>
                <w:sz w:val="20"/>
                <w:szCs w:val="20"/>
                <w:color w:val="auto"/>
              </w:rPr>
            </w:pPr>
            <w:r>
              <w:rPr>
                <w:rFonts w:ascii="Arial" w:cs="Arial" w:eastAsia="Arial" w:hAnsi="Arial"/>
                <w:sz w:val="13"/>
                <w:szCs w:val="13"/>
                <w:b w:val="1"/>
                <w:bCs w:val="1"/>
                <w:color w:val="auto"/>
                <w:w w:val="91"/>
              </w:rPr>
              <w:t>Year ended</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2"/>
          </w:tcPr>
          <w:p>
            <w:pPr>
              <w:jc w:val="right"/>
              <w:ind w:right="237"/>
              <w:spacing w:after="0"/>
              <w:rPr>
                <w:sz w:val="20"/>
                <w:szCs w:val="20"/>
                <w:color w:val="auto"/>
              </w:rPr>
            </w:pPr>
            <w:r>
              <w:rPr>
                <w:rFonts w:ascii="Arial" w:cs="Arial" w:eastAsia="Arial" w:hAnsi="Arial"/>
                <w:sz w:val="13"/>
                <w:szCs w:val="13"/>
                <w:b w:val="1"/>
                <w:bCs w:val="1"/>
                <w:color w:val="auto"/>
              </w:rPr>
              <w:t>Change %</w:t>
            </w:r>
          </w:p>
        </w:tc>
        <w:tc>
          <w:tcPr>
            <w:tcW w:w="0" w:type="dxa"/>
            <w:vAlign w:val="bottom"/>
          </w:tcPr>
          <w:p>
            <w:pPr>
              <w:spacing w:after="0"/>
              <w:rPr>
                <w:sz w:val="1"/>
                <w:szCs w:val="1"/>
                <w:color w:val="auto"/>
              </w:rPr>
            </w:pPr>
          </w:p>
        </w:tc>
      </w:tr>
      <w:tr>
        <w:trPr>
          <w:trHeight w:val="153"/>
        </w:trPr>
        <w:tc>
          <w:tcPr>
            <w:tcW w:w="23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US$ millions</w:t>
            </w:r>
          </w:p>
        </w:tc>
        <w:tc>
          <w:tcPr>
            <w:tcW w:w="120" w:type="dxa"/>
            <w:vAlign w:val="bottom"/>
            <w:tcBorders>
              <w:bottom w:val="single" w:sz="8" w:color="CCFFCC"/>
            </w:tcBorders>
          </w:tcPr>
          <w:p>
            <w:pPr>
              <w:spacing w:after="0"/>
              <w:rPr>
                <w:sz w:val="13"/>
                <w:szCs w:val="13"/>
                <w:color w:val="auto"/>
              </w:rPr>
            </w:pPr>
          </w:p>
        </w:tc>
        <w:tc>
          <w:tcPr>
            <w:tcW w:w="94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4Q12</w:t>
            </w:r>
          </w:p>
        </w:tc>
        <w:tc>
          <w:tcPr>
            <w:tcW w:w="240" w:type="dxa"/>
            <w:vAlign w:val="bottom"/>
            <w:tcBorders>
              <w:bottom w:val="single" w:sz="8" w:color="CCFFCC"/>
            </w:tcBorders>
          </w:tcPr>
          <w:p>
            <w:pPr>
              <w:spacing w:after="0"/>
              <w:rPr>
                <w:sz w:val="13"/>
                <w:szCs w:val="13"/>
                <w:color w:val="auto"/>
              </w:rPr>
            </w:pPr>
          </w:p>
        </w:tc>
        <w:tc>
          <w:tcPr>
            <w:tcW w:w="90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3Q12</w:t>
            </w:r>
          </w:p>
        </w:tc>
        <w:tc>
          <w:tcPr>
            <w:tcW w:w="220" w:type="dxa"/>
            <w:vAlign w:val="bottom"/>
            <w:tcBorders>
              <w:bottom w:val="single" w:sz="8" w:color="CCFFCC"/>
            </w:tcBorders>
          </w:tcPr>
          <w:p>
            <w:pPr>
              <w:spacing w:after="0"/>
              <w:rPr>
                <w:sz w:val="13"/>
                <w:szCs w:val="13"/>
                <w:color w:val="auto"/>
              </w:rPr>
            </w:pPr>
          </w:p>
        </w:tc>
        <w:tc>
          <w:tcPr>
            <w:tcW w:w="90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4Q11</w:t>
            </w:r>
          </w:p>
        </w:tc>
        <w:tc>
          <w:tcPr>
            <w:tcW w:w="220" w:type="dxa"/>
            <w:vAlign w:val="bottom"/>
            <w:tcBorders>
              <w:bottom w:val="single" w:sz="8" w:color="CCFFCC"/>
            </w:tcBorders>
          </w:tcPr>
          <w:p>
            <w:pPr>
              <w:spacing w:after="0"/>
              <w:rPr>
                <w:sz w:val="13"/>
                <w:szCs w:val="13"/>
                <w:color w:val="auto"/>
              </w:rPr>
            </w:pPr>
          </w:p>
        </w:tc>
        <w:tc>
          <w:tcPr>
            <w:tcW w:w="9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QoQ</w:t>
            </w:r>
          </w:p>
        </w:tc>
        <w:tc>
          <w:tcPr>
            <w:tcW w:w="260" w:type="dxa"/>
            <w:vAlign w:val="bottom"/>
            <w:tcBorders>
              <w:bottom w:val="single" w:sz="8" w:color="CCFFC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YoY</w:t>
            </w:r>
          </w:p>
        </w:tc>
        <w:tc>
          <w:tcPr>
            <w:tcW w:w="240" w:type="dxa"/>
            <w:vAlign w:val="bottom"/>
            <w:tcBorders>
              <w:bottom w:val="single" w:sz="8" w:color="CCFFCC"/>
            </w:tcBorders>
          </w:tcPr>
          <w:p>
            <w:pPr>
              <w:spacing w:after="0"/>
              <w:rPr>
                <w:sz w:val="13"/>
                <w:szCs w:val="13"/>
                <w:color w:val="auto"/>
              </w:rPr>
            </w:pPr>
          </w:p>
        </w:tc>
        <w:tc>
          <w:tcPr>
            <w:tcW w:w="9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Dec 12</w:t>
            </w:r>
          </w:p>
        </w:tc>
        <w:tc>
          <w:tcPr>
            <w:tcW w:w="220" w:type="dxa"/>
            <w:vAlign w:val="bottom"/>
            <w:tcBorders>
              <w:bottom w:val="single" w:sz="8" w:color="CCFFC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w w:val="85"/>
              </w:rPr>
              <w:t>Dec 11</w:t>
            </w:r>
          </w:p>
        </w:tc>
        <w:tc>
          <w:tcPr>
            <w:tcW w:w="220" w:type="dxa"/>
            <w:vAlign w:val="bottom"/>
            <w:tcBorders>
              <w:bottom w:val="single" w:sz="8" w:color="CCFFCC"/>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8"/>
              </w:rPr>
              <w:t>Dec 12 / Dec 11</w:t>
            </w:r>
          </w:p>
        </w:tc>
        <w:tc>
          <w:tcPr>
            <w:tcW w:w="140" w:type="dxa"/>
            <w:vAlign w:val="bottom"/>
            <w:tcBorders>
              <w:bottom w:val="single" w:sz="8" w:color="CCFFCC"/>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300" w:type="dxa"/>
            <w:vAlign w:val="bottom"/>
            <w:shd w:val="clear" w:color="auto" w:fill="CCFFCC"/>
          </w:tcPr>
          <w:p>
            <w:pPr>
              <w:spacing w:after="0" w:line="129" w:lineRule="exact"/>
              <w:rPr>
                <w:sz w:val="20"/>
                <w:szCs w:val="20"/>
                <w:color w:val="auto"/>
              </w:rPr>
            </w:pPr>
            <w:r>
              <w:rPr>
                <w:rFonts w:ascii="Arial" w:cs="Arial" w:eastAsia="Arial" w:hAnsi="Arial"/>
                <w:sz w:val="13"/>
                <w:szCs w:val="13"/>
                <w:color w:val="auto"/>
              </w:rPr>
              <w:t>Net interest income</w:t>
            </w:r>
          </w:p>
        </w:tc>
        <w:tc>
          <w:tcPr>
            <w:tcW w:w="120" w:type="dxa"/>
            <w:vAlign w:val="bottom"/>
            <w:shd w:val="clear" w:color="auto" w:fill="CCFFCC"/>
          </w:tcPr>
          <w:p>
            <w:pPr>
              <w:spacing w:after="0"/>
              <w:rPr>
                <w:sz w:val="11"/>
                <w:szCs w:val="11"/>
                <w:color w:val="auto"/>
              </w:rPr>
            </w:pPr>
          </w:p>
        </w:tc>
        <w:tc>
          <w:tcPr>
            <w:tcW w:w="94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16.4</w:t>
            </w:r>
          </w:p>
        </w:tc>
        <w:tc>
          <w:tcPr>
            <w:tcW w:w="240" w:type="dxa"/>
            <w:vAlign w:val="bottom"/>
            <w:shd w:val="clear" w:color="auto" w:fill="CCFFCC"/>
          </w:tcPr>
          <w:p>
            <w:pPr>
              <w:spacing w:after="0"/>
              <w:rPr>
                <w:sz w:val="11"/>
                <w:szCs w:val="11"/>
                <w:color w:val="auto"/>
              </w:rPr>
            </w:pPr>
          </w:p>
        </w:tc>
        <w:tc>
          <w:tcPr>
            <w:tcW w:w="90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16.0</w:t>
            </w: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12.5</w:t>
            </w:r>
          </w:p>
        </w:tc>
        <w:tc>
          <w:tcPr>
            <w:tcW w:w="220" w:type="dxa"/>
            <w:vAlign w:val="bottom"/>
            <w:shd w:val="clear" w:color="auto" w:fill="CCFFCC"/>
          </w:tcPr>
          <w:p>
            <w:pPr>
              <w:spacing w:after="0"/>
              <w:rPr>
                <w:sz w:val="11"/>
                <w:szCs w:val="11"/>
                <w:color w:val="auto"/>
              </w:rPr>
            </w:pPr>
          </w:p>
        </w:tc>
        <w:tc>
          <w:tcPr>
            <w:tcW w:w="1160" w:type="dxa"/>
            <w:vAlign w:val="bottom"/>
            <w:gridSpan w:val="2"/>
            <w:shd w:val="clear" w:color="auto" w:fill="CCFFCC"/>
          </w:tcPr>
          <w:p>
            <w:pPr>
              <w:jc w:val="right"/>
              <w:ind w:right="77"/>
              <w:spacing w:after="0" w:line="129" w:lineRule="exact"/>
              <w:rPr>
                <w:sz w:val="20"/>
                <w:szCs w:val="20"/>
                <w:color w:val="auto"/>
              </w:rPr>
            </w:pPr>
            <w:r>
              <w:rPr>
                <w:rFonts w:ascii="Arial" w:cs="Arial" w:eastAsia="Arial" w:hAnsi="Arial"/>
                <w:sz w:val="13"/>
                <w:szCs w:val="13"/>
                <w:color w:val="auto"/>
              </w:rPr>
              <w:t>2.2%</w:t>
            </w:r>
          </w:p>
        </w:tc>
        <w:tc>
          <w:tcPr>
            <w:tcW w:w="240" w:type="dxa"/>
            <w:vAlign w:val="bottom"/>
            <w:shd w:val="clear" w:color="auto" w:fill="CCFFCC"/>
          </w:tcPr>
          <w:p>
            <w:pPr>
              <w:spacing w:after="0"/>
              <w:rPr>
                <w:sz w:val="11"/>
                <w:szCs w:val="11"/>
                <w:color w:val="auto"/>
              </w:rPr>
            </w:pPr>
          </w:p>
        </w:tc>
        <w:tc>
          <w:tcPr>
            <w:tcW w:w="900" w:type="dxa"/>
            <w:vAlign w:val="bottom"/>
            <w:gridSpan w:val="2"/>
            <w:shd w:val="clear" w:color="auto" w:fill="CCFFCC"/>
          </w:tcPr>
          <w:p>
            <w:pPr>
              <w:jc w:val="right"/>
              <w:ind w:right="77"/>
              <w:spacing w:after="0" w:line="129" w:lineRule="exact"/>
              <w:rPr>
                <w:sz w:val="20"/>
                <w:szCs w:val="20"/>
                <w:color w:val="auto"/>
              </w:rPr>
            </w:pPr>
            <w:r>
              <w:rPr>
                <w:rFonts w:ascii="Arial" w:cs="Arial" w:eastAsia="Arial" w:hAnsi="Arial"/>
                <w:sz w:val="13"/>
                <w:szCs w:val="13"/>
                <w:color w:val="auto"/>
              </w:rPr>
              <w:t>30.7%</w:t>
            </w:r>
          </w:p>
        </w:tc>
        <w:tc>
          <w:tcPr>
            <w:tcW w:w="90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60.2</w:t>
            </w:r>
          </w:p>
        </w:tc>
        <w:tc>
          <w:tcPr>
            <w:tcW w:w="2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6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41.8</w:t>
            </w:r>
          </w:p>
        </w:tc>
        <w:tc>
          <w:tcPr>
            <w:tcW w:w="220" w:type="dxa"/>
            <w:vAlign w:val="bottom"/>
            <w:shd w:val="clear" w:color="auto" w:fill="CCFFCC"/>
          </w:tcPr>
          <w:p>
            <w:pPr>
              <w:spacing w:after="0"/>
              <w:rPr>
                <w:sz w:val="11"/>
                <w:szCs w:val="11"/>
                <w:color w:val="auto"/>
              </w:rPr>
            </w:pPr>
          </w:p>
        </w:tc>
        <w:tc>
          <w:tcPr>
            <w:tcW w:w="1040" w:type="dxa"/>
            <w:vAlign w:val="bottom"/>
            <w:gridSpan w:val="2"/>
            <w:shd w:val="clear" w:color="auto" w:fill="CCFFCC"/>
          </w:tcPr>
          <w:p>
            <w:pPr>
              <w:jc w:val="right"/>
              <w:spacing w:after="0" w:line="129" w:lineRule="exact"/>
              <w:rPr>
                <w:sz w:val="20"/>
                <w:szCs w:val="20"/>
                <w:color w:val="auto"/>
              </w:rPr>
            </w:pPr>
            <w:r>
              <w:rPr>
                <w:rFonts w:ascii="Arial" w:cs="Arial" w:eastAsia="Arial" w:hAnsi="Arial"/>
                <w:sz w:val="13"/>
                <w:szCs w:val="13"/>
                <w:color w:val="auto"/>
              </w:rPr>
              <w:t>43.9%</w:t>
            </w:r>
          </w:p>
        </w:tc>
        <w:tc>
          <w:tcPr>
            <w:tcW w:w="0" w:type="dxa"/>
            <w:vAlign w:val="bottom"/>
          </w:tcPr>
          <w:p>
            <w:pPr>
              <w:spacing w:after="0"/>
              <w:rPr>
                <w:sz w:val="1"/>
                <w:szCs w:val="1"/>
                <w:color w:val="auto"/>
              </w:rPr>
            </w:pPr>
          </w:p>
        </w:tc>
      </w:tr>
      <w:tr>
        <w:trPr>
          <w:trHeight w:val="135"/>
        </w:trPr>
        <w:tc>
          <w:tcPr>
            <w:tcW w:w="2420" w:type="dxa"/>
            <w:vAlign w:val="bottom"/>
            <w:gridSpan w:val="2"/>
          </w:tcPr>
          <w:p>
            <w:pPr>
              <w:spacing w:after="0" w:line="135" w:lineRule="exact"/>
              <w:rPr>
                <w:sz w:val="20"/>
                <w:szCs w:val="20"/>
                <w:color w:val="auto"/>
              </w:rPr>
            </w:pPr>
            <w:r>
              <w:rPr>
                <w:rFonts w:ascii="Arial" w:cs="Arial" w:eastAsia="Arial" w:hAnsi="Arial"/>
                <w:sz w:val="13"/>
                <w:szCs w:val="13"/>
                <w:color w:val="auto"/>
              </w:rPr>
              <w:t>Net provisions for loan losses</w:t>
            </w:r>
          </w:p>
        </w:tc>
        <w:tc>
          <w:tcPr>
            <w:tcW w:w="11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-2.9</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-1.5</w:t>
            </w: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0.0</w:t>
            </w:r>
          </w:p>
        </w:tc>
        <w:tc>
          <w:tcPr>
            <w:tcW w:w="220" w:type="dxa"/>
            <w:vAlign w:val="bottom"/>
          </w:tcPr>
          <w:p>
            <w:pPr>
              <w:spacing w:after="0"/>
              <w:rPr>
                <w:sz w:val="11"/>
                <w:szCs w:val="11"/>
                <w:color w:val="auto"/>
              </w:rPr>
            </w:pPr>
          </w:p>
        </w:tc>
        <w:tc>
          <w:tcPr>
            <w:tcW w:w="116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85.0%</w:t>
            </w:r>
          </w:p>
        </w:tc>
        <w:tc>
          <w:tcPr>
            <w:tcW w:w="240" w:type="dxa"/>
            <w:vAlign w:val="bottom"/>
          </w:tcPr>
          <w:p>
            <w:pPr>
              <w:spacing w:after="0"/>
              <w:rPr>
                <w:sz w:val="11"/>
                <w:szCs w:val="11"/>
                <w:color w:val="auto"/>
              </w:rPr>
            </w:pPr>
          </w:p>
        </w:tc>
        <w:tc>
          <w:tcPr>
            <w:tcW w:w="90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100.0%</w:t>
            </w: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-8.6</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-5.3</w:t>
            </w:r>
          </w:p>
        </w:tc>
        <w:tc>
          <w:tcPr>
            <w:tcW w:w="10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60.7%</w:t>
            </w:r>
          </w:p>
        </w:tc>
        <w:tc>
          <w:tcPr>
            <w:tcW w:w="0" w:type="dxa"/>
            <w:vAlign w:val="bottom"/>
          </w:tcPr>
          <w:p>
            <w:pPr>
              <w:spacing w:after="0"/>
              <w:rPr>
                <w:sz w:val="1"/>
                <w:szCs w:val="1"/>
                <w:color w:val="auto"/>
              </w:rPr>
            </w:pPr>
          </w:p>
        </w:tc>
      </w:tr>
      <w:tr>
        <w:trPr>
          <w:trHeight w:val="135"/>
        </w:trPr>
        <w:tc>
          <w:tcPr>
            <w:tcW w:w="242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Non financial income</w:t>
            </w:r>
          </w:p>
        </w:tc>
        <w:tc>
          <w:tcPr>
            <w:tcW w:w="118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8.4</w:t>
            </w:r>
          </w:p>
        </w:tc>
        <w:tc>
          <w:tcPr>
            <w:tcW w:w="11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7.0</w:t>
            </w:r>
          </w:p>
        </w:tc>
        <w:tc>
          <w:tcPr>
            <w:tcW w:w="9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8.4</w:t>
            </w:r>
          </w:p>
        </w:tc>
        <w:tc>
          <w:tcPr>
            <w:tcW w:w="220" w:type="dxa"/>
            <w:vAlign w:val="bottom"/>
            <w:shd w:val="clear" w:color="auto" w:fill="CCFFCC"/>
          </w:tcPr>
          <w:p>
            <w:pPr>
              <w:spacing w:after="0"/>
              <w:rPr>
                <w:sz w:val="11"/>
                <w:szCs w:val="11"/>
                <w:color w:val="auto"/>
              </w:rPr>
            </w:pPr>
          </w:p>
        </w:tc>
        <w:tc>
          <w:tcPr>
            <w:tcW w:w="1160" w:type="dxa"/>
            <w:vAlign w:val="bottom"/>
            <w:gridSpan w:val="2"/>
            <w:shd w:val="clear" w:color="auto" w:fill="CCFFCC"/>
          </w:tcPr>
          <w:p>
            <w:pPr>
              <w:jc w:val="right"/>
              <w:ind w:right="77"/>
              <w:spacing w:after="0" w:line="135" w:lineRule="exact"/>
              <w:rPr>
                <w:sz w:val="20"/>
                <w:szCs w:val="20"/>
                <w:color w:val="auto"/>
              </w:rPr>
            </w:pPr>
            <w:r>
              <w:rPr>
                <w:rFonts w:ascii="Arial" w:cs="Arial" w:eastAsia="Arial" w:hAnsi="Arial"/>
                <w:sz w:val="13"/>
                <w:szCs w:val="13"/>
                <w:color w:val="auto"/>
              </w:rPr>
              <w:t>20.1%</w:t>
            </w:r>
          </w:p>
        </w:tc>
        <w:tc>
          <w:tcPr>
            <w:tcW w:w="240" w:type="dxa"/>
            <w:vAlign w:val="bottom"/>
            <w:shd w:val="clear" w:color="auto" w:fill="CCFFCC"/>
          </w:tcPr>
          <w:p>
            <w:pPr>
              <w:spacing w:after="0"/>
              <w:rPr>
                <w:sz w:val="11"/>
                <w:szCs w:val="11"/>
                <w:color w:val="auto"/>
              </w:rPr>
            </w:pPr>
          </w:p>
        </w:tc>
        <w:tc>
          <w:tcPr>
            <w:tcW w:w="900" w:type="dxa"/>
            <w:vAlign w:val="bottom"/>
            <w:gridSpan w:val="2"/>
            <w:shd w:val="clear" w:color="auto" w:fill="CCFFCC"/>
          </w:tcPr>
          <w:p>
            <w:pPr>
              <w:jc w:val="right"/>
              <w:ind w:right="77"/>
              <w:spacing w:after="0" w:line="135" w:lineRule="exact"/>
              <w:rPr>
                <w:sz w:val="20"/>
                <w:szCs w:val="20"/>
                <w:color w:val="auto"/>
              </w:rPr>
            </w:pPr>
            <w:r>
              <w:rPr>
                <w:rFonts w:ascii="Arial" w:cs="Arial" w:eastAsia="Arial" w:hAnsi="Arial"/>
                <w:sz w:val="13"/>
                <w:szCs w:val="13"/>
                <w:color w:val="auto"/>
              </w:rPr>
              <w:t>-0.1%</w:t>
            </w:r>
          </w:p>
        </w:tc>
        <w:tc>
          <w:tcPr>
            <w:tcW w:w="11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29.8</w:t>
            </w:r>
          </w:p>
        </w:tc>
        <w:tc>
          <w:tcPr>
            <w:tcW w:w="240" w:type="dxa"/>
            <w:vAlign w:val="bottom"/>
            <w:shd w:val="clear" w:color="auto" w:fill="CCFFCC"/>
          </w:tcPr>
          <w:p>
            <w:pPr>
              <w:spacing w:after="0"/>
              <w:rPr>
                <w:sz w:val="11"/>
                <w:szCs w:val="11"/>
                <w:color w:val="auto"/>
              </w:rPr>
            </w:pPr>
          </w:p>
        </w:tc>
        <w:tc>
          <w:tcPr>
            <w:tcW w:w="8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35.2</w:t>
            </w:r>
          </w:p>
        </w:tc>
        <w:tc>
          <w:tcPr>
            <w:tcW w:w="104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-15.3%</w:t>
            </w:r>
          </w:p>
        </w:tc>
        <w:tc>
          <w:tcPr>
            <w:tcW w:w="0" w:type="dxa"/>
            <w:vAlign w:val="bottom"/>
          </w:tcPr>
          <w:p>
            <w:pPr>
              <w:spacing w:after="0"/>
              <w:rPr>
                <w:sz w:val="1"/>
                <w:szCs w:val="1"/>
                <w:color w:val="auto"/>
              </w:rPr>
            </w:pPr>
          </w:p>
        </w:tc>
      </w:tr>
      <w:tr>
        <w:trPr>
          <w:trHeight w:val="135"/>
        </w:trPr>
        <w:tc>
          <w:tcPr>
            <w:tcW w:w="2420" w:type="dxa"/>
            <w:vAlign w:val="bottom"/>
            <w:gridSpan w:val="2"/>
          </w:tcPr>
          <w:p>
            <w:pPr>
              <w:spacing w:after="0" w:line="135" w:lineRule="exact"/>
              <w:rPr>
                <w:sz w:val="20"/>
                <w:szCs w:val="20"/>
                <w:color w:val="auto"/>
              </w:rPr>
            </w:pPr>
            <w:r>
              <w:rPr>
                <w:rFonts w:ascii="Arial" w:cs="Arial" w:eastAsia="Arial" w:hAnsi="Arial"/>
                <w:sz w:val="13"/>
                <w:szCs w:val="13"/>
                <w:color w:val="auto"/>
              </w:rPr>
              <w:t>Operating expenses</w:t>
            </w:r>
          </w:p>
        </w:tc>
        <w:tc>
          <w:tcPr>
            <w:tcW w:w="11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-15.4</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-12.5</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-11.8</w:t>
            </w:r>
          </w:p>
        </w:tc>
        <w:tc>
          <w:tcPr>
            <w:tcW w:w="116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23.0%</w:t>
            </w:r>
          </w:p>
        </w:tc>
        <w:tc>
          <w:tcPr>
            <w:tcW w:w="240" w:type="dxa"/>
            <w:vAlign w:val="bottom"/>
          </w:tcPr>
          <w:p>
            <w:pPr>
              <w:spacing w:after="0"/>
              <w:rPr>
                <w:sz w:val="11"/>
                <w:szCs w:val="11"/>
                <w:color w:val="auto"/>
              </w:rPr>
            </w:pPr>
          </w:p>
        </w:tc>
        <w:tc>
          <w:tcPr>
            <w:tcW w:w="90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30.8%</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-52.3</w:t>
            </w:r>
          </w:p>
        </w:tc>
        <w:tc>
          <w:tcPr>
            <w:tcW w:w="24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-48.3</w:t>
            </w:r>
          </w:p>
        </w:tc>
        <w:tc>
          <w:tcPr>
            <w:tcW w:w="10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8.1%</w:t>
            </w:r>
          </w:p>
        </w:tc>
        <w:tc>
          <w:tcPr>
            <w:tcW w:w="0" w:type="dxa"/>
            <w:vAlign w:val="bottom"/>
          </w:tcPr>
          <w:p>
            <w:pPr>
              <w:spacing w:after="0"/>
              <w:rPr>
                <w:sz w:val="1"/>
                <w:szCs w:val="1"/>
                <w:color w:val="auto"/>
              </w:rPr>
            </w:pPr>
          </w:p>
        </w:tc>
      </w:tr>
      <w:tr>
        <w:trPr>
          <w:trHeight w:val="135"/>
        </w:trPr>
        <w:tc>
          <w:tcPr>
            <w:tcW w:w="242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Operating Income</w:t>
            </w:r>
          </w:p>
        </w:tc>
        <w:tc>
          <w:tcPr>
            <w:tcW w:w="118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6.4</w:t>
            </w:r>
          </w:p>
        </w:tc>
        <w:tc>
          <w:tcPr>
            <w:tcW w:w="11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8.9</w:t>
            </w:r>
          </w:p>
        </w:tc>
        <w:tc>
          <w:tcPr>
            <w:tcW w:w="9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9.1</w:t>
            </w:r>
          </w:p>
        </w:tc>
        <w:tc>
          <w:tcPr>
            <w:tcW w:w="220" w:type="dxa"/>
            <w:vAlign w:val="bottom"/>
            <w:shd w:val="clear" w:color="auto" w:fill="CCFFCC"/>
          </w:tcPr>
          <w:p>
            <w:pPr>
              <w:spacing w:after="0"/>
              <w:rPr>
                <w:sz w:val="11"/>
                <w:szCs w:val="11"/>
                <w:color w:val="auto"/>
              </w:rPr>
            </w:pPr>
          </w:p>
        </w:tc>
        <w:tc>
          <w:tcPr>
            <w:tcW w:w="1160" w:type="dxa"/>
            <w:vAlign w:val="bottom"/>
            <w:gridSpan w:val="2"/>
            <w:shd w:val="clear" w:color="auto" w:fill="CCFFCC"/>
          </w:tcPr>
          <w:p>
            <w:pPr>
              <w:jc w:val="right"/>
              <w:ind w:right="57"/>
              <w:spacing w:after="0" w:line="135" w:lineRule="exact"/>
              <w:rPr>
                <w:sz w:val="20"/>
                <w:szCs w:val="20"/>
                <w:color w:val="auto"/>
              </w:rPr>
            </w:pPr>
            <w:r>
              <w:rPr>
                <w:rFonts w:ascii="Arial" w:cs="Arial" w:eastAsia="Arial" w:hAnsi="Arial"/>
                <w:sz w:val="13"/>
                <w:szCs w:val="13"/>
                <w:b w:val="1"/>
                <w:bCs w:val="1"/>
                <w:color w:val="auto"/>
              </w:rPr>
              <w:t>-27.5%</w:t>
            </w:r>
          </w:p>
        </w:tc>
        <w:tc>
          <w:tcPr>
            <w:tcW w:w="240" w:type="dxa"/>
            <w:vAlign w:val="bottom"/>
            <w:shd w:val="clear" w:color="auto" w:fill="CCFFCC"/>
          </w:tcPr>
          <w:p>
            <w:pPr>
              <w:spacing w:after="0"/>
              <w:rPr>
                <w:sz w:val="11"/>
                <w:szCs w:val="11"/>
                <w:color w:val="auto"/>
              </w:rPr>
            </w:pPr>
          </w:p>
        </w:tc>
        <w:tc>
          <w:tcPr>
            <w:tcW w:w="900" w:type="dxa"/>
            <w:vAlign w:val="bottom"/>
            <w:gridSpan w:val="2"/>
            <w:shd w:val="clear" w:color="auto" w:fill="CCFFCC"/>
          </w:tcPr>
          <w:p>
            <w:pPr>
              <w:jc w:val="right"/>
              <w:ind w:right="57"/>
              <w:spacing w:after="0" w:line="135" w:lineRule="exact"/>
              <w:rPr>
                <w:sz w:val="20"/>
                <w:szCs w:val="20"/>
                <w:color w:val="auto"/>
              </w:rPr>
            </w:pPr>
            <w:r>
              <w:rPr>
                <w:rFonts w:ascii="Arial" w:cs="Arial" w:eastAsia="Arial" w:hAnsi="Arial"/>
                <w:sz w:val="13"/>
                <w:szCs w:val="13"/>
                <w:b w:val="1"/>
                <w:bCs w:val="1"/>
                <w:color w:val="auto"/>
              </w:rPr>
              <w:t>-29.5%</w:t>
            </w:r>
          </w:p>
        </w:tc>
        <w:tc>
          <w:tcPr>
            <w:tcW w:w="11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29.1</w:t>
            </w:r>
          </w:p>
        </w:tc>
        <w:tc>
          <w:tcPr>
            <w:tcW w:w="240" w:type="dxa"/>
            <w:vAlign w:val="bottom"/>
            <w:shd w:val="clear" w:color="auto" w:fill="CCFFCC"/>
          </w:tcPr>
          <w:p>
            <w:pPr>
              <w:spacing w:after="0"/>
              <w:rPr>
                <w:sz w:val="11"/>
                <w:szCs w:val="11"/>
                <w:color w:val="auto"/>
              </w:rPr>
            </w:pPr>
          </w:p>
        </w:tc>
        <w:tc>
          <w:tcPr>
            <w:tcW w:w="8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23.3</w:t>
            </w:r>
          </w:p>
        </w:tc>
        <w:tc>
          <w:tcPr>
            <w:tcW w:w="104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24.8%</w:t>
            </w:r>
          </w:p>
        </w:tc>
        <w:tc>
          <w:tcPr>
            <w:tcW w:w="0" w:type="dxa"/>
            <w:vAlign w:val="bottom"/>
          </w:tcPr>
          <w:p>
            <w:pPr>
              <w:spacing w:after="0"/>
              <w:rPr>
                <w:sz w:val="1"/>
                <w:szCs w:val="1"/>
                <w:color w:val="auto"/>
              </w:rPr>
            </w:pPr>
          </w:p>
        </w:tc>
      </w:tr>
      <w:tr>
        <w:trPr>
          <w:trHeight w:val="135"/>
        </w:trPr>
        <w:tc>
          <w:tcPr>
            <w:tcW w:w="2420" w:type="dxa"/>
            <w:vAlign w:val="bottom"/>
            <w:gridSpan w:val="2"/>
          </w:tcPr>
          <w:p>
            <w:pPr>
              <w:spacing w:after="0" w:line="135" w:lineRule="exact"/>
              <w:rPr>
                <w:sz w:val="20"/>
                <w:szCs w:val="20"/>
                <w:color w:val="auto"/>
              </w:rPr>
            </w:pPr>
            <w:r>
              <w:rPr>
                <w:rFonts w:ascii="Arial" w:cs="Arial" w:eastAsia="Arial" w:hAnsi="Arial"/>
                <w:sz w:val="13"/>
                <w:szCs w:val="13"/>
                <w:color w:val="auto"/>
              </w:rPr>
              <w:t>Translation result</w:t>
            </w:r>
          </w:p>
        </w:tc>
        <w:tc>
          <w:tcPr>
            <w:tcW w:w="11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0.0</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0.0</w:t>
            </w: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0.1</w:t>
            </w:r>
          </w:p>
        </w:tc>
        <w:tc>
          <w:tcPr>
            <w:tcW w:w="220" w:type="dxa"/>
            <w:vAlign w:val="bottom"/>
          </w:tcPr>
          <w:p>
            <w:pPr>
              <w:spacing w:after="0"/>
              <w:rPr>
                <w:sz w:val="11"/>
                <w:szCs w:val="11"/>
                <w:color w:val="auto"/>
              </w:rPr>
            </w:pPr>
          </w:p>
        </w:tc>
        <w:tc>
          <w:tcPr>
            <w:tcW w:w="116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-27.0%</w:t>
            </w:r>
          </w:p>
        </w:tc>
        <w:tc>
          <w:tcPr>
            <w:tcW w:w="240" w:type="dxa"/>
            <w:vAlign w:val="bottom"/>
          </w:tcPr>
          <w:p>
            <w:pPr>
              <w:spacing w:after="0"/>
              <w:rPr>
                <w:sz w:val="11"/>
                <w:szCs w:val="11"/>
                <w:color w:val="auto"/>
              </w:rPr>
            </w:pPr>
          </w:p>
        </w:tc>
        <w:tc>
          <w:tcPr>
            <w:tcW w:w="90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-122.7%</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0.0</w:t>
            </w:r>
          </w:p>
        </w:tc>
        <w:tc>
          <w:tcPr>
            <w:tcW w:w="24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0.8</w:t>
            </w:r>
          </w:p>
        </w:tc>
        <w:tc>
          <w:tcPr>
            <w:tcW w:w="10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-104.1%</w:t>
            </w:r>
          </w:p>
        </w:tc>
        <w:tc>
          <w:tcPr>
            <w:tcW w:w="0" w:type="dxa"/>
            <w:vAlign w:val="bottom"/>
          </w:tcPr>
          <w:p>
            <w:pPr>
              <w:spacing w:after="0"/>
              <w:rPr>
                <w:sz w:val="1"/>
                <w:szCs w:val="1"/>
                <w:color w:val="auto"/>
              </w:rPr>
            </w:pPr>
          </w:p>
        </w:tc>
      </w:tr>
      <w:tr>
        <w:trPr>
          <w:trHeight w:val="149"/>
        </w:trPr>
        <w:tc>
          <w:tcPr>
            <w:tcW w:w="2420" w:type="dxa"/>
            <w:vAlign w:val="bottom"/>
            <w:gridSpan w:val="2"/>
            <w:shd w:val="clear" w:color="auto" w:fill="CCFFCC"/>
          </w:tcPr>
          <w:p>
            <w:pPr>
              <w:spacing w:after="0"/>
              <w:rPr>
                <w:sz w:val="20"/>
                <w:szCs w:val="20"/>
                <w:color w:val="auto"/>
              </w:rPr>
            </w:pPr>
            <w:r>
              <w:rPr>
                <w:rFonts w:ascii="Arial" w:cs="Arial" w:eastAsia="Arial" w:hAnsi="Arial"/>
                <w:sz w:val="13"/>
                <w:szCs w:val="13"/>
                <w:color w:val="auto"/>
              </w:rPr>
              <w:t>Income tax</w:t>
            </w:r>
          </w:p>
        </w:tc>
        <w:tc>
          <w:tcPr>
            <w:tcW w:w="1180" w:type="dxa"/>
            <w:vAlign w:val="bottom"/>
            <w:gridSpan w:val="2"/>
            <w:shd w:val="clear" w:color="auto" w:fill="CCFFCC"/>
          </w:tcPr>
          <w:p>
            <w:pPr>
              <w:jc w:val="right"/>
              <w:ind w:right="240"/>
              <w:spacing w:after="0"/>
              <w:rPr>
                <w:sz w:val="20"/>
                <w:szCs w:val="20"/>
                <w:color w:val="auto"/>
              </w:rPr>
            </w:pPr>
            <w:r>
              <w:rPr>
                <w:rFonts w:ascii="Arial" w:cs="Arial" w:eastAsia="Arial" w:hAnsi="Arial"/>
                <w:sz w:val="13"/>
                <w:szCs w:val="13"/>
                <w:color w:val="auto"/>
              </w:rPr>
              <w:t>-2.4</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-3.5</w:t>
            </w:r>
          </w:p>
        </w:tc>
        <w:tc>
          <w:tcPr>
            <w:tcW w:w="900" w:type="dxa"/>
            <w:vAlign w:val="bottom"/>
            <w:shd w:val="clear" w:color="auto" w:fill="CCFFCC"/>
          </w:tcPr>
          <w:p>
            <w:pPr>
              <w:jc w:val="right"/>
              <w:spacing w:after="0"/>
              <w:rPr>
                <w:sz w:val="20"/>
                <w:szCs w:val="20"/>
                <w:color w:val="auto"/>
              </w:rPr>
            </w:pPr>
            <w:r>
              <w:rPr>
                <w:rFonts w:ascii="Arial" w:cs="Arial" w:eastAsia="Arial" w:hAnsi="Arial"/>
                <w:sz w:val="13"/>
                <w:szCs w:val="13"/>
                <w:color w:val="auto"/>
              </w:rPr>
              <w:t>-1.1</w:t>
            </w:r>
          </w:p>
        </w:tc>
        <w:tc>
          <w:tcPr>
            <w:tcW w:w="22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77"/>
              <w:spacing w:after="0"/>
              <w:rPr>
                <w:sz w:val="20"/>
                <w:szCs w:val="20"/>
                <w:color w:val="auto"/>
              </w:rPr>
            </w:pPr>
            <w:r>
              <w:rPr>
                <w:rFonts w:ascii="Arial" w:cs="Arial" w:eastAsia="Arial" w:hAnsi="Arial"/>
                <w:sz w:val="13"/>
                <w:szCs w:val="13"/>
                <w:color w:val="auto"/>
              </w:rPr>
              <w:t>-30.0%</w:t>
            </w:r>
          </w:p>
        </w:tc>
        <w:tc>
          <w:tcPr>
            <w:tcW w:w="24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77"/>
              <w:spacing w:after="0"/>
              <w:rPr>
                <w:sz w:val="20"/>
                <w:szCs w:val="20"/>
                <w:color w:val="auto"/>
              </w:rPr>
            </w:pPr>
            <w:r>
              <w:rPr>
                <w:rFonts w:ascii="Arial" w:cs="Arial" w:eastAsia="Arial" w:hAnsi="Arial"/>
                <w:sz w:val="13"/>
                <w:szCs w:val="13"/>
                <w:color w:val="auto"/>
              </w:rPr>
              <w:t>125.6%</w:t>
            </w:r>
          </w:p>
        </w:tc>
        <w:tc>
          <w:tcPr>
            <w:tcW w:w="900" w:type="dxa"/>
            <w:vAlign w:val="bottom"/>
            <w:shd w:val="clear" w:color="auto" w:fill="CCFFCC"/>
          </w:tcPr>
          <w:p>
            <w:pPr>
              <w:jc w:val="right"/>
              <w:spacing w:after="0"/>
              <w:rPr>
                <w:sz w:val="20"/>
                <w:szCs w:val="20"/>
                <w:color w:val="auto"/>
              </w:rPr>
            </w:pPr>
            <w:r>
              <w:rPr>
                <w:rFonts w:ascii="Arial" w:cs="Arial" w:eastAsia="Arial" w:hAnsi="Arial"/>
                <w:sz w:val="13"/>
                <w:szCs w:val="13"/>
                <w:color w:val="auto"/>
              </w:rPr>
              <w:t>-8.5</w:t>
            </w:r>
          </w:p>
        </w:tc>
        <w:tc>
          <w:tcPr>
            <w:tcW w:w="22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-1.8</w:t>
            </w: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3"/>
                <w:szCs w:val="13"/>
                <w:color w:val="auto"/>
              </w:rPr>
              <w:t>363.4%</w:t>
            </w:r>
          </w:p>
        </w:tc>
        <w:tc>
          <w:tcPr>
            <w:tcW w:w="0" w:type="dxa"/>
            <w:vAlign w:val="bottom"/>
          </w:tcPr>
          <w:p>
            <w:pPr>
              <w:spacing w:after="0"/>
              <w:rPr>
                <w:sz w:val="1"/>
                <w:szCs w:val="1"/>
                <w:color w:val="auto"/>
              </w:rPr>
            </w:pPr>
          </w:p>
        </w:tc>
      </w:tr>
      <w:tr>
        <w:trPr>
          <w:trHeight w:val="129"/>
        </w:trPr>
        <w:tc>
          <w:tcPr>
            <w:tcW w:w="2420" w:type="dxa"/>
            <w:vAlign w:val="bottom"/>
            <w:tcBorders>
              <w:bottom w:val="single" w:sz="8" w:color="CCFFCC"/>
            </w:tcBorders>
            <w:gridSpan w:val="2"/>
          </w:tcPr>
          <w:p>
            <w:pPr>
              <w:spacing w:after="0" w:line="129" w:lineRule="exact"/>
              <w:rPr>
                <w:sz w:val="20"/>
                <w:szCs w:val="20"/>
                <w:color w:val="auto"/>
              </w:rPr>
            </w:pPr>
            <w:r>
              <w:rPr>
                <w:rFonts w:ascii="Arial" w:cs="Arial" w:eastAsia="Arial" w:hAnsi="Arial"/>
                <w:sz w:val="13"/>
                <w:szCs w:val="13"/>
                <w:b w:val="1"/>
                <w:bCs w:val="1"/>
                <w:color w:val="auto"/>
              </w:rPr>
              <w:t>Net Income</w:t>
            </w:r>
          </w:p>
        </w:tc>
        <w:tc>
          <w:tcPr>
            <w:tcW w:w="9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4.0</w:t>
            </w:r>
          </w:p>
        </w:tc>
        <w:tc>
          <w:tcPr>
            <w:tcW w:w="240" w:type="dxa"/>
            <w:vAlign w:val="bottom"/>
            <w:tcBorders>
              <w:bottom w:val="single" w:sz="8" w:color="CCFFCC"/>
            </w:tcBorders>
          </w:tcPr>
          <w:p>
            <w:pPr>
              <w:spacing w:after="0"/>
              <w:rPr>
                <w:sz w:val="11"/>
                <w:szCs w:val="11"/>
                <w:color w:val="auto"/>
              </w:rPr>
            </w:pPr>
          </w:p>
        </w:tc>
        <w:tc>
          <w:tcPr>
            <w:tcW w:w="9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5.4</w:t>
            </w:r>
          </w:p>
        </w:tc>
        <w:tc>
          <w:tcPr>
            <w:tcW w:w="220" w:type="dxa"/>
            <w:vAlign w:val="bottom"/>
            <w:tcBorders>
              <w:bottom w:val="single" w:sz="8" w:color="CCFFCC"/>
            </w:tcBorders>
          </w:tcPr>
          <w:p>
            <w:pPr>
              <w:spacing w:after="0"/>
              <w:rPr>
                <w:sz w:val="11"/>
                <w:szCs w:val="11"/>
                <w:color w:val="auto"/>
              </w:rPr>
            </w:pPr>
          </w:p>
        </w:tc>
        <w:tc>
          <w:tcPr>
            <w:tcW w:w="9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8.2</w:t>
            </w:r>
          </w:p>
        </w:tc>
        <w:tc>
          <w:tcPr>
            <w:tcW w:w="220" w:type="dxa"/>
            <w:vAlign w:val="bottom"/>
            <w:tcBorders>
              <w:bottom w:val="single" w:sz="8" w:color="CCFFCC"/>
            </w:tcBorders>
          </w:tcPr>
          <w:p>
            <w:pPr>
              <w:spacing w:after="0"/>
              <w:rPr>
                <w:sz w:val="11"/>
                <w:szCs w:val="11"/>
                <w:color w:val="auto"/>
              </w:rPr>
            </w:pPr>
          </w:p>
        </w:tc>
        <w:tc>
          <w:tcPr>
            <w:tcW w:w="9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-26.0</w:t>
            </w:r>
          </w:p>
        </w:tc>
        <w:tc>
          <w:tcPr>
            <w:tcW w:w="260" w:type="dxa"/>
            <w:vAlign w:val="bottom"/>
            <w:tcBorders>
              <w:bottom w:val="single" w:sz="8" w:color="CCFFCC"/>
            </w:tcBorders>
          </w:tcPr>
          <w:p>
            <w:pPr>
              <w:jc w:val="right"/>
              <w:ind w:right="57"/>
              <w:spacing w:after="0" w:line="129" w:lineRule="exact"/>
              <w:rPr>
                <w:sz w:val="20"/>
                <w:szCs w:val="20"/>
                <w:color w:val="auto"/>
              </w:rPr>
            </w:pPr>
            <w:r>
              <w:rPr>
                <w:rFonts w:ascii="Arial" w:cs="Arial" w:eastAsia="Arial" w:hAnsi="Arial"/>
                <w:sz w:val="13"/>
                <w:szCs w:val="13"/>
                <w:b w:val="1"/>
                <w:bCs w:val="1"/>
                <w:color w:val="auto"/>
              </w:rPr>
              <w:t>%</w:t>
            </w:r>
          </w:p>
        </w:tc>
        <w:tc>
          <w:tcPr>
            <w:tcW w:w="24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-51.0</w:t>
            </w:r>
          </w:p>
        </w:tc>
        <w:tc>
          <w:tcPr>
            <w:tcW w:w="240" w:type="dxa"/>
            <w:vAlign w:val="bottom"/>
            <w:tcBorders>
              <w:bottom w:val="single" w:sz="8" w:color="CCFFCC"/>
            </w:tcBorders>
          </w:tcPr>
          <w:p>
            <w:pPr>
              <w:jc w:val="right"/>
              <w:ind w:right="57"/>
              <w:spacing w:after="0" w:line="129" w:lineRule="exact"/>
              <w:rPr>
                <w:sz w:val="20"/>
                <w:szCs w:val="20"/>
                <w:color w:val="auto"/>
              </w:rPr>
            </w:pPr>
            <w:r>
              <w:rPr>
                <w:rFonts w:ascii="Arial" w:cs="Arial" w:eastAsia="Arial" w:hAnsi="Arial"/>
                <w:sz w:val="13"/>
                <w:szCs w:val="13"/>
                <w:b w:val="1"/>
                <w:bCs w:val="1"/>
                <w:color w:val="auto"/>
                <w:w w:val="86"/>
              </w:rPr>
              <w:t>%</w:t>
            </w:r>
          </w:p>
        </w:tc>
        <w:tc>
          <w:tcPr>
            <w:tcW w:w="9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20.6</w:t>
            </w:r>
          </w:p>
        </w:tc>
        <w:tc>
          <w:tcPr>
            <w:tcW w:w="220" w:type="dxa"/>
            <w:vAlign w:val="bottom"/>
            <w:tcBorders>
              <w:bottom w:val="single" w:sz="8" w:color="CCFFCC"/>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22.3</w:t>
            </w:r>
          </w:p>
        </w:tc>
        <w:tc>
          <w:tcPr>
            <w:tcW w:w="220" w:type="dxa"/>
            <w:vAlign w:val="bottom"/>
            <w:tcBorders>
              <w:bottom w:val="single" w:sz="8" w:color="CCFFCC"/>
            </w:tcBorders>
          </w:tcPr>
          <w:p>
            <w:pPr>
              <w:spacing w:after="0"/>
              <w:rPr>
                <w:sz w:val="11"/>
                <w:szCs w:val="11"/>
                <w:color w:val="auto"/>
              </w:rPr>
            </w:pPr>
          </w:p>
        </w:tc>
        <w:tc>
          <w:tcPr>
            <w:tcW w:w="9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-7.7</w:t>
            </w:r>
          </w:p>
        </w:tc>
        <w:tc>
          <w:tcPr>
            <w:tcW w:w="140" w:type="dxa"/>
            <w:vAlign w:val="bottom"/>
            <w:tcBorders>
              <w:bottom w:val="single" w:sz="8" w:color="CCFFCC"/>
            </w:tcBorders>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29"/>
        </w:trPr>
        <w:tc>
          <w:tcPr>
            <w:tcW w:w="2420" w:type="dxa"/>
            <w:vAlign w:val="bottom"/>
            <w:gridSpan w:val="2"/>
            <w:shd w:val="clear" w:color="auto" w:fill="CCFFCC"/>
          </w:tcPr>
          <w:p>
            <w:pPr>
              <w:spacing w:after="0" w:line="129" w:lineRule="exact"/>
              <w:rPr>
                <w:sz w:val="20"/>
                <w:szCs w:val="20"/>
                <w:color w:val="auto"/>
              </w:rPr>
            </w:pPr>
            <w:r>
              <w:rPr>
                <w:rFonts w:ascii="Arial" w:cs="Arial" w:eastAsia="Arial" w:hAnsi="Arial"/>
                <w:sz w:val="13"/>
                <w:szCs w:val="13"/>
                <w:color w:val="auto"/>
              </w:rPr>
              <w:t>Total loans</w:t>
            </w:r>
          </w:p>
        </w:tc>
        <w:tc>
          <w:tcPr>
            <w:tcW w:w="94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907.0</w:t>
            </w:r>
          </w:p>
        </w:tc>
        <w:tc>
          <w:tcPr>
            <w:tcW w:w="240" w:type="dxa"/>
            <w:vAlign w:val="bottom"/>
            <w:shd w:val="clear" w:color="auto" w:fill="CCFFCC"/>
          </w:tcPr>
          <w:p>
            <w:pPr>
              <w:spacing w:after="0"/>
              <w:rPr>
                <w:sz w:val="11"/>
                <w:szCs w:val="11"/>
                <w:color w:val="auto"/>
              </w:rPr>
            </w:pPr>
          </w:p>
        </w:tc>
        <w:tc>
          <w:tcPr>
            <w:tcW w:w="90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844.7</w:t>
            </w: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762.9</w:t>
            </w:r>
          </w:p>
        </w:tc>
        <w:tc>
          <w:tcPr>
            <w:tcW w:w="220" w:type="dxa"/>
            <w:vAlign w:val="bottom"/>
            <w:shd w:val="clear" w:color="auto" w:fill="CCFFCC"/>
          </w:tcPr>
          <w:p>
            <w:pPr>
              <w:spacing w:after="0"/>
              <w:rPr>
                <w:sz w:val="11"/>
                <w:szCs w:val="11"/>
                <w:color w:val="auto"/>
              </w:rPr>
            </w:pPr>
          </w:p>
        </w:tc>
        <w:tc>
          <w:tcPr>
            <w:tcW w:w="1160" w:type="dxa"/>
            <w:vAlign w:val="bottom"/>
            <w:gridSpan w:val="2"/>
            <w:shd w:val="clear" w:color="auto" w:fill="CCFFCC"/>
          </w:tcPr>
          <w:p>
            <w:pPr>
              <w:jc w:val="right"/>
              <w:ind w:right="77"/>
              <w:spacing w:after="0" w:line="129" w:lineRule="exact"/>
              <w:rPr>
                <w:sz w:val="20"/>
                <w:szCs w:val="20"/>
                <w:color w:val="auto"/>
              </w:rPr>
            </w:pPr>
            <w:r>
              <w:rPr>
                <w:rFonts w:ascii="Arial" w:cs="Arial" w:eastAsia="Arial" w:hAnsi="Arial"/>
                <w:sz w:val="13"/>
                <w:szCs w:val="13"/>
                <w:color w:val="auto"/>
              </w:rPr>
              <w:t>7.4%</w:t>
            </w:r>
          </w:p>
        </w:tc>
        <w:tc>
          <w:tcPr>
            <w:tcW w:w="240" w:type="dxa"/>
            <w:vAlign w:val="bottom"/>
            <w:shd w:val="clear" w:color="auto" w:fill="CCFFCC"/>
          </w:tcPr>
          <w:p>
            <w:pPr>
              <w:spacing w:after="0"/>
              <w:rPr>
                <w:sz w:val="11"/>
                <w:szCs w:val="11"/>
                <w:color w:val="auto"/>
              </w:rPr>
            </w:pPr>
          </w:p>
        </w:tc>
        <w:tc>
          <w:tcPr>
            <w:tcW w:w="900" w:type="dxa"/>
            <w:vAlign w:val="bottom"/>
            <w:gridSpan w:val="2"/>
            <w:shd w:val="clear" w:color="auto" w:fill="CCFFCC"/>
          </w:tcPr>
          <w:p>
            <w:pPr>
              <w:jc w:val="right"/>
              <w:ind w:right="77"/>
              <w:spacing w:after="0" w:line="129" w:lineRule="exact"/>
              <w:rPr>
                <w:sz w:val="20"/>
                <w:szCs w:val="20"/>
                <w:color w:val="auto"/>
              </w:rPr>
            </w:pPr>
            <w:r>
              <w:rPr>
                <w:rFonts w:ascii="Arial" w:cs="Arial" w:eastAsia="Arial" w:hAnsi="Arial"/>
                <w:sz w:val="13"/>
                <w:szCs w:val="13"/>
                <w:color w:val="auto"/>
              </w:rPr>
              <w:t>18.9%</w:t>
            </w: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gridSpan w:val="2"/>
          </w:tcPr>
          <w:p>
            <w:pPr>
              <w:spacing w:after="0" w:line="135" w:lineRule="exact"/>
              <w:rPr>
                <w:sz w:val="20"/>
                <w:szCs w:val="20"/>
                <w:color w:val="auto"/>
              </w:rPr>
            </w:pPr>
            <w:r>
              <w:rPr>
                <w:rFonts w:ascii="Arial" w:cs="Arial" w:eastAsia="Arial" w:hAnsi="Arial"/>
                <w:sz w:val="13"/>
                <w:szCs w:val="13"/>
                <w:color w:val="auto"/>
              </w:rPr>
              <w:t>Past due loans</w:t>
            </w:r>
          </w:p>
        </w:tc>
        <w:tc>
          <w:tcPr>
            <w:tcW w:w="11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11.2</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11.5</w:t>
            </w: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8.9</w:t>
            </w:r>
          </w:p>
        </w:tc>
        <w:tc>
          <w:tcPr>
            <w:tcW w:w="220" w:type="dxa"/>
            <w:vAlign w:val="bottom"/>
          </w:tcPr>
          <w:p>
            <w:pPr>
              <w:spacing w:after="0"/>
              <w:rPr>
                <w:sz w:val="11"/>
                <w:szCs w:val="11"/>
                <w:color w:val="auto"/>
              </w:rPr>
            </w:pPr>
          </w:p>
        </w:tc>
        <w:tc>
          <w:tcPr>
            <w:tcW w:w="116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-2.5%</w:t>
            </w:r>
          </w:p>
        </w:tc>
        <w:tc>
          <w:tcPr>
            <w:tcW w:w="240" w:type="dxa"/>
            <w:vAlign w:val="bottom"/>
          </w:tcPr>
          <w:p>
            <w:pPr>
              <w:spacing w:after="0"/>
              <w:rPr>
                <w:sz w:val="11"/>
                <w:szCs w:val="11"/>
                <w:color w:val="auto"/>
              </w:rPr>
            </w:pPr>
          </w:p>
        </w:tc>
        <w:tc>
          <w:tcPr>
            <w:tcW w:w="90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26.1%</w:t>
            </w: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Net provisions for possible loan losses</w:t>
            </w:r>
          </w:p>
        </w:tc>
        <w:tc>
          <w:tcPr>
            <w:tcW w:w="118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-32.0</w:t>
            </w:r>
          </w:p>
        </w:tc>
        <w:tc>
          <w:tcPr>
            <w:tcW w:w="11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-30.0</w:t>
            </w:r>
          </w:p>
        </w:tc>
        <w:tc>
          <w:tcPr>
            <w:tcW w:w="11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-26.9</w:t>
            </w:r>
          </w:p>
        </w:tc>
        <w:tc>
          <w:tcPr>
            <w:tcW w:w="1160" w:type="dxa"/>
            <w:vAlign w:val="bottom"/>
            <w:gridSpan w:val="2"/>
            <w:shd w:val="clear" w:color="auto" w:fill="CCFFCC"/>
          </w:tcPr>
          <w:p>
            <w:pPr>
              <w:jc w:val="right"/>
              <w:ind w:right="77"/>
              <w:spacing w:after="0" w:line="135" w:lineRule="exact"/>
              <w:rPr>
                <w:sz w:val="20"/>
                <w:szCs w:val="20"/>
                <w:color w:val="auto"/>
              </w:rPr>
            </w:pPr>
            <w:r>
              <w:rPr>
                <w:rFonts w:ascii="Arial" w:cs="Arial" w:eastAsia="Arial" w:hAnsi="Arial"/>
                <w:sz w:val="13"/>
                <w:szCs w:val="13"/>
                <w:color w:val="auto"/>
              </w:rPr>
              <w:t>6.7%</w:t>
            </w:r>
          </w:p>
        </w:tc>
        <w:tc>
          <w:tcPr>
            <w:tcW w:w="240" w:type="dxa"/>
            <w:vAlign w:val="bottom"/>
            <w:shd w:val="clear" w:color="auto" w:fill="CCFFCC"/>
          </w:tcPr>
          <w:p>
            <w:pPr>
              <w:spacing w:after="0"/>
              <w:rPr>
                <w:sz w:val="11"/>
                <w:szCs w:val="11"/>
                <w:color w:val="auto"/>
              </w:rPr>
            </w:pPr>
          </w:p>
        </w:tc>
        <w:tc>
          <w:tcPr>
            <w:tcW w:w="900" w:type="dxa"/>
            <w:vAlign w:val="bottom"/>
            <w:gridSpan w:val="2"/>
            <w:shd w:val="clear" w:color="auto" w:fill="CCFFCC"/>
          </w:tcPr>
          <w:p>
            <w:pPr>
              <w:jc w:val="right"/>
              <w:ind w:right="77"/>
              <w:spacing w:after="0" w:line="135" w:lineRule="exact"/>
              <w:rPr>
                <w:sz w:val="20"/>
                <w:szCs w:val="20"/>
                <w:color w:val="auto"/>
              </w:rPr>
            </w:pPr>
            <w:r>
              <w:rPr>
                <w:rFonts w:ascii="Arial" w:cs="Arial" w:eastAsia="Arial" w:hAnsi="Arial"/>
                <w:sz w:val="13"/>
                <w:szCs w:val="13"/>
                <w:color w:val="auto"/>
              </w:rPr>
              <w:t>19.0%</w:t>
            </w: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gridSpan w:val="2"/>
          </w:tcPr>
          <w:p>
            <w:pPr>
              <w:spacing w:after="0" w:line="135" w:lineRule="exact"/>
              <w:rPr>
                <w:sz w:val="20"/>
                <w:szCs w:val="20"/>
                <w:color w:val="auto"/>
              </w:rPr>
            </w:pPr>
            <w:r>
              <w:rPr>
                <w:rFonts w:ascii="Arial" w:cs="Arial" w:eastAsia="Arial" w:hAnsi="Arial"/>
                <w:sz w:val="13"/>
                <w:szCs w:val="13"/>
                <w:color w:val="auto"/>
              </w:rPr>
              <w:t>Total investments</w:t>
            </w:r>
          </w:p>
        </w:tc>
        <w:tc>
          <w:tcPr>
            <w:tcW w:w="11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294.9</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348.2</w:t>
            </w: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205.8</w:t>
            </w:r>
          </w:p>
        </w:tc>
        <w:tc>
          <w:tcPr>
            <w:tcW w:w="220" w:type="dxa"/>
            <w:vAlign w:val="bottom"/>
          </w:tcPr>
          <w:p>
            <w:pPr>
              <w:spacing w:after="0"/>
              <w:rPr>
                <w:sz w:val="11"/>
                <w:szCs w:val="11"/>
                <w:color w:val="auto"/>
              </w:rPr>
            </w:pPr>
          </w:p>
        </w:tc>
        <w:tc>
          <w:tcPr>
            <w:tcW w:w="116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-15.3%</w:t>
            </w:r>
          </w:p>
        </w:tc>
        <w:tc>
          <w:tcPr>
            <w:tcW w:w="240" w:type="dxa"/>
            <w:vAlign w:val="bottom"/>
          </w:tcPr>
          <w:p>
            <w:pPr>
              <w:spacing w:after="0"/>
              <w:rPr>
                <w:sz w:val="11"/>
                <w:szCs w:val="11"/>
                <w:color w:val="auto"/>
              </w:rPr>
            </w:pPr>
          </w:p>
        </w:tc>
        <w:tc>
          <w:tcPr>
            <w:tcW w:w="90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43.3%</w:t>
            </w: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Total assets</w:t>
            </w:r>
          </w:p>
        </w:tc>
        <w:tc>
          <w:tcPr>
            <w:tcW w:w="118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1,411.6</w:t>
            </w:r>
          </w:p>
        </w:tc>
        <w:tc>
          <w:tcPr>
            <w:tcW w:w="9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1,380.7</w:t>
            </w: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1,195.5</w:t>
            </w:r>
          </w:p>
        </w:tc>
        <w:tc>
          <w:tcPr>
            <w:tcW w:w="220" w:type="dxa"/>
            <w:vAlign w:val="bottom"/>
            <w:shd w:val="clear" w:color="auto" w:fill="CCFFCC"/>
          </w:tcPr>
          <w:p>
            <w:pPr>
              <w:spacing w:after="0"/>
              <w:rPr>
                <w:sz w:val="11"/>
                <w:szCs w:val="11"/>
                <w:color w:val="auto"/>
              </w:rPr>
            </w:pPr>
          </w:p>
        </w:tc>
        <w:tc>
          <w:tcPr>
            <w:tcW w:w="1160" w:type="dxa"/>
            <w:vAlign w:val="bottom"/>
            <w:gridSpan w:val="2"/>
            <w:shd w:val="clear" w:color="auto" w:fill="CCFFCC"/>
          </w:tcPr>
          <w:p>
            <w:pPr>
              <w:jc w:val="right"/>
              <w:ind w:right="77"/>
              <w:spacing w:after="0" w:line="135" w:lineRule="exact"/>
              <w:rPr>
                <w:sz w:val="20"/>
                <w:szCs w:val="20"/>
                <w:color w:val="auto"/>
              </w:rPr>
            </w:pPr>
            <w:r>
              <w:rPr>
                <w:rFonts w:ascii="Arial" w:cs="Arial" w:eastAsia="Arial" w:hAnsi="Arial"/>
                <w:sz w:val="13"/>
                <w:szCs w:val="13"/>
                <w:color w:val="auto"/>
              </w:rPr>
              <w:t>2.2%</w:t>
            </w:r>
          </w:p>
        </w:tc>
        <w:tc>
          <w:tcPr>
            <w:tcW w:w="240" w:type="dxa"/>
            <w:vAlign w:val="bottom"/>
            <w:shd w:val="clear" w:color="auto" w:fill="CCFFCC"/>
          </w:tcPr>
          <w:p>
            <w:pPr>
              <w:spacing w:after="0"/>
              <w:rPr>
                <w:sz w:val="11"/>
                <w:szCs w:val="11"/>
                <w:color w:val="auto"/>
              </w:rPr>
            </w:pPr>
          </w:p>
        </w:tc>
        <w:tc>
          <w:tcPr>
            <w:tcW w:w="900" w:type="dxa"/>
            <w:vAlign w:val="bottom"/>
            <w:gridSpan w:val="2"/>
            <w:shd w:val="clear" w:color="auto" w:fill="CCFFCC"/>
          </w:tcPr>
          <w:p>
            <w:pPr>
              <w:jc w:val="right"/>
              <w:ind w:right="77"/>
              <w:spacing w:after="0" w:line="135" w:lineRule="exact"/>
              <w:rPr>
                <w:sz w:val="20"/>
                <w:szCs w:val="20"/>
                <w:color w:val="auto"/>
              </w:rPr>
            </w:pPr>
            <w:r>
              <w:rPr>
                <w:rFonts w:ascii="Arial" w:cs="Arial" w:eastAsia="Arial" w:hAnsi="Arial"/>
                <w:sz w:val="13"/>
                <w:szCs w:val="13"/>
                <w:color w:val="auto"/>
              </w:rPr>
              <w:t>18.1%</w:t>
            </w: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gridSpan w:val="2"/>
          </w:tcPr>
          <w:p>
            <w:pPr>
              <w:spacing w:after="0" w:line="135" w:lineRule="exact"/>
              <w:rPr>
                <w:sz w:val="20"/>
                <w:szCs w:val="20"/>
                <w:color w:val="auto"/>
              </w:rPr>
            </w:pPr>
            <w:r>
              <w:rPr>
                <w:rFonts w:ascii="Arial" w:cs="Arial" w:eastAsia="Arial" w:hAnsi="Arial"/>
                <w:sz w:val="13"/>
                <w:szCs w:val="13"/>
                <w:color w:val="auto"/>
              </w:rPr>
              <w:t>Total deposits</w:t>
            </w:r>
          </w:p>
        </w:tc>
        <w:tc>
          <w:tcPr>
            <w:tcW w:w="11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1,229.0</w:t>
            </w: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1,210.0</w:t>
            </w:r>
          </w:p>
        </w:tc>
        <w:tc>
          <w:tcPr>
            <w:tcW w:w="22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1,055.5</w:t>
            </w:r>
          </w:p>
        </w:tc>
        <w:tc>
          <w:tcPr>
            <w:tcW w:w="220" w:type="dxa"/>
            <w:vAlign w:val="bottom"/>
          </w:tcPr>
          <w:p>
            <w:pPr>
              <w:spacing w:after="0"/>
              <w:rPr>
                <w:sz w:val="11"/>
                <w:szCs w:val="11"/>
                <w:color w:val="auto"/>
              </w:rPr>
            </w:pPr>
          </w:p>
        </w:tc>
        <w:tc>
          <w:tcPr>
            <w:tcW w:w="116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1.6%</w:t>
            </w:r>
          </w:p>
        </w:tc>
        <w:tc>
          <w:tcPr>
            <w:tcW w:w="240" w:type="dxa"/>
            <w:vAlign w:val="bottom"/>
          </w:tcPr>
          <w:p>
            <w:pPr>
              <w:spacing w:after="0"/>
              <w:rPr>
                <w:sz w:val="11"/>
                <w:szCs w:val="11"/>
                <w:color w:val="auto"/>
              </w:rPr>
            </w:pPr>
          </w:p>
        </w:tc>
        <w:tc>
          <w:tcPr>
            <w:tcW w:w="90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16.4%</w:t>
            </w: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20" w:type="dxa"/>
            <w:vAlign w:val="bottom"/>
            <w:gridSpan w:val="2"/>
            <w:shd w:val="clear" w:color="auto" w:fill="CCFFCC"/>
          </w:tcPr>
          <w:p>
            <w:pPr>
              <w:spacing w:after="0"/>
              <w:rPr>
                <w:sz w:val="20"/>
                <w:szCs w:val="20"/>
                <w:color w:val="auto"/>
              </w:rPr>
            </w:pPr>
            <w:r>
              <w:rPr>
                <w:rFonts w:ascii="Arial" w:cs="Arial" w:eastAsia="Arial" w:hAnsi="Arial"/>
                <w:sz w:val="13"/>
                <w:szCs w:val="13"/>
                <w:color w:val="auto"/>
              </w:rPr>
              <w:t>Net shareholders' equity</w:t>
            </w:r>
          </w:p>
        </w:tc>
        <w:tc>
          <w:tcPr>
            <w:tcW w:w="940" w:type="dxa"/>
            <w:vAlign w:val="bottom"/>
            <w:shd w:val="clear" w:color="auto" w:fill="CCFFCC"/>
          </w:tcPr>
          <w:p>
            <w:pPr>
              <w:jc w:val="right"/>
              <w:spacing w:after="0"/>
              <w:rPr>
                <w:sz w:val="20"/>
                <w:szCs w:val="20"/>
                <w:color w:val="auto"/>
              </w:rPr>
            </w:pPr>
            <w:r>
              <w:rPr>
                <w:rFonts w:ascii="Arial" w:cs="Arial" w:eastAsia="Arial" w:hAnsi="Arial"/>
                <w:sz w:val="13"/>
                <w:szCs w:val="13"/>
                <w:color w:val="auto"/>
              </w:rPr>
              <w:t>133.1</w:t>
            </w:r>
          </w:p>
        </w:tc>
        <w:tc>
          <w:tcPr>
            <w:tcW w:w="24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130.0</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111.6</w:t>
            </w:r>
          </w:p>
        </w:tc>
        <w:tc>
          <w:tcPr>
            <w:tcW w:w="1160" w:type="dxa"/>
            <w:vAlign w:val="bottom"/>
            <w:gridSpan w:val="2"/>
            <w:shd w:val="clear" w:color="auto" w:fill="CCFFCC"/>
          </w:tcPr>
          <w:p>
            <w:pPr>
              <w:jc w:val="right"/>
              <w:ind w:right="77"/>
              <w:spacing w:after="0"/>
              <w:rPr>
                <w:sz w:val="20"/>
                <w:szCs w:val="20"/>
                <w:color w:val="auto"/>
              </w:rPr>
            </w:pPr>
            <w:r>
              <w:rPr>
                <w:rFonts w:ascii="Arial" w:cs="Arial" w:eastAsia="Arial" w:hAnsi="Arial"/>
                <w:sz w:val="13"/>
                <w:szCs w:val="13"/>
                <w:color w:val="auto"/>
              </w:rPr>
              <w:t>2.3%</w:t>
            </w:r>
          </w:p>
        </w:tc>
        <w:tc>
          <w:tcPr>
            <w:tcW w:w="24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77"/>
              <w:spacing w:after="0"/>
              <w:rPr>
                <w:sz w:val="20"/>
                <w:szCs w:val="20"/>
                <w:color w:val="auto"/>
              </w:rPr>
            </w:pPr>
            <w:r>
              <w:rPr>
                <w:rFonts w:ascii="Arial" w:cs="Arial" w:eastAsia="Arial" w:hAnsi="Arial"/>
                <w:sz w:val="13"/>
                <w:szCs w:val="13"/>
                <w:color w:val="auto"/>
              </w:rPr>
              <w:t>19.3%</w:t>
            </w: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420" w:type="dxa"/>
            <w:vAlign w:val="bottom"/>
            <w:gridSpan w:val="2"/>
            <w:vMerge w:val="restart"/>
          </w:tcPr>
          <w:p>
            <w:pPr>
              <w:spacing w:after="0"/>
              <w:rPr>
                <w:sz w:val="20"/>
                <w:szCs w:val="20"/>
                <w:color w:val="auto"/>
              </w:rPr>
            </w:pPr>
            <w:r>
              <w:rPr>
                <w:rFonts w:ascii="Arial" w:cs="Arial" w:eastAsia="Arial" w:hAnsi="Arial"/>
                <w:sz w:val="13"/>
                <w:szCs w:val="13"/>
                <w:color w:val="auto"/>
              </w:rPr>
              <w:t>PDL ratio</w:t>
            </w: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420" w:type="dxa"/>
            <w:vAlign w:val="bottom"/>
            <w:gridSpan w:val="2"/>
            <w:vMerge w:val="continue"/>
          </w:tcPr>
          <w:p>
            <w:pPr>
              <w:spacing w:after="0"/>
              <w:rPr>
                <w:sz w:val="11"/>
                <w:szCs w:val="11"/>
                <w:color w:val="auto"/>
              </w:rPr>
            </w:pPr>
          </w:p>
        </w:tc>
        <w:tc>
          <w:tcPr>
            <w:tcW w:w="1180" w:type="dxa"/>
            <w:vAlign w:val="bottom"/>
            <w:gridSpan w:val="2"/>
          </w:tcPr>
          <w:p>
            <w:pPr>
              <w:jc w:val="right"/>
              <w:ind w:right="140"/>
              <w:spacing w:after="0" w:line="129" w:lineRule="exact"/>
              <w:rPr>
                <w:sz w:val="20"/>
                <w:szCs w:val="20"/>
                <w:color w:val="auto"/>
              </w:rPr>
            </w:pPr>
            <w:r>
              <w:rPr>
                <w:rFonts w:ascii="Arial" w:cs="Arial" w:eastAsia="Arial" w:hAnsi="Arial"/>
                <w:sz w:val="13"/>
                <w:szCs w:val="13"/>
                <w:color w:val="auto"/>
              </w:rPr>
              <w:t>1.24%</w:t>
            </w:r>
          </w:p>
        </w:tc>
        <w:tc>
          <w:tcPr>
            <w:tcW w:w="1120" w:type="dxa"/>
            <w:vAlign w:val="bottom"/>
            <w:gridSpan w:val="2"/>
          </w:tcPr>
          <w:p>
            <w:pPr>
              <w:jc w:val="right"/>
              <w:ind w:right="100"/>
              <w:spacing w:after="0" w:line="129" w:lineRule="exact"/>
              <w:rPr>
                <w:sz w:val="20"/>
                <w:szCs w:val="20"/>
                <w:color w:val="auto"/>
              </w:rPr>
            </w:pPr>
            <w:r>
              <w:rPr>
                <w:rFonts w:ascii="Arial" w:cs="Arial" w:eastAsia="Arial" w:hAnsi="Arial"/>
                <w:sz w:val="13"/>
                <w:szCs w:val="13"/>
                <w:color w:val="auto"/>
              </w:rPr>
              <w:t>1.37%</w:t>
            </w:r>
          </w:p>
        </w:tc>
        <w:tc>
          <w:tcPr>
            <w:tcW w:w="1120" w:type="dxa"/>
            <w:vAlign w:val="bottom"/>
            <w:gridSpan w:val="2"/>
          </w:tcPr>
          <w:p>
            <w:pPr>
              <w:jc w:val="right"/>
              <w:ind w:right="100"/>
              <w:spacing w:after="0" w:line="129" w:lineRule="exact"/>
              <w:rPr>
                <w:sz w:val="20"/>
                <w:szCs w:val="20"/>
                <w:color w:val="auto"/>
              </w:rPr>
            </w:pPr>
            <w:r>
              <w:rPr>
                <w:rFonts w:ascii="Arial" w:cs="Arial" w:eastAsia="Arial" w:hAnsi="Arial"/>
                <w:sz w:val="13"/>
                <w:szCs w:val="13"/>
                <w:color w:val="auto"/>
              </w:rPr>
              <w:t>1.17%</w:t>
            </w: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Coverage of PDLs</w:t>
            </w:r>
          </w:p>
        </w:tc>
        <w:tc>
          <w:tcPr>
            <w:tcW w:w="118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301.3%</w:t>
            </w:r>
          </w:p>
        </w:tc>
        <w:tc>
          <w:tcPr>
            <w:tcW w:w="112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275.0%</w:t>
            </w:r>
          </w:p>
        </w:tc>
        <w:tc>
          <w:tcPr>
            <w:tcW w:w="112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314.0%</w:t>
            </w:r>
          </w:p>
        </w:tc>
        <w:tc>
          <w:tcPr>
            <w:tcW w:w="9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gridSpan w:val="2"/>
          </w:tcPr>
          <w:p>
            <w:pPr>
              <w:spacing w:after="0" w:line="135" w:lineRule="exact"/>
              <w:rPr>
                <w:sz w:val="20"/>
                <w:szCs w:val="20"/>
                <w:color w:val="auto"/>
              </w:rPr>
            </w:pPr>
            <w:r>
              <w:rPr>
                <w:rFonts w:ascii="Arial" w:cs="Arial" w:eastAsia="Arial" w:hAnsi="Arial"/>
                <w:sz w:val="13"/>
                <w:szCs w:val="13"/>
                <w:color w:val="auto"/>
              </w:rPr>
              <w:t>ROAE *</w:t>
            </w:r>
          </w:p>
        </w:tc>
        <w:tc>
          <w:tcPr>
            <w:tcW w:w="11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12.1%</w:t>
            </w:r>
          </w:p>
        </w:tc>
        <w:tc>
          <w:tcPr>
            <w:tcW w:w="11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17.0%</w:t>
            </w:r>
          </w:p>
        </w:tc>
        <w:tc>
          <w:tcPr>
            <w:tcW w:w="11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30.4%</w:t>
            </w: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Branches</w:t>
            </w:r>
          </w:p>
        </w:tc>
        <w:tc>
          <w:tcPr>
            <w:tcW w:w="118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41</w:t>
            </w:r>
          </w:p>
        </w:tc>
        <w:tc>
          <w:tcPr>
            <w:tcW w:w="9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40</w:t>
            </w: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42</w:t>
            </w: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gridSpan w:val="2"/>
          </w:tcPr>
          <w:p>
            <w:pPr>
              <w:spacing w:after="0" w:line="135" w:lineRule="exact"/>
              <w:rPr>
                <w:sz w:val="20"/>
                <w:szCs w:val="20"/>
                <w:color w:val="auto"/>
              </w:rPr>
            </w:pPr>
            <w:r>
              <w:rPr>
                <w:rFonts w:ascii="Arial" w:cs="Arial" w:eastAsia="Arial" w:hAnsi="Arial"/>
                <w:sz w:val="13"/>
                <w:szCs w:val="13"/>
                <w:color w:val="auto"/>
              </w:rPr>
              <w:t>Agentes</w:t>
            </w:r>
          </w:p>
        </w:tc>
        <w:tc>
          <w:tcPr>
            <w:tcW w:w="11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26</w:t>
            </w: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25</w:t>
            </w:r>
          </w:p>
        </w:tc>
        <w:tc>
          <w:tcPr>
            <w:tcW w:w="22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33</w:t>
            </w: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ATMs</w:t>
            </w:r>
          </w:p>
        </w:tc>
        <w:tc>
          <w:tcPr>
            <w:tcW w:w="118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207</w:t>
            </w:r>
          </w:p>
        </w:tc>
        <w:tc>
          <w:tcPr>
            <w:tcW w:w="11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189</w:t>
            </w:r>
          </w:p>
        </w:tc>
        <w:tc>
          <w:tcPr>
            <w:tcW w:w="11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196</w:t>
            </w:r>
          </w:p>
        </w:tc>
        <w:tc>
          <w:tcPr>
            <w:tcW w:w="9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420" w:type="dxa"/>
            <w:vAlign w:val="bottom"/>
            <w:gridSpan w:val="2"/>
          </w:tcPr>
          <w:p>
            <w:pPr>
              <w:spacing w:after="0"/>
              <w:rPr>
                <w:sz w:val="20"/>
                <w:szCs w:val="20"/>
                <w:color w:val="auto"/>
              </w:rPr>
            </w:pPr>
            <w:r>
              <w:rPr>
                <w:rFonts w:ascii="Arial" w:cs="Arial" w:eastAsia="Arial" w:hAnsi="Arial"/>
                <w:sz w:val="13"/>
                <w:szCs w:val="13"/>
                <w:color w:val="auto"/>
              </w:rPr>
              <w:t>Employees</w:t>
            </w:r>
          </w:p>
        </w:tc>
        <w:tc>
          <w:tcPr>
            <w:tcW w:w="1180" w:type="dxa"/>
            <w:vAlign w:val="bottom"/>
            <w:gridSpan w:val="2"/>
          </w:tcPr>
          <w:p>
            <w:pPr>
              <w:jc w:val="right"/>
              <w:ind w:right="240"/>
              <w:spacing w:after="0"/>
              <w:rPr>
                <w:sz w:val="20"/>
                <w:szCs w:val="20"/>
                <w:color w:val="auto"/>
              </w:rPr>
            </w:pPr>
            <w:r>
              <w:rPr>
                <w:rFonts w:ascii="Arial" w:cs="Arial" w:eastAsia="Arial" w:hAnsi="Arial"/>
                <w:sz w:val="13"/>
                <w:szCs w:val="13"/>
                <w:color w:val="auto"/>
              </w:rPr>
              <w:t>15,583</w:t>
            </w: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1,507</w:t>
            </w:r>
          </w:p>
        </w:tc>
        <w:tc>
          <w:tcPr>
            <w:tcW w:w="900" w:type="dxa"/>
            <w:vAlign w:val="bottom"/>
          </w:tcPr>
          <w:p>
            <w:pPr>
              <w:jc w:val="right"/>
              <w:spacing w:after="0"/>
              <w:rPr>
                <w:sz w:val="20"/>
                <w:szCs w:val="20"/>
                <w:color w:val="auto"/>
              </w:rPr>
            </w:pPr>
            <w:r>
              <w:rPr>
                <w:rFonts w:ascii="Arial" w:cs="Arial" w:eastAsia="Arial" w:hAnsi="Arial"/>
                <w:sz w:val="13"/>
                <w:szCs w:val="13"/>
                <w:color w:val="auto"/>
              </w:rPr>
              <w:t>1,343</w:t>
            </w: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1539875</wp:posOffset>
            </wp:positionH>
            <wp:positionV relativeFrom="paragraph">
              <wp:posOffset>-6985</wp:posOffset>
            </wp:positionV>
            <wp:extent cx="203263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 ROAE for december 2012 added to 16.6% (Year to date) and 22.1% for december 2011(Year to date).</w:t>
      </w:r>
    </w:p>
    <w:p>
      <w:pPr>
        <w:spacing w:after="0" w:line="21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4Q12, BCP Bolivia obtained net income of US$ 4.0 million, which represented a decline of 26.0% QoQ. It is important to note that net interest income remained solid, posting slight growth of 2.2% QoQ. This was reinforced by significant expansion in non-financial income (+20.1% QoQ), which was due primarily to an increase in income from international transfers. Nevertheless, the aforementioned was offset by:</w:t>
      </w:r>
    </w:p>
    <w:p>
      <w:pPr>
        <w:spacing w:after="0" w:line="181" w:lineRule="exact"/>
        <w:rPr>
          <w:sz w:val="20"/>
          <w:szCs w:val="20"/>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Growth in net provisions for loan losses (+85.0% QoQ), which was attributable to an increase in cyclical provisions to cover expansion in the foreign currency portfolio;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increase in operating expenses (+23.0% QoQ), which was attributable to the decision to set aside extraordinary provisions (operational risk) and the fact that a new tax was levied on sales of foreign currency.</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annual terms, BCP’s operating results evolved very favorably with significant growth in interest income (+30.7%). This was due to an increase in interest on loans, which was in turn attributable to expansion in the loan portfolio (+18.9%). Net income fell 51.0% YoY, which was primarily due to a 30.8% increase in operating expenses that was associated with growth in personnel expenses and a decision to set aside extraordinary reserves; growth in net provisions for loan losses, which contrasts with the scenario in 4Q11, where no provisions were set aside due to a generic reserves release; and an increase in income taxes, which was attributable to the new tax levied as of January 2012 on income in the banking system.</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Although BCP Bolivia’s loans have increased, it is important to note that the bank’s conservative approach to loan risk allowed it to post a past due ratio of 1.24% in 4Q12 (1.37% in 3Q12 and 1.17% in 4Q11) and a coverage ratio of 301.3% (275.0% in 3Q12 and 314.0% in 4Q11). These indicators prove that BCP Bolivia continues to stand out as one of the most stable institutions in the Bolivian banking system, which registered a past due ratio of 1.46% and a coverage ratio of 291.2% at the end of 4Q12.</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10" w:right="239" w:bottom="1440" w:gutter="0" w:footer="0" w:header="0"/>
        </w:sectPr>
      </w:pPr>
    </w:p>
    <w:bookmarkStart w:id="27" w:name="page28"/>
    <w:bookmarkEnd w:id="27"/>
    <w:p>
      <w:pPr>
        <w:jc w:val="both"/>
        <w:ind w:right="2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7266940</wp:posOffset>
            </wp:positionH>
            <wp:positionV relativeFrom="page">
              <wp:posOffset>568960</wp:posOffset>
            </wp:positionV>
            <wp:extent cx="13716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137160" cy="137160"/>
                    </a:xfrm>
                    <a:prstGeom prst="rect">
                      <a:avLst/>
                    </a:prstGeom>
                    <a:noFill/>
                  </pic:spPr>
                </pic:pic>
              </a:graphicData>
            </a:graphic>
          </wp:anchor>
        </w:drawing>
        <w:t>Finally, BCP Bolivia’s ROAE in 4Q12 was 12.1%, which falls below the 17.0% reported in 3Q12 and the 30.4% registered in 4Q11. These drops were largely due to the extraordinary provisions set aside for operational risk and the additional income tax that the Bolivian authorities instituted this year.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BCP Bolivia’s total loan balance at the end of December 2012 was US$ 907.0 million, which represents an increase of 7.4% with regard to the US$ 844.7 million posted in September 2012 and 18.9% growth in terms of the figure reported at the end of December 2011. Loan growth in 4Q12 was due a decision by retail banking, which represents 55.8% of BCP’s total loans, to adopt an aggressive strategy to grow all its segments, which led to +7.2% growth QoQ and +24.7% YoY. Within this banking division, the segments that grew the most were SME (+8.1% QoQ and +29.6% YoY), which represents 29.0% of this portfolio’s total loans; Installment Loans (+8.3% QoQ and +34.6 YoY), which account for 14.6% of all loans in this division; and the Home Loan segment (+5.3% QoQ and YoY +18.1%), which is equivalent to 39.9% of total retail loans.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Wholesale Banking portfolio, which represents 42.1% of BCP Bolivia’s portfolio, posted favorable growth of +8.1% QoQ and +12.2% YoY.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BCP Bolivia’s loan balance at the end of December 2012 totaled US$ 294.9 million, which represents growth of 15.3% QoQ and 43.3% YoY. The YoY increase is due primarily to an increase in investments in the Central Bank of Bolivia.</w:t>
      </w:r>
    </w:p>
    <w:p>
      <w:pPr>
        <w:spacing w:after="0" w:line="1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terms of liabilities, BCP Bolivia’s deposits experienced 1.6% QoQ growth, which was due primarily to an 18.2% increase in time deposits. The YoY analysis reveals growth of 16.4%, which was due to expansion in savings deposits (+21.2%), time deposits (+17.5%) and demand deposits (+12.1%).</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shareholders’ equity increased 2.3% QoQ and 19.3% YoY. Positive YoY growth was due to the fact that all of the earnings obtained in 2011 were set aside as voluntary reserves.</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Finally, BCP Bolivia has a solid and stable market share of 11.2% in current loans and 11.1% in total deposits, which situates the bank in third place in terms of loans (maintaining a 0.7% lead with regard to the Bank that holds fourth place) and fifth place with regard to deposits in the Bolivian banking system.</w:t>
      </w:r>
    </w:p>
    <w:p>
      <w:pPr>
        <w:spacing w:after="0" w:line="3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14"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7266940</wp:posOffset>
            </wp:positionH>
            <wp:positionV relativeFrom="page">
              <wp:posOffset>568960</wp:posOffset>
            </wp:positionV>
            <wp:extent cx="13716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137160" cy="137160"/>
                    </a:xfrm>
                    <a:prstGeom prst="rect">
                      <a:avLst/>
                    </a:prstGeom>
                    <a:noFill/>
                  </pic:spPr>
                </pic:pic>
              </a:graphicData>
            </a:graphic>
          </wp:anchor>
        </w:drawing>
        <w:t>IV. Financiera Edyficar</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20" w:type="dxa"/>
            <w:vAlign w:val="bottom"/>
            <w:gridSpan w:val="2"/>
          </w:tcPr>
          <w:p>
            <w:pPr>
              <w:spacing w:after="0"/>
              <w:rPr>
                <w:sz w:val="20"/>
                <w:szCs w:val="20"/>
                <w:color w:val="auto"/>
              </w:rPr>
            </w:pPr>
            <w:r>
              <w:rPr>
                <w:rFonts w:ascii="Arial" w:cs="Arial" w:eastAsia="Arial" w:hAnsi="Arial"/>
                <w:sz w:val="13"/>
                <w:szCs w:val="13"/>
                <w:b w:val="1"/>
                <w:bCs w:val="1"/>
                <w:color w:val="auto"/>
              </w:rPr>
              <w:t>Edyficar</w:t>
            </w: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Quarter</w:t>
            </w: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3"/>
          </w:tcPr>
          <w:p>
            <w:pPr>
              <w:ind w:left="740"/>
              <w:spacing w:after="0"/>
              <w:rPr>
                <w:sz w:val="20"/>
                <w:szCs w:val="20"/>
                <w:color w:val="auto"/>
              </w:rPr>
            </w:pPr>
            <w:r>
              <w:rPr>
                <w:rFonts w:ascii="Arial" w:cs="Arial" w:eastAsia="Arial" w:hAnsi="Arial"/>
                <w:sz w:val="13"/>
                <w:szCs w:val="13"/>
                <w:b w:val="1"/>
                <w:bCs w:val="1"/>
                <w:color w:val="auto"/>
              </w:rPr>
              <w:t>Change %</w:t>
            </w: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3"/>
          </w:tcPr>
          <w:p>
            <w:pPr>
              <w:ind w:left="700"/>
              <w:spacing w:after="0"/>
              <w:rPr>
                <w:sz w:val="20"/>
                <w:szCs w:val="20"/>
                <w:color w:val="auto"/>
              </w:rPr>
            </w:pPr>
            <w:r>
              <w:rPr>
                <w:rFonts w:ascii="Arial" w:cs="Arial" w:eastAsia="Arial" w:hAnsi="Arial"/>
                <w:sz w:val="13"/>
                <w:szCs w:val="13"/>
                <w:b w:val="1"/>
                <w:bCs w:val="1"/>
                <w:color w:val="auto"/>
                <w:w w:val="94"/>
              </w:rPr>
              <w:t>Year ended</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2"/>
          </w:tcPr>
          <w:p>
            <w:pPr>
              <w:jc w:val="right"/>
              <w:ind w:right="237"/>
              <w:spacing w:after="0"/>
              <w:rPr>
                <w:sz w:val="20"/>
                <w:szCs w:val="20"/>
                <w:color w:val="auto"/>
              </w:rPr>
            </w:pPr>
            <w:r>
              <w:rPr>
                <w:rFonts w:ascii="Arial" w:cs="Arial" w:eastAsia="Arial" w:hAnsi="Arial"/>
                <w:sz w:val="13"/>
                <w:szCs w:val="13"/>
                <w:b w:val="1"/>
                <w:bCs w:val="1"/>
                <w:color w:val="auto"/>
              </w:rPr>
              <w:t>Change %</w:t>
            </w:r>
          </w:p>
        </w:tc>
        <w:tc>
          <w:tcPr>
            <w:tcW w:w="0" w:type="dxa"/>
            <w:vAlign w:val="bottom"/>
          </w:tcPr>
          <w:p>
            <w:pPr>
              <w:spacing w:after="0"/>
              <w:rPr>
                <w:sz w:val="1"/>
                <w:szCs w:val="1"/>
                <w:color w:val="auto"/>
              </w:rPr>
            </w:pPr>
          </w:p>
        </w:tc>
      </w:tr>
      <w:tr>
        <w:trPr>
          <w:trHeight w:val="153"/>
        </w:trPr>
        <w:tc>
          <w:tcPr>
            <w:tcW w:w="23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US$ 000</w:t>
            </w:r>
          </w:p>
        </w:tc>
        <w:tc>
          <w:tcPr>
            <w:tcW w:w="120" w:type="dxa"/>
            <w:vAlign w:val="bottom"/>
            <w:tcBorders>
              <w:bottom w:val="single" w:sz="8" w:color="CCFFCC"/>
            </w:tcBorders>
          </w:tcPr>
          <w:p>
            <w:pPr>
              <w:spacing w:after="0"/>
              <w:rPr>
                <w:sz w:val="13"/>
                <w:szCs w:val="13"/>
                <w:color w:val="auto"/>
              </w:rPr>
            </w:pPr>
          </w:p>
        </w:tc>
        <w:tc>
          <w:tcPr>
            <w:tcW w:w="94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4Q12</w:t>
            </w:r>
          </w:p>
        </w:tc>
        <w:tc>
          <w:tcPr>
            <w:tcW w:w="240" w:type="dxa"/>
            <w:vAlign w:val="bottom"/>
            <w:tcBorders>
              <w:bottom w:val="single" w:sz="8" w:color="CCFFCC"/>
            </w:tcBorders>
          </w:tcPr>
          <w:p>
            <w:pPr>
              <w:spacing w:after="0"/>
              <w:rPr>
                <w:sz w:val="13"/>
                <w:szCs w:val="13"/>
                <w:color w:val="auto"/>
              </w:rPr>
            </w:pPr>
          </w:p>
        </w:tc>
        <w:tc>
          <w:tcPr>
            <w:tcW w:w="90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3Q12</w:t>
            </w:r>
          </w:p>
        </w:tc>
        <w:tc>
          <w:tcPr>
            <w:tcW w:w="220" w:type="dxa"/>
            <w:vAlign w:val="bottom"/>
            <w:tcBorders>
              <w:bottom w:val="single" w:sz="8" w:color="CCFFCC"/>
            </w:tcBorders>
          </w:tcPr>
          <w:p>
            <w:pPr>
              <w:spacing w:after="0"/>
              <w:rPr>
                <w:sz w:val="13"/>
                <w:szCs w:val="13"/>
                <w:color w:val="auto"/>
              </w:rPr>
            </w:pPr>
          </w:p>
        </w:tc>
        <w:tc>
          <w:tcPr>
            <w:tcW w:w="90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4Q11</w:t>
            </w:r>
          </w:p>
        </w:tc>
        <w:tc>
          <w:tcPr>
            <w:tcW w:w="220" w:type="dxa"/>
            <w:vAlign w:val="bottom"/>
            <w:tcBorders>
              <w:bottom w:val="single" w:sz="8" w:color="CCFFCC"/>
            </w:tcBorders>
          </w:tcPr>
          <w:p>
            <w:pPr>
              <w:spacing w:after="0"/>
              <w:rPr>
                <w:sz w:val="13"/>
                <w:szCs w:val="13"/>
                <w:color w:val="auto"/>
              </w:rPr>
            </w:pPr>
          </w:p>
        </w:tc>
        <w:tc>
          <w:tcPr>
            <w:tcW w:w="9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QoQ</w:t>
            </w:r>
          </w:p>
        </w:tc>
        <w:tc>
          <w:tcPr>
            <w:tcW w:w="260" w:type="dxa"/>
            <w:vAlign w:val="bottom"/>
            <w:tcBorders>
              <w:bottom w:val="single" w:sz="8" w:color="CCFFC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YoY</w:t>
            </w:r>
          </w:p>
        </w:tc>
        <w:tc>
          <w:tcPr>
            <w:tcW w:w="240" w:type="dxa"/>
            <w:vAlign w:val="bottom"/>
            <w:tcBorders>
              <w:bottom w:val="single" w:sz="8" w:color="CCFFCC"/>
            </w:tcBorders>
          </w:tcPr>
          <w:p>
            <w:pPr>
              <w:spacing w:after="0"/>
              <w:rPr>
                <w:sz w:val="13"/>
                <w:szCs w:val="13"/>
                <w:color w:val="auto"/>
              </w:rPr>
            </w:pPr>
          </w:p>
        </w:tc>
        <w:tc>
          <w:tcPr>
            <w:tcW w:w="9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2012</w:t>
            </w:r>
          </w:p>
        </w:tc>
        <w:tc>
          <w:tcPr>
            <w:tcW w:w="220" w:type="dxa"/>
            <w:vAlign w:val="bottom"/>
            <w:tcBorders>
              <w:bottom w:val="single" w:sz="8" w:color="CCFFC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2011</w:t>
            </w:r>
          </w:p>
        </w:tc>
        <w:tc>
          <w:tcPr>
            <w:tcW w:w="220" w:type="dxa"/>
            <w:vAlign w:val="bottom"/>
            <w:tcBorders>
              <w:bottom w:val="single" w:sz="8" w:color="CCFFCC"/>
            </w:tcBorders>
          </w:tcPr>
          <w:p>
            <w:pPr>
              <w:spacing w:after="0"/>
              <w:rPr>
                <w:sz w:val="13"/>
                <w:szCs w:val="13"/>
                <w:color w:val="auto"/>
              </w:rPr>
            </w:pPr>
          </w:p>
        </w:tc>
        <w:tc>
          <w:tcPr>
            <w:tcW w:w="9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2012 / 2011</w:t>
            </w:r>
          </w:p>
        </w:tc>
        <w:tc>
          <w:tcPr>
            <w:tcW w:w="140" w:type="dxa"/>
            <w:vAlign w:val="bottom"/>
            <w:tcBorders>
              <w:bottom w:val="single" w:sz="8" w:color="CCFFCC"/>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300" w:type="dxa"/>
            <w:vAlign w:val="bottom"/>
            <w:shd w:val="clear" w:color="auto" w:fill="CCFFCC"/>
          </w:tcPr>
          <w:p>
            <w:pPr>
              <w:spacing w:after="0" w:line="129" w:lineRule="exact"/>
              <w:rPr>
                <w:sz w:val="20"/>
                <w:szCs w:val="20"/>
                <w:color w:val="auto"/>
              </w:rPr>
            </w:pPr>
            <w:r>
              <w:rPr>
                <w:rFonts w:ascii="Arial" w:cs="Arial" w:eastAsia="Arial" w:hAnsi="Arial"/>
                <w:sz w:val="13"/>
                <w:szCs w:val="13"/>
                <w:color w:val="auto"/>
              </w:rPr>
              <w:t>Net financial income</w:t>
            </w:r>
          </w:p>
        </w:tc>
        <w:tc>
          <w:tcPr>
            <w:tcW w:w="120" w:type="dxa"/>
            <w:vAlign w:val="bottom"/>
            <w:shd w:val="clear" w:color="auto" w:fill="CCFFCC"/>
          </w:tcPr>
          <w:p>
            <w:pPr>
              <w:spacing w:after="0"/>
              <w:rPr>
                <w:sz w:val="11"/>
                <w:szCs w:val="11"/>
                <w:color w:val="auto"/>
              </w:rPr>
            </w:pPr>
          </w:p>
        </w:tc>
        <w:tc>
          <w:tcPr>
            <w:tcW w:w="94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43,330</w:t>
            </w:r>
          </w:p>
        </w:tc>
        <w:tc>
          <w:tcPr>
            <w:tcW w:w="240" w:type="dxa"/>
            <w:vAlign w:val="bottom"/>
            <w:shd w:val="clear" w:color="auto" w:fill="CCFFCC"/>
          </w:tcPr>
          <w:p>
            <w:pPr>
              <w:spacing w:after="0"/>
              <w:rPr>
                <w:sz w:val="11"/>
                <w:szCs w:val="11"/>
                <w:color w:val="auto"/>
              </w:rPr>
            </w:pPr>
          </w:p>
        </w:tc>
        <w:tc>
          <w:tcPr>
            <w:tcW w:w="90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38,900</w:t>
            </w: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30,767</w:t>
            </w:r>
          </w:p>
        </w:tc>
        <w:tc>
          <w:tcPr>
            <w:tcW w:w="220" w:type="dxa"/>
            <w:vAlign w:val="bottom"/>
            <w:shd w:val="clear" w:color="auto" w:fill="CCFFCC"/>
          </w:tcPr>
          <w:p>
            <w:pPr>
              <w:spacing w:after="0"/>
              <w:rPr>
                <w:sz w:val="11"/>
                <w:szCs w:val="11"/>
                <w:color w:val="auto"/>
              </w:rPr>
            </w:pPr>
          </w:p>
        </w:tc>
        <w:tc>
          <w:tcPr>
            <w:tcW w:w="1160" w:type="dxa"/>
            <w:vAlign w:val="bottom"/>
            <w:gridSpan w:val="2"/>
            <w:shd w:val="clear" w:color="auto" w:fill="CCFFCC"/>
          </w:tcPr>
          <w:p>
            <w:pPr>
              <w:jc w:val="right"/>
              <w:ind w:right="77"/>
              <w:spacing w:after="0" w:line="129" w:lineRule="exact"/>
              <w:rPr>
                <w:sz w:val="20"/>
                <w:szCs w:val="20"/>
                <w:color w:val="auto"/>
              </w:rPr>
            </w:pPr>
            <w:r>
              <w:rPr>
                <w:rFonts w:ascii="Arial" w:cs="Arial" w:eastAsia="Arial" w:hAnsi="Arial"/>
                <w:sz w:val="13"/>
                <w:szCs w:val="13"/>
                <w:color w:val="auto"/>
              </w:rPr>
              <w:t>11.4%</w:t>
            </w:r>
          </w:p>
        </w:tc>
        <w:tc>
          <w:tcPr>
            <w:tcW w:w="240" w:type="dxa"/>
            <w:vAlign w:val="bottom"/>
            <w:shd w:val="clear" w:color="auto" w:fill="CCFFCC"/>
          </w:tcPr>
          <w:p>
            <w:pPr>
              <w:spacing w:after="0"/>
              <w:rPr>
                <w:sz w:val="11"/>
                <w:szCs w:val="11"/>
                <w:color w:val="auto"/>
              </w:rPr>
            </w:pPr>
          </w:p>
        </w:tc>
        <w:tc>
          <w:tcPr>
            <w:tcW w:w="900" w:type="dxa"/>
            <w:vAlign w:val="bottom"/>
            <w:gridSpan w:val="2"/>
            <w:shd w:val="clear" w:color="auto" w:fill="CCFFCC"/>
          </w:tcPr>
          <w:p>
            <w:pPr>
              <w:jc w:val="right"/>
              <w:ind w:right="77"/>
              <w:spacing w:after="0" w:line="129" w:lineRule="exact"/>
              <w:rPr>
                <w:sz w:val="20"/>
                <w:szCs w:val="20"/>
                <w:color w:val="auto"/>
              </w:rPr>
            </w:pPr>
            <w:r>
              <w:rPr>
                <w:rFonts w:ascii="Arial" w:cs="Arial" w:eastAsia="Arial" w:hAnsi="Arial"/>
                <w:sz w:val="13"/>
                <w:szCs w:val="13"/>
                <w:color w:val="auto"/>
              </w:rPr>
              <w:t>40.8%</w:t>
            </w:r>
          </w:p>
        </w:tc>
        <w:tc>
          <w:tcPr>
            <w:tcW w:w="90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151,919</w:t>
            </w:r>
          </w:p>
        </w:tc>
        <w:tc>
          <w:tcPr>
            <w:tcW w:w="22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64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111,546</w:t>
            </w:r>
          </w:p>
        </w:tc>
        <w:tc>
          <w:tcPr>
            <w:tcW w:w="220" w:type="dxa"/>
            <w:vAlign w:val="bottom"/>
            <w:shd w:val="clear" w:color="auto" w:fill="CCFFCC"/>
          </w:tcPr>
          <w:p>
            <w:pPr>
              <w:spacing w:after="0"/>
              <w:rPr>
                <w:sz w:val="11"/>
                <w:szCs w:val="11"/>
                <w:color w:val="auto"/>
              </w:rPr>
            </w:pPr>
          </w:p>
        </w:tc>
        <w:tc>
          <w:tcPr>
            <w:tcW w:w="1040" w:type="dxa"/>
            <w:vAlign w:val="bottom"/>
            <w:gridSpan w:val="2"/>
            <w:shd w:val="clear" w:color="auto" w:fill="CCFFCC"/>
          </w:tcPr>
          <w:p>
            <w:pPr>
              <w:jc w:val="right"/>
              <w:spacing w:after="0" w:line="129" w:lineRule="exact"/>
              <w:rPr>
                <w:sz w:val="20"/>
                <w:szCs w:val="20"/>
                <w:color w:val="auto"/>
              </w:rPr>
            </w:pPr>
            <w:r>
              <w:rPr>
                <w:rFonts w:ascii="Arial" w:cs="Arial" w:eastAsia="Arial" w:hAnsi="Arial"/>
                <w:sz w:val="13"/>
                <w:szCs w:val="13"/>
                <w:color w:val="auto"/>
              </w:rPr>
              <w:t>36.2%</w:t>
            </w:r>
          </w:p>
        </w:tc>
        <w:tc>
          <w:tcPr>
            <w:tcW w:w="0" w:type="dxa"/>
            <w:vAlign w:val="bottom"/>
          </w:tcPr>
          <w:p>
            <w:pPr>
              <w:spacing w:after="0"/>
              <w:rPr>
                <w:sz w:val="1"/>
                <w:szCs w:val="1"/>
                <w:color w:val="auto"/>
              </w:rPr>
            </w:pPr>
          </w:p>
        </w:tc>
      </w:tr>
      <w:tr>
        <w:trPr>
          <w:trHeight w:val="135"/>
        </w:trPr>
        <w:tc>
          <w:tcPr>
            <w:tcW w:w="2420" w:type="dxa"/>
            <w:vAlign w:val="bottom"/>
            <w:gridSpan w:val="2"/>
          </w:tcPr>
          <w:p>
            <w:pPr>
              <w:spacing w:after="0" w:line="135" w:lineRule="exact"/>
              <w:rPr>
                <w:sz w:val="20"/>
                <w:szCs w:val="20"/>
                <w:color w:val="auto"/>
              </w:rPr>
            </w:pPr>
            <w:r>
              <w:rPr>
                <w:rFonts w:ascii="Arial" w:cs="Arial" w:eastAsia="Arial" w:hAnsi="Arial"/>
                <w:sz w:val="13"/>
                <w:szCs w:val="13"/>
                <w:color w:val="auto"/>
              </w:rPr>
              <w:t>Total provisions for loan loasses</w:t>
            </w:r>
          </w:p>
        </w:tc>
        <w:tc>
          <w:tcPr>
            <w:tcW w:w="11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(8,696)</w:t>
            </w:r>
          </w:p>
        </w:tc>
        <w:tc>
          <w:tcPr>
            <w:tcW w:w="11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(7,186)</w:t>
            </w:r>
          </w:p>
        </w:tc>
        <w:tc>
          <w:tcPr>
            <w:tcW w:w="11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(4,951)</w:t>
            </w:r>
          </w:p>
        </w:tc>
        <w:tc>
          <w:tcPr>
            <w:tcW w:w="116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21.0%</w:t>
            </w:r>
          </w:p>
        </w:tc>
        <w:tc>
          <w:tcPr>
            <w:tcW w:w="240" w:type="dxa"/>
            <w:vAlign w:val="bottom"/>
          </w:tcPr>
          <w:p>
            <w:pPr>
              <w:spacing w:after="0"/>
              <w:rPr>
                <w:sz w:val="11"/>
                <w:szCs w:val="11"/>
                <w:color w:val="auto"/>
              </w:rPr>
            </w:pPr>
          </w:p>
        </w:tc>
        <w:tc>
          <w:tcPr>
            <w:tcW w:w="90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75.6%</w:t>
            </w:r>
          </w:p>
        </w:tc>
        <w:tc>
          <w:tcPr>
            <w:tcW w:w="11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(27,165)</w:t>
            </w:r>
          </w:p>
        </w:tc>
        <w:tc>
          <w:tcPr>
            <w:tcW w:w="260" w:type="dxa"/>
            <w:vAlign w:val="bottom"/>
          </w:tcPr>
          <w:p>
            <w:pPr>
              <w:spacing w:after="0"/>
              <w:rPr>
                <w:sz w:val="11"/>
                <w:szCs w:val="11"/>
                <w:color w:val="auto"/>
              </w:rPr>
            </w:pP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(15,891)</w:t>
            </w:r>
          </w:p>
        </w:tc>
        <w:tc>
          <w:tcPr>
            <w:tcW w:w="10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71.0%</w:t>
            </w:r>
          </w:p>
        </w:tc>
        <w:tc>
          <w:tcPr>
            <w:tcW w:w="0" w:type="dxa"/>
            <w:vAlign w:val="bottom"/>
          </w:tcPr>
          <w:p>
            <w:pPr>
              <w:spacing w:after="0"/>
              <w:rPr>
                <w:sz w:val="1"/>
                <w:szCs w:val="1"/>
                <w:color w:val="auto"/>
              </w:rPr>
            </w:pPr>
          </w:p>
        </w:tc>
      </w:tr>
      <w:tr>
        <w:trPr>
          <w:trHeight w:val="135"/>
        </w:trPr>
        <w:tc>
          <w:tcPr>
            <w:tcW w:w="242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Non financial income</w:t>
            </w:r>
          </w:p>
        </w:tc>
        <w:tc>
          <w:tcPr>
            <w:tcW w:w="118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685</w:t>
            </w:r>
          </w:p>
        </w:tc>
        <w:tc>
          <w:tcPr>
            <w:tcW w:w="11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450</w:t>
            </w:r>
          </w:p>
        </w:tc>
        <w:tc>
          <w:tcPr>
            <w:tcW w:w="11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537</w:t>
            </w:r>
          </w:p>
        </w:tc>
        <w:tc>
          <w:tcPr>
            <w:tcW w:w="1160" w:type="dxa"/>
            <w:vAlign w:val="bottom"/>
            <w:gridSpan w:val="2"/>
            <w:shd w:val="clear" w:color="auto" w:fill="CCFFCC"/>
          </w:tcPr>
          <w:p>
            <w:pPr>
              <w:jc w:val="right"/>
              <w:ind w:right="77"/>
              <w:spacing w:after="0" w:line="135" w:lineRule="exact"/>
              <w:rPr>
                <w:sz w:val="20"/>
                <w:szCs w:val="20"/>
                <w:color w:val="auto"/>
              </w:rPr>
            </w:pPr>
            <w:r>
              <w:rPr>
                <w:rFonts w:ascii="Arial" w:cs="Arial" w:eastAsia="Arial" w:hAnsi="Arial"/>
                <w:sz w:val="13"/>
                <w:szCs w:val="13"/>
                <w:color w:val="auto"/>
              </w:rPr>
              <w:t>52.2%</w:t>
            </w:r>
          </w:p>
        </w:tc>
        <w:tc>
          <w:tcPr>
            <w:tcW w:w="240" w:type="dxa"/>
            <w:vAlign w:val="bottom"/>
            <w:shd w:val="clear" w:color="auto" w:fill="CCFFCC"/>
          </w:tcPr>
          <w:p>
            <w:pPr>
              <w:spacing w:after="0"/>
              <w:rPr>
                <w:sz w:val="11"/>
                <w:szCs w:val="11"/>
                <w:color w:val="auto"/>
              </w:rPr>
            </w:pPr>
          </w:p>
        </w:tc>
        <w:tc>
          <w:tcPr>
            <w:tcW w:w="900" w:type="dxa"/>
            <w:vAlign w:val="bottom"/>
            <w:gridSpan w:val="2"/>
            <w:shd w:val="clear" w:color="auto" w:fill="CCFFCC"/>
          </w:tcPr>
          <w:p>
            <w:pPr>
              <w:jc w:val="right"/>
              <w:ind w:right="77"/>
              <w:spacing w:after="0" w:line="135" w:lineRule="exact"/>
              <w:rPr>
                <w:sz w:val="20"/>
                <w:szCs w:val="20"/>
                <w:color w:val="auto"/>
              </w:rPr>
            </w:pPr>
            <w:r>
              <w:rPr>
                <w:rFonts w:ascii="Arial" w:cs="Arial" w:eastAsia="Arial" w:hAnsi="Arial"/>
                <w:sz w:val="13"/>
                <w:szCs w:val="13"/>
                <w:color w:val="auto"/>
              </w:rPr>
              <w:t>27.5%</w:t>
            </w:r>
          </w:p>
        </w:tc>
        <w:tc>
          <w:tcPr>
            <w:tcW w:w="11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1,745</w:t>
            </w:r>
          </w:p>
        </w:tc>
        <w:tc>
          <w:tcPr>
            <w:tcW w:w="260" w:type="dxa"/>
            <w:vAlign w:val="bottom"/>
            <w:shd w:val="clear" w:color="auto" w:fill="CCFFCC"/>
          </w:tcPr>
          <w:p>
            <w:pPr>
              <w:spacing w:after="0"/>
              <w:rPr>
                <w:sz w:val="11"/>
                <w:szCs w:val="11"/>
                <w:color w:val="auto"/>
              </w:rPr>
            </w:pPr>
          </w:p>
        </w:tc>
        <w:tc>
          <w:tcPr>
            <w:tcW w:w="8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1,121</w:t>
            </w:r>
          </w:p>
        </w:tc>
        <w:tc>
          <w:tcPr>
            <w:tcW w:w="104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55.7%</w:t>
            </w:r>
          </w:p>
        </w:tc>
        <w:tc>
          <w:tcPr>
            <w:tcW w:w="0" w:type="dxa"/>
            <w:vAlign w:val="bottom"/>
          </w:tcPr>
          <w:p>
            <w:pPr>
              <w:spacing w:after="0"/>
              <w:rPr>
                <w:sz w:val="1"/>
                <w:szCs w:val="1"/>
                <w:color w:val="auto"/>
              </w:rPr>
            </w:pPr>
          </w:p>
        </w:tc>
      </w:tr>
      <w:tr>
        <w:trPr>
          <w:trHeight w:val="135"/>
        </w:trPr>
        <w:tc>
          <w:tcPr>
            <w:tcW w:w="2420" w:type="dxa"/>
            <w:vAlign w:val="bottom"/>
            <w:gridSpan w:val="2"/>
          </w:tcPr>
          <w:p>
            <w:pPr>
              <w:spacing w:after="0" w:line="135" w:lineRule="exact"/>
              <w:rPr>
                <w:sz w:val="20"/>
                <w:szCs w:val="20"/>
                <w:color w:val="auto"/>
              </w:rPr>
            </w:pPr>
            <w:r>
              <w:rPr>
                <w:rFonts w:ascii="Arial" w:cs="Arial" w:eastAsia="Arial" w:hAnsi="Arial"/>
                <w:sz w:val="13"/>
                <w:szCs w:val="13"/>
                <w:color w:val="auto"/>
              </w:rPr>
              <w:t>Operating expenses</w:t>
            </w:r>
          </w:p>
        </w:tc>
        <w:tc>
          <w:tcPr>
            <w:tcW w:w="11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(24,763)</w:t>
            </w:r>
          </w:p>
        </w:tc>
        <w:tc>
          <w:tcPr>
            <w:tcW w:w="11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(22,115)</w:t>
            </w:r>
          </w:p>
        </w:tc>
        <w:tc>
          <w:tcPr>
            <w:tcW w:w="11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(19,245)</w:t>
            </w:r>
          </w:p>
        </w:tc>
        <w:tc>
          <w:tcPr>
            <w:tcW w:w="116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12.0%</w:t>
            </w:r>
          </w:p>
        </w:tc>
        <w:tc>
          <w:tcPr>
            <w:tcW w:w="240" w:type="dxa"/>
            <w:vAlign w:val="bottom"/>
          </w:tcPr>
          <w:p>
            <w:pPr>
              <w:spacing w:after="0"/>
              <w:rPr>
                <w:sz w:val="11"/>
                <w:szCs w:val="11"/>
                <w:color w:val="auto"/>
              </w:rPr>
            </w:pPr>
          </w:p>
        </w:tc>
        <w:tc>
          <w:tcPr>
            <w:tcW w:w="90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28.7%</w:t>
            </w:r>
          </w:p>
        </w:tc>
        <w:tc>
          <w:tcPr>
            <w:tcW w:w="11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(86,369)</w:t>
            </w:r>
          </w:p>
        </w:tc>
        <w:tc>
          <w:tcPr>
            <w:tcW w:w="260" w:type="dxa"/>
            <w:vAlign w:val="bottom"/>
          </w:tcPr>
          <w:p>
            <w:pPr>
              <w:spacing w:after="0"/>
              <w:rPr>
                <w:sz w:val="11"/>
                <w:szCs w:val="11"/>
                <w:color w:val="auto"/>
              </w:rPr>
            </w:pP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(64,696)</w:t>
            </w:r>
          </w:p>
        </w:tc>
        <w:tc>
          <w:tcPr>
            <w:tcW w:w="10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33.5%</w:t>
            </w:r>
          </w:p>
        </w:tc>
        <w:tc>
          <w:tcPr>
            <w:tcW w:w="0" w:type="dxa"/>
            <w:vAlign w:val="bottom"/>
          </w:tcPr>
          <w:p>
            <w:pPr>
              <w:spacing w:after="0"/>
              <w:rPr>
                <w:sz w:val="1"/>
                <w:szCs w:val="1"/>
                <w:color w:val="auto"/>
              </w:rPr>
            </w:pPr>
          </w:p>
        </w:tc>
      </w:tr>
      <w:tr>
        <w:trPr>
          <w:trHeight w:val="135"/>
        </w:trPr>
        <w:tc>
          <w:tcPr>
            <w:tcW w:w="242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Operating Income</w:t>
            </w:r>
          </w:p>
        </w:tc>
        <w:tc>
          <w:tcPr>
            <w:tcW w:w="118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10,555</w:t>
            </w:r>
          </w:p>
        </w:tc>
        <w:tc>
          <w:tcPr>
            <w:tcW w:w="11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10,049</w:t>
            </w:r>
          </w:p>
        </w:tc>
        <w:tc>
          <w:tcPr>
            <w:tcW w:w="9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7,108</w:t>
            </w:r>
          </w:p>
        </w:tc>
        <w:tc>
          <w:tcPr>
            <w:tcW w:w="220" w:type="dxa"/>
            <w:vAlign w:val="bottom"/>
            <w:shd w:val="clear" w:color="auto" w:fill="CCFFCC"/>
          </w:tcPr>
          <w:p>
            <w:pPr>
              <w:spacing w:after="0"/>
              <w:rPr>
                <w:sz w:val="11"/>
                <w:szCs w:val="11"/>
                <w:color w:val="auto"/>
              </w:rPr>
            </w:pPr>
          </w:p>
        </w:tc>
        <w:tc>
          <w:tcPr>
            <w:tcW w:w="1160" w:type="dxa"/>
            <w:vAlign w:val="bottom"/>
            <w:gridSpan w:val="2"/>
            <w:shd w:val="clear" w:color="auto" w:fill="CCFFCC"/>
          </w:tcPr>
          <w:p>
            <w:pPr>
              <w:jc w:val="right"/>
              <w:ind w:right="57"/>
              <w:spacing w:after="0" w:line="135" w:lineRule="exact"/>
              <w:rPr>
                <w:sz w:val="20"/>
                <w:szCs w:val="20"/>
                <w:color w:val="auto"/>
              </w:rPr>
            </w:pPr>
            <w:r>
              <w:rPr>
                <w:rFonts w:ascii="Arial" w:cs="Arial" w:eastAsia="Arial" w:hAnsi="Arial"/>
                <w:sz w:val="13"/>
                <w:szCs w:val="13"/>
                <w:b w:val="1"/>
                <w:bCs w:val="1"/>
                <w:color w:val="auto"/>
              </w:rPr>
              <w:t>5.0%</w:t>
            </w:r>
          </w:p>
        </w:tc>
        <w:tc>
          <w:tcPr>
            <w:tcW w:w="240" w:type="dxa"/>
            <w:vAlign w:val="bottom"/>
            <w:shd w:val="clear" w:color="auto" w:fill="CCFFCC"/>
          </w:tcPr>
          <w:p>
            <w:pPr>
              <w:spacing w:after="0"/>
              <w:rPr>
                <w:sz w:val="11"/>
                <w:szCs w:val="11"/>
                <w:color w:val="auto"/>
              </w:rPr>
            </w:pPr>
          </w:p>
        </w:tc>
        <w:tc>
          <w:tcPr>
            <w:tcW w:w="900" w:type="dxa"/>
            <w:vAlign w:val="bottom"/>
            <w:gridSpan w:val="2"/>
            <w:shd w:val="clear" w:color="auto" w:fill="CCFFCC"/>
          </w:tcPr>
          <w:p>
            <w:pPr>
              <w:jc w:val="right"/>
              <w:ind w:right="77"/>
              <w:spacing w:after="0" w:line="135" w:lineRule="exact"/>
              <w:rPr>
                <w:sz w:val="20"/>
                <w:szCs w:val="20"/>
                <w:color w:val="auto"/>
              </w:rPr>
            </w:pPr>
            <w:r>
              <w:rPr>
                <w:rFonts w:ascii="Arial" w:cs="Arial" w:eastAsia="Arial" w:hAnsi="Arial"/>
                <w:sz w:val="13"/>
                <w:szCs w:val="13"/>
                <w:color w:val="auto"/>
              </w:rPr>
              <w:t>48.5%</w:t>
            </w:r>
          </w:p>
        </w:tc>
        <w:tc>
          <w:tcPr>
            <w:tcW w:w="11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40,130</w:t>
            </w:r>
          </w:p>
        </w:tc>
        <w:tc>
          <w:tcPr>
            <w:tcW w:w="260" w:type="dxa"/>
            <w:vAlign w:val="bottom"/>
            <w:shd w:val="clear" w:color="auto" w:fill="CCFFCC"/>
          </w:tcPr>
          <w:p>
            <w:pPr>
              <w:spacing w:after="0"/>
              <w:rPr>
                <w:sz w:val="11"/>
                <w:szCs w:val="11"/>
                <w:color w:val="auto"/>
              </w:rPr>
            </w:pPr>
          </w:p>
        </w:tc>
        <w:tc>
          <w:tcPr>
            <w:tcW w:w="8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32,081</w:t>
            </w:r>
          </w:p>
        </w:tc>
        <w:tc>
          <w:tcPr>
            <w:tcW w:w="104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25.1%</w:t>
            </w:r>
          </w:p>
        </w:tc>
        <w:tc>
          <w:tcPr>
            <w:tcW w:w="0" w:type="dxa"/>
            <w:vAlign w:val="bottom"/>
          </w:tcPr>
          <w:p>
            <w:pPr>
              <w:spacing w:after="0"/>
              <w:rPr>
                <w:sz w:val="1"/>
                <w:szCs w:val="1"/>
                <w:color w:val="auto"/>
              </w:rPr>
            </w:pPr>
          </w:p>
        </w:tc>
      </w:tr>
      <w:tr>
        <w:trPr>
          <w:trHeight w:val="135"/>
        </w:trPr>
        <w:tc>
          <w:tcPr>
            <w:tcW w:w="2420" w:type="dxa"/>
            <w:vAlign w:val="bottom"/>
            <w:gridSpan w:val="2"/>
          </w:tcPr>
          <w:p>
            <w:pPr>
              <w:spacing w:after="0" w:line="135" w:lineRule="exact"/>
              <w:rPr>
                <w:sz w:val="20"/>
                <w:szCs w:val="20"/>
                <w:color w:val="auto"/>
              </w:rPr>
            </w:pPr>
            <w:r>
              <w:rPr>
                <w:rFonts w:ascii="Arial" w:cs="Arial" w:eastAsia="Arial" w:hAnsi="Arial"/>
                <w:sz w:val="13"/>
                <w:szCs w:val="13"/>
                <w:color w:val="auto"/>
              </w:rPr>
              <w:t>Translation results</w:t>
            </w:r>
          </w:p>
        </w:tc>
        <w:tc>
          <w:tcPr>
            <w:tcW w:w="11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3,114</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3,006</w:t>
            </w: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3,048</w:t>
            </w:r>
          </w:p>
        </w:tc>
        <w:tc>
          <w:tcPr>
            <w:tcW w:w="220" w:type="dxa"/>
            <w:vAlign w:val="bottom"/>
          </w:tcPr>
          <w:p>
            <w:pPr>
              <w:spacing w:after="0"/>
              <w:rPr>
                <w:sz w:val="11"/>
                <w:szCs w:val="11"/>
                <w:color w:val="auto"/>
              </w:rPr>
            </w:pPr>
          </w:p>
        </w:tc>
        <w:tc>
          <w:tcPr>
            <w:tcW w:w="116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3.6%</w:t>
            </w:r>
          </w:p>
        </w:tc>
        <w:tc>
          <w:tcPr>
            <w:tcW w:w="240" w:type="dxa"/>
            <w:vAlign w:val="bottom"/>
          </w:tcPr>
          <w:p>
            <w:pPr>
              <w:spacing w:after="0"/>
              <w:rPr>
                <w:sz w:val="11"/>
                <w:szCs w:val="11"/>
                <w:color w:val="auto"/>
              </w:rPr>
            </w:pPr>
          </w:p>
        </w:tc>
        <w:tc>
          <w:tcPr>
            <w:tcW w:w="90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-2.1%</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8,091</w:t>
            </w:r>
          </w:p>
        </w:tc>
        <w:tc>
          <w:tcPr>
            <w:tcW w:w="260" w:type="dxa"/>
            <w:vAlign w:val="bottom"/>
          </w:tcPr>
          <w:p>
            <w:pPr>
              <w:spacing w:after="0"/>
              <w:rPr>
                <w:sz w:val="11"/>
                <w:szCs w:val="11"/>
                <w:color w:val="auto"/>
              </w:rPr>
            </w:pP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4,366</w:t>
            </w:r>
          </w:p>
        </w:tc>
        <w:tc>
          <w:tcPr>
            <w:tcW w:w="10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85.3%</w:t>
            </w:r>
          </w:p>
        </w:tc>
        <w:tc>
          <w:tcPr>
            <w:tcW w:w="0" w:type="dxa"/>
            <w:vAlign w:val="bottom"/>
          </w:tcPr>
          <w:p>
            <w:pPr>
              <w:spacing w:after="0"/>
              <w:rPr>
                <w:sz w:val="1"/>
                <w:szCs w:val="1"/>
                <w:color w:val="auto"/>
              </w:rPr>
            </w:pPr>
          </w:p>
        </w:tc>
      </w:tr>
      <w:tr>
        <w:trPr>
          <w:trHeight w:val="135"/>
        </w:trPr>
        <w:tc>
          <w:tcPr>
            <w:tcW w:w="242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Income taxes</w:t>
            </w:r>
          </w:p>
        </w:tc>
        <w:tc>
          <w:tcPr>
            <w:tcW w:w="118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(2,437)</w:t>
            </w:r>
          </w:p>
        </w:tc>
        <w:tc>
          <w:tcPr>
            <w:tcW w:w="112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(3,128)</w:t>
            </w:r>
          </w:p>
        </w:tc>
        <w:tc>
          <w:tcPr>
            <w:tcW w:w="112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(2,584)</w:t>
            </w:r>
          </w:p>
        </w:tc>
        <w:tc>
          <w:tcPr>
            <w:tcW w:w="1160" w:type="dxa"/>
            <w:vAlign w:val="bottom"/>
            <w:gridSpan w:val="2"/>
            <w:shd w:val="clear" w:color="auto" w:fill="CCFFCC"/>
          </w:tcPr>
          <w:p>
            <w:pPr>
              <w:jc w:val="right"/>
              <w:ind w:right="77"/>
              <w:spacing w:after="0" w:line="135" w:lineRule="exact"/>
              <w:rPr>
                <w:sz w:val="20"/>
                <w:szCs w:val="20"/>
                <w:color w:val="auto"/>
              </w:rPr>
            </w:pPr>
            <w:r>
              <w:rPr>
                <w:rFonts w:ascii="Arial" w:cs="Arial" w:eastAsia="Arial" w:hAnsi="Arial"/>
                <w:sz w:val="13"/>
                <w:szCs w:val="13"/>
                <w:color w:val="auto"/>
              </w:rPr>
              <w:t>-22.1%</w:t>
            </w:r>
          </w:p>
        </w:tc>
        <w:tc>
          <w:tcPr>
            <w:tcW w:w="240" w:type="dxa"/>
            <w:vAlign w:val="bottom"/>
            <w:shd w:val="clear" w:color="auto" w:fill="CCFFCC"/>
          </w:tcPr>
          <w:p>
            <w:pPr>
              <w:spacing w:after="0"/>
              <w:rPr>
                <w:sz w:val="11"/>
                <w:szCs w:val="11"/>
                <w:color w:val="auto"/>
              </w:rPr>
            </w:pPr>
          </w:p>
        </w:tc>
        <w:tc>
          <w:tcPr>
            <w:tcW w:w="900" w:type="dxa"/>
            <w:vAlign w:val="bottom"/>
            <w:gridSpan w:val="2"/>
            <w:shd w:val="clear" w:color="auto" w:fill="CCFFCC"/>
          </w:tcPr>
          <w:p>
            <w:pPr>
              <w:jc w:val="right"/>
              <w:ind w:right="77"/>
              <w:spacing w:after="0" w:line="135" w:lineRule="exact"/>
              <w:rPr>
                <w:sz w:val="20"/>
                <w:szCs w:val="20"/>
                <w:color w:val="auto"/>
              </w:rPr>
            </w:pPr>
            <w:r>
              <w:rPr>
                <w:rFonts w:ascii="Arial" w:cs="Arial" w:eastAsia="Arial" w:hAnsi="Arial"/>
                <w:sz w:val="13"/>
                <w:szCs w:val="13"/>
                <w:color w:val="auto"/>
              </w:rPr>
              <w:t>-5.7%</w:t>
            </w:r>
          </w:p>
        </w:tc>
        <w:tc>
          <w:tcPr>
            <w:tcW w:w="112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(11,732)</w:t>
            </w:r>
          </w:p>
        </w:tc>
        <w:tc>
          <w:tcPr>
            <w:tcW w:w="260" w:type="dxa"/>
            <w:vAlign w:val="bottom"/>
            <w:shd w:val="clear" w:color="auto" w:fill="CCFFCC"/>
          </w:tcPr>
          <w:p>
            <w:pPr>
              <w:spacing w:after="0"/>
              <w:rPr>
                <w:sz w:val="11"/>
                <w:szCs w:val="11"/>
                <w:color w:val="auto"/>
              </w:rPr>
            </w:pPr>
          </w:p>
        </w:tc>
        <w:tc>
          <w:tcPr>
            <w:tcW w:w="86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(10,204)</w:t>
            </w:r>
          </w:p>
        </w:tc>
        <w:tc>
          <w:tcPr>
            <w:tcW w:w="104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15.0%</w:t>
            </w:r>
          </w:p>
        </w:tc>
        <w:tc>
          <w:tcPr>
            <w:tcW w:w="0" w:type="dxa"/>
            <w:vAlign w:val="bottom"/>
          </w:tcPr>
          <w:p>
            <w:pPr>
              <w:spacing w:after="0"/>
              <w:rPr>
                <w:sz w:val="1"/>
                <w:szCs w:val="1"/>
                <w:color w:val="auto"/>
              </w:rPr>
            </w:pPr>
          </w:p>
        </w:tc>
      </w:tr>
      <w:tr>
        <w:trPr>
          <w:trHeight w:val="149"/>
        </w:trPr>
        <w:tc>
          <w:tcPr>
            <w:tcW w:w="2420" w:type="dxa"/>
            <w:vAlign w:val="bottom"/>
            <w:gridSpan w:val="2"/>
          </w:tcPr>
          <w:p>
            <w:pPr>
              <w:spacing w:after="0"/>
              <w:rPr>
                <w:sz w:val="20"/>
                <w:szCs w:val="20"/>
                <w:color w:val="auto"/>
              </w:rPr>
            </w:pPr>
            <w:r>
              <w:rPr>
                <w:rFonts w:ascii="Arial" w:cs="Arial" w:eastAsia="Arial" w:hAnsi="Arial"/>
                <w:sz w:val="13"/>
                <w:szCs w:val="13"/>
                <w:b w:val="1"/>
                <w:bCs w:val="1"/>
                <w:color w:val="auto"/>
              </w:rPr>
              <w:t>Net income</w:t>
            </w:r>
          </w:p>
        </w:tc>
        <w:tc>
          <w:tcPr>
            <w:tcW w:w="11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11,232</w:t>
            </w:r>
          </w:p>
        </w:tc>
        <w:tc>
          <w:tcPr>
            <w:tcW w:w="11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9,927</w:t>
            </w: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7,572</w:t>
            </w:r>
          </w:p>
        </w:tc>
        <w:tc>
          <w:tcPr>
            <w:tcW w:w="220" w:type="dxa"/>
            <w:vAlign w:val="bottom"/>
          </w:tcPr>
          <w:p>
            <w:pPr>
              <w:spacing w:after="0"/>
              <w:rPr>
                <w:sz w:val="12"/>
                <w:szCs w:val="12"/>
                <w:color w:val="auto"/>
              </w:rPr>
            </w:pPr>
          </w:p>
        </w:tc>
        <w:tc>
          <w:tcPr>
            <w:tcW w:w="1160" w:type="dxa"/>
            <w:vAlign w:val="bottom"/>
            <w:gridSpan w:val="2"/>
          </w:tcPr>
          <w:p>
            <w:pPr>
              <w:jc w:val="right"/>
              <w:ind w:right="57"/>
              <w:spacing w:after="0"/>
              <w:rPr>
                <w:sz w:val="20"/>
                <w:szCs w:val="20"/>
                <w:color w:val="auto"/>
              </w:rPr>
            </w:pPr>
            <w:r>
              <w:rPr>
                <w:rFonts w:ascii="Arial" w:cs="Arial" w:eastAsia="Arial" w:hAnsi="Arial"/>
                <w:sz w:val="13"/>
                <w:szCs w:val="13"/>
                <w:b w:val="1"/>
                <w:bCs w:val="1"/>
                <w:color w:val="auto"/>
              </w:rPr>
              <w:t>13.1%</w:t>
            </w:r>
          </w:p>
        </w:tc>
        <w:tc>
          <w:tcPr>
            <w:tcW w:w="240" w:type="dxa"/>
            <w:vAlign w:val="bottom"/>
          </w:tcPr>
          <w:p>
            <w:pPr>
              <w:spacing w:after="0"/>
              <w:rPr>
                <w:sz w:val="12"/>
                <w:szCs w:val="12"/>
                <w:color w:val="auto"/>
              </w:rPr>
            </w:pPr>
          </w:p>
        </w:tc>
        <w:tc>
          <w:tcPr>
            <w:tcW w:w="900" w:type="dxa"/>
            <w:vAlign w:val="bottom"/>
            <w:gridSpan w:val="2"/>
          </w:tcPr>
          <w:p>
            <w:pPr>
              <w:jc w:val="right"/>
              <w:ind w:right="77"/>
              <w:spacing w:after="0"/>
              <w:rPr>
                <w:sz w:val="20"/>
                <w:szCs w:val="20"/>
                <w:color w:val="auto"/>
              </w:rPr>
            </w:pPr>
            <w:r>
              <w:rPr>
                <w:rFonts w:ascii="Arial" w:cs="Arial" w:eastAsia="Arial" w:hAnsi="Arial"/>
                <w:sz w:val="13"/>
                <w:szCs w:val="13"/>
                <w:color w:val="auto"/>
              </w:rPr>
              <w:t>48.3%</w:t>
            </w:r>
          </w:p>
        </w:tc>
        <w:tc>
          <w:tcPr>
            <w:tcW w:w="11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36,489</w:t>
            </w:r>
          </w:p>
        </w:tc>
        <w:tc>
          <w:tcPr>
            <w:tcW w:w="26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26,243</w:t>
            </w: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39.0%</w:t>
            </w:r>
          </w:p>
        </w:tc>
        <w:tc>
          <w:tcPr>
            <w:tcW w:w="0" w:type="dxa"/>
            <w:vAlign w:val="bottom"/>
          </w:tcPr>
          <w:p>
            <w:pPr>
              <w:spacing w:after="0"/>
              <w:rPr>
                <w:sz w:val="1"/>
                <w:szCs w:val="1"/>
                <w:color w:val="auto"/>
              </w:rPr>
            </w:pPr>
          </w:p>
        </w:tc>
      </w:tr>
      <w:tr>
        <w:trPr>
          <w:trHeight w:val="129"/>
        </w:trPr>
        <w:tc>
          <w:tcPr>
            <w:tcW w:w="2420" w:type="dxa"/>
            <w:vAlign w:val="bottom"/>
            <w:tcBorders>
              <w:top w:val="single" w:sz="8" w:color="CCFFCC"/>
            </w:tcBorders>
            <w:gridSpan w:val="2"/>
            <w:shd w:val="clear" w:color="auto" w:fill="CCFFCC"/>
          </w:tcPr>
          <w:p>
            <w:pPr>
              <w:spacing w:after="0" w:line="129" w:lineRule="exact"/>
              <w:rPr>
                <w:sz w:val="20"/>
                <w:szCs w:val="20"/>
                <w:color w:val="auto"/>
              </w:rPr>
            </w:pPr>
            <w:r>
              <w:rPr>
                <w:rFonts w:ascii="Arial" w:cs="Arial" w:eastAsia="Arial" w:hAnsi="Arial"/>
                <w:sz w:val="13"/>
                <w:szCs w:val="13"/>
                <w:b w:val="1"/>
                <w:bCs w:val="1"/>
                <w:color w:val="auto"/>
              </w:rPr>
              <w:t>Contribution to BCP</w:t>
            </w:r>
          </w:p>
        </w:tc>
        <w:tc>
          <w:tcPr>
            <w:tcW w:w="940" w:type="dxa"/>
            <w:vAlign w:val="bottom"/>
            <w:tcBorders>
              <w:top w:val="single" w:sz="8" w:color="auto"/>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b w:val="1"/>
                <w:bCs w:val="1"/>
                <w:color w:val="auto"/>
              </w:rPr>
              <w:t>11,209</w:t>
            </w:r>
          </w:p>
        </w:tc>
        <w:tc>
          <w:tcPr>
            <w:tcW w:w="240" w:type="dxa"/>
            <w:vAlign w:val="bottom"/>
            <w:tcBorders>
              <w:top w:val="single" w:sz="8" w:color="CCFFCC"/>
            </w:tcBorders>
            <w:shd w:val="clear" w:color="auto" w:fill="CCFFCC"/>
          </w:tcPr>
          <w:p>
            <w:pPr>
              <w:spacing w:after="0"/>
              <w:rPr>
                <w:sz w:val="11"/>
                <w:szCs w:val="11"/>
                <w:color w:val="auto"/>
              </w:rPr>
            </w:pPr>
          </w:p>
        </w:tc>
        <w:tc>
          <w:tcPr>
            <w:tcW w:w="900" w:type="dxa"/>
            <w:vAlign w:val="bottom"/>
            <w:tcBorders>
              <w:top w:val="single" w:sz="8" w:color="auto"/>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b w:val="1"/>
                <w:bCs w:val="1"/>
                <w:color w:val="auto"/>
              </w:rPr>
              <w:t>9,907</w:t>
            </w:r>
          </w:p>
        </w:tc>
        <w:tc>
          <w:tcPr>
            <w:tcW w:w="220" w:type="dxa"/>
            <w:vAlign w:val="bottom"/>
            <w:tcBorders>
              <w:top w:val="single" w:sz="8" w:color="CCFFCC"/>
            </w:tcBorders>
            <w:shd w:val="clear" w:color="auto" w:fill="CCFFCC"/>
          </w:tcPr>
          <w:p>
            <w:pPr>
              <w:spacing w:after="0"/>
              <w:rPr>
                <w:sz w:val="11"/>
                <w:szCs w:val="11"/>
                <w:color w:val="auto"/>
              </w:rPr>
            </w:pPr>
          </w:p>
        </w:tc>
        <w:tc>
          <w:tcPr>
            <w:tcW w:w="900" w:type="dxa"/>
            <w:vAlign w:val="bottom"/>
            <w:tcBorders>
              <w:top w:val="single" w:sz="8" w:color="auto"/>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b w:val="1"/>
                <w:bCs w:val="1"/>
                <w:color w:val="auto"/>
              </w:rPr>
              <w:t>7,556</w:t>
            </w:r>
          </w:p>
        </w:tc>
        <w:tc>
          <w:tcPr>
            <w:tcW w:w="220" w:type="dxa"/>
            <w:vAlign w:val="bottom"/>
            <w:tcBorders>
              <w:top w:val="single" w:sz="8" w:color="CCFFCC"/>
            </w:tcBorders>
            <w:shd w:val="clear" w:color="auto" w:fill="CCFFCC"/>
          </w:tcPr>
          <w:p>
            <w:pPr>
              <w:spacing w:after="0"/>
              <w:rPr>
                <w:sz w:val="11"/>
                <w:szCs w:val="11"/>
                <w:color w:val="auto"/>
              </w:rPr>
            </w:pPr>
          </w:p>
        </w:tc>
        <w:tc>
          <w:tcPr>
            <w:tcW w:w="900" w:type="dxa"/>
            <w:vAlign w:val="bottom"/>
            <w:tcBorders>
              <w:top w:val="single" w:sz="8" w:color="auto"/>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b w:val="1"/>
                <w:bCs w:val="1"/>
                <w:color w:val="auto"/>
              </w:rPr>
              <w:t>13.1</w:t>
            </w:r>
          </w:p>
        </w:tc>
        <w:tc>
          <w:tcPr>
            <w:tcW w:w="260" w:type="dxa"/>
            <w:vAlign w:val="bottom"/>
            <w:tcBorders>
              <w:top w:val="single" w:sz="8" w:color="CCFFCC"/>
            </w:tcBorders>
            <w:shd w:val="clear" w:color="auto" w:fill="CCFFCC"/>
          </w:tcPr>
          <w:p>
            <w:pPr>
              <w:jc w:val="right"/>
              <w:ind w:right="57"/>
              <w:spacing w:after="0" w:line="129" w:lineRule="exact"/>
              <w:rPr>
                <w:sz w:val="20"/>
                <w:szCs w:val="20"/>
                <w:color w:val="auto"/>
              </w:rPr>
            </w:pPr>
            <w:r>
              <w:rPr>
                <w:rFonts w:ascii="Arial" w:cs="Arial" w:eastAsia="Arial" w:hAnsi="Arial"/>
                <w:sz w:val="13"/>
                <w:szCs w:val="13"/>
                <w:b w:val="1"/>
                <w:bCs w:val="1"/>
                <w:color w:val="auto"/>
              </w:rPr>
              <w:t>%</w:t>
            </w:r>
          </w:p>
        </w:tc>
        <w:tc>
          <w:tcPr>
            <w:tcW w:w="240" w:type="dxa"/>
            <w:vAlign w:val="bottom"/>
            <w:tcBorders>
              <w:top w:val="single" w:sz="8" w:color="auto"/>
              <w:bottom w:val="single" w:sz="8" w:color="auto"/>
            </w:tcBorders>
            <w:shd w:val="clear" w:color="auto" w:fill="CCFFCC"/>
          </w:tcPr>
          <w:p>
            <w:pPr>
              <w:spacing w:after="0"/>
              <w:rPr>
                <w:sz w:val="11"/>
                <w:szCs w:val="11"/>
                <w:color w:val="auto"/>
              </w:rPr>
            </w:pPr>
          </w:p>
        </w:tc>
        <w:tc>
          <w:tcPr>
            <w:tcW w:w="660" w:type="dxa"/>
            <w:vAlign w:val="bottom"/>
            <w:tcBorders>
              <w:top w:val="single" w:sz="8" w:color="auto"/>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b w:val="1"/>
                <w:bCs w:val="1"/>
                <w:color w:val="auto"/>
              </w:rPr>
              <w:t>148.3</w:t>
            </w:r>
          </w:p>
        </w:tc>
        <w:tc>
          <w:tcPr>
            <w:tcW w:w="240" w:type="dxa"/>
            <w:vAlign w:val="bottom"/>
            <w:tcBorders>
              <w:top w:val="single" w:sz="8" w:color="CCFFCC"/>
            </w:tcBorders>
            <w:shd w:val="clear" w:color="auto" w:fill="CCFFCC"/>
          </w:tcPr>
          <w:p>
            <w:pPr>
              <w:jc w:val="right"/>
              <w:ind w:right="57"/>
              <w:spacing w:after="0" w:line="129" w:lineRule="exact"/>
              <w:rPr>
                <w:sz w:val="20"/>
                <w:szCs w:val="20"/>
                <w:color w:val="auto"/>
              </w:rPr>
            </w:pPr>
            <w:r>
              <w:rPr>
                <w:rFonts w:ascii="Arial" w:cs="Arial" w:eastAsia="Arial" w:hAnsi="Arial"/>
                <w:sz w:val="13"/>
                <w:szCs w:val="13"/>
                <w:b w:val="1"/>
                <w:bCs w:val="1"/>
                <w:color w:val="auto"/>
                <w:w w:val="86"/>
              </w:rPr>
              <w:t>%</w:t>
            </w:r>
          </w:p>
        </w:tc>
        <w:tc>
          <w:tcPr>
            <w:tcW w:w="900" w:type="dxa"/>
            <w:vAlign w:val="bottom"/>
            <w:tcBorders>
              <w:top w:val="single" w:sz="8" w:color="auto"/>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b w:val="1"/>
                <w:bCs w:val="1"/>
                <w:color w:val="auto"/>
              </w:rPr>
              <w:t>36,413</w:t>
            </w:r>
          </w:p>
        </w:tc>
        <w:tc>
          <w:tcPr>
            <w:tcW w:w="220" w:type="dxa"/>
            <w:vAlign w:val="bottom"/>
            <w:tcBorders>
              <w:top w:val="single" w:sz="8" w:color="CCFFCC"/>
            </w:tcBorders>
            <w:shd w:val="clear" w:color="auto" w:fill="CCFFCC"/>
          </w:tcPr>
          <w:p>
            <w:pPr>
              <w:spacing w:after="0"/>
              <w:rPr>
                <w:sz w:val="11"/>
                <w:szCs w:val="11"/>
                <w:color w:val="auto"/>
              </w:rPr>
            </w:pPr>
          </w:p>
        </w:tc>
        <w:tc>
          <w:tcPr>
            <w:tcW w:w="260" w:type="dxa"/>
            <w:vAlign w:val="bottom"/>
            <w:tcBorders>
              <w:top w:val="single" w:sz="8" w:color="auto"/>
              <w:bottom w:val="single" w:sz="8" w:color="auto"/>
            </w:tcBorders>
            <w:shd w:val="clear" w:color="auto" w:fill="CCFFCC"/>
          </w:tcPr>
          <w:p>
            <w:pPr>
              <w:spacing w:after="0"/>
              <w:rPr>
                <w:sz w:val="11"/>
                <w:szCs w:val="11"/>
                <w:color w:val="auto"/>
              </w:rPr>
            </w:pPr>
          </w:p>
        </w:tc>
        <w:tc>
          <w:tcPr>
            <w:tcW w:w="640" w:type="dxa"/>
            <w:vAlign w:val="bottom"/>
            <w:tcBorders>
              <w:top w:val="single" w:sz="8" w:color="auto"/>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b w:val="1"/>
                <w:bCs w:val="1"/>
                <w:color w:val="auto"/>
              </w:rPr>
              <w:t>26,188</w:t>
            </w:r>
          </w:p>
        </w:tc>
        <w:tc>
          <w:tcPr>
            <w:tcW w:w="220" w:type="dxa"/>
            <w:vAlign w:val="bottom"/>
            <w:tcBorders>
              <w:top w:val="single" w:sz="8" w:color="CCFFCC"/>
            </w:tcBorders>
            <w:shd w:val="clear" w:color="auto" w:fill="CCFFCC"/>
          </w:tcPr>
          <w:p>
            <w:pPr>
              <w:spacing w:after="0"/>
              <w:rPr>
                <w:sz w:val="11"/>
                <w:szCs w:val="11"/>
                <w:color w:val="auto"/>
              </w:rPr>
            </w:pPr>
          </w:p>
        </w:tc>
        <w:tc>
          <w:tcPr>
            <w:tcW w:w="900" w:type="dxa"/>
            <w:vAlign w:val="bottom"/>
            <w:tcBorders>
              <w:top w:val="single" w:sz="8" w:color="auto"/>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b w:val="1"/>
                <w:bCs w:val="1"/>
                <w:color w:val="auto"/>
              </w:rPr>
              <w:t>39.0</w:t>
            </w:r>
          </w:p>
        </w:tc>
        <w:tc>
          <w:tcPr>
            <w:tcW w:w="140" w:type="dxa"/>
            <w:vAlign w:val="bottom"/>
            <w:tcBorders>
              <w:top w:val="single" w:sz="8" w:color="CCFFCC"/>
            </w:tcBorders>
            <w:shd w:val="clear" w:color="auto" w:fill="CCFFCC"/>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29"/>
        </w:trPr>
        <w:tc>
          <w:tcPr>
            <w:tcW w:w="2420" w:type="dxa"/>
            <w:vAlign w:val="bottom"/>
            <w:gridSpan w:val="2"/>
          </w:tcPr>
          <w:p>
            <w:pPr>
              <w:spacing w:after="0" w:line="129" w:lineRule="exact"/>
              <w:rPr>
                <w:sz w:val="20"/>
                <w:szCs w:val="20"/>
                <w:color w:val="auto"/>
              </w:rPr>
            </w:pPr>
            <w:r>
              <w:rPr>
                <w:rFonts w:ascii="Arial" w:cs="Arial" w:eastAsia="Arial" w:hAnsi="Arial"/>
                <w:sz w:val="13"/>
                <w:szCs w:val="13"/>
                <w:color w:val="auto"/>
              </w:rPr>
              <w:t>Total loans</w:t>
            </w:r>
          </w:p>
        </w:tc>
        <w:tc>
          <w:tcPr>
            <w:tcW w:w="940" w:type="dxa"/>
            <w:vAlign w:val="bottom"/>
          </w:tcPr>
          <w:p>
            <w:pPr>
              <w:jc w:val="right"/>
              <w:spacing w:after="0" w:line="129" w:lineRule="exact"/>
              <w:rPr>
                <w:sz w:val="20"/>
                <w:szCs w:val="20"/>
                <w:color w:val="auto"/>
              </w:rPr>
            </w:pPr>
            <w:r>
              <w:rPr>
                <w:rFonts w:ascii="Arial" w:cs="Arial" w:eastAsia="Arial" w:hAnsi="Arial"/>
                <w:sz w:val="13"/>
                <w:szCs w:val="13"/>
                <w:color w:val="auto"/>
              </w:rPr>
              <w:t>749,773</w:t>
            </w:r>
          </w:p>
        </w:tc>
        <w:tc>
          <w:tcPr>
            <w:tcW w:w="240" w:type="dxa"/>
            <w:vAlign w:val="bottom"/>
          </w:tcPr>
          <w:p>
            <w:pPr>
              <w:spacing w:after="0"/>
              <w:rPr>
                <w:sz w:val="11"/>
                <w:szCs w:val="11"/>
                <w:color w:val="auto"/>
              </w:rPr>
            </w:pPr>
          </w:p>
        </w:tc>
        <w:tc>
          <w:tcPr>
            <w:tcW w:w="900" w:type="dxa"/>
            <w:vAlign w:val="bottom"/>
          </w:tcPr>
          <w:p>
            <w:pPr>
              <w:jc w:val="right"/>
              <w:spacing w:after="0" w:line="129" w:lineRule="exact"/>
              <w:rPr>
                <w:sz w:val="20"/>
                <w:szCs w:val="20"/>
                <w:color w:val="auto"/>
              </w:rPr>
            </w:pPr>
            <w:r>
              <w:rPr>
                <w:rFonts w:ascii="Arial" w:cs="Arial" w:eastAsia="Arial" w:hAnsi="Arial"/>
                <w:sz w:val="13"/>
                <w:szCs w:val="13"/>
                <w:color w:val="auto"/>
              </w:rPr>
              <w:t>659,383</w:t>
            </w:r>
          </w:p>
        </w:tc>
        <w:tc>
          <w:tcPr>
            <w:tcW w:w="220" w:type="dxa"/>
            <w:vAlign w:val="bottom"/>
          </w:tcPr>
          <w:p>
            <w:pPr>
              <w:spacing w:after="0"/>
              <w:rPr>
                <w:sz w:val="11"/>
                <w:szCs w:val="11"/>
                <w:color w:val="auto"/>
              </w:rPr>
            </w:pPr>
          </w:p>
        </w:tc>
        <w:tc>
          <w:tcPr>
            <w:tcW w:w="900" w:type="dxa"/>
            <w:vAlign w:val="bottom"/>
          </w:tcPr>
          <w:p>
            <w:pPr>
              <w:jc w:val="right"/>
              <w:spacing w:after="0" w:line="129" w:lineRule="exact"/>
              <w:rPr>
                <w:sz w:val="20"/>
                <w:szCs w:val="20"/>
                <w:color w:val="auto"/>
              </w:rPr>
            </w:pPr>
            <w:r>
              <w:rPr>
                <w:rFonts w:ascii="Arial" w:cs="Arial" w:eastAsia="Arial" w:hAnsi="Arial"/>
                <w:sz w:val="13"/>
                <w:szCs w:val="13"/>
                <w:color w:val="auto"/>
              </w:rPr>
              <w:t>506,796</w:t>
            </w:r>
          </w:p>
        </w:tc>
        <w:tc>
          <w:tcPr>
            <w:tcW w:w="220" w:type="dxa"/>
            <w:vAlign w:val="bottom"/>
          </w:tcPr>
          <w:p>
            <w:pPr>
              <w:spacing w:after="0"/>
              <w:rPr>
                <w:sz w:val="11"/>
                <w:szCs w:val="11"/>
                <w:color w:val="auto"/>
              </w:rPr>
            </w:pPr>
          </w:p>
        </w:tc>
        <w:tc>
          <w:tcPr>
            <w:tcW w:w="1160" w:type="dxa"/>
            <w:vAlign w:val="bottom"/>
            <w:gridSpan w:val="2"/>
          </w:tcPr>
          <w:p>
            <w:pPr>
              <w:jc w:val="right"/>
              <w:ind w:right="77"/>
              <w:spacing w:after="0" w:line="129" w:lineRule="exact"/>
              <w:rPr>
                <w:sz w:val="20"/>
                <w:szCs w:val="20"/>
                <w:color w:val="auto"/>
              </w:rPr>
            </w:pPr>
            <w:r>
              <w:rPr>
                <w:rFonts w:ascii="Arial" w:cs="Arial" w:eastAsia="Arial" w:hAnsi="Arial"/>
                <w:sz w:val="13"/>
                <w:szCs w:val="13"/>
                <w:color w:val="auto"/>
              </w:rPr>
              <w:t>13.7%</w:t>
            </w:r>
          </w:p>
        </w:tc>
        <w:tc>
          <w:tcPr>
            <w:tcW w:w="240" w:type="dxa"/>
            <w:vAlign w:val="bottom"/>
          </w:tcPr>
          <w:p>
            <w:pPr>
              <w:spacing w:after="0"/>
              <w:rPr>
                <w:sz w:val="11"/>
                <w:szCs w:val="11"/>
                <w:color w:val="auto"/>
              </w:rPr>
            </w:pPr>
          </w:p>
        </w:tc>
        <w:tc>
          <w:tcPr>
            <w:tcW w:w="900" w:type="dxa"/>
            <w:vAlign w:val="bottom"/>
            <w:gridSpan w:val="2"/>
          </w:tcPr>
          <w:p>
            <w:pPr>
              <w:jc w:val="right"/>
              <w:ind w:right="77"/>
              <w:spacing w:after="0" w:line="129" w:lineRule="exact"/>
              <w:rPr>
                <w:sz w:val="20"/>
                <w:szCs w:val="20"/>
                <w:color w:val="auto"/>
              </w:rPr>
            </w:pPr>
            <w:r>
              <w:rPr>
                <w:rFonts w:ascii="Arial" w:cs="Arial" w:eastAsia="Arial" w:hAnsi="Arial"/>
                <w:sz w:val="13"/>
                <w:szCs w:val="13"/>
                <w:color w:val="auto"/>
              </w:rPr>
              <w:t>47.9%</w:t>
            </w:r>
          </w:p>
        </w:tc>
        <w:tc>
          <w:tcPr>
            <w:tcW w:w="900" w:type="dxa"/>
            <w:vAlign w:val="bottom"/>
          </w:tcPr>
          <w:p>
            <w:pPr>
              <w:jc w:val="right"/>
              <w:spacing w:after="0" w:line="129" w:lineRule="exact"/>
              <w:rPr>
                <w:sz w:val="20"/>
                <w:szCs w:val="20"/>
                <w:color w:val="auto"/>
              </w:rPr>
            </w:pPr>
            <w:r>
              <w:rPr>
                <w:rFonts w:ascii="Arial" w:cs="Arial" w:eastAsia="Arial" w:hAnsi="Arial"/>
                <w:sz w:val="13"/>
                <w:szCs w:val="13"/>
                <w:color w:val="auto"/>
              </w:rPr>
              <w:t>749,773</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Arial" w:cs="Arial" w:eastAsia="Arial" w:hAnsi="Arial"/>
                <w:sz w:val="13"/>
                <w:szCs w:val="13"/>
                <w:color w:val="auto"/>
              </w:rPr>
              <w:t>506,796</w:t>
            </w:r>
          </w:p>
        </w:tc>
        <w:tc>
          <w:tcPr>
            <w:tcW w:w="220" w:type="dxa"/>
            <w:vAlign w:val="bottom"/>
          </w:tcPr>
          <w:p>
            <w:pPr>
              <w:spacing w:after="0"/>
              <w:rPr>
                <w:sz w:val="11"/>
                <w:szCs w:val="11"/>
                <w:color w:val="auto"/>
              </w:rPr>
            </w:pPr>
          </w:p>
        </w:tc>
        <w:tc>
          <w:tcPr>
            <w:tcW w:w="104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47.9%</w:t>
            </w:r>
          </w:p>
        </w:tc>
        <w:tc>
          <w:tcPr>
            <w:tcW w:w="0" w:type="dxa"/>
            <w:vAlign w:val="bottom"/>
          </w:tcPr>
          <w:p>
            <w:pPr>
              <w:spacing w:after="0"/>
              <w:rPr>
                <w:sz w:val="1"/>
                <w:szCs w:val="1"/>
                <w:color w:val="auto"/>
              </w:rPr>
            </w:pPr>
          </w:p>
        </w:tc>
      </w:tr>
      <w:tr>
        <w:trPr>
          <w:trHeight w:val="135"/>
        </w:trPr>
        <w:tc>
          <w:tcPr>
            <w:tcW w:w="242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Past due loans</w:t>
            </w:r>
          </w:p>
        </w:tc>
        <w:tc>
          <w:tcPr>
            <w:tcW w:w="118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29,380</w:t>
            </w:r>
          </w:p>
        </w:tc>
        <w:tc>
          <w:tcPr>
            <w:tcW w:w="11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26,886</w:t>
            </w:r>
          </w:p>
        </w:tc>
        <w:tc>
          <w:tcPr>
            <w:tcW w:w="11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20,445</w:t>
            </w:r>
          </w:p>
        </w:tc>
        <w:tc>
          <w:tcPr>
            <w:tcW w:w="1160" w:type="dxa"/>
            <w:vAlign w:val="bottom"/>
            <w:gridSpan w:val="2"/>
            <w:shd w:val="clear" w:color="auto" w:fill="CCFFCC"/>
          </w:tcPr>
          <w:p>
            <w:pPr>
              <w:jc w:val="right"/>
              <w:ind w:right="77"/>
              <w:spacing w:after="0" w:line="135" w:lineRule="exact"/>
              <w:rPr>
                <w:sz w:val="20"/>
                <w:szCs w:val="20"/>
                <w:color w:val="auto"/>
              </w:rPr>
            </w:pPr>
            <w:r>
              <w:rPr>
                <w:rFonts w:ascii="Arial" w:cs="Arial" w:eastAsia="Arial" w:hAnsi="Arial"/>
                <w:sz w:val="13"/>
                <w:szCs w:val="13"/>
                <w:color w:val="auto"/>
              </w:rPr>
              <w:t>9.3%</w:t>
            </w:r>
          </w:p>
        </w:tc>
        <w:tc>
          <w:tcPr>
            <w:tcW w:w="240" w:type="dxa"/>
            <w:vAlign w:val="bottom"/>
            <w:shd w:val="clear" w:color="auto" w:fill="CCFFCC"/>
          </w:tcPr>
          <w:p>
            <w:pPr>
              <w:spacing w:after="0"/>
              <w:rPr>
                <w:sz w:val="11"/>
                <w:szCs w:val="11"/>
                <w:color w:val="auto"/>
              </w:rPr>
            </w:pPr>
          </w:p>
        </w:tc>
        <w:tc>
          <w:tcPr>
            <w:tcW w:w="900" w:type="dxa"/>
            <w:vAlign w:val="bottom"/>
            <w:gridSpan w:val="2"/>
            <w:shd w:val="clear" w:color="auto" w:fill="CCFFCC"/>
          </w:tcPr>
          <w:p>
            <w:pPr>
              <w:jc w:val="right"/>
              <w:ind w:right="77"/>
              <w:spacing w:after="0" w:line="135" w:lineRule="exact"/>
              <w:rPr>
                <w:sz w:val="20"/>
                <w:szCs w:val="20"/>
                <w:color w:val="auto"/>
              </w:rPr>
            </w:pPr>
            <w:r>
              <w:rPr>
                <w:rFonts w:ascii="Arial" w:cs="Arial" w:eastAsia="Arial" w:hAnsi="Arial"/>
                <w:sz w:val="13"/>
                <w:szCs w:val="13"/>
                <w:color w:val="auto"/>
              </w:rPr>
              <w:t>43.7%</w:t>
            </w:r>
          </w:p>
        </w:tc>
        <w:tc>
          <w:tcPr>
            <w:tcW w:w="11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29,380</w:t>
            </w:r>
          </w:p>
        </w:tc>
        <w:tc>
          <w:tcPr>
            <w:tcW w:w="260" w:type="dxa"/>
            <w:vAlign w:val="bottom"/>
            <w:shd w:val="clear" w:color="auto" w:fill="CCFFCC"/>
          </w:tcPr>
          <w:p>
            <w:pPr>
              <w:spacing w:after="0"/>
              <w:rPr>
                <w:sz w:val="11"/>
                <w:szCs w:val="11"/>
                <w:color w:val="auto"/>
              </w:rPr>
            </w:pPr>
          </w:p>
        </w:tc>
        <w:tc>
          <w:tcPr>
            <w:tcW w:w="8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20,445</w:t>
            </w:r>
          </w:p>
        </w:tc>
        <w:tc>
          <w:tcPr>
            <w:tcW w:w="104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43.7%</w:t>
            </w:r>
          </w:p>
        </w:tc>
        <w:tc>
          <w:tcPr>
            <w:tcW w:w="0" w:type="dxa"/>
            <w:vAlign w:val="bottom"/>
          </w:tcPr>
          <w:p>
            <w:pPr>
              <w:spacing w:after="0"/>
              <w:rPr>
                <w:sz w:val="1"/>
                <w:szCs w:val="1"/>
                <w:color w:val="auto"/>
              </w:rPr>
            </w:pPr>
          </w:p>
        </w:tc>
      </w:tr>
      <w:tr>
        <w:trPr>
          <w:trHeight w:val="135"/>
        </w:trPr>
        <w:tc>
          <w:tcPr>
            <w:tcW w:w="2420" w:type="dxa"/>
            <w:vAlign w:val="bottom"/>
            <w:gridSpan w:val="2"/>
          </w:tcPr>
          <w:p>
            <w:pPr>
              <w:spacing w:after="0" w:line="135" w:lineRule="exact"/>
              <w:rPr>
                <w:sz w:val="20"/>
                <w:szCs w:val="20"/>
                <w:color w:val="auto"/>
              </w:rPr>
            </w:pPr>
            <w:r>
              <w:rPr>
                <w:rFonts w:ascii="Arial" w:cs="Arial" w:eastAsia="Arial" w:hAnsi="Arial"/>
                <w:sz w:val="13"/>
                <w:szCs w:val="13"/>
                <w:color w:val="auto"/>
              </w:rPr>
              <w:t>Net provisions for possible loan losses</w:t>
            </w:r>
          </w:p>
        </w:tc>
        <w:tc>
          <w:tcPr>
            <w:tcW w:w="11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(52,487)</w:t>
            </w:r>
          </w:p>
        </w:tc>
        <w:tc>
          <w:tcPr>
            <w:tcW w:w="11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(46,157)</w:t>
            </w:r>
          </w:p>
        </w:tc>
        <w:tc>
          <w:tcPr>
            <w:tcW w:w="11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(35,484)</w:t>
            </w:r>
          </w:p>
        </w:tc>
        <w:tc>
          <w:tcPr>
            <w:tcW w:w="116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13.7%</w:t>
            </w:r>
          </w:p>
        </w:tc>
        <w:tc>
          <w:tcPr>
            <w:tcW w:w="240" w:type="dxa"/>
            <w:vAlign w:val="bottom"/>
          </w:tcPr>
          <w:p>
            <w:pPr>
              <w:spacing w:after="0"/>
              <w:rPr>
                <w:sz w:val="11"/>
                <w:szCs w:val="11"/>
                <w:color w:val="auto"/>
              </w:rPr>
            </w:pPr>
          </w:p>
        </w:tc>
        <w:tc>
          <w:tcPr>
            <w:tcW w:w="90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47.9%</w:t>
            </w:r>
          </w:p>
        </w:tc>
        <w:tc>
          <w:tcPr>
            <w:tcW w:w="11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(52,487)</w:t>
            </w:r>
          </w:p>
        </w:tc>
        <w:tc>
          <w:tcPr>
            <w:tcW w:w="260" w:type="dxa"/>
            <w:vAlign w:val="bottom"/>
          </w:tcPr>
          <w:p>
            <w:pPr>
              <w:spacing w:after="0"/>
              <w:rPr>
                <w:sz w:val="11"/>
                <w:szCs w:val="11"/>
                <w:color w:val="auto"/>
              </w:rPr>
            </w:pP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(35,484)</w:t>
            </w:r>
          </w:p>
        </w:tc>
        <w:tc>
          <w:tcPr>
            <w:tcW w:w="10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47.9%</w:t>
            </w:r>
          </w:p>
        </w:tc>
        <w:tc>
          <w:tcPr>
            <w:tcW w:w="0" w:type="dxa"/>
            <w:vAlign w:val="bottom"/>
          </w:tcPr>
          <w:p>
            <w:pPr>
              <w:spacing w:after="0"/>
              <w:rPr>
                <w:sz w:val="1"/>
                <w:szCs w:val="1"/>
                <w:color w:val="auto"/>
              </w:rPr>
            </w:pPr>
          </w:p>
        </w:tc>
      </w:tr>
      <w:tr>
        <w:trPr>
          <w:trHeight w:val="135"/>
        </w:trPr>
        <w:tc>
          <w:tcPr>
            <w:tcW w:w="242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Total assets</w:t>
            </w:r>
          </w:p>
        </w:tc>
        <w:tc>
          <w:tcPr>
            <w:tcW w:w="118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1,064,396</w:t>
            </w:r>
          </w:p>
        </w:tc>
        <w:tc>
          <w:tcPr>
            <w:tcW w:w="9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1,013,915</w:t>
            </w: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590,991</w:t>
            </w:r>
          </w:p>
        </w:tc>
        <w:tc>
          <w:tcPr>
            <w:tcW w:w="220" w:type="dxa"/>
            <w:vAlign w:val="bottom"/>
            <w:shd w:val="clear" w:color="auto" w:fill="CCFFCC"/>
          </w:tcPr>
          <w:p>
            <w:pPr>
              <w:spacing w:after="0"/>
              <w:rPr>
                <w:sz w:val="11"/>
                <w:szCs w:val="11"/>
                <w:color w:val="auto"/>
              </w:rPr>
            </w:pPr>
          </w:p>
        </w:tc>
        <w:tc>
          <w:tcPr>
            <w:tcW w:w="1160" w:type="dxa"/>
            <w:vAlign w:val="bottom"/>
            <w:gridSpan w:val="2"/>
            <w:shd w:val="clear" w:color="auto" w:fill="CCFFCC"/>
          </w:tcPr>
          <w:p>
            <w:pPr>
              <w:jc w:val="right"/>
              <w:ind w:right="77"/>
              <w:spacing w:after="0" w:line="135" w:lineRule="exact"/>
              <w:rPr>
                <w:sz w:val="20"/>
                <w:szCs w:val="20"/>
                <w:color w:val="auto"/>
              </w:rPr>
            </w:pPr>
            <w:r>
              <w:rPr>
                <w:rFonts w:ascii="Arial" w:cs="Arial" w:eastAsia="Arial" w:hAnsi="Arial"/>
                <w:sz w:val="13"/>
                <w:szCs w:val="13"/>
                <w:color w:val="auto"/>
              </w:rPr>
              <w:t>5.0%</w:t>
            </w:r>
          </w:p>
        </w:tc>
        <w:tc>
          <w:tcPr>
            <w:tcW w:w="240" w:type="dxa"/>
            <w:vAlign w:val="bottom"/>
            <w:shd w:val="clear" w:color="auto" w:fill="CCFFCC"/>
          </w:tcPr>
          <w:p>
            <w:pPr>
              <w:spacing w:after="0"/>
              <w:rPr>
                <w:sz w:val="11"/>
                <w:szCs w:val="11"/>
                <w:color w:val="auto"/>
              </w:rPr>
            </w:pPr>
          </w:p>
        </w:tc>
        <w:tc>
          <w:tcPr>
            <w:tcW w:w="900" w:type="dxa"/>
            <w:vAlign w:val="bottom"/>
            <w:gridSpan w:val="2"/>
            <w:shd w:val="clear" w:color="auto" w:fill="CCFFCC"/>
          </w:tcPr>
          <w:p>
            <w:pPr>
              <w:jc w:val="right"/>
              <w:ind w:right="77"/>
              <w:spacing w:after="0" w:line="135" w:lineRule="exact"/>
              <w:rPr>
                <w:sz w:val="20"/>
                <w:szCs w:val="20"/>
                <w:color w:val="auto"/>
              </w:rPr>
            </w:pPr>
            <w:r>
              <w:rPr>
                <w:rFonts w:ascii="Arial" w:cs="Arial" w:eastAsia="Arial" w:hAnsi="Arial"/>
                <w:sz w:val="13"/>
                <w:szCs w:val="13"/>
                <w:color w:val="auto"/>
              </w:rPr>
              <w:t>80.1%</w:t>
            </w:r>
          </w:p>
        </w:tc>
        <w:tc>
          <w:tcPr>
            <w:tcW w:w="9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1,064,396</w:t>
            </w:r>
          </w:p>
        </w:tc>
        <w:tc>
          <w:tcPr>
            <w:tcW w:w="22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8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590,991</w:t>
            </w:r>
          </w:p>
        </w:tc>
        <w:tc>
          <w:tcPr>
            <w:tcW w:w="104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80.1%</w:t>
            </w:r>
          </w:p>
        </w:tc>
        <w:tc>
          <w:tcPr>
            <w:tcW w:w="0" w:type="dxa"/>
            <w:vAlign w:val="bottom"/>
          </w:tcPr>
          <w:p>
            <w:pPr>
              <w:spacing w:after="0"/>
              <w:rPr>
                <w:sz w:val="1"/>
                <w:szCs w:val="1"/>
                <w:color w:val="auto"/>
              </w:rPr>
            </w:pPr>
          </w:p>
        </w:tc>
      </w:tr>
      <w:tr>
        <w:trPr>
          <w:trHeight w:val="135"/>
        </w:trPr>
        <w:tc>
          <w:tcPr>
            <w:tcW w:w="2420" w:type="dxa"/>
            <w:vAlign w:val="bottom"/>
            <w:gridSpan w:val="2"/>
          </w:tcPr>
          <w:p>
            <w:pPr>
              <w:spacing w:after="0" w:line="135" w:lineRule="exact"/>
              <w:rPr>
                <w:sz w:val="20"/>
                <w:szCs w:val="20"/>
                <w:color w:val="auto"/>
              </w:rPr>
            </w:pPr>
            <w:r>
              <w:rPr>
                <w:rFonts w:ascii="Arial" w:cs="Arial" w:eastAsia="Arial" w:hAnsi="Arial"/>
                <w:sz w:val="13"/>
                <w:szCs w:val="13"/>
                <w:color w:val="auto"/>
              </w:rPr>
              <w:t>Deposits and obligations</w:t>
            </w:r>
          </w:p>
        </w:tc>
        <w:tc>
          <w:tcPr>
            <w:tcW w:w="11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518,935</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530,526</w:t>
            </w: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226,285</w:t>
            </w:r>
          </w:p>
        </w:tc>
        <w:tc>
          <w:tcPr>
            <w:tcW w:w="220" w:type="dxa"/>
            <w:vAlign w:val="bottom"/>
          </w:tcPr>
          <w:p>
            <w:pPr>
              <w:spacing w:after="0"/>
              <w:rPr>
                <w:sz w:val="11"/>
                <w:szCs w:val="11"/>
                <w:color w:val="auto"/>
              </w:rPr>
            </w:pPr>
          </w:p>
        </w:tc>
        <w:tc>
          <w:tcPr>
            <w:tcW w:w="116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-2.2%</w:t>
            </w:r>
          </w:p>
        </w:tc>
        <w:tc>
          <w:tcPr>
            <w:tcW w:w="240" w:type="dxa"/>
            <w:vAlign w:val="bottom"/>
          </w:tcPr>
          <w:p>
            <w:pPr>
              <w:spacing w:after="0"/>
              <w:rPr>
                <w:sz w:val="11"/>
                <w:szCs w:val="11"/>
                <w:color w:val="auto"/>
              </w:rPr>
            </w:pPr>
          </w:p>
        </w:tc>
        <w:tc>
          <w:tcPr>
            <w:tcW w:w="90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129.3%</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518,935</w:t>
            </w:r>
          </w:p>
        </w:tc>
        <w:tc>
          <w:tcPr>
            <w:tcW w:w="260" w:type="dxa"/>
            <w:vAlign w:val="bottom"/>
          </w:tcPr>
          <w:p>
            <w:pPr>
              <w:spacing w:after="0"/>
              <w:rPr>
                <w:sz w:val="11"/>
                <w:szCs w:val="11"/>
                <w:color w:val="auto"/>
              </w:rPr>
            </w:pP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226,285</w:t>
            </w:r>
          </w:p>
        </w:tc>
        <w:tc>
          <w:tcPr>
            <w:tcW w:w="10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129.3%</w:t>
            </w:r>
          </w:p>
        </w:tc>
        <w:tc>
          <w:tcPr>
            <w:tcW w:w="0" w:type="dxa"/>
            <w:vAlign w:val="bottom"/>
          </w:tcPr>
          <w:p>
            <w:pPr>
              <w:spacing w:after="0"/>
              <w:rPr>
                <w:sz w:val="1"/>
                <w:szCs w:val="1"/>
                <w:color w:val="auto"/>
              </w:rPr>
            </w:pPr>
          </w:p>
        </w:tc>
      </w:tr>
      <w:tr>
        <w:trPr>
          <w:trHeight w:val="149"/>
        </w:trPr>
        <w:tc>
          <w:tcPr>
            <w:tcW w:w="2420" w:type="dxa"/>
            <w:vAlign w:val="bottom"/>
            <w:gridSpan w:val="2"/>
            <w:shd w:val="clear" w:color="auto" w:fill="CCFFCC"/>
          </w:tcPr>
          <w:p>
            <w:pPr>
              <w:spacing w:after="0"/>
              <w:rPr>
                <w:sz w:val="20"/>
                <w:szCs w:val="20"/>
                <w:color w:val="auto"/>
              </w:rPr>
            </w:pPr>
            <w:r>
              <w:rPr>
                <w:rFonts w:ascii="Arial" w:cs="Arial" w:eastAsia="Arial" w:hAnsi="Arial"/>
                <w:sz w:val="13"/>
                <w:szCs w:val="13"/>
                <w:color w:val="auto"/>
              </w:rPr>
              <w:t>Net shareholders´ equity</w:t>
            </w:r>
          </w:p>
        </w:tc>
        <w:tc>
          <w:tcPr>
            <w:tcW w:w="940" w:type="dxa"/>
            <w:vAlign w:val="bottom"/>
            <w:shd w:val="clear" w:color="auto" w:fill="CCFFCC"/>
          </w:tcPr>
          <w:p>
            <w:pPr>
              <w:jc w:val="right"/>
              <w:spacing w:after="0"/>
              <w:rPr>
                <w:sz w:val="20"/>
                <w:szCs w:val="20"/>
                <w:color w:val="auto"/>
              </w:rPr>
            </w:pPr>
            <w:r>
              <w:rPr>
                <w:rFonts w:ascii="Arial" w:cs="Arial" w:eastAsia="Arial" w:hAnsi="Arial"/>
                <w:sz w:val="13"/>
                <w:szCs w:val="13"/>
                <w:color w:val="auto"/>
              </w:rPr>
              <w:t>98,357</w:t>
            </w:r>
          </w:p>
        </w:tc>
        <w:tc>
          <w:tcPr>
            <w:tcW w:w="24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87,137</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75,790</w:t>
            </w:r>
          </w:p>
        </w:tc>
        <w:tc>
          <w:tcPr>
            <w:tcW w:w="1160" w:type="dxa"/>
            <w:vAlign w:val="bottom"/>
            <w:gridSpan w:val="2"/>
            <w:shd w:val="clear" w:color="auto" w:fill="CCFFCC"/>
          </w:tcPr>
          <w:p>
            <w:pPr>
              <w:jc w:val="right"/>
              <w:ind w:right="77"/>
              <w:spacing w:after="0"/>
              <w:rPr>
                <w:sz w:val="20"/>
                <w:szCs w:val="20"/>
                <w:color w:val="auto"/>
              </w:rPr>
            </w:pPr>
            <w:r>
              <w:rPr>
                <w:rFonts w:ascii="Arial" w:cs="Arial" w:eastAsia="Arial" w:hAnsi="Arial"/>
                <w:sz w:val="13"/>
                <w:szCs w:val="13"/>
                <w:color w:val="auto"/>
              </w:rPr>
              <w:t>12.9%</w:t>
            </w:r>
          </w:p>
        </w:tc>
        <w:tc>
          <w:tcPr>
            <w:tcW w:w="24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77"/>
              <w:spacing w:after="0"/>
              <w:rPr>
                <w:sz w:val="20"/>
                <w:szCs w:val="20"/>
                <w:color w:val="auto"/>
              </w:rPr>
            </w:pPr>
            <w:r>
              <w:rPr>
                <w:rFonts w:ascii="Arial" w:cs="Arial" w:eastAsia="Arial" w:hAnsi="Arial"/>
                <w:sz w:val="13"/>
                <w:szCs w:val="13"/>
                <w:color w:val="auto"/>
              </w:rPr>
              <w:t>29.8%</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98,357</w:t>
            </w:r>
          </w:p>
        </w:tc>
        <w:tc>
          <w:tcPr>
            <w:tcW w:w="26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75,790</w:t>
            </w: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3"/>
                <w:szCs w:val="13"/>
                <w:color w:val="auto"/>
              </w:rPr>
              <w:t>29.8%</w:t>
            </w:r>
          </w:p>
        </w:tc>
        <w:tc>
          <w:tcPr>
            <w:tcW w:w="0" w:type="dxa"/>
            <w:vAlign w:val="bottom"/>
          </w:tcPr>
          <w:p>
            <w:pPr>
              <w:spacing w:after="0"/>
              <w:rPr>
                <w:sz w:val="1"/>
                <w:szCs w:val="1"/>
                <w:color w:val="auto"/>
              </w:rPr>
            </w:pPr>
          </w:p>
        </w:tc>
      </w:tr>
      <w:tr>
        <w:trPr>
          <w:trHeight w:val="20"/>
        </w:trPr>
        <w:tc>
          <w:tcPr>
            <w:tcW w:w="2420" w:type="dxa"/>
            <w:vAlign w:val="bottom"/>
            <w:gridSpan w:val="2"/>
            <w:vMerge w:val="restart"/>
          </w:tcPr>
          <w:p>
            <w:pPr>
              <w:spacing w:after="0"/>
              <w:rPr>
                <w:sz w:val="20"/>
                <w:szCs w:val="20"/>
                <w:color w:val="auto"/>
              </w:rPr>
            </w:pPr>
            <w:r>
              <w:rPr>
                <w:rFonts w:ascii="Arial" w:cs="Arial" w:eastAsia="Arial" w:hAnsi="Arial"/>
                <w:sz w:val="13"/>
                <w:szCs w:val="13"/>
                <w:color w:val="auto"/>
              </w:rPr>
              <w:t>PDL ratio</w:t>
            </w: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420" w:type="dxa"/>
            <w:vAlign w:val="bottom"/>
            <w:gridSpan w:val="2"/>
            <w:vMerge w:val="continue"/>
          </w:tcPr>
          <w:p>
            <w:pPr>
              <w:spacing w:after="0"/>
              <w:rPr>
                <w:sz w:val="11"/>
                <w:szCs w:val="11"/>
                <w:color w:val="auto"/>
              </w:rPr>
            </w:pPr>
          </w:p>
        </w:tc>
        <w:tc>
          <w:tcPr>
            <w:tcW w:w="1180" w:type="dxa"/>
            <w:vAlign w:val="bottom"/>
            <w:gridSpan w:val="2"/>
          </w:tcPr>
          <w:p>
            <w:pPr>
              <w:jc w:val="right"/>
              <w:ind w:right="140"/>
              <w:spacing w:after="0" w:line="129" w:lineRule="exact"/>
              <w:rPr>
                <w:sz w:val="20"/>
                <w:szCs w:val="20"/>
                <w:color w:val="auto"/>
              </w:rPr>
            </w:pPr>
            <w:r>
              <w:rPr>
                <w:rFonts w:ascii="Arial" w:cs="Arial" w:eastAsia="Arial" w:hAnsi="Arial"/>
                <w:sz w:val="13"/>
                <w:szCs w:val="13"/>
                <w:color w:val="auto"/>
              </w:rPr>
              <w:t>3.9%</w:t>
            </w:r>
          </w:p>
        </w:tc>
        <w:tc>
          <w:tcPr>
            <w:tcW w:w="1120" w:type="dxa"/>
            <w:vAlign w:val="bottom"/>
            <w:gridSpan w:val="2"/>
          </w:tcPr>
          <w:p>
            <w:pPr>
              <w:jc w:val="right"/>
              <w:ind w:right="100"/>
              <w:spacing w:after="0" w:line="129" w:lineRule="exact"/>
              <w:rPr>
                <w:sz w:val="20"/>
                <w:szCs w:val="20"/>
                <w:color w:val="auto"/>
              </w:rPr>
            </w:pPr>
            <w:r>
              <w:rPr>
                <w:rFonts w:ascii="Arial" w:cs="Arial" w:eastAsia="Arial" w:hAnsi="Arial"/>
                <w:sz w:val="13"/>
                <w:szCs w:val="13"/>
                <w:color w:val="auto"/>
              </w:rPr>
              <w:t>4.1%</w:t>
            </w:r>
          </w:p>
        </w:tc>
        <w:tc>
          <w:tcPr>
            <w:tcW w:w="1120" w:type="dxa"/>
            <w:vAlign w:val="bottom"/>
            <w:gridSpan w:val="2"/>
          </w:tcPr>
          <w:p>
            <w:pPr>
              <w:jc w:val="right"/>
              <w:ind w:right="100"/>
              <w:spacing w:after="0" w:line="129" w:lineRule="exact"/>
              <w:rPr>
                <w:sz w:val="20"/>
                <w:szCs w:val="20"/>
                <w:color w:val="auto"/>
              </w:rPr>
            </w:pPr>
            <w:r>
              <w:rPr>
                <w:rFonts w:ascii="Arial" w:cs="Arial" w:eastAsia="Arial" w:hAnsi="Arial"/>
                <w:sz w:val="13"/>
                <w:szCs w:val="13"/>
                <w:color w:val="auto"/>
              </w:rPr>
              <w:t>4.0%</w:t>
            </w: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2"/>
          </w:tcPr>
          <w:p>
            <w:pPr>
              <w:jc w:val="right"/>
              <w:ind w:right="120"/>
              <w:spacing w:after="0" w:line="129" w:lineRule="exact"/>
              <w:rPr>
                <w:sz w:val="20"/>
                <w:szCs w:val="20"/>
                <w:color w:val="auto"/>
              </w:rPr>
            </w:pPr>
            <w:r>
              <w:rPr>
                <w:rFonts w:ascii="Arial" w:cs="Arial" w:eastAsia="Arial" w:hAnsi="Arial"/>
                <w:sz w:val="13"/>
                <w:szCs w:val="13"/>
                <w:color w:val="auto"/>
              </w:rPr>
              <w:t>3.9%</w:t>
            </w:r>
          </w:p>
        </w:tc>
        <w:tc>
          <w:tcPr>
            <w:tcW w:w="260" w:type="dxa"/>
            <w:vAlign w:val="bottom"/>
          </w:tcPr>
          <w:p>
            <w:pPr>
              <w:spacing w:after="0"/>
              <w:rPr>
                <w:sz w:val="11"/>
                <w:szCs w:val="11"/>
                <w:color w:val="auto"/>
              </w:rPr>
            </w:pPr>
          </w:p>
        </w:tc>
        <w:tc>
          <w:tcPr>
            <w:tcW w:w="860" w:type="dxa"/>
            <w:vAlign w:val="bottom"/>
            <w:gridSpan w:val="2"/>
          </w:tcPr>
          <w:p>
            <w:pPr>
              <w:jc w:val="right"/>
              <w:ind w:right="120"/>
              <w:spacing w:after="0" w:line="129" w:lineRule="exact"/>
              <w:rPr>
                <w:sz w:val="20"/>
                <w:szCs w:val="20"/>
                <w:color w:val="auto"/>
              </w:rPr>
            </w:pPr>
            <w:r>
              <w:rPr>
                <w:rFonts w:ascii="Arial" w:cs="Arial" w:eastAsia="Arial" w:hAnsi="Arial"/>
                <w:sz w:val="13"/>
                <w:szCs w:val="13"/>
                <w:color w:val="auto"/>
              </w:rPr>
              <w:t>4.0%</w:t>
            </w: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Coverage ratio of PDLs</w:t>
            </w:r>
          </w:p>
        </w:tc>
        <w:tc>
          <w:tcPr>
            <w:tcW w:w="118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178.6%</w:t>
            </w:r>
          </w:p>
        </w:tc>
        <w:tc>
          <w:tcPr>
            <w:tcW w:w="112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171.7%</w:t>
            </w:r>
          </w:p>
        </w:tc>
        <w:tc>
          <w:tcPr>
            <w:tcW w:w="112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173.6%</w:t>
            </w:r>
          </w:p>
        </w:tc>
        <w:tc>
          <w:tcPr>
            <w:tcW w:w="9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11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178.6%</w:t>
            </w:r>
          </w:p>
        </w:tc>
        <w:tc>
          <w:tcPr>
            <w:tcW w:w="260" w:type="dxa"/>
            <w:vAlign w:val="bottom"/>
            <w:shd w:val="clear" w:color="auto" w:fill="CCFFCC"/>
          </w:tcPr>
          <w:p>
            <w:pPr>
              <w:spacing w:after="0"/>
              <w:rPr>
                <w:sz w:val="11"/>
                <w:szCs w:val="11"/>
                <w:color w:val="auto"/>
              </w:rPr>
            </w:pPr>
          </w:p>
        </w:tc>
        <w:tc>
          <w:tcPr>
            <w:tcW w:w="86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173.6%</w:t>
            </w:r>
          </w:p>
        </w:tc>
        <w:tc>
          <w:tcPr>
            <w:tcW w:w="9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20" w:type="dxa"/>
            <w:vAlign w:val="bottom"/>
            <w:gridSpan w:val="2"/>
          </w:tcPr>
          <w:p>
            <w:pPr>
              <w:spacing w:after="0"/>
              <w:rPr>
                <w:sz w:val="20"/>
                <w:szCs w:val="20"/>
                <w:color w:val="auto"/>
              </w:rPr>
            </w:pPr>
            <w:r>
              <w:rPr>
                <w:rFonts w:ascii="Arial" w:cs="Arial" w:eastAsia="Arial" w:hAnsi="Arial"/>
                <w:sz w:val="13"/>
                <w:szCs w:val="13"/>
                <w:color w:val="auto"/>
              </w:rPr>
              <w:t>Return on average equity *</w:t>
            </w:r>
          </w:p>
        </w:tc>
        <w:tc>
          <w:tcPr>
            <w:tcW w:w="1180" w:type="dxa"/>
            <w:vAlign w:val="bottom"/>
            <w:gridSpan w:val="2"/>
          </w:tcPr>
          <w:p>
            <w:pPr>
              <w:jc w:val="right"/>
              <w:ind w:right="140"/>
              <w:spacing w:after="0"/>
              <w:rPr>
                <w:sz w:val="20"/>
                <w:szCs w:val="20"/>
                <w:color w:val="auto"/>
              </w:rPr>
            </w:pPr>
            <w:r>
              <w:rPr>
                <w:rFonts w:ascii="Arial" w:cs="Arial" w:eastAsia="Arial" w:hAnsi="Arial"/>
                <w:sz w:val="13"/>
                <w:szCs w:val="13"/>
                <w:color w:val="auto"/>
              </w:rPr>
              <w:t>31.3%</w:t>
            </w: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29.9%</w:t>
            </w: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21.2%</w:t>
            </w: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3"/>
                <w:szCs w:val="13"/>
                <w:color w:val="auto"/>
              </w:rPr>
              <w:t>26.5%</w:t>
            </w:r>
          </w:p>
        </w:tc>
        <w:tc>
          <w:tcPr>
            <w:tcW w:w="26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22.9%</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420" w:type="dxa"/>
            <w:vAlign w:val="bottom"/>
            <w:tcBorders>
              <w:top w:val="single" w:sz="8" w:color="CCFFCC"/>
            </w:tcBorders>
            <w:gridSpan w:val="2"/>
            <w:shd w:val="clear" w:color="auto" w:fill="CCFFCC"/>
          </w:tcPr>
          <w:p>
            <w:pPr>
              <w:spacing w:after="0" w:line="129" w:lineRule="exact"/>
              <w:rPr>
                <w:sz w:val="20"/>
                <w:szCs w:val="20"/>
                <w:color w:val="auto"/>
              </w:rPr>
            </w:pPr>
            <w:r>
              <w:rPr>
                <w:rFonts w:ascii="Arial" w:cs="Arial" w:eastAsia="Arial" w:hAnsi="Arial"/>
                <w:sz w:val="13"/>
                <w:szCs w:val="13"/>
                <w:color w:val="auto"/>
              </w:rPr>
              <w:t>Branches</w:t>
            </w:r>
          </w:p>
        </w:tc>
        <w:tc>
          <w:tcPr>
            <w:tcW w:w="940" w:type="dxa"/>
            <w:vAlign w:val="bottom"/>
            <w:tcBorders>
              <w:top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162</w:t>
            </w:r>
          </w:p>
        </w:tc>
        <w:tc>
          <w:tcPr>
            <w:tcW w:w="240" w:type="dxa"/>
            <w:vAlign w:val="bottom"/>
            <w:tcBorders>
              <w:top w:val="single" w:sz="8" w:color="CCFFCC"/>
            </w:tcBorders>
            <w:shd w:val="clear" w:color="auto" w:fill="CCFFCC"/>
          </w:tcPr>
          <w:p>
            <w:pPr>
              <w:spacing w:after="0"/>
              <w:rPr>
                <w:sz w:val="11"/>
                <w:szCs w:val="11"/>
                <w:color w:val="auto"/>
              </w:rPr>
            </w:pPr>
          </w:p>
        </w:tc>
        <w:tc>
          <w:tcPr>
            <w:tcW w:w="900" w:type="dxa"/>
            <w:vAlign w:val="bottom"/>
            <w:tcBorders>
              <w:top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123</w:t>
            </w:r>
          </w:p>
        </w:tc>
        <w:tc>
          <w:tcPr>
            <w:tcW w:w="220" w:type="dxa"/>
            <w:vAlign w:val="bottom"/>
            <w:tcBorders>
              <w:top w:val="single" w:sz="8" w:color="CCFFCC"/>
            </w:tcBorders>
            <w:shd w:val="clear" w:color="auto" w:fill="CCFFCC"/>
          </w:tcPr>
          <w:p>
            <w:pPr>
              <w:spacing w:after="0"/>
              <w:rPr>
                <w:sz w:val="11"/>
                <w:szCs w:val="11"/>
                <w:color w:val="auto"/>
              </w:rPr>
            </w:pPr>
          </w:p>
        </w:tc>
        <w:tc>
          <w:tcPr>
            <w:tcW w:w="900" w:type="dxa"/>
            <w:vAlign w:val="bottom"/>
            <w:tcBorders>
              <w:top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123</w:t>
            </w:r>
          </w:p>
        </w:tc>
        <w:tc>
          <w:tcPr>
            <w:tcW w:w="220" w:type="dxa"/>
            <w:vAlign w:val="bottom"/>
            <w:tcBorders>
              <w:top w:val="single" w:sz="8" w:color="CCFFCC"/>
            </w:tcBorders>
            <w:shd w:val="clear" w:color="auto" w:fill="CCFFCC"/>
          </w:tcPr>
          <w:p>
            <w:pPr>
              <w:spacing w:after="0"/>
              <w:rPr>
                <w:sz w:val="11"/>
                <w:szCs w:val="11"/>
                <w:color w:val="auto"/>
              </w:rPr>
            </w:pPr>
          </w:p>
        </w:tc>
        <w:tc>
          <w:tcPr>
            <w:tcW w:w="900" w:type="dxa"/>
            <w:vAlign w:val="bottom"/>
            <w:tcBorders>
              <w:top w:val="single" w:sz="8" w:color="CCFFCC"/>
            </w:tcBorders>
            <w:shd w:val="clear" w:color="auto" w:fill="CCFFCC"/>
          </w:tcPr>
          <w:p>
            <w:pPr>
              <w:spacing w:after="0"/>
              <w:rPr>
                <w:sz w:val="11"/>
                <w:szCs w:val="11"/>
                <w:color w:val="auto"/>
              </w:rPr>
            </w:pPr>
          </w:p>
        </w:tc>
        <w:tc>
          <w:tcPr>
            <w:tcW w:w="260" w:type="dxa"/>
            <w:vAlign w:val="bottom"/>
            <w:tcBorders>
              <w:top w:val="single" w:sz="8" w:color="CCFFCC"/>
            </w:tcBorders>
            <w:shd w:val="clear" w:color="auto" w:fill="CCFFCC"/>
          </w:tcPr>
          <w:p>
            <w:pPr>
              <w:spacing w:after="0"/>
              <w:rPr>
                <w:sz w:val="11"/>
                <w:szCs w:val="11"/>
                <w:color w:val="auto"/>
              </w:rPr>
            </w:pPr>
          </w:p>
        </w:tc>
        <w:tc>
          <w:tcPr>
            <w:tcW w:w="240" w:type="dxa"/>
            <w:vAlign w:val="bottom"/>
            <w:tcBorders>
              <w:top w:val="single" w:sz="8" w:color="CCFFCC"/>
            </w:tcBorders>
            <w:shd w:val="clear" w:color="auto" w:fill="CCFFCC"/>
          </w:tcPr>
          <w:p>
            <w:pPr>
              <w:spacing w:after="0"/>
              <w:rPr>
                <w:sz w:val="11"/>
                <w:szCs w:val="11"/>
                <w:color w:val="auto"/>
              </w:rPr>
            </w:pPr>
          </w:p>
        </w:tc>
        <w:tc>
          <w:tcPr>
            <w:tcW w:w="660" w:type="dxa"/>
            <w:vAlign w:val="bottom"/>
            <w:tcBorders>
              <w:top w:val="single" w:sz="8" w:color="CCFFCC"/>
            </w:tcBorders>
            <w:shd w:val="clear" w:color="auto" w:fill="CCFFCC"/>
          </w:tcPr>
          <w:p>
            <w:pPr>
              <w:spacing w:after="0"/>
              <w:rPr>
                <w:sz w:val="11"/>
                <w:szCs w:val="11"/>
                <w:color w:val="auto"/>
              </w:rPr>
            </w:pPr>
          </w:p>
        </w:tc>
        <w:tc>
          <w:tcPr>
            <w:tcW w:w="240" w:type="dxa"/>
            <w:vAlign w:val="bottom"/>
            <w:tcBorders>
              <w:top w:val="single" w:sz="8" w:color="CCFFCC"/>
            </w:tcBorders>
            <w:shd w:val="clear" w:color="auto" w:fill="CCFFCC"/>
          </w:tcPr>
          <w:p>
            <w:pPr>
              <w:spacing w:after="0"/>
              <w:rPr>
                <w:sz w:val="11"/>
                <w:szCs w:val="11"/>
                <w:color w:val="auto"/>
              </w:rPr>
            </w:pPr>
          </w:p>
        </w:tc>
        <w:tc>
          <w:tcPr>
            <w:tcW w:w="900" w:type="dxa"/>
            <w:vAlign w:val="bottom"/>
            <w:tcBorders>
              <w:top w:val="single" w:sz="8" w:color="auto"/>
            </w:tcBorders>
            <w:shd w:val="clear" w:color="auto" w:fill="CCFFCC"/>
          </w:tcPr>
          <w:p>
            <w:pPr>
              <w:spacing w:after="0"/>
              <w:rPr>
                <w:sz w:val="11"/>
                <w:szCs w:val="11"/>
                <w:color w:val="auto"/>
              </w:rPr>
            </w:pPr>
          </w:p>
        </w:tc>
        <w:tc>
          <w:tcPr>
            <w:tcW w:w="220" w:type="dxa"/>
            <w:vAlign w:val="bottom"/>
            <w:tcBorders>
              <w:top w:val="single" w:sz="8" w:color="CCFFCC"/>
            </w:tcBorders>
            <w:shd w:val="clear" w:color="auto" w:fill="CCFFCC"/>
          </w:tcPr>
          <w:p>
            <w:pPr>
              <w:spacing w:after="0"/>
              <w:rPr>
                <w:sz w:val="11"/>
                <w:szCs w:val="11"/>
                <w:color w:val="auto"/>
              </w:rPr>
            </w:pPr>
          </w:p>
        </w:tc>
        <w:tc>
          <w:tcPr>
            <w:tcW w:w="260" w:type="dxa"/>
            <w:vAlign w:val="bottom"/>
            <w:tcBorders>
              <w:top w:val="single" w:sz="8" w:color="auto"/>
            </w:tcBorders>
            <w:shd w:val="clear" w:color="auto" w:fill="CCFFCC"/>
          </w:tcPr>
          <w:p>
            <w:pPr>
              <w:spacing w:after="0"/>
              <w:rPr>
                <w:sz w:val="11"/>
                <w:szCs w:val="11"/>
                <w:color w:val="auto"/>
              </w:rPr>
            </w:pPr>
          </w:p>
        </w:tc>
        <w:tc>
          <w:tcPr>
            <w:tcW w:w="640" w:type="dxa"/>
            <w:vAlign w:val="bottom"/>
            <w:tcBorders>
              <w:top w:val="single" w:sz="8" w:color="auto"/>
            </w:tcBorders>
            <w:shd w:val="clear" w:color="auto" w:fill="CCFFCC"/>
          </w:tcPr>
          <w:p>
            <w:pPr>
              <w:spacing w:after="0"/>
              <w:rPr>
                <w:sz w:val="11"/>
                <w:szCs w:val="11"/>
                <w:color w:val="auto"/>
              </w:rPr>
            </w:pPr>
          </w:p>
        </w:tc>
        <w:tc>
          <w:tcPr>
            <w:tcW w:w="220" w:type="dxa"/>
            <w:vAlign w:val="bottom"/>
            <w:tcBorders>
              <w:top w:val="single" w:sz="8" w:color="CCFFCC"/>
            </w:tcBorders>
            <w:shd w:val="clear" w:color="auto" w:fill="CCFFCC"/>
          </w:tcPr>
          <w:p>
            <w:pPr>
              <w:spacing w:after="0"/>
              <w:rPr>
                <w:sz w:val="11"/>
                <w:szCs w:val="11"/>
                <w:color w:val="auto"/>
              </w:rPr>
            </w:pPr>
          </w:p>
        </w:tc>
        <w:tc>
          <w:tcPr>
            <w:tcW w:w="900" w:type="dxa"/>
            <w:vAlign w:val="bottom"/>
            <w:tcBorders>
              <w:top w:val="single" w:sz="8" w:color="CCFFCC"/>
            </w:tcBorders>
            <w:shd w:val="clear" w:color="auto" w:fill="CCFFCC"/>
          </w:tcPr>
          <w:p>
            <w:pPr>
              <w:spacing w:after="0"/>
              <w:rPr>
                <w:sz w:val="11"/>
                <w:szCs w:val="11"/>
                <w:color w:val="auto"/>
              </w:rPr>
            </w:pPr>
          </w:p>
        </w:tc>
        <w:tc>
          <w:tcPr>
            <w:tcW w:w="140" w:type="dxa"/>
            <w:vAlign w:val="bottom"/>
            <w:tcBorders>
              <w:top w:val="single" w:sz="8" w:color="CCFFCC"/>
            </w:tcBorders>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20" w:type="dxa"/>
            <w:vAlign w:val="bottom"/>
            <w:gridSpan w:val="2"/>
          </w:tcPr>
          <w:p>
            <w:pPr>
              <w:spacing w:after="0"/>
              <w:rPr>
                <w:sz w:val="20"/>
                <w:szCs w:val="20"/>
                <w:color w:val="auto"/>
              </w:rPr>
            </w:pPr>
            <w:r>
              <w:rPr>
                <w:rFonts w:ascii="Arial" w:cs="Arial" w:eastAsia="Arial" w:hAnsi="Arial"/>
                <w:sz w:val="13"/>
                <w:szCs w:val="13"/>
                <w:color w:val="auto"/>
              </w:rPr>
              <w:t>Employees</w:t>
            </w:r>
          </w:p>
        </w:tc>
        <w:tc>
          <w:tcPr>
            <w:tcW w:w="940" w:type="dxa"/>
            <w:vAlign w:val="bottom"/>
          </w:tcPr>
          <w:p>
            <w:pPr>
              <w:jc w:val="right"/>
              <w:spacing w:after="0"/>
              <w:rPr>
                <w:sz w:val="20"/>
                <w:szCs w:val="20"/>
                <w:color w:val="auto"/>
              </w:rPr>
            </w:pPr>
            <w:r>
              <w:rPr>
                <w:rFonts w:ascii="Arial" w:cs="Arial" w:eastAsia="Arial" w:hAnsi="Arial"/>
                <w:sz w:val="13"/>
                <w:szCs w:val="13"/>
                <w:color w:val="auto"/>
              </w:rPr>
              <w:t>3,473</w:t>
            </w:r>
          </w:p>
        </w:tc>
        <w:tc>
          <w:tcPr>
            <w:tcW w:w="24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2,359</w:t>
            </w:r>
          </w:p>
        </w:tc>
        <w:tc>
          <w:tcPr>
            <w:tcW w:w="900" w:type="dxa"/>
            <w:vAlign w:val="bottom"/>
          </w:tcPr>
          <w:p>
            <w:pPr>
              <w:jc w:val="right"/>
              <w:spacing w:after="0"/>
              <w:rPr>
                <w:sz w:val="20"/>
                <w:szCs w:val="20"/>
                <w:color w:val="auto"/>
              </w:rPr>
            </w:pPr>
            <w:r>
              <w:rPr>
                <w:rFonts w:ascii="Arial" w:cs="Arial" w:eastAsia="Arial" w:hAnsi="Arial"/>
                <w:sz w:val="13"/>
                <w:szCs w:val="13"/>
                <w:color w:val="auto"/>
              </w:rPr>
              <w:t>2,359</w:t>
            </w: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Net shareholders´ equity includes US$ 50.7 millions from goodwill.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4Q12, Edyficar obtained net income of US$ 11.2 million, which represents an increase of 13.1% QoQ that was primarily attributable to:</w:t>
      </w:r>
    </w:p>
    <w:p>
      <w:pPr>
        <w:spacing w:after="0" w:line="225" w:lineRule="exact"/>
        <w:rPr>
          <w:sz w:val="20"/>
          <w:szCs w:val="20"/>
          <w:color w:val="auto"/>
        </w:rPr>
      </w:pPr>
    </w:p>
    <w:p>
      <w:pPr>
        <w:ind w:left="880" w:hanging="49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11.4% growth in interest income, which is in line with excellent expansion in the loan portfolio (+13.7 QoQ); and</w:t>
      </w:r>
    </w:p>
    <w:p>
      <w:pPr>
        <w:spacing w:after="0" w:line="225" w:lineRule="exact"/>
        <w:rPr>
          <w:rFonts w:ascii="Arial" w:cs="Arial" w:eastAsia="Arial" w:hAnsi="Arial"/>
          <w:sz w:val="18"/>
          <w:szCs w:val="18"/>
          <w:color w:val="auto"/>
        </w:rPr>
      </w:pPr>
    </w:p>
    <w:p>
      <w:pPr>
        <w:ind w:left="980" w:right="20" w:hanging="648"/>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52.2% QoQ increase in non-financial income that was primarily attributable to the increase in Banking services commissions for managing insurance-product-sales.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aforementioned offset:</w:t>
      </w:r>
    </w:p>
    <w:p>
      <w:pPr>
        <w:spacing w:after="0" w:line="225" w:lineRule="exact"/>
        <w:rPr>
          <w:sz w:val="20"/>
          <w:szCs w:val="20"/>
          <w:color w:val="auto"/>
        </w:rPr>
      </w:pPr>
    </w:p>
    <w:p>
      <w:pPr>
        <w:ind w:left="880" w:hanging="49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increase in requirements for net provisions for loan losses (+21%); and</w:t>
      </w:r>
    </w:p>
    <w:p>
      <w:pPr>
        <w:spacing w:after="0" w:line="225" w:lineRule="exact"/>
        <w:rPr>
          <w:rFonts w:ascii="Arial" w:cs="Arial" w:eastAsia="Arial" w:hAnsi="Arial"/>
          <w:sz w:val="18"/>
          <w:szCs w:val="18"/>
          <w:color w:val="auto"/>
        </w:rPr>
      </w:pPr>
    </w:p>
    <w:p>
      <w:pPr>
        <w:ind w:left="880" w:hanging="494"/>
        <w:spacing w:after="0"/>
        <w:tabs>
          <w:tab w:leader="none" w:pos="8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12% QoQ increase in operating expenses due to higher spending on rental for new offices and marketing costs for the Christmas campaign.</w:t>
      </w:r>
    </w:p>
    <w:p>
      <w:pPr>
        <w:spacing w:after="0" w:line="24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YoY comparison reveals that net income grew 48.3% due to an increase in NII (+40.8%), which was attributable to the excellent evolution of loans and an adequate approach to managing portfolio quality. Another item that stands out is the increase in non-financial income (+27.5%), which absorbed the higher operating expenses (+28.7%) and net provisions for loan losses (+75.6%), the latter due to expansion in the loan portfolio.</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terms of the portfolio’s volume and quality, loans grew 13.7% QoQ to top US$ 749 million, which represents growth of 47.9% YoY. This was in line with business expansion and the increase in Edyficar’s market share in loans. Although the past due portfolio increased 9.3% QoQ and 43.7% YoY, higher loan growth produced a drop in the delinquency ratio, which went from 4.1% in 3Q12 to 3.92% at the end of 4Q12. This ratio is even lower than that reported in 4Q11 (4%). The coverage ratio for past due loans reached 178.6% at the end of 4Q12 (vs 171.7% in 3Q12 and 173.6% in 4Q11).</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shareholders’ equity increased 12.9% in 4Q12, which was due to an increase in accumulated results. The return on average equity (ROAE) including goodwill was situated at 31.3% in 4Q12 and without goodwill, at 41.9%.</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10" w:right="239" w:bottom="1440" w:gutter="0" w:footer="0" w:header="0"/>
        </w:sectPr>
      </w:pPr>
    </w:p>
    <w:bookmarkStart w:id="29" w:name="page30"/>
    <w:bookmarkEnd w:id="29"/>
    <w:p>
      <w:pPr>
        <w:jc w:val="both"/>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7266940</wp:posOffset>
            </wp:positionH>
            <wp:positionV relativeFrom="page">
              <wp:posOffset>568960</wp:posOffset>
            </wp:positionV>
            <wp:extent cx="13716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137160" cy="137160"/>
                    </a:xfrm>
                    <a:prstGeom prst="rect">
                      <a:avLst/>
                    </a:prstGeom>
                    <a:noFill/>
                  </pic:spPr>
                </pic:pic>
              </a:graphicData>
            </a:graphic>
          </wp:anchor>
        </w:drawing>
        <w:t>In accumulated terms at the end of 2012, Edyficar’s net income grew 39.0% with regard to 2011’s due to an increase in net interest income (+36.2%), which helped offset higher operating expenses (+33.5%) related to business growth and branch network expansion, as well as higher net provisions for loan losses (+71%). Assets grew 80.1% in the period from December 2011 to December 2012. This was due primarily to 47.9% growth in loans as well as expansion in the investment portfolio. Fixed assets expanded 49.9% due to growth of number of branches that increased from 123 to 162.</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Financiera Edyficar’s excellent results demonstrate this subsidiary’s stupendous contribution to BCP’s objective to ensure financial inclusion and microbusiness development.</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14"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7266940</wp:posOffset>
            </wp:positionH>
            <wp:positionV relativeFrom="page">
              <wp:posOffset>568960</wp:posOffset>
            </wp:positionV>
            <wp:extent cx="13716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137160" cy="137160"/>
                    </a:xfrm>
                    <a:prstGeom prst="rect">
                      <a:avLst/>
                    </a:prstGeom>
                    <a:noFill/>
                  </pic:spPr>
                </pic:pic>
              </a:graphicData>
            </a:graphic>
          </wp:anchor>
        </w:drawing>
        <w:t>V. Pacifico Grupo Asegurador (PGA)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Pacífico Grupo</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PGA obtained net income before minority interest of US$ 16.9 million in 4Q12, which represents a 19.6% decline with regard to last quarter’s figure. This was primarily due to: a) an increase in General Expenses and b) a decrease in Financial and Other Income.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result hides the favorable QoQ evolution of the Underwriting Result, which improved from US$ 34.6 million in 3Q12 to US$ 41.1 million this quarter (+18.7% QoQ). The Life business contributed considerably to this evolution given that its underwriting result went from posting a loss of US$ 0.8 million in 3Q12 to reporting a gain of US$ 4.5 million in 4Q12 due to a US$ 4.1 million increase in the Net Earned Premiums (NEP).</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Nevertheless, significant growth in general expenses in 4Q12 (+20.2% QoQ), which was primarily attributable to the medical subsidiaries (+91%), considerably attenuated the underwriting result’s positive effect on net income. This increase in expenses is directly related to the process to align PGA’s operations with Credicorp’s standards; the initial efforts to improve infrastructure; and investments in human resource development.</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Financial income totaled US$ 28.5 million in 4Q12. This falls slightly below the US$ 29.5 million posted in 3Q12 given that last quarter; non-recurring income was reported due to a real estate sale in the Property and Casualty portfolio.</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translation result was US$ 3.5 million in 3Q12 versus US$ 3.1 million in 4Q12 while income tax fell 26% QoQ due to a drop in before-tax income.</w:t>
      </w:r>
    </w:p>
    <w:p>
      <w:pPr>
        <w:spacing w:after="0" w:line="23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net result, although lower than last quarter’s, is evidence that the positive trend seen since the second quarter of the year remains in effect. The good results obtained in the last three quarters (US$ 24.2 million in 2Q12, US$ 21.0 million in 3Q12 and US$ 16.9 million in 4Q12) helped reverse the impact of the 3 severe claims reported in the first quarter of the year (for a total US$ 11.1 million), which led 1Q12’s result to situate at US$ 4.9 million.</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this context, the contribution to Credicorp was US$ 16.9 million in 4Q12, which represents an 18% decline with regard to 3Q12’s result but tops 4Q11’s figure by 41%.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2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00" w:type="dxa"/>
            <w:vAlign w:val="bottom"/>
            <w:gridSpan w:val="4"/>
          </w:tcPr>
          <w:p>
            <w:pPr>
              <w:jc w:val="right"/>
              <w:ind w:right="850"/>
              <w:spacing w:after="0"/>
              <w:rPr>
                <w:sz w:val="20"/>
                <w:szCs w:val="20"/>
                <w:color w:val="auto"/>
              </w:rPr>
            </w:pPr>
            <w:r>
              <w:rPr>
                <w:rFonts w:ascii="Arial" w:cs="Arial" w:eastAsia="Arial" w:hAnsi="Arial"/>
                <w:sz w:val="18"/>
                <w:szCs w:val="18"/>
                <w:b w:val="1"/>
                <w:bCs w:val="1"/>
                <w:color w:val="auto"/>
              </w:rPr>
              <w:t>Net earnings *</w:t>
            </w: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0"/>
              </w:rPr>
              <w:t>Adjustment for</w:t>
            </w:r>
          </w:p>
        </w:tc>
        <w:tc>
          <w:tcPr>
            <w:tcW w:w="168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w w:val="96"/>
              </w:rPr>
              <w:t>Total Contribution</w:t>
            </w:r>
          </w:p>
        </w:tc>
      </w:tr>
      <w:tr>
        <w:trPr>
          <w:trHeight w:val="234"/>
        </w:trPr>
        <w:tc>
          <w:tcPr>
            <w:tcW w:w="3020" w:type="dxa"/>
            <w:vAlign w:val="bottom"/>
            <w:gridSpan w:val="2"/>
          </w:tcPr>
          <w:p>
            <w:pPr>
              <w:spacing w:after="0"/>
              <w:rPr>
                <w:sz w:val="20"/>
                <w:szCs w:val="20"/>
                <w:color w:val="auto"/>
              </w:rPr>
            </w:pPr>
            <w:r>
              <w:rPr>
                <w:rFonts w:ascii="Arial" w:cs="Arial" w:eastAsia="Arial" w:hAnsi="Arial"/>
                <w:sz w:val="18"/>
                <w:szCs w:val="18"/>
                <w:color w:val="auto"/>
              </w:rPr>
              <w:t>US$ thousand</w:t>
            </w:r>
          </w:p>
        </w:tc>
        <w:tc>
          <w:tcPr>
            <w:tcW w:w="1360" w:type="dxa"/>
            <w:vAlign w:val="bottom"/>
            <w:gridSpan w:val="2"/>
          </w:tcPr>
          <w:p>
            <w:pPr>
              <w:jc w:val="right"/>
              <w:ind w:right="570"/>
              <w:spacing w:after="0"/>
              <w:rPr>
                <w:sz w:val="20"/>
                <w:szCs w:val="20"/>
                <w:color w:val="auto"/>
              </w:rPr>
            </w:pPr>
            <w:r>
              <w:rPr>
                <w:rFonts w:ascii="Arial" w:cs="Arial" w:eastAsia="Arial" w:hAnsi="Arial"/>
                <w:sz w:val="18"/>
                <w:szCs w:val="18"/>
                <w:b w:val="1"/>
                <w:bCs w:val="1"/>
                <w:color w:val="auto"/>
              </w:rPr>
              <w:t>PPS</w:t>
            </w:r>
          </w:p>
        </w:tc>
        <w:tc>
          <w:tcPr>
            <w:tcW w:w="1340" w:type="dxa"/>
            <w:vAlign w:val="bottom"/>
            <w:gridSpan w:val="2"/>
          </w:tcPr>
          <w:p>
            <w:pPr>
              <w:jc w:val="right"/>
              <w:ind w:right="590"/>
              <w:spacing w:after="0"/>
              <w:rPr>
                <w:sz w:val="20"/>
                <w:szCs w:val="20"/>
                <w:color w:val="auto"/>
              </w:rPr>
            </w:pPr>
            <w:r>
              <w:rPr>
                <w:rFonts w:ascii="Arial" w:cs="Arial" w:eastAsia="Arial" w:hAnsi="Arial"/>
                <w:sz w:val="18"/>
                <w:szCs w:val="18"/>
                <w:b w:val="1"/>
                <w:bCs w:val="1"/>
                <w:color w:val="auto"/>
              </w:rPr>
              <w:t>PV</w:t>
            </w:r>
          </w:p>
        </w:tc>
        <w:tc>
          <w:tcPr>
            <w:tcW w:w="136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rPr>
              <w:t>EPS **</w:t>
            </w:r>
          </w:p>
        </w:tc>
        <w:tc>
          <w:tcPr>
            <w:tcW w:w="1340" w:type="dxa"/>
            <w:vAlign w:val="bottom"/>
            <w:gridSpan w:val="2"/>
          </w:tcPr>
          <w:p>
            <w:pPr>
              <w:jc w:val="right"/>
              <w:ind w:right="530"/>
              <w:spacing w:after="0"/>
              <w:rPr>
                <w:sz w:val="20"/>
                <w:szCs w:val="20"/>
                <w:color w:val="auto"/>
              </w:rPr>
            </w:pPr>
            <w:r>
              <w:rPr>
                <w:rFonts w:ascii="Arial" w:cs="Arial" w:eastAsia="Arial" w:hAnsi="Arial"/>
                <w:sz w:val="18"/>
                <w:szCs w:val="18"/>
                <w:b w:val="1"/>
                <w:bCs w:val="1"/>
                <w:color w:val="auto"/>
              </w:rPr>
              <w:t>PGA</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2"/>
              </w:rPr>
              <w:t>consolidation</w:t>
            </w:r>
          </w:p>
        </w:tc>
        <w:tc>
          <w:tcPr>
            <w:tcW w:w="80" w:type="dxa"/>
            <w:vAlign w:val="bottom"/>
          </w:tcPr>
          <w:p>
            <w:pPr>
              <w:spacing w:after="0"/>
              <w:rPr>
                <w:sz w:val="20"/>
                <w:szCs w:val="20"/>
                <w:color w:val="auto"/>
              </w:rPr>
            </w:pPr>
          </w:p>
        </w:tc>
        <w:tc>
          <w:tcPr>
            <w:tcW w:w="160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to BAP</w:t>
            </w:r>
          </w:p>
        </w:tc>
      </w:tr>
      <w:tr>
        <w:trPr>
          <w:trHeight w:val="210"/>
        </w:trPr>
        <w:tc>
          <w:tcPr>
            <w:tcW w:w="292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b w:val="1"/>
                <w:bCs w:val="1"/>
                <w:color w:val="auto"/>
              </w:rPr>
              <w:t>4Q11</w:t>
            </w:r>
          </w:p>
        </w:tc>
        <w:tc>
          <w:tcPr>
            <w:tcW w:w="100" w:type="dxa"/>
            <w:vAlign w:val="bottom"/>
            <w:tcBorders>
              <w:top w:val="single" w:sz="8" w:color="CCFFCC"/>
            </w:tcBorders>
            <w:shd w:val="clear" w:color="auto" w:fill="CCFFCC"/>
          </w:tcPr>
          <w:p>
            <w:pPr>
              <w:spacing w:after="0"/>
              <w:rPr>
                <w:sz w:val="18"/>
                <w:szCs w:val="18"/>
                <w:color w:val="auto"/>
              </w:rPr>
            </w:pPr>
          </w:p>
        </w:tc>
        <w:tc>
          <w:tcPr>
            <w:tcW w:w="10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5,354</w:t>
            </w:r>
          </w:p>
        </w:tc>
        <w:tc>
          <w:tcPr>
            <w:tcW w:w="280" w:type="dxa"/>
            <w:vAlign w:val="bottom"/>
            <w:tcBorders>
              <w:top w:val="single" w:sz="8" w:color="CCFFCC"/>
            </w:tcBorders>
            <w:shd w:val="clear" w:color="auto" w:fill="CCFFCC"/>
          </w:tcPr>
          <w:p>
            <w:pPr>
              <w:spacing w:after="0"/>
              <w:rPr>
                <w:sz w:val="18"/>
                <w:szCs w:val="18"/>
                <w:color w:val="auto"/>
              </w:rPr>
            </w:pPr>
          </w:p>
        </w:tc>
        <w:tc>
          <w:tcPr>
            <w:tcW w:w="10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8,408</w:t>
            </w:r>
          </w:p>
        </w:tc>
        <w:tc>
          <w:tcPr>
            <w:tcW w:w="260" w:type="dxa"/>
            <w:vAlign w:val="bottom"/>
            <w:tcBorders>
              <w:top w:val="single" w:sz="8" w:color="CCFFCC"/>
            </w:tcBorders>
            <w:shd w:val="clear" w:color="auto" w:fill="CCFFCC"/>
          </w:tcPr>
          <w:p>
            <w:pPr>
              <w:spacing w:after="0"/>
              <w:rPr>
                <w:sz w:val="18"/>
                <w:szCs w:val="18"/>
                <w:color w:val="auto"/>
              </w:rPr>
            </w:pPr>
          </w:p>
        </w:tc>
        <w:tc>
          <w:tcPr>
            <w:tcW w:w="10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(1,533)</w:t>
            </w:r>
          </w:p>
        </w:tc>
        <w:tc>
          <w:tcPr>
            <w:tcW w:w="280" w:type="dxa"/>
            <w:vAlign w:val="bottom"/>
            <w:tcBorders>
              <w:top w:val="single" w:sz="8" w:color="CCFFCC"/>
            </w:tcBorders>
            <w:shd w:val="clear" w:color="auto" w:fill="CCFFCC"/>
          </w:tcPr>
          <w:p>
            <w:pPr>
              <w:spacing w:after="0"/>
              <w:rPr>
                <w:sz w:val="18"/>
                <w:szCs w:val="18"/>
                <w:color w:val="auto"/>
              </w:rPr>
            </w:pPr>
          </w:p>
        </w:tc>
        <w:tc>
          <w:tcPr>
            <w:tcW w:w="10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11,825</w:t>
            </w:r>
          </w:p>
        </w:tc>
        <w:tc>
          <w:tcPr>
            <w:tcW w:w="260" w:type="dxa"/>
            <w:vAlign w:val="bottom"/>
            <w:tcBorders>
              <w:top w:val="single" w:sz="8" w:color="CCFFCC"/>
            </w:tcBorders>
            <w:shd w:val="clear" w:color="auto" w:fill="CCFFCC"/>
          </w:tcPr>
          <w:p>
            <w:pPr>
              <w:spacing w:after="0"/>
              <w:rPr>
                <w:sz w:val="18"/>
                <w:szCs w:val="18"/>
                <w:color w:val="auto"/>
              </w:rPr>
            </w:pPr>
          </w:p>
        </w:tc>
        <w:tc>
          <w:tcPr>
            <w:tcW w:w="11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120</w:t>
            </w:r>
          </w:p>
        </w:tc>
        <w:tc>
          <w:tcPr>
            <w:tcW w:w="1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14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11,945</w:t>
            </w:r>
          </w:p>
        </w:tc>
        <w:tc>
          <w:tcPr>
            <w:tcW w:w="160" w:type="dxa"/>
            <w:vAlign w:val="bottom"/>
            <w:tcBorders>
              <w:top w:val="single" w:sz="8" w:color="CCFFCC"/>
            </w:tcBorders>
            <w:shd w:val="clear" w:color="auto" w:fill="CCFFCC"/>
          </w:tcPr>
          <w:p>
            <w:pPr>
              <w:spacing w:after="0"/>
              <w:rPr>
                <w:sz w:val="18"/>
                <w:szCs w:val="18"/>
                <w:color w:val="auto"/>
              </w:rPr>
            </w:pP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b w:val="1"/>
                <w:bCs w:val="1"/>
                <w:color w:val="auto"/>
              </w:rPr>
              <w:t>1Q12</w:t>
            </w:r>
          </w:p>
        </w:tc>
        <w:tc>
          <w:tcPr>
            <w:tcW w:w="1360" w:type="dxa"/>
            <w:vAlign w:val="bottom"/>
            <w:gridSpan w:val="2"/>
          </w:tcPr>
          <w:p>
            <w:pPr>
              <w:jc w:val="right"/>
              <w:ind w:right="130"/>
              <w:spacing w:after="0"/>
              <w:rPr>
                <w:sz w:val="20"/>
                <w:szCs w:val="20"/>
                <w:color w:val="auto"/>
              </w:rPr>
            </w:pPr>
            <w:r>
              <w:rPr>
                <w:rFonts w:ascii="Arial" w:cs="Arial" w:eastAsia="Arial" w:hAnsi="Arial"/>
                <w:sz w:val="18"/>
                <w:szCs w:val="18"/>
                <w:color w:val="auto"/>
              </w:rPr>
              <w:t>(6,562)</w:t>
            </w:r>
          </w:p>
        </w:tc>
        <w:tc>
          <w:tcPr>
            <w:tcW w:w="1080" w:type="dxa"/>
            <w:vAlign w:val="bottom"/>
          </w:tcPr>
          <w:p>
            <w:pPr>
              <w:jc w:val="right"/>
              <w:spacing w:after="0"/>
              <w:rPr>
                <w:sz w:val="20"/>
                <w:szCs w:val="20"/>
                <w:color w:val="auto"/>
              </w:rPr>
            </w:pPr>
            <w:r>
              <w:rPr>
                <w:rFonts w:ascii="Arial" w:cs="Arial" w:eastAsia="Arial" w:hAnsi="Arial"/>
                <w:sz w:val="18"/>
                <w:szCs w:val="18"/>
                <w:color w:val="auto"/>
              </w:rPr>
              <w:t>11,489</w:t>
            </w:r>
          </w:p>
        </w:tc>
        <w:tc>
          <w:tcPr>
            <w:tcW w:w="260" w:type="dxa"/>
            <w:vAlign w:val="bottom"/>
          </w:tcPr>
          <w:p>
            <w:pPr>
              <w:spacing w:after="0"/>
              <w:rPr>
                <w:sz w:val="18"/>
                <w:szCs w:val="18"/>
                <w:color w:val="auto"/>
              </w:rPr>
            </w:pPr>
          </w:p>
        </w:tc>
        <w:tc>
          <w:tcPr>
            <w:tcW w:w="1360" w:type="dxa"/>
            <w:vAlign w:val="bottom"/>
            <w:gridSpan w:val="2"/>
          </w:tcPr>
          <w:p>
            <w:pPr>
              <w:jc w:val="right"/>
              <w:ind w:right="130"/>
              <w:spacing w:after="0"/>
              <w:rPr>
                <w:sz w:val="20"/>
                <w:szCs w:val="20"/>
                <w:color w:val="auto"/>
              </w:rPr>
            </w:pPr>
            <w:r>
              <w:rPr>
                <w:rFonts w:ascii="Arial" w:cs="Arial" w:eastAsia="Arial" w:hAnsi="Arial"/>
                <w:sz w:val="18"/>
                <w:szCs w:val="18"/>
                <w:color w:val="auto"/>
              </w:rPr>
              <w:t>(28)</w:t>
            </w:r>
          </w:p>
        </w:tc>
        <w:tc>
          <w:tcPr>
            <w:tcW w:w="1340" w:type="dxa"/>
            <w:vAlign w:val="bottom"/>
            <w:gridSpan w:val="2"/>
          </w:tcPr>
          <w:p>
            <w:pPr>
              <w:jc w:val="right"/>
              <w:ind w:right="170"/>
              <w:spacing w:after="0"/>
              <w:rPr>
                <w:sz w:val="20"/>
                <w:szCs w:val="20"/>
                <w:color w:val="auto"/>
              </w:rPr>
            </w:pPr>
            <w:r>
              <w:rPr>
                <w:rFonts w:ascii="Arial" w:cs="Arial" w:eastAsia="Arial" w:hAnsi="Arial"/>
                <w:sz w:val="18"/>
                <w:szCs w:val="18"/>
                <w:color w:val="auto"/>
              </w:rPr>
              <w:t>4,922</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(99)</w:t>
            </w:r>
          </w:p>
        </w:tc>
        <w:tc>
          <w:tcPr>
            <w:tcW w:w="1680" w:type="dxa"/>
            <w:vAlign w:val="bottom"/>
            <w:gridSpan w:val="3"/>
          </w:tcPr>
          <w:p>
            <w:pPr>
              <w:jc w:val="right"/>
              <w:ind w:right="70"/>
              <w:spacing w:after="0"/>
              <w:rPr>
                <w:sz w:val="20"/>
                <w:szCs w:val="20"/>
                <w:color w:val="auto"/>
              </w:rPr>
            </w:pPr>
            <w:r>
              <w:rPr>
                <w:rFonts w:ascii="Arial" w:cs="Arial" w:eastAsia="Arial" w:hAnsi="Arial"/>
                <w:sz w:val="18"/>
                <w:szCs w:val="18"/>
                <w:color w:val="auto"/>
              </w:rPr>
              <w:t>4,823</w:t>
            </w:r>
          </w:p>
        </w:tc>
      </w:tr>
      <w:tr>
        <w:trPr>
          <w:trHeight w:val="216"/>
        </w:trPr>
        <w:tc>
          <w:tcPr>
            <w:tcW w:w="302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2Q12</w:t>
            </w:r>
          </w:p>
        </w:tc>
        <w:tc>
          <w:tcPr>
            <w:tcW w:w="136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6,695</w:t>
            </w:r>
          </w:p>
        </w:tc>
        <w:tc>
          <w:tcPr>
            <w:tcW w:w="1340" w:type="dxa"/>
            <w:vAlign w:val="bottom"/>
            <w:gridSpan w:val="2"/>
            <w:shd w:val="clear" w:color="auto" w:fill="CCFFCC"/>
          </w:tcPr>
          <w:p>
            <w:pPr>
              <w:jc w:val="right"/>
              <w:ind w:right="170"/>
              <w:spacing w:after="0"/>
              <w:rPr>
                <w:sz w:val="20"/>
                <w:szCs w:val="20"/>
                <w:color w:val="auto"/>
              </w:rPr>
            </w:pPr>
            <w:r>
              <w:rPr>
                <w:rFonts w:ascii="Arial" w:cs="Arial" w:eastAsia="Arial" w:hAnsi="Arial"/>
                <w:sz w:val="18"/>
                <w:szCs w:val="18"/>
                <w:color w:val="auto"/>
              </w:rPr>
              <w:t>16,291</w:t>
            </w:r>
          </w:p>
        </w:tc>
        <w:tc>
          <w:tcPr>
            <w:tcW w:w="136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1,186</w:t>
            </w:r>
          </w:p>
        </w:tc>
        <w:tc>
          <w:tcPr>
            <w:tcW w:w="1340" w:type="dxa"/>
            <w:vAlign w:val="bottom"/>
            <w:gridSpan w:val="2"/>
            <w:shd w:val="clear" w:color="auto" w:fill="CCFFCC"/>
          </w:tcPr>
          <w:p>
            <w:pPr>
              <w:jc w:val="right"/>
              <w:ind w:right="170"/>
              <w:spacing w:after="0"/>
              <w:rPr>
                <w:sz w:val="20"/>
                <w:szCs w:val="20"/>
                <w:color w:val="auto"/>
              </w:rPr>
            </w:pPr>
            <w:r>
              <w:rPr>
                <w:rFonts w:ascii="Arial" w:cs="Arial" w:eastAsia="Arial" w:hAnsi="Arial"/>
                <w:sz w:val="18"/>
                <w:szCs w:val="18"/>
                <w:color w:val="auto"/>
              </w:rPr>
              <w:t>24,155</w:t>
            </w:r>
          </w:p>
        </w:tc>
        <w:tc>
          <w:tcPr>
            <w:tcW w:w="13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(492)</w:t>
            </w:r>
          </w:p>
        </w:tc>
        <w:tc>
          <w:tcPr>
            <w:tcW w:w="1680" w:type="dxa"/>
            <w:vAlign w:val="bottom"/>
            <w:gridSpan w:val="3"/>
            <w:shd w:val="clear" w:color="auto" w:fill="CCFFCC"/>
          </w:tcPr>
          <w:p>
            <w:pPr>
              <w:jc w:val="right"/>
              <w:ind w:right="70"/>
              <w:spacing w:after="0"/>
              <w:rPr>
                <w:sz w:val="20"/>
                <w:szCs w:val="20"/>
                <w:color w:val="auto"/>
              </w:rPr>
            </w:pPr>
            <w:r>
              <w:rPr>
                <w:rFonts w:ascii="Arial" w:cs="Arial" w:eastAsia="Arial" w:hAnsi="Arial"/>
                <w:sz w:val="18"/>
                <w:szCs w:val="18"/>
                <w:color w:val="auto"/>
              </w:rPr>
              <w:t>23,663</w:t>
            </w: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b w:val="1"/>
                <w:bCs w:val="1"/>
                <w:color w:val="auto"/>
              </w:rPr>
              <w:t>3Q12</w:t>
            </w:r>
          </w:p>
        </w:tc>
        <w:tc>
          <w:tcPr>
            <w:tcW w:w="1360" w:type="dxa"/>
            <w:vAlign w:val="bottom"/>
            <w:gridSpan w:val="2"/>
          </w:tcPr>
          <w:p>
            <w:pPr>
              <w:jc w:val="right"/>
              <w:ind w:right="190"/>
              <w:spacing w:after="0"/>
              <w:rPr>
                <w:sz w:val="20"/>
                <w:szCs w:val="20"/>
                <w:color w:val="auto"/>
              </w:rPr>
            </w:pPr>
            <w:r>
              <w:rPr>
                <w:rFonts w:ascii="Arial" w:cs="Arial" w:eastAsia="Arial" w:hAnsi="Arial"/>
                <w:sz w:val="18"/>
                <w:szCs w:val="18"/>
                <w:color w:val="auto"/>
              </w:rPr>
              <w:t>8,697</w:t>
            </w:r>
          </w:p>
        </w:tc>
        <w:tc>
          <w:tcPr>
            <w:tcW w:w="1340" w:type="dxa"/>
            <w:vAlign w:val="bottom"/>
            <w:gridSpan w:val="2"/>
          </w:tcPr>
          <w:p>
            <w:pPr>
              <w:jc w:val="right"/>
              <w:ind w:right="170"/>
              <w:spacing w:after="0"/>
              <w:rPr>
                <w:sz w:val="20"/>
                <w:szCs w:val="20"/>
                <w:color w:val="auto"/>
              </w:rPr>
            </w:pPr>
            <w:r>
              <w:rPr>
                <w:rFonts w:ascii="Arial" w:cs="Arial" w:eastAsia="Arial" w:hAnsi="Arial"/>
                <w:sz w:val="18"/>
                <w:szCs w:val="18"/>
                <w:color w:val="auto"/>
              </w:rPr>
              <w:t>14,976</w:t>
            </w:r>
          </w:p>
        </w:tc>
        <w:tc>
          <w:tcPr>
            <w:tcW w:w="1360" w:type="dxa"/>
            <w:vAlign w:val="bottom"/>
            <w:gridSpan w:val="2"/>
          </w:tcPr>
          <w:p>
            <w:pPr>
              <w:jc w:val="right"/>
              <w:ind w:right="130"/>
              <w:spacing w:after="0"/>
              <w:rPr>
                <w:sz w:val="20"/>
                <w:szCs w:val="20"/>
                <w:color w:val="auto"/>
              </w:rPr>
            </w:pPr>
            <w:r>
              <w:rPr>
                <w:rFonts w:ascii="Arial" w:cs="Arial" w:eastAsia="Arial" w:hAnsi="Arial"/>
                <w:sz w:val="18"/>
                <w:szCs w:val="18"/>
                <w:color w:val="auto"/>
              </w:rPr>
              <w:t>(2,336)</w:t>
            </w:r>
          </w:p>
        </w:tc>
        <w:tc>
          <w:tcPr>
            <w:tcW w:w="1340" w:type="dxa"/>
            <w:vAlign w:val="bottom"/>
            <w:gridSpan w:val="2"/>
          </w:tcPr>
          <w:p>
            <w:pPr>
              <w:jc w:val="right"/>
              <w:ind w:right="170"/>
              <w:spacing w:after="0"/>
              <w:rPr>
                <w:sz w:val="20"/>
                <w:szCs w:val="20"/>
                <w:color w:val="auto"/>
              </w:rPr>
            </w:pPr>
            <w:r>
              <w:rPr>
                <w:rFonts w:ascii="Arial" w:cs="Arial" w:eastAsia="Arial" w:hAnsi="Arial"/>
                <w:sz w:val="18"/>
                <w:szCs w:val="18"/>
                <w:color w:val="auto"/>
              </w:rPr>
              <w:t>21,060</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(443)</w:t>
            </w:r>
          </w:p>
        </w:tc>
        <w:tc>
          <w:tcPr>
            <w:tcW w:w="1680" w:type="dxa"/>
            <w:vAlign w:val="bottom"/>
            <w:gridSpan w:val="3"/>
          </w:tcPr>
          <w:p>
            <w:pPr>
              <w:jc w:val="right"/>
              <w:ind w:right="70"/>
              <w:spacing w:after="0"/>
              <w:rPr>
                <w:sz w:val="20"/>
                <w:szCs w:val="20"/>
                <w:color w:val="auto"/>
              </w:rPr>
            </w:pPr>
            <w:r>
              <w:rPr>
                <w:rFonts w:ascii="Arial" w:cs="Arial" w:eastAsia="Arial" w:hAnsi="Arial"/>
                <w:sz w:val="18"/>
                <w:szCs w:val="18"/>
                <w:color w:val="auto"/>
              </w:rPr>
              <w:t>20,617</w:t>
            </w:r>
          </w:p>
        </w:tc>
      </w:tr>
      <w:tr>
        <w:trPr>
          <w:trHeight w:val="230"/>
        </w:trPr>
        <w:tc>
          <w:tcPr>
            <w:tcW w:w="302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4Q12</w:t>
            </w:r>
          </w:p>
        </w:tc>
        <w:tc>
          <w:tcPr>
            <w:tcW w:w="136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4,911</w:t>
            </w:r>
          </w:p>
        </w:tc>
        <w:tc>
          <w:tcPr>
            <w:tcW w:w="1340" w:type="dxa"/>
            <w:vAlign w:val="bottom"/>
            <w:gridSpan w:val="2"/>
            <w:shd w:val="clear" w:color="auto" w:fill="CCFFCC"/>
          </w:tcPr>
          <w:p>
            <w:pPr>
              <w:jc w:val="right"/>
              <w:ind w:right="170"/>
              <w:spacing w:after="0"/>
              <w:rPr>
                <w:sz w:val="20"/>
                <w:szCs w:val="20"/>
                <w:color w:val="auto"/>
              </w:rPr>
            </w:pPr>
            <w:r>
              <w:rPr>
                <w:rFonts w:ascii="Arial" w:cs="Arial" w:eastAsia="Arial" w:hAnsi="Arial"/>
                <w:sz w:val="18"/>
                <w:szCs w:val="18"/>
                <w:color w:val="auto"/>
              </w:rPr>
              <w:t>16,889</w:t>
            </w:r>
          </w:p>
        </w:tc>
        <w:tc>
          <w:tcPr>
            <w:tcW w:w="136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(4,573)</w:t>
            </w:r>
          </w:p>
        </w:tc>
        <w:tc>
          <w:tcPr>
            <w:tcW w:w="1340" w:type="dxa"/>
            <w:vAlign w:val="bottom"/>
            <w:gridSpan w:val="2"/>
            <w:shd w:val="clear" w:color="auto" w:fill="CCFFCC"/>
          </w:tcPr>
          <w:p>
            <w:pPr>
              <w:jc w:val="right"/>
              <w:ind w:right="170"/>
              <w:spacing w:after="0"/>
              <w:rPr>
                <w:sz w:val="20"/>
                <w:szCs w:val="20"/>
                <w:color w:val="auto"/>
              </w:rPr>
            </w:pPr>
            <w:r>
              <w:rPr>
                <w:rFonts w:ascii="Arial" w:cs="Arial" w:eastAsia="Arial" w:hAnsi="Arial"/>
                <w:sz w:val="18"/>
                <w:szCs w:val="18"/>
                <w:color w:val="auto"/>
              </w:rPr>
              <w:t>16,942</w:t>
            </w:r>
          </w:p>
        </w:tc>
        <w:tc>
          <w:tcPr>
            <w:tcW w:w="13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(47)</w:t>
            </w:r>
          </w:p>
        </w:tc>
        <w:tc>
          <w:tcPr>
            <w:tcW w:w="1680" w:type="dxa"/>
            <w:vAlign w:val="bottom"/>
            <w:gridSpan w:val="3"/>
            <w:shd w:val="clear" w:color="auto" w:fill="CCFFCC"/>
          </w:tcPr>
          <w:p>
            <w:pPr>
              <w:jc w:val="right"/>
              <w:ind w:right="70"/>
              <w:spacing w:after="0"/>
              <w:rPr>
                <w:sz w:val="20"/>
                <w:szCs w:val="20"/>
                <w:color w:val="auto"/>
              </w:rPr>
            </w:pPr>
            <w:r>
              <w:rPr>
                <w:rFonts w:ascii="Arial" w:cs="Arial" w:eastAsia="Arial" w:hAnsi="Arial"/>
                <w:sz w:val="18"/>
                <w:szCs w:val="18"/>
                <w:color w:val="auto"/>
              </w:rPr>
              <w:t>16,895</w:t>
            </w:r>
          </w:p>
        </w:tc>
      </w:tr>
      <w:tr>
        <w:trPr>
          <w:trHeight w:val="210"/>
        </w:trPr>
        <w:tc>
          <w:tcPr>
            <w:tcW w:w="3020" w:type="dxa"/>
            <w:vAlign w:val="bottom"/>
            <w:tcBorders>
              <w:bottom w:val="single" w:sz="8" w:color="CCFFCC"/>
            </w:tcBorders>
            <w:gridSpan w:val="2"/>
          </w:tcPr>
          <w:p>
            <w:pPr>
              <w:spacing w:after="0"/>
              <w:rPr>
                <w:sz w:val="20"/>
                <w:szCs w:val="20"/>
                <w:color w:val="auto"/>
              </w:rPr>
            </w:pPr>
            <w:r>
              <w:rPr>
                <w:rFonts w:ascii="Arial" w:cs="Arial" w:eastAsia="Arial" w:hAnsi="Arial"/>
                <w:sz w:val="18"/>
                <w:szCs w:val="18"/>
                <w:b w:val="1"/>
                <w:bCs w:val="1"/>
                <w:color w:val="auto"/>
              </w:rPr>
              <w:t>QoQ</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80" w:type="dxa"/>
            <w:vAlign w:val="bottom"/>
            <w:tcBorders>
              <w:bottom w:val="single" w:sz="8" w:color="CCFFCC"/>
            </w:tcBorders>
          </w:tcPr>
          <w:p>
            <w:pPr>
              <w:jc w:val="right"/>
              <w:ind w:right="30"/>
              <w:spacing w:after="0"/>
              <w:rPr>
                <w:sz w:val="20"/>
                <w:szCs w:val="20"/>
                <w:color w:val="auto"/>
              </w:rPr>
            </w:pPr>
            <w:r>
              <w:rPr>
                <w:rFonts w:ascii="Arial" w:cs="Arial" w:eastAsia="Arial" w:hAnsi="Arial"/>
                <w:sz w:val="18"/>
                <w:szCs w:val="18"/>
                <w:color w:val="auto"/>
                <w:w w:val="87"/>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60" w:type="dxa"/>
            <w:vAlign w:val="bottom"/>
            <w:tcBorders>
              <w:bottom w:val="single" w:sz="8" w:color="CCFFCC"/>
            </w:tcBorders>
          </w:tcPr>
          <w:p>
            <w:pPr>
              <w:jc w:val="right"/>
              <w:ind w:right="30"/>
              <w:spacing w:after="0"/>
              <w:rPr>
                <w:sz w:val="20"/>
                <w:szCs w:val="20"/>
                <w:color w:val="auto"/>
              </w:rPr>
            </w:pPr>
            <w:r>
              <w:rPr>
                <w:rFonts w:ascii="Arial" w:cs="Arial" w:eastAsia="Arial" w:hAnsi="Arial"/>
                <w:sz w:val="18"/>
                <w:szCs w:val="18"/>
                <w:color w:val="auto"/>
                <w:w w:val="74"/>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280" w:type="dxa"/>
            <w:vAlign w:val="bottom"/>
            <w:tcBorders>
              <w:bottom w:val="single" w:sz="8" w:color="CCFFCC"/>
            </w:tcBorders>
          </w:tcPr>
          <w:p>
            <w:pPr>
              <w:jc w:val="right"/>
              <w:ind w:right="30"/>
              <w:spacing w:after="0"/>
              <w:rPr>
                <w:sz w:val="20"/>
                <w:szCs w:val="20"/>
                <w:color w:val="auto"/>
              </w:rPr>
            </w:pPr>
            <w:r>
              <w:rPr>
                <w:rFonts w:ascii="Arial" w:cs="Arial" w:eastAsia="Arial" w:hAnsi="Arial"/>
                <w:sz w:val="18"/>
                <w:szCs w:val="18"/>
                <w:color w:val="auto"/>
                <w:w w:val="87"/>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60" w:type="dxa"/>
            <w:vAlign w:val="bottom"/>
            <w:tcBorders>
              <w:bottom w:val="single" w:sz="8" w:color="CCFFCC"/>
            </w:tcBorders>
          </w:tcPr>
          <w:p>
            <w:pPr>
              <w:jc w:val="right"/>
              <w:ind w:right="30"/>
              <w:spacing w:after="0"/>
              <w:rPr>
                <w:sz w:val="20"/>
                <w:szCs w:val="20"/>
                <w:color w:val="auto"/>
              </w:rPr>
            </w:pPr>
            <w:r>
              <w:rPr>
                <w:rFonts w:ascii="Arial" w:cs="Arial" w:eastAsia="Arial" w:hAnsi="Arial"/>
                <w:sz w:val="18"/>
                <w:szCs w:val="18"/>
                <w:color w:val="auto"/>
                <w:w w:val="74"/>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140" w:type="dxa"/>
            <w:vAlign w:val="bottom"/>
            <w:tcBorders>
              <w:bottom w:val="single" w:sz="8" w:color="CCFFCC"/>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60" w:type="dxa"/>
            <w:vAlign w:val="bottom"/>
            <w:tcBorders>
              <w:bottom w:val="single" w:sz="8" w:color="CCFFCC"/>
            </w:tcBorders>
          </w:tcPr>
          <w:p>
            <w:pPr>
              <w:jc w:val="right"/>
              <w:spacing w:after="0"/>
              <w:rPr>
                <w:sz w:val="20"/>
                <w:szCs w:val="20"/>
                <w:color w:val="auto"/>
              </w:rPr>
            </w:pPr>
            <w:r>
              <w:rPr>
                <w:rFonts w:ascii="Arial" w:cs="Arial" w:eastAsia="Arial" w:hAnsi="Arial"/>
                <w:sz w:val="18"/>
                <w:szCs w:val="18"/>
                <w:color w:val="auto"/>
                <w:w w:val="74"/>
              </w:rPr>
              <w:t>%</w:t>
            </w:r>
          </w:p>
        </w:tc>
      </w:tr>
      <w:tr>
        <w:trPr>
          <w:trHeight w:val="210"/>
        </w:trPr>
        <w:tc>
          <w:tcPr>
            <w:tcW w:w="302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YoY</w:t>
            </w: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w:t>
            </w:r>
          </w:p>
        </w:tc>
        <w:tc>
          <w:tcPr>
            <w:tcW w:w="28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87"/>
              </w:rPr>
              <w:t>%</w:t>
            </w: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101</w:t>
            </w:r>
          </w:p>
        </w:tc>
        <w:tc>
          <w:tcPr>
            <w:tcW w:w="26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4"/>
              </w:rPr>
              <w:t>%</w:t>
            </w: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-198</w:t>
            </w:r>
          </w:p>
        </w:tc>
        <w:tc>
          <w:tcPr>
            <w:tcW w:w="28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87"/>
              </w:rPr>
              <w:t>%</w:t>
            </w: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43</w:t>
            </w:r>
          </w:p>
        </w:tc>
        <w:tc>
          <w:tcPr>
            <w:tcW w:w="26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4"/>
              </w:rPr>
              <w:t>%</w:t>
            </w:r>
          </w:p>
        </w:tc>
        <w:tc>
          <w:tcPr>
            <w:tcW w:w="1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4"/>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Before including minority interest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Includes Médica, an additional company which offers medical assistance services</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10"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7266940</wp:posOffset>
            </wp:positionH>
            <wp:positionV relativeFrom="page">
              <wp:posOffset>568960</wp:posOffset>
            </wp:positionV>
            <wp:extent cx="13716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clrChange>
                        <a:clrFrom>
                          <a:srgbClr val="FFFFFF"/>
                        </a:clrFrom>
                        <a:clrTo>
                          <a:srgbClr val="FFFFFF">
                            <a:alpha val="0"/>
                          </a:srgbClr>
                        </a:clrTo>
                      </a:clrChange>
                      <a:extLst>
                        <a:ext uri="{28A0092B-C50C-407E-A947-70E740481C1C}"/>
                      </a:extLst>
                    </a:blip>
                    <a:srcRect/>
                    <a:stretch>
                      <a:fillRect/>
                    </a:stretch>
                  </pic:blipFill>
                  <pic:spPr bwMode="auto">
                    <a:xfrm>
                      <a:off x="0" y="0"/>
                      <a:ext cx="137160" cy="137160"/>
                    </a:xfrm>
                    <a:prstGeom prst="rect">
                      <a:avLst/>
                    </a:prstGeom>
                    <a:noFill/>
                  </pic:spPr>
                </pic:pic>
              </a:graphicData>
            </a:graphic>
          </wp:anchor>
        </w:drawing>
        <w:t>Pacifico Property and Casualty (PPS)</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Net earnings in 4Q12 totaled US$ 4.9 million, which falls below the US$ 8.7 million posted in 3Q12. This result was due primarily to the 33% decline registered in net financial income, which was in turn mainly attributable to lower income from the aforementioned decrease in income on real estate sales.</w:t>
      </w:r>
    </w:p>
    <w:p>
      <w:pPr>
        <w:spacing w:after="0" w:line="12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Nevertheless the underwriting result also fell slightly QoQ by 0.6% due to an increase in claims in the car line (increased frequency) and medical assistance (due to seasonal factors). In YoY terms, the underwriting result increased 16.7%, which was primarily due to an increase in the NEP (+US$ 9.6 million).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details on the results of the property and casualty lines.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3"/>
          </w:tcPr>
          <w:p>
            <w:pPr>
              <w:ind w:left="560"/>
              <w:spacing w:after="0"/>
              <w:rPr>
                <w:sz w:val="20"/>
                <w:szCs w:val="20"/>
                <w:color w:val="auto"/>
              </w:rPr>
            </w:pPr>
            <w:r>
              <w:rPr>
                <w:rFonts w:ascii="Arial" w:cs="Arial" w:eastAsia="Arial" w:hAnsi="Arial"/>
                <w:sz w:val="11"/>
                <w:szCs w:val="11"/>
                <w:b w:val="1"/>
                <w:bCs w:val="1"/>
                <w:color w:val="auto"/>
              </w:rPr>
              <w:t>4Q12</w:t>
            </w:r>
          </w:p>
        </w:tc>
        <w:tc>
          <w:tcPr>
            <w:tcW w:w="5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1"/>
                <w:szCs w:val="11"/>
                <w:b w:val="1"/>
                <w:bCs w:val="1"/>
                <w:color w:val="auto"/>
              </w:rPr>
              <w:t>3Q12</w:t>
            </w:r>
          </w:p>
        </w:tc>
        <w:tc>
          <w:tcPr>
            <w:tcW w:w="5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gridSpan w:val="3"/>
          </w:tcPr>
          <w:p>
            <w:pPr>
              <w:ind w:left="540"/>
              <w:spacing w:after="0"/>
              <w:rPr>
                <w:sz w:val="20"/>
                <w:szCs w:val="20"/>
                <w:color w:val="auto"/>
              </w:rPr>
            </w:pPr>
            <w:r>
              <w:rPr>
                <w:rFonts w:ascii="Arial" w:cs="Arial" w:eastAsia="Arial" w:hAnsi="Arial"/>
                <w:sz w:val="11"/>
                <w:szCs w:val="11"/>
                <w:b w:val="1"/>
                <w:bCs w:val="1"/>
                <w:color w:val="auto"/>
              </w:rPr>
              <w:t>4Q11</w:t>
            </w:r>
          </w:p>
        </w:tc>
        <w:tc>
          <w:tcPr>
            <w:tcW w:w="4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gridSpan w:val="3"/>
          </w:tcPr>
          <w:p>
            <w:pPr>
              <w:jc w:val="center"/>
              <w:ind w:right="340"/>
              <w:spacing w:after="0" w:line="102" w:lineRule="exact"/>
              <w:rPr>
                <w:sz w:val="20"/>
                <w:szCs w:val="20"/>
                <w:color w:val="auto"/>
              </w:rPr>
            </w:pPr>
            <w:r>
              <w:rPr>
                <w:rFonts w:ascii="Arial" w:cs="Arial" w:eastAsia="Arial" w:hAnsi="Arial"/>
                <w:sz w:val="11"/>
                <w:szCs w:val="11"/>
                <w:b w:val="1"/>
                <w:bCs w:val="1"/>
                <w:color w:val="auto"/>
                <w:w w:val="87"/>
              </w:rPr>
              <w:t>Private</w:t>
            </w: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gridSpan w:val="2"/>
          </w:tcPr>
          <w:p>
            <w:pPr>
              <w:jc w:val="center"/>
              <w:ind w:right="240"/>
              <w:spacing w:after="0" w:line="102" w:lineRule="exact"/>
              <w:rPr>
                <w:sz w:val="20"/>
                <w:szCs w:val="20"/>
                <w:color w:val="auto"/>
              </w:rPr>
            </w:pPr>
            <w:r>
              <w:rPr>
                <w:rFonts w:ascii="Arial" w:cs="Arial" w:eastAsia="Arial" w:hAnsi="Arial"/>
                <w:sz w:val="11"/>
                <w:szCs w:val="11"/>
                <w:b w:val="1"/>
                <w:bCs w:val="1"/>
                <w:color w:val="auto"/>
                <w:w w:val="92"/>
              </w:rPr>
              <w:t>Private</w:t>
            </w: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gridSpan w:val="3"/>
          </w:tcPr>
          <w:p>
            <w:pPr>
              <w:jc w:val="center"/>
              <w:ind w:right="320"/>
              <w:spacing w:after="0" w:line="102" w:lineRule="exact"/>
              <w:rPr>
                <w:sz w:val="20"/>
                <w:szCs w:val="20"/>
                <w:color w:val="auto"/>
              </w:rPr>
            </w:pPr>
            <w:r>
              <w:rPr>
                <w:rFonts w:ascii="Arial" w:cs="Arial" w:eastAsia="Arial" w:hAnsi="Arial"/>
                <w:sz w:val="11"/>
                <w:szCs w:val="11"/>
                <w:b w:val="1"/>
                <w:bCs w:val="1"/>
                <w:color w:val="auto"/>
                <w:w w:val="92"/>
              </w:rPr>
              <w:t>Private</w:t>
            </w: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96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w w:val="98"/>
              </w:rPr>
              <w:t>Underwriting Result by Business Unit</w:t>
            </w:r>
          </w:p>
        </w:tc>
        <w:tc>
          <w:tcPr>
            <w:tcW w:w="84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2"/>
              </w:rPr>
              <w:t>Vehicle</w:t>
            </w:r>
          </w:p>
        </w:tc>
        <w:tc>
          <w:tcPr>
            <w:tcW w:w="900" w:type="dxa"/>
            <w:vAlign w:val="bottom"/>
            <w:gridSpan w:val="3"/>
          </w:tcPr>
          <w:p>
            <w:pPr>
              <w:jc w:val="center"/>
              <w:ind w:right="340"/>
              <w:spacing w:after="0" w:line="122" w:lineRule="exact"/>
              <w:rPr>
                <w:sz w:val="20"/>
                <w:szCs w:val="20"/>
                <w:color w:val="auto"/>
              </w:rPr>
            </w:pPr>
            <w:r>
              <w:rPr>
                <w:rFonts w:ascii="Arial" w:cs="Arial" w:eastAsia="Arial" w:hAnsi="Arial"/>
                <w:sz w:val="11"/>
                <w:szCs w:val="11"/>
                <w:b w:val="1"/>
                <w:bCs w:val="1"/>
                <w:color w:val="auto"/>
                <w:w w:val="95"/>
              </w:rPr>
              <w:t>Health</w:t>
            </w: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gridSpan w:val="2"/>
          </w:tcPr>
          <w:p>
            <w:pPr>
              <w:ind w:left="100"/>
              <w:spacing w:after="0" w:line="122" w:lineRule="exact"/>
              <w:rPr>
                <w:sz w:val="20"/>
                <w:szCs w:val="20"/>
                <w:color w:val="auto"/>
              </w:rPr>
            </w:pPr>
            <w:r>
              <w:rPr>
                <w:rFonts w:ascii="Arial" w:cs="Arial" w:eastAsia="Arial" w:hAnsi="Arial"/>
                <w:sz w:val="11"/>
                <w:szCs w:val="11"/>
                <w:b w:val="1"/>
                <w:bCs w:val="1"/>
                <w:color w:val="auto"/>
              </w:rPr>
              <w:t>TOTAL</w:t>
            </w:r>
          </w:p>
        </w:tc>
        <w:tc>
          <w:tcPr>
            <w:tcW w:w="820" w:type="dxa"/>
            <w:vAlign w:val="bottom"/>
            <w:gridSpan w:val="2"/>
          </w:tcPr>
          <w:p>
            <w:pPr>
              <w:jc w:val="right"/>
              <w:ind w:right="360"/>
              <w:spacing w:after="0" w:line="122" w:lineRule="exact"/>
              <w:rPr>
                <w:sz w:val="20"/>
                <w:szCs w:val="20"/>
                <w:color w:val="auto"/>
              </w:rPr>
            </w:pPr>
            <w:r>
              <w:rPr>
                <w:rFonts w:ascii="Arial" w:cs="Arial" w:eastAsia="Arial" w:hAnsi="Arial"/>
                <w:sz w:val="11"/>
                <w:szCs w:val="11"/>
                <w:b w:val="1"/>
                <w:bCs w:val="1"/>
                <w:color w:val="auto"/>
              </w:rPr>
              <w:t>Vehicle</w:t>
            </w:r>
          </w:p>
        </w:tc>
        <w:tc>
          <w:tcPr>
            <w:tcW w:w="8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5"/>
              </w:rPr>
              <w:t>Health</w:t>
            </w: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gridSpan w:val="2"/>
          </w:tcPr>
          <w:p>
            <w:pPr>
              <w:ind w:left="100"/>
              <w:spacing w:after="0" w:line="122" w:lineRule="exact"/>
              <w:rPr>
                <w:sz w:val="20"/>
                <w:szCs w:val="20"/>
                <w:color w:val="auto"/>
              </w:rPr>
            </w:pPr>
            <w:r>
              <w:rPr>
                <w:rFonts w:ascii="Arial" w:cs="Arial" w:eastAsia="Arial" w:hAnsi="Arial"/>
                <w:sz w:val="11"/>
                <w:szCs w:val="11"/>
                <w:b w:val="1"/>
                <w:bCs w:val="1"/>
                <w:color w:val="auto"/>
              </w:rPr>
              <w:t>TOTAL</w:t>
            </w:r>
          </w:p>
        </w:tc>
        <w:tc>
          <w:tcPr>
            <w:tcW w:w="780" w:type="dxa"/>
            <w:vAlign w:val="bottom"/>
            <w:gridSpan w:val="2"/>
          </w:tcPr>
          <w:p>
            <w:pPr>
              <w:jc w:val="right"/>
              <w:ind w:right="320"/>
              <w:spacing w:after="0" w:line="122" w:lineRule="exact"/>
              <w:rPr>
                <w:sz w:val="20"/>
                <w:szCs w:val="20"/>
                <w:color w:val="auto"/>
              </w:rPr>
            </w:pPr>
            <w:r>
              <w:rPr>
                <w:rFonts w:ascii="Arial" w:cs="Arial" w:eastAsia="Arial" w:hAnsi="Arial"/>
                <w:sz w:val="11"/>
                <w:szCs w:val="11"/>
                <w:b w:val="1"/>
                <w:bCs w:val="1"/>
                <w:color w:val="auto"/>
              </w:rPr>
              <w:t>Vehicle</w:t>
            </w:r>
          </w:p>
        </w:tc>
        <w:tc>
          <w:tcPr>
            <w:tcW w:w="860" w:type="dxa"/>
            <w:vAlign w:val="bottom"/>
            <w:gridSpan w:val="3"/>
          </w:tcPr>
          <w:p>
            <w:pPr>
              <w:jc w:val="center"/>
              <w:ind w:right="300"/>
              <w:spacing w:after="0" w:line="122" w:lineRule="exact"/>
              <w:rPr>
                <w:sz w:val="20"/>
                <w:szCs w:val="20"/>
                <w:color w:val="auto"/>
              </w:rPr>
            </w:pPr>
            <w:r>
              <w:rPr>
                <w:rFonts w:ascii="Arial" w:cs="Arial" w:eastAsia="Arial" w:hAnsi="Arial"/>
                <w:sz w:val="11"/>
                <w:szCs w:val="11"/>
                <w:b w:val="1"/>
                <w:bCs w:val="1"/>
                <w:color w:val="auto"/>
                <w:w w:val="95"/>
              </w:rPr>
              <w:t>Health</w:t>
            </w: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gridSpan w:val="2"/>
          </w:tcPr>
          <w:p>
            <w:pPr>
              <w:ind w:left="100"/>
              <w:spacing w:after="0" w:line="122" w:lineRule="exact"/>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35"/>
        </w:trPr>
        <w:tc>
          <w:tcPr>
            <w:tcW w:w="1960" w:type="dxa"/>
            <w:vAlign w:val="bottom"/>
            <w:gridSpan w:val="2"/>
          </w:tcPr>
          <w:p>
            <w:pPr>
              <w:spacing w:after="0"/>
              <w:rPr>
                <w:sz w:val="20"/>
                <w:szCs w:val="20"/>
                <w:color w:val="auto"/>
              </w:rPr>
            </w:pPr>
            <w:r>
              <w:rPr>
                <w:rFonts w:ascii="Arial" w:cs="Arial" w:eastAsia="Arial" w:hAnsi="Arial"/>
                <w:sz w:val="11"/>
                <w:szCs w:val="11"/>
                <w:color w:val="auto"/>
              </w:rPr>
              <w:t>US$ million</w:t>
            </w:r>
          </w:p>
        </w:tc>
        <w:tc>
          <w:tcPr>
            <w:tcW w:w="84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8"/>
              </w:rPr>
              <w:t>Insurance</w:t>
            </w:r>
          </w:p>
        </w:tc>
        <w:tc>
          <w:tcPr>
            <w:tcW w:w="900" w:type="dxa"/>
            <w:vAlign w:val="bottom"/>
            <w:gridSpan w:val="3"/>
          </w:tcPr>
          <w:p>
            <w:pPr>
              <w:jc w:val="center"/>
              <w:ind w:right="340"/>
              <w:spacing w:after="0"/>
              <w:rPr>
                <w:sz w:val="20"/>
                <w:szCs w:val="20"/>
                <w:color w:val="auto"/>
              </w:rPr>
            </w:pPr>
            <w:r>
              <w:rPr>
                <w:rFonts w:ascii="Arial" w:cs="Arial" w:eastAsia="Arial" w:hAnsi="Arial"/>
                <w:sz w:val="11"/>
                <w:szCs w:val="11"/>
                <w:b w:val="1"/>
                <w:bCs w:val="1"/>
                <w:color w:val="auto"/>
                <w:w w:val="92"/>
              </w:rPr>
              <w:t>Insurance</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P&amp;C</w:t>
            </w:r>
          </w:p>
        </w:tc>
        <w:tc>
          <w:tcPr>
            <w:tcW w:w="820" w:type="dxa"/>
            <w:vAlign w:val="bottom"/>
            <w:gridSpan w:val="2"/>
          </w:tcPr>
          <w:p>
            <w:pPr>
              <w:ind w:left="200"/>
              <w:spacing w:after="0"/>
              <w:rPr>
                <w:sz w:val="20"/>
                <w:szCs w:val="20"/>
                <w:color w:val="auto"/>
              </w:rPr>
            </w:pPr>
            <w:r>
              <w:rPr>
                <w:rFonts w:ascii="Arial" w:cs="Arial" w:eastAsia="Arial" w:hAnsi="Arial"/>
                <w:sz w:val="11"/>
                <w:szCs w:val="11"/>
                <w:b w:val="1"/>
                <w:bCs w:val="1"/>
                <w:color w:val="auto"/>
              </w:rPr>
              <w:t>PPS</w:t>
            </w:r>
          </w:p>
        </w:tc>
        <w:tc>
          <w:tcPr>
            <w:tcW w:w="82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w w:val="96"/>
              </w:rPr>
              <w:t>Insurance</w:t>
            </w:r>
          </w:p>
        </w:tc>
        <w:tc>
          <w:tcPr>
            <w:tcW w:w="8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8"/>
              </w:rPr>
              <w:t>Insurance</w:t>
            </w:r>
          </w:p>
        </w:tc>
        <w:tc>
          <w:tcPr>
            <w:tcW w:w="78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P&amp;C</w:t>
            </w:r>
          </w:p>
        </w:tc>
        <w:tc>
          <w:tcPr>
            <w:tcW w:w="760" w:type="dxa"/>
            <w:vAlign w:val="bottom"/>
            <w:gridSpan w:val="2"/>
          </w:tcPr>
          <w:p>
            <w:pPr>
              <w:ind w:left="180"/>
              <w:spacing w:after="0"/>
              <w:rPr>
                <w:sz w:val="20"/>
                <w:szCs w:val="20"/>
                <w:color w:val="auto"/>
              </w:rPr>
            </w:pPr>
            <w:r>
              <w:rPr>
                <w:rFonts w:ascii="Arial" w:cs="Arial" w:eastAsia="Arial" w:hAnsi="Arial"/>
                <w:sz w:val="11"/>
                <w:szCs w:val="11"/>
                <w:b w:val="1"/>
                <w:bCs w:val="1"/>
                <w:color w:val="auto"/>
              </w:rPr>
              <w:t>PPS</w:t>
            </w:r>
          </w:p>
        </w:tc>
        <w:tc>
          <w:tcPr>
            <w:tcW w:w="78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w w:val="96"/>
              </w:rPr>
              <w:t>Insurance</w:t>
            </w:r>
          </w:p>
        </w:tc>
        <w:tc>
          <w:tcPr>
            <w:tcW w:w="860" w:type="dxa"/>
            <w:vAlign w:val="bottom"/>
            <w:gridSpan w:val="3"/>
          </w:tcPr>
          <w:p>
            <w:pPr>
              <w:jc w:val="center"/>
              <w:ind w:right="320"/>
              <w:spacing w:after="0"/>
              <w:rPr>
                <w:sz w:val="20"/>
                <w:szCs w:val="20"/>
                <w:color w:val="auto"/>
              </w:rPr>
            </w:pPr>
            <w:r>
              <w:rPr>
                <w:rFonts w:ascii="Arial" w:cs="Arial" w:eastAsia="Arial" w:hAnsi="Arial"/>
                <w:sz w:val="11"/>
                <w:szCs w:val="11"/>
                <w:b w:val="1"/>
                <w:bCs w:val="1"/>
                <w:color w:val="auto"/>
                <w:w w:val="88"/>
              </w:rPr>
              <w:t>Insurance</w:t>
            </w:r>
          </w:p>
        </w:tc>
        <w:tc>
          <w:tcPr>
            <w:tcW w:w="68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P&amp;C</w:t>
            </w:r>
          </w:p>
        </w:tc>
        <w:tc>
          <w:tcPr>
            <w:tcW w:w="660" w:type="dxa"/>
            <w:vAlign w:val="bottom"/>
            <w:gridSpan w:val="2"/>
          </w:tcPr>
          <w:p>
            <w:pPr>
              <w:ind w:left="180"/>
              <w:spacing w:after="0"/>
              <w:rPr>
                <w:sz w:val="20"/>
                <w:szCs w:val="20"/>
                <w:color w:val="auto"/>
              </w:rPr>
            </w:pPr>
            <w:r>
              <w:rPr>
                <w:rFonts w:ascii="Arial" w:cs="Arial" w:eastAsia="Arial" w:hAnsi="Arial"/>
                <w:sz w:val="11"/>
                <w:szCs w:val="11"/>
                <w:b w:val="1"/>
                <w:bCs w:val="1"/>
                <w:color w:val="auto"/>
              </w:rPr>
              <w:t>PPS</w:t>
            </w:r>
          </w:p>
        </w:tc>
        <w:tc>
          <w:tcPr>
            <w:tcW w:w="0" w:type="dxa"/>
            <w:vAlign w:val="bottom"/>
          </w:tcPr>
          <w:p>
            <w:pPr>
              <w:spacing w:after="0"/>
              <w:rPr>
                <w:sz w:val="1"/>
                <w:szCs w:val="1"/>
                <w:color w:val="auto"/>
              </w:rPr>
            </w:pPr>
          </w:p>
        </w:tc>
      </w:tr>
      <w:tr>
        <w:trPr>
          <w:trHeight w:val="115"/>
        </w:trPr>
        <w:tc>
          <w:tcPr>
            <w:tcW w:w="1840" w:type="dxa"/>
            <w:vAlign w:val="bottom"/>
            <w:tcBorders>
              <w:top w:val="single" w:sz="8" w:color="auto"/>
            </w:tcBorders>
            <w:shd w:val="clear" w:color="auto" w:fill="CCFFCC"/>
          </w:tcPr>
          <w:p>
            <w:pPr>
              <w:spacing w:after="0" w:line="115" w:lineRule="exact"/>
              <w:rPr>
                <w:sz w:val="20"/>
                <w:szCs w:val="20"/>
                <w:color w:val="auto"/>
              </w:rPr>
            </w:pPr>
            <w:r>
              <w:rPr>
                <w:rFonts w:ascii="Arial" w:cs="Arial" w:eastAsia="Arial" w:hAnsi="Arial"/>
                <w:sz w:val="11"/>
                <w:szCs w:val="11"/>
                <w:color w:val="auto"/>
              </w:rPr>
              <w:t>Net earned premiums</w:t>
            </w:r>
          </w:p>
        </w:tc>
        <w:tc>
          <w:tcPr>
            <w:tcW w:w="120" w:type="dxa"/>
            <w:vAlign w:val="bottom"/>
            <w:tcBorders>
              <w:top w:val="single" w:sz="8" w:color="CCFFCC"/>
            </w:tcBorders>
            <w:shd w:val="clear" w:color="auto" w:fill="CCFFCC"/>
          </w:tcPr>
          <w:p>
            <w:pPr>
              <w:spacing w:after="0"/>
              <w:rPr>
                <w:sz w:val="10"/>
                <w:szCs w:val="10"/>
                <w:color w:val="auto"/>
              </w:rPr>
            </w:pPr>
          </w:p>
        </w:tc>
        <w:tc>
          <w:tcPr>
            <w:tcW w:w="580" w:type="dxa"/>
            <w:vAlign w:val="bottom"/>
            <w:tcBorders>
              <w:top w:val="single" w:sz="8" w:color="auto"/>
            </w:tcBorders>
            <w:shd w:val="clear" w:color="auto" w:fill="CCFFCC"/>
          </w:tcPr>
          <w:p>
            <w:pPr>
              <w:ind w:left="400"/>
              <w:spacing w:after="0" w:line="115" w:lineRule="exact"/>
              <w:rPr>
                <w:sz w:val="20"/>
                <w:szCs w:val="20"/>
                <w:color w:val="auto"/>
              </w:rPr>
            </w:pPr>
            <w:r>
              <w:rPr>
                <w:rFonts w:ascii="Arial" w:cs="Arial" w:eastAsia="Arial" w:hAnsi="Arial"/>
                <w:sz w:val="11"/>
                <w:szCs w:val="11"/>
                <w:color w:val="auto"/>
                <w:w w:val="74"/>
              </w:rPr>
              <w:t>28.7</w:t>
            </w:r>
          </w:p>
        </w:tc>
        <w:tc>
          <w:tcPr>
            <w:tcW w:w="260" w:type="dxa"/>
            <w:vAlign w:val="bottom"/>
            <w:tcBorders>
              <w:top w:val="single" w:sz="8" w:color="CCFFCC"/>
            </w:tcBorders>
            <w:shd w:val="clear" w:color="auto" w:fill="CCFFCC"/>
          </w:tcPr>
          <w:p>
            <w:pPr>
              <w:spacing w:after="0"/>
              <w:rPr>
                <w:sz w:val="10"/>
                <w:szCs w:val="10"/>
                <w:color w:val="auto"/>
              </w:rPr>
            </w:pPr>
          </w:p>
        </w:tc>
        <w:tc>
          <w:tcPr>
            <w:tcW w:w="580" w:type="dxa"/>
            <w:vAlign w:val="bottom"/>
            <w:tcBorders>
              <w:top w:val="single" w:sz="8" w:color="auto"/>
            </w:tcBorders>
            <w:shd w:val="clear" w:color="auto" w:fill="CCFFCC"/>
          </w:tcPr>
          <w:p>
            <w:pPr>
              <w:jc w:val="right"/>
              <w:spacing w:after="0" w:line="115" w:lineRule="exact"/>
              <w:rPr>
                <w:sz w:val="20"/>
                <w:szCs w:val="20"/>
                <w:color w:val="auto"/>
              </w:rPr>
            </w:pPr>
            <w:r>
              <w:rPr>
                <w:rFonts w:ascii="Arial" w:cs="Arial" w:eastAsia="Arial" w:hAnsi="Arial"/>
                <w:sz w:val="11"/>
                <w:szCs w:val="11"/>
                <w:color w:val="auto"/>
              </w:rPr>
              <w:t>24.4</w:t>
            </w:r>
          </w:p>
        </w:tc>
        <w:tc>
          <w:tcPr>
            <w:tcW w:w="240" w:type="dxa"/>
            <w:vAlign w:val="bottom"/>
            <w:tcBorders>
              <w:top w:val="single" w:sz="8" w:color="CCFFCC"/>
            </w:tcBorders>
            <w:shd w:val="clear" w:color="auto" w:fill="CCFFCC"/>
          </w:tcPr>
          <w:p>
            <w:pPr>
              <w:spacing w:after="0"/>
              <w:rPr>
                <w:sz w:val="10"/>
                <w:szCs w:val="10"/>
                <w:color w:val="auto"/>
              </w:rPr>
            </w:pPr>
          </w:p>
        </w:tc>
        <w:tc>
          <w:tcPr>
            <w:tcW w:w="80" w:type="dxa"/>
            <w:vAlign w:val="bottom"/>
            <w:tcBorders>
              <w:top w:val="single" w:sz="8" w:color="auto"/>
            </w:tcBorders>
            <w:shd w:val="clear" w:color="auto" w:fill="CCFFCC"/>
          </w:tcPr>
          <w:p>
            <w:pPr>
              <w:spacing w:after="0"/>
              <w:rPr>
                <w:sz w:val="10"/>
                <w:szCs w:val="10"/>
                <w:color w:val="auto"/>
              </w:rPr>
            </w:pPr>
          </w:p>
        </w:tc>
        <w:tc>
          <w:tcPr>
            <w:tcW w:w="500" w:type="dxa"/>
            <w:vAlign w:val="bottom"/>
            <w:tcBorders>
              <w:top w:val="single" w:sz="8" w:color="auto"/>
            </w:tcBorders>
            <w:shd w:val="clear" w:color="auto" w:fill="CCFFCC"/>
          </w:tcPr>
          <w:p>
            <w:pPr>
              <w:ind w:left="300"/>
              <w:spacing w:after="0" w:line="115" w:lineRule="exact"/>
              <w:rPr>
                <w:sz w:val="20"/>
                <w:szCs w:val="20"/>
                <w:color w:val="auto"/>
              </w:rPr>
            </w:pPr>
            <w:r>
              <w:rPr>
                <w:rFonts w:ascii="Arial" w:cs="Arial" w:eastAsia="Arial" w:hAnsi="Arial"/>
                <w:sz w:val="11"/>
                <w:szCs w:val="11"/>
                <w:color w:val="auto"/>
                <w:w w:val="83"/>
              </w:rPr>
              <w:t>18.2</w:t>
            </w:r>
          </w:p>
        </w:tc>
        <w:tc>
          <w:tcPr>
            <w:tcW w:w="240" w:type="dxa"/>
            <w:vAlign w:val="bottom"/>
            <w:tcBorders>
              <w:top w:val="single" w:sz="8" w:color="CCFFCC"/>
            </w:tcBorders>
            <w:shd w:val="clear" w:color="auto" w:fill="CCFFCC"/>
          </w:tcPr>
          <w:p>
            <w:pPr>
              <w:spacing w:after="0"/>
              <w:rPr>
                <w:sz w:val="10"/>
                <w:szCs w:val="10"/>
                <w:color w:val="auto"/>
              </w:rPr>
            </w:pPr>
          </w:p>
        </w:tc>
        <w:tc>
          <w:tcPr>
            <w:tcW w:w="580" w:type="dxa"/>
            <w:vAlign w:val="bottom"/>
            <w:tcBorders>
              <w:top w:val="single" w:sz="8" w:color="auto"/>
            </w:tcBorders>
            <w:shd w:val="clear" w:color="auto" w:fill="CCFFCC"/>
          </w:tcPr>
          <w:p>
            <w:pPr>
              <w:ind w:left="380"/>
              <w:spacing w:after="0" w:line="115" w:lineRule="exact"/>
              <w:rPr>
                <w:sz w:val="20"/>
                <w:szCs w:val="20"/>
                <w:color w:val="auto"/>
              </w:rPr>
            </w:pPr>
            <w:r>
              <w:rPr>
                <w:rFonts w:ascii="Arial" w:cs="Arial" w:eastAsia="Arial" w:hAnsi="Arial"/>
                <w:sz w:val="11"/>
                <w:szCs w:val="11"/>
                <w:b w:val="1"/>
                <w:bCs w:val="1"/>
                <w:color w:val="auto"/>
                <w:w w:val="83"/>
              </w:rPr>
              <w:t>71.3</w:t>
            </w:r>
          </w:p>
        </w:tc>
        <w:tc>
          <w:tcPr>
            <w:tcW w:w="240" w:type="dxa"/>
            <w:vAlign w:val="bottom"/>
            <w:tcBorders>
              <w:top w:val="single" w:sz="8" w:color="CCFFCC"/>
            </w:tcBorders>
            <w:shd w:val="clear" w:color="auto" w:fill="CCFFCC"/>
          </w:tcPr>
          <w:p>
            <w:pPr>
              <w:spacing w:after="0"/>
              <w:rPr>
                <w:sz w:val="10"/>
                <w:szCs w:val="10"/>
                <w:color w:val="auto"/>
              </w:rPr>
            </w:pPr>
          </w:p>
        </w:tc>
        <w:tc>
          <w:tcPr>
            <w:tcW w:w="580" w:type="dxa"/>
            <w:vAlign w:val="bottom"/>
            <w:tcBorders>
              <w:top w:val="single" w:sz="8" w:color="auto"/>
            </w:tcBorders>
            <w:shd w:val="clear" w:color="auto" w:fill="CCFFCC"/>
          </w:tcPr>
          <w:p>
            <w:pPr>
              <w:jc w:val="right"/>
              <w:spacing w:after="0" w:line="115" w:lineRule="exact"/>
              <w:rPr>
                <w:sz w:val="20"/>
                <w:szCs w:val="20"/>
                <w:color w:val="auto"/>
              </w:rPr>
            </w:pPr>
            <w:r>
              <w:rPr>
                <w:rFonts w:ascii="Arial" w:cs="Arial" w:eastAsia="Arial" w:hAnsi="Arial"/>
                <w:sz w:val="11"/>
                <w:szCs w:val="11"/>
                <w:color w:val="auto"/>
              </w:rPr>
              <w:t>27.7</w:t>
            </w:r>
          </w:p>
        </w:tc>
        <w:tc>
          <w:tcPr>
            <w:tcW w:w="240" w:type="dxa"/>
            <w:vAlign w:val="bottom"/>
            <w:tcBorders>
              <w:top w:val="single" w:sz="8" w:color="CCFFCC"/>
            </w:tcBorders>
            <w:shd w:val="clear" w:color="auto" w:fill="CCFFCC"/>
          </w:tcPr>
          <w:p>
            <w:pPr>
              <w:spacing w:after="0"/>
              <w:rPr>
                <w:sz w:val="10"/>
                <w:szCs w:val="10"/>
                <w:color w:val="auto"/>
              </w:rPr>
            </w:pPr>
          </w:p>
        </w:tc>
        <w:tc>
          <w:tcPr>
            <w:tcW w:w="580" w:type="dxa"/>
            <w:vAlign w:val="bottom"/>
            <w:tcBorders>
              <w:top w:val="single" w:sz="8" w:color="auto"/>
            </w:tcBorders>
            <w:shd w:val="clear" w:color="auto" w:fill="CCFFCC"/>
          </w:tcPr>
          <w:p>
            <w:pPr>
              <w:jc w:val="right"/>
              <w:spacing w:after="0" w:line="115" w:lineRule="exact"/>
              <w:rPr>
                <w:sz w:val="20"/>
                <w:szCs w:val="20"/>
                <w:color w:val="auto"/>
              </w:rPr>
            </w:pPr>
            <w:r>
              <w:rPr>
                <w:rFonts w:ascii="Arial" w:cs="Arial" w:eastAsia="Arial" w:hAnsi="Arial"/>
                <w:sz w:val="11"/>
                <w:szCs w:val="11"/>
                <w:color w:val="auto"/>
              </w:rPr>
              <w:t>23.9</w:t>
            </w:r>
          </w:p>
        </w:tc>
        <w:tc>
          <w:tcPr>
            <w:tcW w:w="240" w:type="dxa"/>
            <w:vAlign w:val="bottom"/>
            <w:tcBorders>
              <w:top w:val="single" w:sz="8" w:color="CCFFCC"/>
            </w:tcBorders>
            <w:shd w:val="clear" w:color="auto" w:fill="CCFFCC"/>
          </w:tcPr>
          <w:p>
            <w:pPr>
              <w:spacing w:after="0"/>
              <w:rPr>
                <w:sz w:val="10"/>
                <w:szCs w:val="10"/>
                <w:color w:val="auto"/>
              </w:rPr>
            </w:pPr>
          </w:p>
        </w:tc>
        <w:tc>
          <w:tcPr>
            <w:tcW w:w="560" w:type="dxa"/>
            <w:vAlign w:val="bottom"/>
            <w:tcBorders>
              <w:top w:val="single" w:sz="8" w:color="auto"/>
            </w:tcBorders>
            <w:shd w:val="clear" w:color="auto" w:fill="CCFFCC"/>
          </w:tcPr>
          <w:p>
            <w:pPr>
              <w:jc w:val="right"/>
              <w:spacing w:after="0" w:line="115" w:lineRule="exact"/>
              <w:rPr>
                <w:sz w:val="20"/>
                <w:szCs w:val="20"/>
                <w:color w:val="auto"/>
              </w:rPr>
            </w:pPr>
            <w:r>
              <w:rPr>
                <w:rFonts w:ascii="Arial" w:cs="Arial" w:eastAsia="Arial" w:hAnsi="Arial"/>
                <w:sz w:val="11"/>
                <w:szCs w:val="11"/>
                <w:color w:val="auto"/>
              </w:rPr>
              <w:t>18.6</w:t>
            </w:r>
          </w:p>
        </w:tc>
        <w:tc>
          <w:tcPr>
            <w:tcW w:w="220" w:type="dxa"/>
            <w:vAlign w:val="bottom"/>
            <w:tcBorders>
              <w:top w:val="single" w:sz="8" w:color="CCFFCC"/>
            </w:tcBorders>
            <w:shd w:val="clear" w:color="auto" w:fill="CCFFCC"/>
          </w:tcPr>
          <w:p>
            <w:pPr>
              <w:spacing w:after="0"/>
              <w:rPr>
                <w:sz w:val="10"/>
                <w:szCs w:val="10"/>
                <w:color w:val="auto"/>
              </w:rPr>
            </w:pPr>
          </w:p>
        </w:tc>
        <w:tc>
          <w:tcPr>
            <w:tcW w:w="560" w:type="dxa"/>
            <w:vAlign w:val="bottom"/>
            <w:tcBorders>
              <w:top w:val="single" w:sz="8" w:color="auto"/>
            </w:tcBorders>
            <w:shd w:val="clear" w:color="auto" w:fill="CCFFCC"/>
          </w:tcPr>
          <w:p>
            <w:pPr>
              <w:ind w:left="360"/>
              <w:spacing w:after="0" w:line="115" w:lineRule="exact"/>
              <w:rPr>
                <w:sz w:val="20"/>
                <w:szCs w:val="20"/>
                <w:color w:val="auto"/>
              </w:rPr>
            </w:pPr>
            <w:r>
              <w:rPr>
                <w:rFonts w:ascii="Arial" w:cs="Arial" w:eastAsia="Arial" w:hAnsi="Arial"/>
                <w:sz w:val="11"/>
                <w:szCs w:val="11"/>
                <w:b w:val="1"/>
                <w:bCs w:val="1"/>
                <w:color w:val="auto"/>
                <w:w w:val="83"/>
              </w:rPr>
              <w:t>70.3</w:t>
            </w:r>
          </w:p>
        </w:tc>
        <w:tc>
          <w:tcPr>
            <w:tcW w:w="200" w:type="dxa"/>
            <w:vAlign w:val="bottom"/>
            <w:tcBorders>
              <w:top w:val="single" w:sz="8" w:color="CCFFCC"/>
            </w:tcBorders>
            <w:shd w:val="clear" w:color="auto" w:fill="CCFFCC"/>
          </w:tcPr>
          <w:p>
            <w:pPr>
              <w:spacing w:after="0"/>
              <w:rPr>
                <w:sz w:val="10"/>
                <w:szCs w:val="10"/>
                <w:color w:val="auto"/>
              </w:rPr>
            </w:pPr>
          </w:p>
        </w:tc>
        <w:tc>
          <w:tcPr>
            <w:tcW w:w="560" w:type="dxa"/>
            <w:vAlign w:val="bottom"/>
            <w:tcBorders>
              <w:top w:val="single" w:sz="8" w:color="auto"/>
            </w:tcBorders>
            <w:shd w:val="clear" w:color="auto" w:fill="CCFFCC"/>
          </w:tcPr>
          <w:p>
            <w:pPr>
              <w:jc w:val="right"/>
              <w:spacing w:after="0" w:line="115" w:lineRule="exact"/>
              <w:rPr>
                <w:sz w:val="20"/>
                <w:szCs w:val="20"/>
                <w:color w:val="auto"/>
              </w:rPr>
            </w:pPr>
            <w:r>
              <w:rPr>
                <w:rFonts w:ascii="Arial" w:cs="Arial" w:eastAsia="Arial" w:hAnsi="Arial"/>
                <w:sz w:val="11"/>
                <w:szCs w:val="11"/>
                <w:color w:val="auto"/>
              </w:rPr>
              <w:t>25.2</w:t>
            </w:r>
          </w:p>
        </w:tc>
        <w:tc>
          <w:tcPr>
            <w:tcW w:w="220" w:type="dxa"/>
            <w:vAlign w:val="bottom"/>
            <w:tcBorders>
              <w:top w:val="single" w:sz="8" w:color="CCFFCC"/>
            </w:tcBorders>
            <w:shd w:val="clear" w:color="auto" w:fill="CCFFCC"/>
          </w:tcPr>
          <w:p>
            <w:pPr>
              <w:spacing w:after="0"/>
              <w:rPr>
                <w:sz w:val="10"/>
                <w:szCs w:val="10"/>
                <w:color w:val="auto"/>
              </w:rPr>
            </w:pPr>
          </w:p>
        </w:tc>
        <w:tc>
          <w:tcPr>
            <w:tcW w:w="560" w:type="dxa"/>
            <w:vAlign w:val="bottom"/>
            <w:tcBorders>
              <w:top w:val="single" w:sz="8" w:color="auto"/>
            </w:tcBorders>
            <w:shd w:val="clear" w:color="auto" w:fill="CCFFCC"/>
          </w:tcPr>
          <w:p>
            <w:pPr>
              <w:jc w:val="right"/>
              <w:spacing w:after="0" w:line="115" w:lineRule="exact"/>
              <w:rPr>
                <w:sz w:val="20"/>
                <w:szCs w:val="20"/>
                <w:color w:val="auto"/>
              </w:rPr>
            </w:pPr>
            <w:r>
              <w:rPr>
                <w:rFonts w:ascii="Arial" w:cs="Arial" w:eastAsia="Arial" w:hAnsi="Arial"/>
                <w:sz w:val="11"/>
                <w:szCs w:val="11"/>
                <w:color w:val="auto"/>
              </w:rPr>
              <w:t>19.1</w:t>
            </w:r>
          </w:p>
        </w:tc>
        <w:tc>
          <w:tcPr>
            <w:tcW w:w="200" w:type="dxa"/>
            <w:vAlign w:val="bottom"/>
            <w:tcBorders>
              <w:top w:val="single" w:sz="8" w:color="CCFFCC"/>
            </w:tcBorders>
            <w:shd w:val="clear" w:color="auto" w:fill="CCFFCC"/>
          </w:tcPr>
          <w:p>
            <w:pPr>
              <w:spacing w:after="0"/>
              <w:rPr>
                <w:sz w:val="10"/>
                <w:szCs w:val="10"/>
                <w:color w:val="auto"/>
              </w:rPr>
            </w:pPr>
          </w:p>
        </w:tc>
        <w:tc>
          <w:tcPr>
            <w:tcW w:w="100" w:type="dxa"/>
            <w:vAlign w:val="bottom"/>
            <w:tcBorders>
              <w:top w:val="single" w:sz="8" w:color="auto"/>
            </w:tcBorders>
            <w:shd w:val="clear" w:color="auto" w:fill="CCFFCC"/>
          </w:tcPr>
          <w:p>
            <w:pPr>
              <w:spacing w:after="0"/>
              <w:rPr>
                <w:sz w:val="10"/>
                <w:szCs w:val="10"/>
                <w:color w:val="auto"/>
              </w:rPr>
            </w:pPr>
          </w:p>
        </w:tc>
        <w:tc>
          <w:tcPr>
            <w:tcW w:w="460" w:type="dxa"/>
            <w:vAlign w:val="bottom"/>
            <w:tcBorders>
              <w:top w:val="single" w:sz="8" w:color="auto"/>
            </w:tcBorders>
            <w:shd w:val="clear" w:color="auto" w:fill="CCFFCC"/>
          </w:tcPr>
          <w:p>
            <w:pPr>
              <w:jc w:val="right"/>
              <w:spacing w:after="0" w:line="115" w:lineRule="exact"/>
              <w:rPr>
                <w:sz w:val="20"/>
                <w:szCs w:val="20"/>
                <w:color w:val="auto"/>
              </w:rPr>
            </w:pPr>
            <w:r>
              <w:rPr>
                <w:rFonts w:ascii="Arial" w:cs="Arial" w:eastAsia="Arial" w:hAnsi="Arial"/>
                <w:sz w:val="11"/>
                <w:szCs w:val="11"/>
                <w:color w:val="auto"/>
              </w:rPr>
              <w:t>16.3</w:t>
            </w:r>
          </w:p>
        </w:tc>
        <w:tc>
          <w:tcPr>
            <w:tcW w:w="220" w:type="dxa"/>
            <w:vAlign w:val="bottom"/>
            <w:tcBorders>
              <w:top w:val="single" w:sz="8" w:color="CCFFCC"/>
            </w:tcBorders>
            <w:shd w:val="clear" w:color="auto" w:fill="CCFFCC"/>
          </w:tcPr>
          <w:p>
            <w:pPr>
              <w:spacing w:after="0"/>
              <w:rPr>
                <w:sz w:val="10"/>
                <w:szCs w:val="10"/>
                <w:color w:val="auto"/>
              </w:rPr>
            </w:pPr>
          </w:p>
        </w:tc>
        <w:tc>
          <w:tcPr>
            <w:tcW w:w="580" w:type="dxa"/>
            <w:vAlign w:val="bottom"/>
            <w:tcBorders>
              <w:top w:val="single" w:sz="8" w:color="auto"/>
              <w:right w:val="single" w:sz="8" w:color="CCFFCC"/>
            </w:tcBorders>
            <w:shd w:val="clear" w:color="auto" w:fill="CCFFCC"/>
          </w:tcPr>
          <w:p>
            <w:pPr>
              <w:ind w:left="360"/>
              <w:spacing w:after="0" w:line="115" w:lineRule="exact"/>
              <w:rPr>
                <w:sz w:val="20"/>
                <w:szCs w:val="20"/>
                <w:color w:val="auto"/>
              </w:rPr>
            </w:pPr>
            <w:r>
              <w:rPr>
                <w:rFonts w:ascii="Arial" w:cs="Arial" w:eastAsia="Arial" w:hAnsi="Arial"/>
                <w:sz w:val="11"/>
                <w:szCs w:val="11"/>
                <w:b w:val="1"/>
                <w:bCs w:val="1"/>
                <w:color w:val="auto"/>
                <w:w w:val="83"/>
              </w:rPr>
              <w:t>60.6</w:t>
            </w:r>
          </w:p>
        </w:tc>
        <w:tc>
          <w:tcPr>
            <w:tcW w:w="80" w:type="dxa"/>
            <w:vAlign w:val="bottom"/>
            <w:tcBorders>
              <w:top w:val="single" w:sz="8" w:color="CCFFCC"/>
            </w:tcBorders>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60" w:type="dxa"/>
            <w:vAlign w:val="bottom"/>
            <w:gridSpan w:val="2"/>
          </w:tcPr>
          <w:p>
            <w:pPr>
              <w:spacing w:after="0" w:line="122" w:lineRule="exact"/>
              <w:rPr>
                <w:sz w:val="20"/>
                <w:szCs w:val="20"/>
                <w:color w:val="auto"/>
              </w:rPr>
            </w:pPr>
            <w:r>
              <w:rPr>
                <w:rFonts w:ascii="Arial" w:cs="Arial" w:eastAsia="Arial" w:hAnsi="Arial"/>
                <w:sz w:val="11"/>
                <w:szCs w:val="11"/>
                <w:color w:val="auto"/>
              </w:rPr>
              <w:t>Underwriting results</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6.9</w:t>
            </w:r>
          </w:p>
        </w:tc>
        <w:tc>
          <w:tcPr>
            <w:tcW w:w="26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4.4</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ind w:left="300"/>
              <w:spacing w:after="0" w:line="122" w:lineRule="exact"/>
              <w:rPr>
                <w:sz w:val="20"/>
                <w:szCs w:val="20"/>
                <w:color w:val="auto"/>
              </w:rPr>
            </w:pPr>
            <w:r>
              <w:rPr>
                <w:rFonts w:ascii="Arial" w:cs="Arial" w:eastAsia="Arial" w:hAnsi="Arial"/>
                <w:sz w:val="11"/>
                <w:szCs w:val="11"/>
                <w:color w:val="auto"/>
                <w:w w:val="83"/>
              </w:rPr>
              <w:t>10.6</w:t>
            </w:r>
          </w:p>
        </w:tc>
        <w:tc>
          <w:tcPr>
            <w:tcW w:w="240" w:type="dxa"/>
            <w:vAlign w:val="bottom"/>
          </w:tcPr>
          <w:p>
            <w:pPr>
              <w:spacing w:after="0"/>
              <w:rPr>
                <w:sz w:val="10"/>
                <w:szCs w:val="10"/>
                <w:color w:val="auto"/>
              </w:rPr>
            </w:pPr>
          </w:p>
        </w:tc>
        <w:tc>
          <w:tcPr>
            <w:tcW w:w="580" w:type="dxa"/>
            <w:vAlign w:val="bottom"/>
          </w:tcPr>
          <w:p>
            <w:pPr>
              <w:ind w:left="380"/>
              <w:spacing w:after="0" w:line="122" w:lineRule="exact"/>
              <w:rPr>
                <w:sz w:val="20"/>
                <w:szCs w:val="20"/>
                <w:color w:val="auto"/>
              </w:rPr>
            </w:pPr>
            <w:r>
              <w:rPr>
                <w:rFonts w:ascii="Arial" w:cs="Arial" w:eastAsia="Arial" w:hAnsi="Arial"/>
                <w:sz w:val="11"/>
                <w:szCs w:val="11"/>
                <w:b w:val="1"/>
                <w:bCs w:val="1"/>
                <w:color w:val="auto"/>
                <w:w w:val="83"/>
              </w:rPr>
              <w:t>21.9</w:t>
            </w:r>
          </w:p>
        </w:tc>
        <w:tc>
          <w:tcPr>
            <w:tcW w:w="2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6.9</w:t>
            </w:r>
          </w:p>
        </w:tc>
        <w:tc>
          <w:tcPr>
            <w:tcW w:w="240" w:type="dxa"/>
            <w:vAlign w:val="bottom"/>
          </w:tcPr>
          <w:p>
            <w:pPr>
              <w:spacing w:after="0"/>
              <w:rPr>
                <w:sz w:val="10"/>
                <w:szCs w:val="10"/>
                <w:color w:val="auto"/>
              </w:rPr>
            </w:pPr>
          </w:p>
        </w:tc>
        <w:tc>
          <w:tcPr>
            <w:tcW w:w="820" w:type="dxa"/>
            <w:vAlign w:val="bottom"/>
            <w:gridSpan w:val="2"/>
          </w:tcPr>
          <w:p>
            <w:pPr>
              <w:jc w:val="right"/>
              <w:ind w:right="240"/>
              <w:spacing w:after="0" w:line="122" w:lineRule="exact"/>
              <w:rPr>
                <w:sz w:val="20"/>
                <w:szCs w:val="20"/>
                <w:color w:val="auto"/>
              </w:rPr>
            </w:pPr>
            <w:r>
              <w:rPr>
                <w:rFonts w:ascii="Arial" w:cs="Arial" w:eastAsia="Arial" w:hAnsi="Arial"/>
                <w:sz w:val="11"/>
                <w:szCs w:val="11"/>
                <w:color w:val="auto"/>
              </w:rPr>
              <w:t>5.7</w:t>
            </w:r>
          </w:p>
        </w:tc>
        <w:tc>
          <w:tcPr>
            <w:tcW w:w="7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9.4</w:t>
            </w:r>
          </w:p>
        </w:tc>
        <w:tc>
          <w:tcPr>
            <w:tcW w:w="760" w:type="dxa"/>
            <w:vAlign w:val="bottom"/>
            <w:gridSpan w:val="2"/>
          </w:tcPr>
          <w:p>
            <w:pPr>
              <w:ind w:left="360"/>
              <w:spacing w:after="0" w:line="122" w:lineRule="exact"/>
              <w:rPr>
                <w:sz w:val="20"/>
                <w:szCs w:val="20"/>
                <w:color w:val="auto"/>
              </w:rPr>
            </w:pPr>
            <w:r>
              <w:rPr>
                <w:rFonts w:ascii="Arial" w:cs="Arial" w:eastAsia="Arial" w:hAnsi="Arial"/>
                <w:sz w:val="11"/>
                <w:szCs w:val="11"/>
                <w:b w:val="1"/>
                <w:bCs w:val="1"/>
                <w:color w:val="auto"/>
              </w:rPr>
              <w:t>22.0</w:t>
            </w:r>
          </w:p>
        </w:tc>
        <w:tc>
          <w:tcPr>
            <w:tcW w:w="7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8.1</w:t>
            </w:r>
          </w:p>
        </w:tc>
        <w:tc>
          <w:tcPr>
            <w:tcW w:w="7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1.6</w:t>
            </w:r>
          </w:p>
        </w:tc>
        <w:tc>
          <w:tcPr>
            <w:tcW w:w="100" w:type="dxa"/>
            <w:vAlign w:val="bottom"/>
          </w:tcPr>
          <w:p>
            <w:pPr>
              <w:spacing w:after="0"/>
              <w:rPr>
                <w:sz w:val="10"/>
                <w:szCs w:val="10"/>
                <w:color w:val="auto"/>
              </w:rPr>
            </w:pPr>
          </w:p>
        </w:tc>
        <w:tc>
          <w:tcPr>
            <w:tcW w:w="6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5.4</w:t>
            </w:r>
          </w:p>
        </w:tc>
        <w:tc>
          <w:tcPr>
            <w:tcW w:w="580" w:type="dxa"/>
            <w:vAlign w:val="bottom"/>
          </w:tcPr>
          <w:p>
            <w:pPr>
              <w:ind w:left="360"/>
              <w:spacing w:after="0" w:line="122" w:lineRule="exact"/>
              <w:rPr>
                <w:sz w:val="20"/>
                <w:szCs w:val="20"/>
                <w:color w:val="auto"/>
              </w:rPr>
            </w:pPr>
            <w:r>
              <w:rPr>
                <w:rFonts w:ascii="Arial" w:cs="Arial" w:eastAsia="Arial" w:hAnsi="Arial"/>
                <w:sz w:val="11"/>
                <w:szCs w:val="11"/>
                <w:b w:val="1"/>
                <w:bCs w:val="1"/>
                <w:color w:val="auto"/>
                <w:w w:val="83"/>
              </w:rPr>
              <w:t>18.8</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60" w:type="dxa"/>
            <w:vAlign w:val="bottom"/>
            <w:gridSpan w:val="2"/>
            <w:shd w:val="clear" w:color="auto" w:fill="CCFFCC"/>
          </w:tcPr>
          <w:p>
            <w:pPr>
              <w:spacing w:after="0" w:line="122" w:lineRule="exact"/>
              <w:rPr>
                <w:sz w:val="20"/>
                <w:szCs w:val="20"/>
                <w:color w:val="auto"/>
              </w:rPr>
            </w:pPr>
            <w:r>
              <w:rPr>
                <w:rFonts w:ascii="Arial" w:cs="Arial" w:eastAsia="Arial" w:hAnsi="Arial"/>
                <w:sz w:val="11"/>
                <w:szCs w:val="11"/>
                <w:color w:val="auto"/>
              </w:rPr>
              <w:t>Loss ratio</w:t>
            </w:r>
          </w:p>
        </w:tc>
        <w:tc>
          <w:tcPr>
            <w:tcW w:w="840" w:type="dxa"/>
            <w:vAlign w:val="bottom"/>
            <w:gridSpan w:val="2"/>
            <w:shd w:val="clear" w:color="auto" w:fill="CCFFCC"/>
          </w:tcPr>
          <w:p>
            <w:pPr>
              <w:ind w:left="400"/>
              <w:spacing w:after="0" w:line="122" w:lineRule="exact"/>
              <w:rPr>
                <w:sz w:val="20"/>
                <w:szCs w:val="20"/>
                <w:color w:val="auto"/>
              </w:rPr>
            </w:pPr>
            <w:r>
              <w:rPr>
                <w:rFonts w:ascii="Arial" w:cs="Arial" w:eastAsia="Arial" w:hAnsi="Arial"/>
                <w:sz w:val="11"/>
                <w:szCs w:val="11"/>
                <w:color w:val="auto"/>
              </w:rPr>
              <w:t>50.3%</w:t>
            </w:r>
          </w:p>
        </w:tc>
        <w:tc>
          <w:tcPr>
            <w:tcW w:w="82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71.7%</w:t>
            </w:r>
          </w:p>
        </w:tc>
        <w:tc>
          <w:tcPr>
            <w:tcW w:w="80" w:type="dxa"/>
            <w:vAlign w:val="bottom"/>
            <w:shd w:val="clear" w:color="auto" w:fill="CCFFCC"/>
          </w:tcPr>
          <w:p>
            <w:pPr>
              <w:spacing w:after="0"/>
              <w:rPr>
                <w:sz w:val="10"/>
                <w:szCs w:val="10"/>
                <w:color w:val="auto"/>
              </w:rPr>
            </w:pPr>
          </w:p>
        </w:tc>
        <w:tc>
          <w:tcPr>
            <w:tcW w:w="740" w:type="dxa"/>
            <w:vAlign w:val="bottom"/>
            <w:gridSpan w:val="2"/>
            <w:shd w:val="clear" w:color="auto" w:fill="CCFFCC"/>
          </w:tcPr>
          <w:p>
            <w:pPr>
              <w:ind w:left="300"/>
              <w:spacing w:after="0" w:line="122" w:lineRule="exact"/>
              <w:rPr>
                <w:sz w:val="20"/>
                <w:szCs w:val="20"/>
                <w:color w:val="auto"/>
              </w:rPr>
            </w:pPr>
            <w:r>
              <w:rPr>
                <w:rFonts w:ascii="Arial" w:cs="Arial" w:eastAsia="Arial" w:hAnsi="Arial"/>
                <w:sz w:val="11"/>
                <w:szCs w:val="11"/>
                <w:color w:val="auto"/>
              </w:rPr>
              <w:t>25.4%</w:t>
            </w:r>
          </w:p>
        </w:tc>
        <w:tc>
          <w:tcPr>
            <w:tcW w:w="820" w:type="dxa"/>
            <w:vAlign w:val="bottom"/>
            <w:gridSpan w:val="2"/>
            <w:shd w:val="clear" w:color="auto" w:fill="CCFFCC"/>
          </w:tcPr>
          <w:p>
            <w:pPr>
              <w:ind w:left="380"/>
              <w:spacing w:after="0" w:line="122" w:lineRule="exact"/>
              <w:rPr>
                <w:sz w:val="20"/>
                <w:szCs w:val="20"/>
                <w:color w:val="auto"/>
              </w:rPr>
            </w:pPr>
            <w:r>
              <w:rPr>
                <w:rFonts w:ascii="Arial" w:cs="Arial" w:eastAsia="Arial" w:hAnsi="Arial"/>
                <w:sz w:val="11"/>
                <w:szCs w:val="11"/>
                <w:b w:val="1"/>
                <w:bCs w:val="1"/>
                <w:color w:val="auto"/>
              </w:rPr>
              <w:t>51.3%</w:t>
            </w:r>
          </w:p>
        </w:tc>
        <w:tc>
          <w:tcPr>
            <w:tcW w:w="82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46.4%</w:t>
            </w:r>
          </w:p>
        </w:tc>
        <w:tc>
          <w:tcPr>
            <w:tcW w:w="82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67.5%</w:t>
            </w:r>
          </w:p>
        </w:tc>
        <w:tc>
          <w:tcPr>
            <w:tcW w:w="7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28.0%</w:t>
            </w:r>
          </w:p>
        </w:tc>
        <w:tc>
          <w:tcPr>
            <w:tcW w:w="760" w:type="dxa"/>
            <w:vAlign w:val="bottom"/>
            <w:gridSpan w:val="2"/>
            <w:shd w:val="clear" w:color="auto" w:fill="CCFFCC"/>
          </w:tcPr>
          <w:p>
            <w:pPr>
              <w:ind w:left="360"/>
              <w:spacing w:after="0" w:line="122" w:lineRule="exact"/>
              <w:rPr>
                <w:sz w:val="20"/>
                <w:szCs w:val="20"/>
                <w:color w:val="auto"/>
              </w:rPr>
            </w:pPr>
            <w:r>
              <w:rPr>
                <w:rFonts w:ascii="Arial" w:cs="Arial" w:eastAsia="Arial" w:hAnsi="Arial"/>
                <w:sz w:val="11"/>
                <w:szCs w:val="11"/>
                <w:b w:val="1"/>
                <w:bCs w:val="1"/>
                <w:color w:val="auto"/>
              </w:rPr>
              <w:t>48.7%</w:t>
            </w:r>
          </w:p>
        </w:tc>
        <w:tc>
          <w:tcPr>
            <w:tcW w:w="7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44.8%</w:t>
            </w:r>
          </w:p>
        </w:tc>
        <w:tc>
          <w:tcPr>
            <w:tcW w:w="76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79.9%</w:t>
            </w:r>
          </w:p>
        </w:tc>
        <w:tc>
          <w:tcPr>
            <w:tcW w:w="100" w:type="dxa"/>
            <w:vAlign w:val="bottom"/>
            <w:shd w:val="clear" w:color="auto" w:fill="CCFFCC"/>
          </w:tcPr>
          <w:p>
            <w:pPr>
              <w:spacing w:after="0"/>
              <w:rPr>
                <w:sz w:val="10"/>
                <w:szCs w:val="10"/>
                <w:color w:val="auto"/>
              </w:rPr>
            </w:pPr>
          </w:p>
        </w:tc>
        <w:tc>
          <w:tcPr>
            <w:tcW w:w="6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37.5%</w:t>
            </w:r>
          </w:p>
        </w:tc>
        <w:tc>
          <w:tcPr>
            <w:tcW w:w="660" w:type="dxa"/>
            <w:vAlign w:val="bottom"/>
            <w:gridSpan w:val="2"/>
            <w:shd w:val="clear" w:color="auto" w:fill="CCFFCC"/>
          </w:tcPr>
          <w:p>
            <w:pPr>
              <w:ind w:left="360"/>
              <w:spacing w:after="0" w:line="122" w:lineRule="exact"/>
              <w:rPr>
                <w:sz w:val="20"/>
                <w:szCs w:val="20"/>
                <w:color w:val="auto"/>
              </w:rPr>
            </w:pPr>
            <w:r>
              <w:rPr>
                <w:rFonts w:ascii="Arial" w:cs="Arial" w:eastAsia="Arial" w:hAnsi="Arial"/>
                <w:sz w:val="11"/>
                <w:szCs w:val="11"/>
                <w:b w:val="1"/>
                <w:bCs w:val="1"/>
                <w:color w:val="auto"/>
                <w:w w:val="89"/>
              </w:rPr>
              <w:t>53.9%</w:t>
            </w:r>
          </w:p>
        </w:tc>
        <w:tc>
          <w:tcPr>
            <w:tcW w:w="0" w:type="dxa"/>
            <w:vAlign w:val="bottom"/>
          </w:tcPr>
          <w:p>
            <w:pPr>
              <w:spacing w:after="0"/>
              <w:rPr>
                <w:sz w:val="1"/>
                <w:szCs w:val="1"/>
                <w:color w:val="auto"/>
              </w:rPr>
            </w:pPr>
          </w:p>
        </w:tc>
      </w:tr>
      <w:tr>
        <w:trPr>
          <w:trHeight w:val="112"/>
        </w:trPr>
        <w:tc>
          <w:tcPr>
            <w:tcW w:w="1960" w:type="dxa"/>
            <w:vAlign w:val="bottom"/>
            <w:gridSpan w:val="2"/>
          </w:tcPr>
          <w:p>
            <w:pPr>
              <w:spacing w:after="0" w:line="112" w:lineRule="exact"/>
              <w:rPr>
                <w:sz w:val="20"/>
                <w:szCs w:val="20"/>
                <w:color w:val="auto"/>
              </w:rPr>
            </w:pPr>
            <w:r>
              <w:rPr>
                <w:rFonts w:ascii="Arial" w:cs="Arial" w:eastAsia="Arial" w:hAnsi="Arial"/>
                <w:sz w:val="11"/>
                <w:szCs w:val="11"/>
                <w:color w:val="auto"/>
              </w:rPr>
              <w:t>Underwriting results / net earned</w:t>
            </w: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gridSpan w:val="2"/>
            <w:vMerge w:val="restart"/>
          </w:tcPr>
          <w:p>
            <w:pPr>
              <w:ind w:left="380"/>
              <w:spacing w:after="0"/>
              <w:rPr>
                <w:sz w:val="20"/>
                <w:szCs w:val="20"/>
                <w:color w:val="auto"/>
              </w:rPr>
            </w:pPr>
            <w:r>
              <w:rPr>
                <w:rFonts w:ascii="Arial" w:cs="Arial" w:eastAsia="Arial" w:hAnsi="Arial"/>
                <w:sz w:val="11"/>
                <w:szCs w:val="11"/>
                <w:b w:val="1"/>
                <w:bCs w:val="1"/>
                <w:color w:val="auto"/>
              </w:rPr>
              <w:t>30.7%</w:t>
            </w: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gridSpan w:val="2"/>
            <w:vMerge w:val="restart"/>
          </w:tcPr>
          <w:p>
            <w:pPr>
              <w:ind w:left="360"/>
              <w:spacing w:after="0"/>
              <w:rPr>
                <w:sz w:val="20"/>
                <w:szCs w:val="20"/>
                <w:color w:val="auto"/>
              </w:rPr>
            </w:pPr>
            <w:r>
              <w:rPr>
                <w:rFonts w:ascii="Arial" w:cs="Arial" w:eastAsia="Arial" w:hAnsi="Arial"/>
                <w:sz w:val="11"/>
                <w:szCs w:val="11"/>
                <w:b w:val="1"/>
                <w:bCs w:val="1"/>
                <w:color w:val="auto"/>
              </w:rPr>
              <w:t>31.3%</w:t>
            </w: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gridSpan w:val="2"/>
            <w:vMerge w:val="restart"/>
          </w:tcPr>
          <w:p>
            <w:pPr>
              <w:ind w:left="360"/>
              <w:spacing w:after="0"/>
              <w:rPr>
                <w:sz w:val="20"/>
                <w:szCs w:val="20"/>
                <w:color w:val="auto"/>
              </w:rPr>
            </w:pPr>
            <w:r>
              <w:rPr>
                <w:rFonts w:ascii="Arial" w:cs="Arial" w:eastAsia="Arial" w:hAnsi="Arial"/>
                <w:sz w:val="11"/>
                <w:szCs w:val="11"/>
                <w:b w:val="1"/>
                <w:bCs w:val="1"/>
                <w:color w:val="auto"/>
                <w:w w:val="89"/>
              </w:rPr>
              <w:t>30.9%</w:t>
            </w:r>
          </w:p>
        </w:tc>
        <w:tc>
          <w:tcPr>
            <w:tcW w:w="0" w:type="dxa"/>
            <w:vAlign w:val="bottom"/>
          </w:tcPr>
          <w:p>
            <w:pPr>
              <w:spacing w:after="0"/>
              <w:rPr>
                <w:sz w:val="1"/>
                <w:szCs w:val="1"/>
                <w:color w:val="auto"/>
              </w:rPr>
            </w:pPr>
          </w:p>
        </w:tc>
      </w:tr>
      <w:tr>
        <w:trPr>
          <w:trHeight w:val="145"/>
        </w:trPr>
        <w:tc>
          <w:tcPr>
            <w:tcW w:w="1960" w:type="dxa"/>
            <w:vAlign w:val="bottom"/>
            <w:gridSpan w:val="2"/>
          </w:tcPr>
          <w:p>
            <w:pPr>
              <w:spacing w:after="0"/>
              <w:rPr>
                <w:sz w:val="20"/>
                <w:szCs w:val="20"/>
                <w:color w:val="auto"/>
              </w:rPr>
            </w:pPr>
            <w:r>
              <w:rPr>
                <w:rFonts w:ascii="Arial" w:cs="Arial" w:eastAsia="Arial" w:hAnsi="Arial"/>
                <w:sz w:val="11"/>
                <w:szCs w:val="11"/>
                <w:color w:val="auto"/>
              </w:rPr>
              <w:t>premiums</w:t>
            </w:r>
          </w:p>
        </w:tc>
        <w:tc>
          <w:tcPr>
            <w:tcW w:w="840" w:type="dxa"/>
            <w:vAlign w:val="bottom"/>
            <w:gridSpan w:val="2"/>
          </w:tcPr>
          <w:p>
            <w:pPr>
              <w:ind w:left="400"/>
              <w:spacing w:after="0"/>
              <w:rPr>
                <w:sz w:val="20"/>
                <w:szCs w:val="20"/>
                <w:color w:val="auto"/>
              </w:rPr>
            </w:pPr>
            <w:r>
              <w:rPr>
                <w:rFonts w:ascii="Arial" w:cs="Arial" w:eastAsia="Arial" w:hAnsi="Arial"/>
                <w:sz w:val="11"/>
                <w:szCs w:val="11"/>
                <w:color w:val="auto"/>
              </w:rPr>
              <w:t>24.1%</w:t>
            </w: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18.0%</w:t>
            </w:r>
          </w:p>
        </w:tc>
        <w:tc>
          <w:tcPr>
            <w:tcW w:w="80" w:type="dxa"/>
            <w:vAlign w:val="bottom"/>
          </w:tcPr>
          <w:p>
            <w:pPr>
              <w:spacing w:after="0"/>
              <w:rPr>
                <w:sz w:val="12"/>
                <w:szCs w:val="12"/>
                <w:color w:val="auto"/>
              </w:rPr>
            </w:pPr>
          </w:p>
        </w:tc>
        <w:tc>
          <w:tcPr>
            <w:tcW w:w="740" w:type="dxa"/>
            <w:vAlign w:val="bottom"/>
            <w:gridSpan w:val="2"/>
          </w:tcPr>
          <w:p>
            <w:pPr>
              <w:ind w:left="300"/>
              <w:spacing w:after="0"/>
              <w:rPr>
                <w:sz w:val="20"/>
                <w:szCs w:val="20"/>
                <w:color w:val="auto"/>
              </w:rPr>
            </w:pPr>
            <w:r>
              <w:rPr>
                <w:rFonts w:ascii="Arial" w:cs="Arial" w:eastAsia="Arial" w:hAnsi="Arial"/>
                <w:sz w:val="11"/>
                <w:szCs w:val="11"/>
                <w:color w:val="auto"/>
              </w:rPr>
              <w:t>57.9%</w:t>
            </w:r>
          </w:p>
        </w:tc>
        <w:tc>
          <w:tcPr>
            <w:tcW w:w="820" w:type="dxa"/>
            <w:vAlign w:val="bottom"/>
            <w:gridSpan w:val="2"/>
            <w:vMerge w:val="continue"/>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24.9%</w:t>
            </w: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23.9%</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50.4%</w:t>
            </w:r>
          </w:p>
        </w:tc>
        <w:tc>
          <w:tcPr>
            <w:tcW w:w="760" w:type="dxa"/>
            <w:vAlign w:val="bottom"/>
            <w:gridSpan w:val="2"/>
            <w:vMerge w:val="continue"/>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32.1%</w:t>
            </w: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8.5%</w:t>
            </w:r>
          </w:p>
        </w:tc>
        <w:tc>
          <w:tcPr>
            <w:tcW w:w="10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33.0%</w:t>
            </w: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1300" w:hanging="644"/>
        <w:spacing w:after="0" w:line="264"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Car Insurance business posted an underwriting result of US$ 6.9 million in 3Q12 (+0.2% QoQ). Growth in net claims in the Car business (+5.4% QoQ), which reflects an increase in claim frequency, offset the 3.6% QoQ growth registered in the NEP and explains why the underwriting result is basically flat QoQ.</w:t>
      </w:r>
    </w:p>
    <w:p>
      <w:pPr>
        <w:spacing w:after="0" w:line="181"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Private Health business reported an underwriting result of US$ 4.4 million in 4Q12 (-23.1% QoQ). This result was attributable to the increase seen in the loss ratio (67.5% in 3Q12 versus 71.5% this quarter), which was due to seasonal factors that affect this business every 4Q. In annual terms, the underwriting result grew 172% due to an increase in NEP (+27.7%) following successful initiatives to capture corporate accounts.</w:t>
      </w:r>
    </w:p>
    <w:p>
      <w:pPr>
        <w:spacing w:after="0" w:line="186"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Property and Casualty business (P &amp; C) obtained an underwriting result of US$ 10.6 million in 4Q12 (+12.4% QoQ). This result is associated with an increase in reinsurance commissions and the decline posted in the loss ratio, which fell from 28% in 3Q12 to 25.4% this quarter.</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With these results, the P &amp; C business obtained a combined ratio of 101.9% this 4Q12. This result can be disaggregated in the following manner: 51.3 points correspond to the costs and expenses relative to net claims (loss ratio); 18.1 points correspond to business acquisition costs; and the remaining 32.5 points correspond to general and administrative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Pacifico Life (PV)</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Pacifico Vida obtained net earnings before minority interest of US$ 16.9 million in 4Q12, which represents a 12.9% increase with regard to the amount obtained in 3Q12 (US$ 14.9 million) due to: a) an improvement in the underwriting result (lower AFP reserves) and b) a more favorable financial result.</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underwriting result of US$ 4.2 million obtained in 4Q12 was significantly higher than 3Q12’s result (US$ -0.7 million), which was due primarily to the increase in the NEP (+6.7%) following a reserves release in the AFP business (release due to maturity).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General expenses grew 33% QoQ. The items that drove this increase were personnel expenses and third-party services, which increased from US$ 6.5 million in 3Q12 to US$ 9.1 million in 4Q12.</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14" w:right="239" w:bottom="1440" w:gutter="0" w:footer="0" w:header="0"/>
        </w:sectPr>
      </w:pPr>
    </w:p>
    <w:bookmarkStart w:id="32" w:name="page33"/>
    <w:bookmarkEnd w:id="3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7266940</wp:posOffset>
            </wp:positionH>
            <wp:positionV relativeFrom="page">
              <wp:posOffset>568960</wp:posOffset>
            </wp:positionV>
            <wp:extent cx="13716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clrChange>
                        <a:clrFrom>
                          <a:srgbClr val="FFFFFF"/>
                        </a:clrFrom>
                        <a:clrTo>
                          <a:srgbClr val="FFFFFF">
                            <a:alpha val="0"/>
                          </a:srgbClr>
                        </a:clrTo>
                      </a:clrChange>
                      <a:extLst>
                        <a:ext uri="{28A0092B-C50C-407E-A947-70E740481C1C}"/>
                      </a:extLst>
                    </a:blip>
                    <a:srcRect/>
                    <a:stretch>
                      <a:fillRect/>
                    </a:stretch>
                  </pic:blipFill>
                  <pic:spPr bwMode="auto">
                    <a:xfrm>
                      <a:off x="0" y="0"/>
                      <a:ext cx="137160" cy="137160"/>
                    </a:xfrm>
                    <a:prstGeom prst="rect">
                      <a:avLst/>
                    </a:prstGeom>
                    <a:noFill/>
                  </pic:spPr>
                </pic:pic>
              </a:graphicData>
            </a:graphic>
          </wp:anchor>
        </w:drawing>
        <w:t>Net financial income increased 5% QoQ. This evolution was associated with positive yields on our portfolio; more sales of securities; and leasing income.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Finally, in 4Q12 the translation result fell US$ 1.1 million with regard to the figure posted in 3Q12.</w:t>
      </w:r>
    </w:p>
    <w:p>
      <w:pPr>
        <w:spacing w:after="0" w:line="221"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2460" w:type="dxa"/>
            <w:vAlign w:val="bottom"/>
            <w:gridSpan w:val="4"/>
          </w:tcPr>
          <w:p>
            <w:pPr>
              <w:ind w:left="1020"/>
              <w:spacing w:after="0"/>
              <w:rPr>
                <w:sz w:val="20"/>
                <w:szCs w:val="20"/>
                <w:color w:val="auto"/>
              </w:rPr>
            </w:pPr>
            <w:r>
              <w:rPr>
                <w:rFonts w:ascii="Arial" w:cs="Arial" w:eastAsia="Arial" w:hAnsi="Arial"/>
                <w:sz w:val="18"/>
                <w:szCs w:val="18"/>
                <w:b w:val="1"/>
                <w:bCs w:val="1"/>
                <w:color w:val="auto"/>
              </w:rPr>
              <w:t>Pacífico Vida</w:t>
            </w: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3320" w:type="dxa"/>
            <w:vAlign w:val="bottom"/>
            <w:gridSpan w:val="2"/>
          </w:tcPr>
          <w:p>
            <w:pPr>
              <w:spacing w:after="0"/>
              <w:rPr>
                <w:sz w:val="20"/>
                <w:szCs w:val="20"/>
                <w:color w:val="auto"/>
              </w:rPr>
            </w:pPr>
            <w:r>
              <w:rPr>
                <w:rFonts w:ascii="Arial" w:cs="Arial" w:eastAsia="Arial" w:hAnsi="Arial"/>
                <w:sz w:val="18"/>
                <w:szCs w:val="18"/>
                <w:b w:val="1"/>
                <w:bCs w:val="1"/>
                <w:color w:val="auto"/>
              </w:rPr>
              <w:t>Products</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gridSpan w:val="5"/>
          </w:tcPr>
          <w:p>
            <w:pPr>
              <w:jc w:val="center"/>
              <w:ind w:left="550"/>
              <w:spacing w:after="0"/>
              <w:rPr>
                <w:sz w:val="20"/>
                <w:szCs w:val="20"/>
                <w:color w:val="auto"/>
              </w:rPr>
            </w:pPr>
            <w:r>
              <w:rPr>
                <w:rFonts w:ascii="Arial" w:cs="Arial" w:eastAsia="Arial" w:hAnsi="Arial"/>
                <w:sz w:val="18"/>
                <w:szCs w:val="18"/>
                <w:b w:val="1"/>
                <w:bCs w:val="1"/>
                <w:color w:val="auto"/>
                <w:w w:val="90"/>
              </w:rPr>
              <w:t>Total Premiums</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Change %</w:t>
            </w:r>
          </w:p>
        </w:tc>
        <w:tc>
          <w:tcPr>
            <w:tcW w:w="0" w:type="dxa"/>
            <w:vAlign w:val="bottom"/>
          </w:tcPr>
          <w:p>
            <w:pPr>
              <w:spacing w:after="0"/>
              <w:rPr>
                <w:sz w:val="1"/>
                <w:szCs w:val="1"/>
                <w:color w:val="auto"/>
              </w:rPr>
            </w:pPr>
          </w:p>
        </w:tc>
      </w:tr>
      <w:tr>
        <w:trPr>
          <w:trHeight w:val="234"/>
        </w:trPr>
        <w:tc>
          <w:tcPr>
            <w:tcW w:w="3320" w:type="dxa"/>
            <w:vAlign w:val="bottom"/>
            <w:gridSpan w:val="2"/>
          </w:tcPr>
          <w:p>
            <w:pPr>
              <w:spacing w:after="0"/>
              <w:rPr>
                <w:sz w:val="20"/>
                <w:szCs w:val="20"/>
                <w:color w:val="auto"/>
              </w:rPr>
            </w:pPr>
            <w:r>
              <w:rPr>
                <w:rFonts w:ascii="Arial" w:cs="Arial" w:eastAsia="Arial" w:hAnsi="Arial"/>
                <w:sz w:val="18"/>
                <w:szCs w:val="18"/>
                <w:color w:val="auto"/>
              </w:rPr>
              <w:t>US$ million</w:t>
            </w: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ind w:left="180"/>
              <w:spacing w:after="0"/>
              <w:rPr>
                <w:sz w:val="20"/>
                <w:szCs w:val="20"/>
                <w:color w:val="auto"/>
              </w:rPr>
            </w:pPr>
            <w:r>
              <w:rPr>
                <w:rFonts w:ascii="Arial" w:cs="Arial" w:eastAsia="Arial" w:hAnsi="Arial"/>
                <w:sz w:val="18"/>
                <w:szCs w:val="18"/>
                <w:b w:val="1"/>
                <w:bCs w:val="1"/>
                <w:color w:val="auto"/>
              </w:rPr>
              <w:t>4Q12</w:t>
            </w:r>
          </w:p>
        </w:tc>
        <w:tc>
          <w:tcPr>
            <w:tcW w:w="106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0"/>
              </w:rPr>
              <w:t>3Q12</w:t>
            </w:r>
          </w:p>
        </w:tc>
        <w:tc>
          <w:tcPr>
            <w:tcW w:w="860" w:type="dxa"/>
            <w:vAlign w:val="bottom"/>
            <w:gridSpan w:val="2"/>
          </w:tcPr>
          <w:p>
            <w:pPr>
              <w:ind w:left="80"/>
              <w:spacing w:after="0"/>
              <w:rPr>
                <w:sz w:val="20"/>
                <w:szCs w:val="20"/>
                <w:color w:val="auto"/>
              </w:rPr>
            </w:pPr>
            <w:r>
              <w:rPr>
                <w:rFonts w:ascii="Arial" w:cs="Arial" w:eastAsia="Arial" w:hAnsi="Arial"/>
                <w:sz w:val="18"/>
                <w:szCs w:val="18"/>
                <w:b w:val="1"/>
                <w:bCs w:val="1"/>
                <w:color w:val="auto"/>
              </w:rPr>
              <w:t>4Q11</w:t>
            </w:r>
          </w:p>
        </w:tc>
        <w:tc>
          <w:tcPr>
            <w:tcW w:w="106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ToT</w:t>
            </w:r>
          </w:p>
        </w:tc>
        <w:tc>
          <w:tcPr>
            <w:tcW w:w="94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AoA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shd w:val="clear" w:color="auto" w:fill="CCFFCC"/>
          </w:tcPr>
          <w:p>
            <w:pPr>
              <w:spacing w:after="0"/>
              <w:rPr>
                <w:sz w:val="20"/>
                <w:szCs w:val="20"/>
                <w:color w:val="auto"/>
              </w:rPr>
            </w:pPr>
            <w:r>
              <w:rPr>
                <w:rFonts w:ascii="Arial" w:cs="Arial" w:eastAsia="Arial" w:hAnsi="Arial"/>
                <w:sz w:val="18"/>
                <w:szCs w:val="18"/>
                <w:color w:val="auto"/>
              </w:rPr>
              <w:t>Individual life</w:t>
            </w:r>
          </w:p>
        </w:tc>
        <w:tc>
          <w:tcPr>
            <w:tcW w:w="1400" w:type="dxa"/>
            <w:vAlign w:val="bottom"/>
            <w:shd w:val="clear" w:color="auto" w:fill="CCFFCC"/>
          </w:tcPr>
          <w:p>
            <w:pPr>
              <w:spacing w:after="0"/>
              <w:rPr>
                <w:sz w:val="18"/>
                <w:szCs w:val="18"/>
                <w:color w:val="auto"/>
              </w:rPr>
            </w:pPr>
          </w:p>
        </w:tc>
        <w:tc>
          <w:tcPr>
            <w:tcW w:w="100" w:type="dxa"/>
            <w:vAlign w:val="bottom"/>
            <w:vMerge w:val="continue"/>
            <w:shd w:val="clear" w:color="auto" w:fill="CCFFCC"/>
          </w:tcPr>
          <w:p>
            <w:pPr>
              <w:spacing w:after="0"/>
              <w:rPr>
                <w:sz w:val="18"/>
                <w:szCs w:val="18"/>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19.7</w:t>
            </w:r>
          </w:p>
        </w:tc>
        <w:tc>
          <w:tcPr>
            <w:tcW w:w="180" w:type="dxa"/>
            <w:vAlign w:val="bottom"/>
            <w:shd w:val="clear" w:color="auto" w:fill="CCFFCC"/>
          </w:tcPr>
          <w:p>
            <w:pPr>
              <w:spacing w:after="0"/>
              <w:rPr>
                <w:sz w:val="18"/>
                <w:szCs w:val="18"/>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18.9</w:t>
            </w:r>
          </w:p>
        </w:tc>
        <w:tc>
          <w:tcPr>
            <w:tcW w:w="2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17.6</w:t>
            </w:r>
          </w:p>
        </w:tc>
        <w:tc>
          <w:tcPr>
            <w:tcW w:w="20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4.1%</w:t>
            </w:r>
          </w:p>
        </w:tc>
        <w:tc>
          <w:tcPr>
            <w:tcW w:w="9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Individual annuity</w:t>
            </w:r>
          </w:p>
        </w:tc>
        <w:tc>
          <w:tcPr>
            <w:tcW w:w="2280" w:type="dxa"/>
            <w:vAlign w:val="bottom"/>
            <w:gridSpan w:val="3"/>
          </w:tcPr>
          <w:p>
            <w:pPr>
              <w:jc w:val="right"/>
              <w:spacing w:after="0"/>
              <w:rPr>
                <w:sz w:val="20"/>
                <w:szCs w:val="20"/>
                <w:color w:val="auto"/>
              </w:rPr>
            </w:pPr>
            <w:r>
              <w:rPr>
                <w:rFonts w:ascii="Arial" w:cs="Arial" w:eastAsia="Arial" w:hAnsi="Arial"/>
                <w:sz w:val="18"/>
                <w:szCs w:val="18"/>
                <w:color w:val="auto"/>
              </w:rPr>
              <w:t>25.5</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19.6</w:t>
            </w:r>
          </w:p>
        </w:tc>
        <w:tc>
          <w:tcPr>
            <w:tcW w:w="200" w:type="dxa"/>
            <w:vAlign w:val="bottom"/>
          </w:tcPr>
          <w:p>
            <w:pPr>
              <w:spacing w:after="0"/>
              <w:rPr>
                <w:sz w:val="18"/>
                <w:szCs w:val="18"/>
                <w:color w:val="auto"/>
              </w:rPr>
            </w:pPr>
          </w:p>
        </w:tc>
        <w:tc>
          <w:tcPr>
            <w:tcW w:w="1060" w:type="dxa"/>
            <w:vAlign w:val="bottom"/>
            <w:gridSpan w:val="2"/>
          </w:tcPr>
          <w:p>
            <w:pPr>
              <w:jc w:val="right"/>
              <w:ind w:right="70"/>
              <w:spacing w:after="0"/>
              <w:rPr>
                <w:sz w:val="20"/>
                <w:szCs w:val="20"/>
                <w:color w:val="auto"/>
              </w:rPr>
            </w:pPr>
            <w:r>
              <w:rPr>
                <w:rFonts w:ascii="Arial" w:cs="Arial" w:eastAsia="Arial" w:hAnsi="Arial"/>
                <w:sz w:val="18"/>
                <w:szCs w:val="18"/>
                <w:color w:val="auto"/>
              </w:rPr>
              <w:t>-9.3%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FFCC"/>
          </w:tcPr>
          <w:p>
            <w:pPr>
              <w:spacing w:after="0"/>
              <w:rPr>
                <w:sz w:val="20"/>
                <w:szCs w:val="20"/>
                <w:color w:val="auto"/>
              </w:rPr>
            </w:pPr>
            <w:r>
              <w:rPr>
                <w:rFonts w:ascii="Arial" w:cs="Arial" w:eastAsia="Arial" w:hAnsi="Arial"/>
                <w:sz w:val="18"/>
                <w:szCs w:val="18"/>
                <w:color w:val="auto"/>
              </w:rPr>
              <w:t>Disability &amp; survivor (Pension)</w:t>
            </w:r>
          </w:p>
        </w:tc>
        <w:tc>
          <w:tcPr>
            <w:tcW w:w="228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19.6</w:t>
            </w:r>
          </w:p>
        </w:tc>
        <w:tc>
          <w:tcPr>
            <w:tcW w:w="180" w:type="dxa"/>
            <w:vAlign w:val="bottom"/>
            <w:shd w:val="clear" w:color="auto" w:fill="CCFFCC"/>
          </w:tcPr>
          <w:p>
            <w:pPr>
              <w:spacing w:after="0"/>
              <w:rPr>
                <w:sz w:val="18"/>
                <w:szCs w:val="18"/>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20.5</w:t>
            </w:r>
          </w:p>
        </w:tc>
        <w:tc>
          <w:tcPr>
            <w:tcW w:w="2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15.6</w:t>
            </w:r>
          </w:p>
        </w:tc>
        <w:tc>
          <w:tcPr>
            <w:tcW w:w="20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-4.4%</w:t>
            </w:r>
          </w:p>
        </w:tc>
        <w:tc>
          <w:tcPr>
            <w:tcW w:w="9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Credit Life</w:t>
            </w:r>
          </w:p>
        </w:tc>
        <w:tc>
          <w:tcPr>
            <w:tcW w:w="2280" w:type="dxa"/>
            <w:vAlign w:val="bottom"/>
            <w:gridSpan w:val="3"/>
          </w:tcPr>
          <w:p>
            <w:pPr>
              <w:jc w:val="right"/>
              <w:spacing w:after="0"/>
              <w:rPr>
                <w:sz w:val="20"/>
                <w:szCs w:val="20"/>
                <w:color w:val="auto"/>
              </w:rPr>
            </w:pPr>
            <w:r>
              <w:rPr>
                <w:rFonts w:ascii="Arial" w:cs="Arial" w:eastAsia="Arial" w:hAnsi="Arial"/>
                <w:sz w:val="18"/>
                <w:szCs w:val="18"/>
                <w:color w:val="auto"/>
              </w:rPr>
              <w:t>17.8</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12.1</w:t>
            </w:r>
          </w:p>
        </w:tc>
        <w:tc>
          <w:tcPr>
            <w:tcW w:w="200" w:type="dxa"/>
            <w:vAlign w:val="bottom"/>
          </w:tcPr>
          <w:p>
            <w:pPr>
              <w:spacing w:after="0"/>
              <w:rPr>
                <w:sz w:val="18"/>
                <w:szCs w:val="18"/>
                <w:color w:val="auto"/>
              </w:rPr>
            </w:pPr>
          </w:p>
        </w:tc>
        <w:tc>
          <w:tcPr>
            <w:tcW w:w="1060" w:type="dxa"/>
            <w:vAlign w:val="bottom"/>
            <w:gridSpan w:val="2"/>
          </w:tcPr>
          <w:p>
            <w:pPr>
              <w:jc w:val="right"/>
              <w:ind w:right="70"/>
              <w:spacing w:after="0"/>
              <w:rPr>
                <w:sz w:val="20"/>
                <w:szCs w:val="20"/>
                <w:color w:val="auto"/>
              </w:rPr>
            </w:pPr>
            <w:r>
              <w:rPr>
                <w:rFonts w:ascii="Arial" w:cs="Arial" w:eastAsia="Arial" w:hAnsi="Arial"/>
                <w:sz w:val="18"/>
                <w:szCs w:val="18"/>
                <w:color w:val="auto"/>
              </w:rPr>
              <w:t>12.6%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FFCC"/>
          </w:tcPr>
          <w:p>
            <w:pPr>
              <w:spacing w:after="0"/>
              <w:rPr>
                <w:sz w:val="20"/>
                <w:szCs w:val="20"/>
                <w:color w:val="auto"/>
              </w:rPr>
            </w:pPr>
            <w:r>
              <w:rPr>
                <w:rFonts w:ascii="Arial" w:cs="Arial" w:eastAsia="Arial" w:hAnsi="Arial"/>
                <w:sz w:val="18"/>
                <w:szCs w:val="18"/>
                <w:color w:val="auto"/>
              </w:rPr>
              <w:t>Personal accidents</w:t>
            </w:r>
          </w:p>
        </w:tc>
        <w:tc>
          <w:tcPr>
            <w:tcW w:w="228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4.9</w:t>
            </w:r>
          </w:p>
        </w:tc>
        <w:tc>
          <w:tcPr>
            <w:tcW w:w="180" w:type="dxa"/>
            <w:vAlign w:val="bottom"/>
            <w:shd w:val="clear" w:color="auto" w:fill="CCFFCC"/>
          </w:tcPr>
          <w:p>
            <w:pPr>
              <w:spacing w:after="0"/>
              <w:rPr>
                <w:sz w:val="18"/>
                <w:szCs w:val="18"/>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w:t>
            </w:r>
          </w:p>
        </w:tc>
        <w:tc>
          <w:tcPr>
            <w:tcW w:w="2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4.4</w:t>
            </w:r>
          </w:p>
        </w:tc>
        <w:tc>
          <w:tcPr>
            <w:tcW w:w="20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2.9%</w:t>
            </w:r>
          </w:p>
        </w:tc>
        <w:tc>
          <w:tcPr>
            <w:tcW w:w="9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Group life (Law)</w:t>
            </w:r>
          </w:p>
        </w:tc>
        <w:tc>
          <w:tcPr>
            <w:tcW w:w="2280" w:type="dxa"/>
            <w:vAlign w:val="bottom"/>
            <w:gridSpan w:val="3"/>
          </w:tcPr>
          <w:p>
            <w:pPr>
              <w:jc w:val="right"/>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8"/>
                <w:szCs w:val="18"/>
                <w:color w:val="auto"/>
              </w:rPr>
            </w:pPr>
          </w:p>
        </w:tc>
        <w:tc>
          <w:tcPr>
            <w:tcW w:w="1060" w:type="dxa"/>
            <w:vAlign w:val="bottom"/>
            <w:gridSpan w:val="2"/>
          </w:tcPr>
          <w:p>
            <w:pPr>
              <w:jc w:val="right"/>
              <w:ind w:right="70"/>
              <w:spacing w:after="0"/>
              <w:rPr>
                <w:sz w:val="20"/>
                <w:szCs w:val="20"/>
                <w:color w:val="auto"/>
              </w:rPr>
            </w:pPr>
            <w:r>
              <w:rPr>
                <w:rFonts w:ascii="Arial" w:cs="Arial" w:eastAsia="Arial" w:hAnsi="Arial"/>
                <w:sz w:val="18"/>
                <w:szCs w:val="18"/>
                <w:color w:val="auto"/>
              </w:rPr>
              <w:t>7.8%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FFCC"/>
          </w:tcPr>
          <w:p>
            <w:pPr>
              <w:spacing w:after="0"/>
              <w:rPr>
                <w:sz w:val="20"/>
                <w:szCs w:val="20"/>
                <w:color w:val="auto"/>
              </w:rPr>
            </w:pPr>
            <w:r>
              <w:rPr>
                <w:rFonts w:ascii="Arial" w:cs="Arial" w:eastAsia="Arial" w:hAnsi="Arial"/>
                <w:sz w:val="18"/>
                <w:szCs w:val="18"/>
                <w:color w:val="auto"/>
              </w:rPr>
              <w:t>Group life</w:t>
            </w:r>
          </w:p>
        </w:tc>
        <w:tc>
          <w:tcPr>
            <w:tcW w:w="228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4.9</w:t>
            </w:r>
          </w:p>
        </w:tc>
        <w:tc>
          <w:tcPr>
            <w:tcW w:w="180" w:type="dxa"/>
            <w:vAlign w:val="bottom"/>
            <w:shd w:val="clear" w:color="auto" w:fill="CCFFCC"/>
          </w:tcPr>
          <w:p>
            <w:pPr>
              <w:spacing w:after="0"/>
              <w:rPr>
                <w:sz w:val="18"/>
                <w:szCs w:val="18"/>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4.2</w:t>
            </w:r>
          </w:p>
        </w:tc>
        <w:tc>
          <w:tcPr>
            <w:tcW w:w="2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15.9%</w:t>
            </w:r>
          </w:p>
        </w:tc>
        <w:tc>
          <w:tcPr>
            <w:tcW w:w="9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Limited workers compensation</w:t>
            </w:r>
          </w:p>
        </w:tc>
        <w:tc>
          <w:tcPr>
            <w:tcW w:w="2280" w:type="dxa"/>
            <w:vAlign w:val="bottom"/>
            <w:gridSpan w:val="3"/>
          </w:tcPr>
          <w:p>
            <w:pPr>
              <w:jc w:val="right"/>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9"/>
                <w:szCs w:val="19"/>
                <w:color w:val="auto"/>
              </w:rPr>
            </w:pPr>
          </w:p>
        </w:tc>
        <w:tc>
          <w:tcPr>
            <w:tcW w:w="1060" w:type="dxa"/>
            <w:vAlign w:val="bottom"/>
            <w:gridSpan w:val="2"/>
          </w:tcPr>
          <w:p>
            <w:pPr>
              <w:jc w:val="right"/>
              <w:ind w:right="70"/>
              <w:spacing w:after="0"/>
              <w:rPr>
                <w:sz w:val="20"/>
                <w:szCs w:val="20"/>
                <w:color w:val="auto"/>
              </w:rPr>
            </w:pPr>
            <w:r>
              <w:rPr>
                <w:rFonts w:ascii="Arial" w:cs="Arial" w:eastAsia="Arial" w:hAnsi="Arial"/>
                <w:sz w:val="18"/>
                <w:szCs w:val="18"/>
                <w:color w:val="auto"/>
              </w:rPr>
              <w:t>-5.5%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140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7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101.4</w:t>
            </w:r>
          </w:p>
        </w:tc>
        <w:tc>
          <w:tcPr>
            <w:tcW w:w="180" w:type="dxa"/>
            <w:vAlign w:val="bottom"/>
            <w:tcBorders>
              <w:top w:val="single" w:sz="8" w:color="CCFFCC"/>
            </w:tcBorders>
            <w:shd w:val="clear" w:color="auto" w:fill="CCFFCC"/>
          </w:tcPr>
          <w:p>
            <w:pPr>
              <w:spacing w:after="0"/>
              <w:rPr>
                <w:sz w:val="18"/>
                <w:szCs w:val="18"/>
                <w:color w:val="auto"/>
              </w:rPr>
            </w:pPr>
          </w:p>
        </w:tc>
        <w:tc>
          <w:tcPr>
            <w:tcW w:w="7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101.4</w:t>
            </w:r>
          </w:p>
        </w:tc>
        <w:tc>
          <w:tcPr>
            <w:tcW w:w="20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bottom w:val="single" w:sz="8" w:color="auto"/>
            </w:tcBorders>
            <w:shd w:val="clear" w:color="auto" w:fill="CCFFCC"/>
          </w:tcPr>
          <w:p>
            <w:pPr>
              <w:spacing w:after="0"/>
              <w:rPr>
                <w:sz w:val="18"/>
                <w:szCs w:val="18"/>
                <w:color w:val="auto"/>
              </w:rPr>
            </w:pPr>
          </w:p>
        </w:tc>
        <w:tc>
          <w:tcPr>
            <w:tcW w:w="6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79.7</w:t>
            </w:r>
          </w:p>
        </w:tc>
        <w:tc>
          <w:tcPr>
            <w:tcW w:w="200" w:type="dxa"/>
            <w:vAlign w:val="bottom"/>
            <w:tcBorders>
              <w:top w:val="single" w:sz="8" w:color="CCFFCC"/>
            </w:tcBorders>
            <w:shd w:val="clear" w:color="auto" w:fill="CCFFCC"/>
          </w:tcPr>
          <w:p>
            <w:pPr>
              <w:spacing w:after="0"/>
              <w:rPr>
                <w:sz w:val="18"/>
                <w:szCs w:val="18"/>
                <w:color w:val="auto"/>
              </w:rPr>
            </w:pPr>
          </w:p>
        </w:tc>
        <w:tc>
          <w:tcPr>
            <w:tcW w:w="7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0.0</w:t>
            </w:r>
          </w:p>
        </w:tc>
        <w:tc>
          <w:tcPr>
            <w:tcW w:w="300" w:type="dxa"/>
            <w:vAlign w:val="bottom"/>
            <w:tcBorders>
              <w:top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27.3</w:t>
            </w:r>
          </w:p>
        </w:tc>
        <w:tc>
          <w:tcPr>
            <w:tcW w:w="18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Pacifico Health (EPS)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4Q12, Pacifico Salud recorded a net loss of -US$ 1.9 million, which was similar to the loss of -US$ 1.6 million reported in 3Q12. This result is due to an increase in income tax provision (+US$ 1.2 million) due primarily to: (i) earnings generated in the month of December (US$ 1.1 million) and (ii) earnings generated ($1 million) due to Análisis Clínicos ML (ACML’s) contribution to Pacifico Servicios Generales.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underwriting result in 4Q12 was US$ 4.5 million. This represents an improvement over 3Q12’s figure (+11.7%) and was primarily due to an increase in the NEP (+ US$ 2.7 million), particularly in Group Health and Individual Health Insurance.</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General expenses fell -14.4% QoQ. Third party services were the primary contributor to this evolution, posting a -38.7% QoQ decline due to a reversal of accumulated provisions for advertising.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Medical Subsidiaries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4Q12, the medical subsidiaries posted an underwriting result of US$ 10.4 million. This represented an increase of US$ 2.4 million with regard to the figure registered at the end of 3Q12 (+30%), which was due to the fact that: i) previously acquired acquisitions entered the medical services network (Clínica Belén and Laboratorio Arias Stella), and ii) improvements were made in sales at existing clinics. Nevertheless, the last line of the consolidated businesses posted a loss after minority interest of US$ 2.3 million versus a loss of US$ 0.4 million in the previous period. This was primarily due to the charges and provisions that were identified during the aforementioned process to organize our operations according to Credicorp’s standards.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2012</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Net earnings obtained before minority interest in 2012 fell 2% below the figure reported for last year (US$ 68.5 million vs. US$ 67.5 million, respectively). This result is due to: (i) an increase in the loss ratio in Property and Casualty insurance (+170 bps), which was due to the fact that three severe claims were reported at the beginning of the year, and Health (+320 bps); the fact that premiums for both these lines are experiencing downward pressure due to intense competition; and (ii) the increase in general expenses (+22.5%) due to investments in the Medical Subsidiaries and Property and Casualty Insurance.</w:t>
      </w:r>
    </w:p>
    <w:p>
      <w:pPr>
        <w:spacing w:after="0" w:line="3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14" w:right="239" w:bottom="1440" w:gutter="0" w:footer="0" w:header="0"/>
        </w:sectPr>
      </w:pPr>
    </w:p>
    <w:bookmarkStart w:id="33" w:name="page34"/>
    <w:bookmarkEnd w:id="33"/>
    <w:p>
      <w:pPr>
        <w:jc w:val="both"/>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7266940</wp:posOffset>
            </wp:positionH>
            <wp:positionV relativeFrom="page">
              <wp:posOffset>568960</wp:posOffset>
            </wp:positionV>
            <wp:extent cx="13716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clrChange>
                        <a:clrFrom>
                          <a:srgbClr val="FFFFFF"/>
                        </a:clrFrom>
                        <a:clrTo>
                          <a:srgbClr val="FFFFFF">
                            <a:alpha val="0"/>
                          </a:srgbClr>
                        </a:clrTo>
                      </a:clrChange>
                      <a:extLst>
                        <a:ext uri="{28A0092B-C50C-407E-A947-70E740481C1C}"/>
                      </a:extLst>
                    </a:blip>
                    <a:srcRect/>
                    <a:stretch>
                      <a:fillRect/>
                    </a:stretch>
                  </pic:blipFill>
                  <pic:spPr bwMode="auto">
                    <a:xfrm>
                      <a:off x="0" y="0"/>
                      <a:ext cx="137160" cy="137160"/>
                    </a:xfrm>
                    <a:prstGeom prst="rect">
                      <a:avLst/>
                    </a:prstGeom>
                    <a:noFill/>
                  </pic:spPr>
                </pic:pic>
              </a:graphicData>
            </a:graphic>
          </wp:anchor>
        </w:drawing>
        <w:t>In terms of premium turnover, PGA reported a Direct Premium of US$ 1,019 million and a NEP level of US$ 723.8 million. These figures represent an increase of 17% and 23% respectively with regard to 2011. With this result, the Pacifico Insurance Group reached the billion dollar mark in sales for the first time in its history. The increases posted in the Direct Premium and in the NEP are evident in all three business lines. At EPS, we obtained growth of 23.1% in both our Direct Premium and our NEP whereas the Life business reported an increase of 20.9% and 29.3% respectively for these items. Along the same lines, PPS grew 10.8% in terms of the Direct Premium and 17.8% with regard to its NEP.</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Pacifico Property and Casualty (PPS)</w:t>
      </w:r>
    </w:p>
    <w:p>
      <w:pPr>
        <w:spacing w:after="0" w:line="21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Net earnings in 2012 totaled US$ 13.7 million versus US$ 14.2 million in 2011. This was due primarily to an increase in the loss ratio, which rose from 54.4% in 2011 to 56.1% in 2012. This increase was mainly attributable to three severe claims in the first quarter of the year for a total of US$ 11.1 million. Nevertheless, this effect was mitigated by the 17.8% increase in the NEP and the company’s excellent financial income, which increased 25% YoY.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Pacifico Life (PV)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earnings at Pacifico Life in 2012 increased significantly YoY from 50 million in 2011 to US$ 59.6 million this year (+19%).</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increase posted in earnings, which was possible despite a decrease in the Underwriting Result in 2012, was due primarily to: a) an increase in premium turnover that topped 20% growth, b) better financial yields (US$ 89 million vs. US$ 75.8 million in 2011), c) an increase in the translation result (US$ 1.7 million to US$ 4.6 million) and d) a decrease in income taxes (from US$ 1.6 to US$ 0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Pacifico Health (EPS)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EPS posted a loss of US$ 4.6 million in 2012 versus a gain of U$ 3.6 million in 2011. This result was due primarily to an increase in the loss ratio, which was situated at 83.6% in 2012 versus 80.4% in 2011. The deterioration posted in the loss ratio was mainly attributable to (i) an increase in the frequency of claims and in the complexity of the products that our clients demand; and (ii)upward adjustments in the fees that our suppliers charge for services. The net result was also affected by a non-recurring expense to consolidate the medical services network in 2012 and to a lesser extent by the additional expenses incurred to support this business’s development.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Medical Subsidiaries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2012, the medical subsidiaries reported a net loss of US$ 1.4 million. US$ 1.1 million of this amount correspond to expenses for amortization of intangible assets (brand, image, client relations) relative to the acquisition of the clinics.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Nevertheless, income expansion was offset by expenses relative to (1) the process to align operations with Credicorp’s standards, (2) efforts to improve infrastructure and the process to attract and develop human talent. All of these factors, however, have helped us make significant progress towards our goal to expand operations and consolidate our acquisitions to become the best private health care network in the country.</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14" w:right="239" w:bottom="1440" w:gutter="0" w:footer="0" w:header="0"/>
        </w:sectPr>
      </w:pPr>
    </w:p>
    <w:bookmarkStart w:id="34" w:name="page35"/>
    <w:bookmarkEnd w:id="34"/>
    <w:p>
      <w:pPr>
        <w:spacing w:after="0" w:line="1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6254750</wp:posOffset>
            </wp:positionH>
            <wp:positionV relativeFrom="page">
              <wp:posOffset>568960</wp:posOffset>
            </wp:positionV>
            <wp:extent cx="1149350" cy="3175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VI. Atlantic Security Bank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Atlantic Security Bank (ASB) reported net income of US$ 13.7 million in 4Q12, which represented 9.3% growth QoQ. This increase was due primarily to the extraordinary income that was reported this quarter.</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Core income remained at relatively stable levels with regard to 3Q12 and posted only a slight increase in net interest income and dividends received. The increase in net income is in fact attributable to Other Income(+US$ 1.9 million), whose growth is mainly attributable to earnings related to the exchange offer of an equity instrument (US$ 1.3 million), a recovery from investment reserves (US$ 0.3 million)and other extraordinary income from reimbursements of third-party services.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accumulated terms at the end of 2012, ASB’s contribution to Credicorp totaled US$ 48.4 million. This represents a 17.8% increase with regard to the figure reported at the end of last year. This growth is primarily associated with an increase in net interest income (+22.9%), which was due to our strategy to rebalance our portfolio and an increase in the volume of interest-earning assets.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80" w:type="dxa"/>
            <w:vAlign w:val="bottom"/>
            <w:gridSpan w:val="2"/>
          </w:tcPr>
          <w:p>
            <w:pPr>
              <w:spacing w:after="0"/>
              <w:rPr>
                <w:sz w:val="20"/>
                <w:szCs w:val="20"/>
                <w:color w:val="auto"/>
              </w:rPr>
            </w:pPr>
            <w:r>
              <w:rPr>
                <w:rFonts w:ascii="Arial" w:cs="Arial" w:eastAsia="Arial" w:hAnsi="Arial"/>
                <w:sz w:val="13"/>
                <w:szCs w:val="13"/>
                <w:b w:val="1"/>
                <w:bCs w:val="1"/>
                <w:color w:val="auto"/>
              </w:rPr>
              <w:t>ASB</w:t>
            </w: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Quarter</w:t>
            </w: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gridSpan w:val="3"/>
          </w:tcPr>
          <w:p>
            <w:pPr>
              <w:ind w:left="500"/>
              <w:spacing w:after="0"/>
              <w:rPr>
                <w:sz w:val="20"/>
                <w:szCs w:val="20"/>
                <w:color w:val="auto"/>
              </w:rPr>
            </w:pPr>
            <w:r>
              <w:rPr>
                <w:rFonts w:ascii="Arial" w:cs="Arial" w:eastAsia="Arial" w:hAnsi="Arial"/>
                <w:sz w:val="13"/>
                <w:szCs w:val="13"/>
                <w:b w:val="1"/>
                <w:bCs w:val="1"/>
                <w:color w:val="auto"/>
                <w:w w:val="92"/>
              </w:rPr>
              <w:t>Change %</w:t>
            </w: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gridSpan w:val="3"/>
          </w:tcPr>
          <w:p>
            <w:pPr>
              <w:ind w:left="440"/>
              <w:spacing w:after="0"/>
              <w:rPr>
                <w:sz w:val="20"/>
                <w:szCs w:val="20"/>
                <w:color w:val="auto"/>
              </w:rPr>
            </w:pPr>
            <w:r>
              <w:rPr>
                <w:rFonts w:ascii="Arial" w:cs="Arial" w:eastAsia="Arial" w:hAnsi="Arial"/>
                <w:sz w:val="13"/>
                <w:szCs w:val="13"/>
                <w:b w:val="1"/>
                <w:bCs w:val="1"/>
                <w:color w:val="auto"/>
                <w:w w:val="91"/>
              </w:rPr>
              <w:t>Year to date</w:t>
            </w: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right"/>
              <w:ind w:right="197"/>
              <w:spacing w:after="0"/>
              <w:rPr>
                <w:sz w:val="20"/>
                <w:szCs w:val="20"/>
                <w:color w:val="auto"/>
              </w:rPr>
            </w:pPr>
            <w:r>
              <w:rPr>
                <w:rFonts w:ascii="Arial" w:cs="Arial" w:eastAsia="Arial" w:hAnsi="Arial"/>
                <w:sz w:val="13"/>
                <w:szCs w:val="13"/>
                <w:b w:val="1"/>
                <w:bCs w:val="1"/>
                <w:color w:val="auto"/>
              </w:rPr>
              <w:t>Change %</w:t>
            </w:r>
          </w:p>
        </w:tc>
        <w:tc>
          <w:tcPr>
            <w:tcW w:w="0" w:type="dxa"/>
            <w:vAlign w:val="bottom"/>
          </w:tcPr>
          <w:p>
            <w:pPr>
              <w:spacing w:after="0"/>
              <w:rPr>
                <w:sz w:val="1"/>
                <w:szCs w:val="1"/>
                <w:color w:val="auto"/>
              </w:rPr>
            </w:pPr>
          </w:p>
        </w:tc>
      </w:tr>
      <w:tr>
        <w:trPr>
          <w:trHeight w:val="153"/>
        </w:trPr>
        <w:tc>
          <w:tcPr>
            <w:tcW w:w="4080" w:type="dxa"/>
            <w:vAlign w:val="bottom"/>
          </w:tcPr>
          <w:p>
            <w:pPr>
              <w:spacing w:after="0"/>
              <w:rPr>
                <w:sz w:val="20"/>
                <w:szCs w:val="20"/>
                <w:color w:val="auto"/>
              </w:rPr>
            </w:pPr>
            <w:r>
              <w:rPr>
                <w:rFonts w:ascii="Arial" w:cs="Arial" w:eastAsia="Arial" w:hAnsi="Arial"/>
                <w:sz w:val="13"/>
                <w:szCs w:val="13"/>
                <w:color w:val="auto"/>
              </w:rPr>
              <w:t>US$ million</w:t>
            </w:r>
          </w:p>
        </w:tc>
        <w:tc>
          <w:tcPr>
            <w:tcW w:w="100" w:type="dxa"/>
            <w:vAlign w:val="bottom"/>
          </w:tcPr>
          <w:p>
            <w:pPr>
              <w:spacing w:after="0"/>
              <w:rPr>
                <w:sz w:val="13"/>
                <w:szCs w:val="13"/>
                <w:color w:val="auto"/>
              </w:rPr>
            </w:pPr>
          </w:p>
        </w:tc>
        <w:tc>
          <w:tcPr>
            <w:tcW w:w="680" w:type="dxa"/>
            <w:vAlign w:val="bottom"/>
          </w:tcPr>
          <w:p>
            <w:pPr>
              <w:jc w:val="right"/>
              <w:ind w:right="137"/>
              <w:spacing w:after="0"/>
              <w:rPr>
                <w:sz w:val="20"/>
                <w:szCs w:val="20"/>
                <w:color w:val="auto"/>
              </w:rPr>
            </w:pPr>
            <w:r>
              <w:rPr>
                <w:rFonts w:ascii="Arial" w:cs="Arial" w:eastAsia="Arial" w:hAnsi="Arial"/>
                <w:sz w:val="13"/>
                <w:szCs w:val="13"/>
                <w:b w:val="1"/>
                <w:bCs w:val="1"/>
                <w:color w:val="auto"/>
              </w:rPr>
              <w:t>4Q12</w:t>
            </w:r>
          </w:p>
        </w:tc>
        <w:tc>
          <w:tcPr>
            <w:tcW w:w="220" w:type="dxa"/>
            <w:vAlign w:val="bottom"/>
          </w:tcPr>
          <w:p>
            <w:pPr>
              <w:spacing w:after="0"/>
              <w:rPr>
                <w:sz w:val="13"/>
                <w:szCs w:val="13"/>
                <w:color w:val="auto"/>
              </w:rPr>
            </w:pPr>
          </w:p>
        </w:tc>
        <w:tc>
          <w:tcPr>
            <w:tcW w:w="660" w:type="dxa"/>
            <w:vAlign w:val="bottom"/>
          </w:tcPr>
          <w:p>
            <w:pPr>
              <w:jc w:val="right"/>
              <w:ind w:right="117"/>
              <w:spacing w:after="0"/>
              <w:rPr>
                <w:sz w:val="20"/>
                <w:szCs w:val="20"/>
                <w:color w:val="auto"/>
              </w:rPr>
            </w:pPr>
            <w:r>
              <w:rPr>
                <w:rFonts w:ascii="Arial" w:cs="Arial" w:eastAsia="Arial" w:hAnsi="Arial"/>
                <w:sz w:val="13"/>
                <w:szCs w:val="13"/>
                <w:b w:val="1"/>
                <w:bCs w:val="1"/>
                <w:color w:val="auto"/>
              </w:rPr>
              <w:t>3Q12</w:t>
            </w:r>
          </w:p>
        </w:tc>
        <w:tc>
          <w:tcPr>
            <w:tcW w:w="220" w:type="dxa"/>
            <w:vAlign w:val="bottom"/>
          </w:tcPr>
          <w:p>
            <w:pPr>
              <w:spacing w:after="0"/>
              <w:rPr>
                <w:sz w:val="13"/>
                <w:szCs w:val="13"/>
                <w:color w:val="auto"/>
              </w:rPr>
            </w:pPr>
          </w:p>
        </w:tc>
        <w:tc>
          <w:tcPr>
            <w:tcW w:w="680" w:type="dxa"/>
            <w:vAlign w:val="bottom"/>
          </w:tcPr>
          <w:p>
            <w:pPr>
              <w:jc w:val="right"/>
              <w:ind w:right="137"/>
              <w:spacing w:after="0"/>
              <w:rPr>
                <w:sz w:val="20"/>
                <w:szCs w:val="20"/>
                <w:color w:val="auto"/>
              </w:rPr>
            </w:pPr>
            <w:r>
              <w:rPr>
                <w:rFonts w:ascii="Arial" w:cs="Arial" w:eastAsia="Arial" w:hAnsi="Arial"/>
                <w:sz w:val="13"/>
                <w:szCs w:val="13"/>
                <w:b w:val="1"/>
                <w:bCs w:val="1"/>
                <w:color w:val="auto"/>
              </w:rPr>
              <w:t>4Q11</w:t>
            </w:r>
          </w:p>
        </w:tc>
        <w:tc>
          <w:tcPr>
            <w:tcW w:w="220" w:type="dxa"/>
            <w:vAlign w:val="bottom"/>
          </w:tcPr>
          <w:p>
            <w:pPr>
              <w:spacing w:after="0"/>
              <w:rPr>
                <w:sz w:val="13"/>
                <w:szCs w:val="13"/>
                <w:color w:val="auto"/>
              </w:rPr>
            </w:pPr>
          </w:p>
        </w:tc>
        <w:tc>
          <w:tcPr>
            <w:tcW w:w="680" w:type="dxa"/>
            <w:vAlign w:val="bottom"/>
          </w:tcPr>
          <w:p>
            <w:pPr>
              <w:jc w:val="right"/>
              <w:ind w:right="157"/>
              <w:spacing w:after="0"/>
              <w:rPr>
                <w:sz w:val="20"/>
                <w:szCs w:val="20"/>
                <w:color w:val="auto"/>
              </w:rPr>
            </w:pPr>
            <w:r>
              <w:rPr>
                <w:rFonts w:ascii="Arial" w:cs="Arial" w:eastAsia="Arial" w:hAnsi="Arial"/>
                <w:sz w:val="13"/>
                <w:szCs w:val="13"/>
                <w:b w:val="1"/>
                <w:bCs w:val="1"/>
                <w:color w:val="auto"/>
              </w:rPr>
              <w:t>QoQ</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jc w:val="right"/>
              <w:ind w:right="157"/>
              <w:spacing w:after="0"/>
              <w:rPr>
                <w:sz w:val="20"/>
                <w:szCs w:val="20"/>
                <w:color w:val="auto"/>
              </w:rPr>
            </w:pPr>
            <w:r>
              <w:rPr>
                <w:rFonts w:ascii="Arial" w:cs="Arial" w:eastAsia="Arial" w:hAnsi="Arial"/>
                <w:sz w:val="13"/>
                <w:szCs w:val="13"/>
                <w:b w:val="1"/>
                <w:bCs w:val="1"/>
                <w:color w:val="auto"/>
                <w:w w:val="94"/>
              </w:rPr>
              <w:t>YoY</w:t>
            </w:r>
          </w:p>
        </w:tc>
        <w:tc>
          <w:tcPr>
            <w:tcW w:w="260" w:type="dxa"/>
            <w:vAlign w:val="bottom"/>
          </w:tcPr>
          <w:p>
            <w:pPr>
              <w:spacing w:after="0"/>
              <w:rPr>
                <w:sz w:val="13"/>
                <w:szCs w:val="13"/>
                <w:color w:val="auto"/>
              </w:rPr>
            </w:pPr>
          </w:p>
        </w:tc>
        <w:tc>
          <w:tcPr>
            <w:tcW w:w="660" w:type="dxa"/>
            <w:vAlign w:val="bottom"/>
          </w:tcPr>
          <w:p>
            <w:pPr>
              <w:jc w:val="right"/>
              <w:ind w:right="97"/>
              <w:spacing w:after="0"/>
              <w:rPr>
                <w:sz w:val="20"/>
                <w:szCs w:val="20"/>
                <w:color w:val="auto"/>
              </w:rPr>
            </w:pPr>
            <w:r>
              <w:rPr>
                <w:rFonts w:ascii="Arial" w:cs="Arial" w:eastAsia="Arial" w:hAnsi="Arial"/>
                <w:sz w:val="13"/>
                <w:szCs w:val="13"/>
                <w:b w:val="1"/>
                <w:bCs w:val="1"/>
                <w:color w:val="auto"/>
              </w:rPr>
              <w:t>Dec 12</w:t>
            </w:r>
          </w:p>
        </w:tc>
        <w:tc>
          <w:tcPr>
            <w:tcW w:w="220" w:type="dxa"/>
            <w:vAlign w:val="bottom"/>
          </w:tcPr>
          <w:p>
            <w:pPr>
              <w:spacing w:after="0"/>
              <w:rPr>
                <w:sz w:val="13"/>
                <w:szCs w:val="13"/>
                <w:color w:val="auto"/>
              </w:rPr>
            </w:pPr>
          </w:p>
        </w:tc>
        <w:tc>
          <w:tcPr>
            <w:tcW w:w="680" w:type="dxa"/>
            <w:vAlign w:val="bottom"/>
            <w:gridSpan w:val="2"/>
          </w:tcPr>
          <w:p>
            <w:pPr>
              <w:jc w:val="right"/>
              <w:ind w:right="97"/>
              <w:spacing w:after="0"/>
              <w:rPr>
                <w:sz w:val="20"/>
                <w:szCs w:val="20"/>
                <w:color w:val="auto"/>
              </w:rPr>
            </w:pPr>
            <w:r>
              <w:rPr>
                <w:rFonts w:ascii="Arial" w:cs="Arial" w:eastAsia="Arial" w:hAnsi="Arial"/>
                <w:sz w:val="13"/>
                <w:szCs w:val="13"/>
                <w:b w:val="1"/>
                <w:bCs w:val="1"/>
                <w:color w:val="auto"/>
              </w:rPr>
              <w:t>Dec 11</w:t>
            </w:r>
          </w:p>
        </w:tc>
        <w:tc>
          <w:tcPr>
            <w:tcW w:w="220" w:type="dxa"/>
            <w:vAlign w:val="bottom"/>
          </w:tcPr>
          <w:p>
            <w:pPr>
              <w:spacing w:after="0"/>
              <w:rPr>
                <w:sz w:val="13"/>
                <w:szCs w:val="13"/>
                <w:color w:val="auto"/>
              </w:rPr>
            </w:pPr>
          </w:p>
        </w:tc>
        <w:tc>
          <w:tcPr>
            <w:tcW w:w="940" w:type="dxa"/>
            <w:vAlign w:val="bottom"/>
            <w:gridSpan w:val="2"/>
          </w:tcPr>
          <w:p>
            <w:pPr>
              <w:jc w:val="right"/>
              <w:ind w:right="77"/>
              <w:spacing w:after="0"/>
              <w:rPr>
                <w:sz w:val="20"/>
                <w:szCs w:val="20"/>
                <w:color w:val="auto"/>
              </w:rPr>
            </w:pPr>
            <w:r>
              <w:rPr>
                <w:rFonts w:ascii="Arial" w:cs="Arial" w:eastAsia="Arial" w:hAnsi="Arial"/>
                <w:sz w:val="13"/>
                <w:szCs w:val="13"/>
                <w:b w:val="1"/>
                <w:bCs w:val="1"/>
                <w:color w:val="auto"/>
                <w:w w:val="82"/>
              </w:rPr>
              <w:t>Dec 12 / Dec 11</w:t>
            </w:r>
          </w:p>
        </w:tc>
        <w:tc>
          <w:tcPr>
            <w:tcW w:w="0" w:type="dxa"/>
            <w:vAlign w:val="bottom"/>
          </w:tcPr>
          <w:p>
            <w:pPr>
              <w:spacing w:after="0"/>
              <w:rPr>
                <w:sz w:val="1"/>
                <w:szCs w:val="1"/>
                <w:color w:val="auto"/>
              </w:rPr>
            </w:pPr>
          </w:p>
        </w:tc>
      </w:tr>
      <w:tr>
        <w:trPr>
          <w:trHeight w:val="20"/>
        </w:trPr>
        <w:tc>
          <w:tcPr>
            <w:tcW w:w="40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80" w:type="dxa"/>
            <w:vAlign w:val="bottom"/>
            <w:shd w:val="clear" w:color="auto" w:fill="CCFFCC"/>
          </w:tcPr>
          <w:p>
            <w:pPr>
              <w:spacing w:after="0" w:line="129" w:lineRule="exact"/>
              <w:rPr>
                <w:sz w:val="20"/>
                <w:szCs w:val="20"/>
                <w:color w:val="auto"/>
              </w:rPr>
            </w:pPr>
            <w:r>
              <w:rPr>
                <w:rFonts w:ascii="Arial" w:cs="Arial" w:eastAsia="Arial" w:hAnsi="Arial"/>
                <w:sz w:val="13"/>
                <w:szCs w:val="13"/>
                <w:color w:val="auto"/>
              </w:rPr>
              <w:t>Net interest income</w:t>
            </w:r>
          </w:p>
        </w:tc>
        <w:tc>
          <w:tcPr>
            <w:tcW w:w="100" w:type="dxa"/>
            <w:vAlign w:val="bottom"/>
            <w:vMerge w:val="continue"/>
            <w:shd w:val="clear" w:color="auto" w:fill="CCFFCC"/>
          </w:tcPr>
          <w:p>
            <w:pPr>
              <w:spacing w:after="0"/>
              <w:rPr>
                <w:sz w:val="11"/>
                <w:szCs w:val="11"/>
                <w:color w:val="auto"/>
              </w:rPr>
            </w:pPr>
          </w:p>
        </w:tc>
        <w:tc>
          <w:tcPr>
            <w:tcW w:w="68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9.7</w:t>
            </w:r>
          </w:p>
        </w:tc>
        <w:tc>
          <w:tcPr>
            <w:tcW w:w="220" w:type="dxa"/>
            <w:vAlign w:val="bottom"/>
            <w:shd w:val="clear" w:color="auto" w:fill="CCFFCC"/>
          </w:tcPr>
          <w:p>
            <w:pPr>
              <w:spacing w:after="0"/>
              <w:rPr>
                <w:sz w:val="11"/>
                <w:szCs w:val="11"/>
                <w:color w:val="auto"/>
              </w:rPr>
            </w:pPr>
          </w:p>
        </w:tc>
        <w:tc>
          <w:tcPr>
            <w:tcW w:w="66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9.6</w:t>
            </w:r>
          </w:p>
        </w:tc>
        <w:tc>
          <w:tcPr>
            <w:tcW w:w="220" w:type="dxa"/>
            <w:vAlign w:val="bottom"/>
            <w:vMerge w:val="continue"/>
            <w:shd w:val="clear" w:color="auto" w:fill="CCFFCC"/>
          </w:tcPr>
          <w:p>
            <w:pPr>
              <w:spacing w:after="0"/>
              <w:rPr>
                <w:sz w:val="11"/>
                <w:szCs w:val="11"/>
                <w:color w:val="auto"/>
              </w:rPr>
            </w:pPr>
          </w:p>
        </w:tc>
        <w:tc>
          <w:tcPr>
            <w:tcW w:w="68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9.3</w:t>
            </w:r>
          </w:p>
        </w:tc>
        <w:tc>
          <w:tcPr>
            <w:tcW w:w="220" w:type="dxa"/>
            <w:vAlign w:val="bottom"/>
            <w:vMerge w:val="continue"/>
            <w:shd w:val="clear" w:color="auto" w:fill="CCFFCC"/>
          </w:tcPr>
          <w:p>
            <w:pPr>
              <w:spacing w:after="0"/>
              <w:rPr>
                <w:sz w:val="11"/>
                <w:szCs w:val="11"/>
                <w:color w:val="auto"/>
              </w:rPr>
            </w:pPr>
          </w:p>
        </w:tc>
        <w:tc>
          <w:tcPr>
            <w:tcW w:w="920" w:type="dxa"/>
            <w:vAlign w:val="bottom"/>
            <w:gridSpan w:val="2"/>
            <w:shd w:val="clear" w:color="auto" w:fill="CCFFCC"/>
          </w:tcPr>
          <w:p>
            <w:pPr>
              <w:jc w:val="right"/>
              <w:ind w:right="77"/>
              <w:spacing w:after="0" w:line="129" w:lineRule="exact"/>
              <w:rPr>
                <w:sz w:val="20"/>
                <w:szCs w:val="20"/>
                <w:color w:val="auto"/>
              </w:rPr>
            </w:pPr>
            <w:r>
              <w:rPr>
                <w:rFonts w:ascii="Arial" w:cs="Arial" w:eastAsia="Arial" w:hAnsi="Arial"/>
                <w:sz w:val="13"/>
                <w:szCs w:val="13"/>
                <w:color w:val="auto"/>
              </w:rPr>
              <w:t>1.2%</w:t>
            </w:r>
          </w:p>
        </w:tc>
        <w:tc>
          <w:tcPr>
            <w:tcW w:w="18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77"/>
              <w:spacing w:after="0" w:line="129" w:lineRule="exact"/>
              <w:rPr>
                <w:sz w:val="20"/>
                <w:szCs w:val="20"/>
                <w:color w:val="auto"/>
              </w:rPr>
            </w:pPr>
            <w:r>
              <w:rPr>
                <w:rFonts w:ascii="Arial" w:cs="Arial" w:eastAsia="Arial" w:hAnsi="Arial"/>
                <w:sz w:val="13"/>
                <w:szCs w:val="13"/>
                <w:color w:val="auto"/>
              </w:rPr>
              <w:t>3.9%</w:t>
            </w:r>
          </w:p>
        </w:tc>
        <w:tc>
          <w:tcPr>
            <w:tcW w:w="66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37.9</w:t>
            </w:r>
          </w:p>
        </w:tc>
        <w:tc>
          <w:tcPr>
            <w:tcW w:w="220" w:type="dxa"/>
            <w:vAlign w:val="bottom"/>
            <w:vMerge w:val="continue"/>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42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30.9</w:t>
            </w:r>
          </w:p>
        </w:tc>
        <w:tc>
          <w:tcPr>
            <w:tcW w:w="220" w:type="dxa"/>
            <w:vAlign w:val="bottom"/>
            <w:vMerge w:val="continue"/>
            <w:shd w:val="clear" w:color="auto" w:fill="CCFFCC"/>
          </w:tcPr>
          <w:p>
            <w:pPr>
              <w:spacing w:after="0"/>
              <w:rPr>
                <w:sz w:val="11"/>
                <w:szCs w:val="11"/>
                <w:color w:val="auto"/>
              </w:rPr>
            </w:pPr>
          </w:p>
        </w:tc>
        <w:tc>
          <w:tcPr>
            <w:tcW w:w="940" w:type="dxa"/>
            <w:vAlign w:val="bottom"/>
            <w:gridSpan w:val="2"/>
            <w:shd w:val="clear" w:color="auto" w:fill="CCFFCC"/>
          </w:tcPr>
          <w:p>
            <w:pPr>
              <w:jc w:val="right"/>
              <w:spacing w:after="0" w:line="129" w:lineRule="exact"/>
              <w:rPr>
                <w:sz w:val="20"/>
                <w:szCs w:val="20"/>
                <w:color w:val="auto"/>
              </w:rPr>
            </w:pPr>
            <w:r>
              <w:rPr>
                <w:rFonts w:ascii="Arial" w:cs="Arial" w:eastAsia="Arial" w:hAnsi="Arial"/>
                <w:sz w:val="13"/>
                <w:szCs w:val="13"/>
                <w:color w:val="auto"/>
              </w:rPr>
              <w:t>22.9%</w:t>
            </w:r>
          </w:p>
        </w:tc>
        <w:tc>
          <w:tcPr>
            <w:tcW w:w="0" w:type="dxa"/>
            <w:vAlign w:val="bottom"/>
          </w:tcPr>
          <w:p>
            <w:pPr>
              <w:spacing w:after="0"/>
              <w:rPr>
                <w:sz w:val="1"/>
                <w:szCs w:val="1"/>
                <w:color w:val="auto"/>
              </w:rPr>
            </w:pPr>
          </w:p>
        </w:tc>
      </w:tr>
      <w:tr>
        <w:trPr>
          <w:trHeight w:val="135"/>
        </w:trPr>
        <w:tc>
          <w:tcPr>
            <w:tcW w:w="4180" w:type="dxa"/>
            <w:vAlign w:val="bottom"/>
            <w:gridSpan w:val="2"/>
          </w:tcPr>
          <w:p>
            <w:pPr>
              <w:spacing w:after="0" w:line="135" w:lineRule="exact"/>
              <w:rPr>
                <w:sz w:val="20"/>
                <w:szCs w:val="20"/>
                <w:color w:val="auto"/>
              </w:rPr>
            </w:pPr>
            <w:r>
              <w:rPr>
                <w:rFonts w:ascii="Arial" w:cs="Arial" w:eastAsia="Arial" w:hAnsi="Arial"/>
                <w:sz w:val="13"/>
                <w:szCs w:val="13"/>
                <w:color w:val="auto"/>
              </w:rPr>
              <w:t>Dividend income</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0.2</w:t>
            </w:r>
          </w:p>
        </w:tc>
        <w:tc>
          <w:tcPr>
            <w:tcW w:w="22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0.1</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0.3</w:t>
            </w:r>
          </w:p>
        </w:tc>
        <w:tc>
          <w:tcPr>
            <w:tcW w:w="92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60.2%</w:t>
            </w:r>
          </w:p>
        </w:tc>
        <w:tc>
          <w:tcPr>
            <w:tcW w:w="180" w:type="dxa"/>
            <w:vAlign w:val="bottom"/>
          </w:tcPr>
          <w:p>
            <w:pPr>
              <w:spacing w:after="0"/>
              <w:rPr>
                <w:sz w:val="11"/>
                <w:szCs w:val="11"/>
                <w:color w:val="auto"/>
              </w:rPr>
            </w:pPr>
          </w:p>
        </w:tc>
        <w:tc>
          <w:tcPr>
            <w:tcW w:w="74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-23.5%</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0.7</w:t>
            </w:r>
          </w:p>
        </w:tc>
        <w:tc>
          <w:tcPr>
            <w:tcW w:w="260" w:type="dxa"/>
            <w:vAlign w:val="bottom"/>
          </w:tcPr>
          <w:p>
            <w:pPr>
              <w:spacing w:after="0"/>
              <w:rPr>
                <w:sz w:val="11"/>
                <w:szCs w:val="11"/>
                <w:color w:val="auto"/>
              </w:rPr>
            </w:pPr>
          </w:p>
        </w:tc>
        <w:tc>
          <w:tcPr>
            <w:tcW w:w="6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1.0</w:t>
            </w:r>
          </w:p>
        </w:tc>
        <w:tc>
          <w:tcPr>
            <w:tcW w:w="9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-31.1%</w:t>
            </w:r>
          </w:p>
        </w:tc>
        <w:tc>
          <w:tcPr>
            <w:tcW w:w="0" w:type="dxa"/>
            <w:vAlign w:val="bottom"/>
          </w:tcPr>
          <w:p>
            <w:pPr>
              <w:spacing w:after="0"/>
              <w:rPr>
                <w:sz w:val="1"/>
                <w:szCs w:val="1"/>
                <w:color w:val="auto"/>
              </w:rPr>
            </w:pPr>
          </w:p>
        </w:tc>
      </w:tr>
      <w:tr>
        <w:trPr>
          <w:trHeight w:val="135"/>
        </w:trPr>
        <w:tc>
          <w:tcPr>
            <w:tcW w:w="418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Fees and commissions from services</w:t>
            </w:r>
          </w:p>
        </w:tc>
        <w:tc>
          <w:tcPr>
            <w:tcW w:w="6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2.2</w:t>
            </w:r>
          </w:p>
        </w:tc>
        <w:tc>
          <w:tcPr>
            <w:tcW w:w="220" w:type="dxa"/>
            <w:vAlign w:val="bottom"/>
            <w:shd w:val="clear" w:color="auto" w:fill="CCFFCC"/>
          </w:tcPr>
          <w:p>
            <w:pPr>
              <w:spacing w:after="0"/>
              <w:rPr>
                <w:sz w:val="11"/>
                <w:szCs w:val="11"/>
                <w:color w:val="auto"/>
              </w:rPr>
            </w:pPr>
          </w:p>
        </w:tc>
        <w:tc>
          <w:tcPr>
            <w:tcW w:w="8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2.5</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2.5</w:t>
            </w:r>
          </w:p>
        </w:tc>
        <w:tc>
          <w:tcPr>
            <w:tcW w:w="920" w:type="dxa"/>
            <w:vAlign w:val="bottom"/>
            <w:gridSpan w:val="2"/>
            <w:shd w:val="clear" w:color="auto" w:fill="CCFFCC"/>
          </w:tcPr>
          <w:p>
            <w:pPr>
              <w:jc w:val="right"/>
              <w:ind w:right="77"/>
              <w:spacing w:after="0" w:line="135" w:lineRule="exact"/>
              <w:rPr>
                <w:sz w:val="20"/>
                <w:szCs w:val="20"/>
                <w:color w:val="auto"/>
              </w:rPr>
            </w:pPr>
            <w:r>
              <w:rPr>
                <w:rFonts w:ascii="Arial" w:cs="Arial" w:eastAsia="Arial" w:hAnsi="Arial"/>
                <w:sz w:val="13"/>
                <w:szCs w:val="13"/>
                <w:color w:val="auto"/>
              </w:rPr>
              <w:t>-13.3%</w:t>
            </w:r>
          </w:p>
        </w:tc>
        <w:tc>
          <w:tcPr>
            <w:tcW w:w="18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77"/>
              <w:spacing w:after="0" w:line="135" w:lineRule="exact"/>
              <w:rPr>
                <w:sz w:val="20"/>
                <w:szCs w:val="20"/>
                <w:color w:val="auto"/>
              </w:rPr>
            </w:pPr>
            <w:r>
              <w:rPr>
                <w:rFonts w:ascii="Arial" w:cs="Arial" w:eastAsia="Arial" w:hAnsi="Arial"/>
                <w:sz w:val="13"/>
                <w:szCs w:val="13"/>
                <w:color w:val="auto"/>
              </w:rPr>
              <w:t>-15.1%</w:t>
            </w:r>
          </w:p>
        </w:tc>
        <w:tc>
          <w:tcPr>
            <w:tcW w:w="8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9.2</w:t>
            </w:r>
          </w:p>
        </w:tc>
        <w:tc>
          <w:tcPr>
            <w:tcW w:w="260" w:type="dxa"/>
            <w:vAlign w:val="bottom"/>
            <w:shd w:val="clear" w:color="auto" w:fill="CCFFCC"/>
          </w:tcPr>
          <w:p>
            <w:pPr>
              <w:spacing w:after="0"/>
              <w:rPr>
                <w:sz w:val="11"/>
                <w:szCs w:val="11"/>
                <w:color w:val="auto"/>
              </w:rPr>
            </w:pPr>
          </w:p>
        </w:tc>
        <w:tc>
          <w:tcPr>
            <w:tcW w:w="64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11.6</w:t>
            </w:r>
          </w:p>
        </w:tc>
        <w:tc>
          <w:tcPr>
            <w:tcW w:w="94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-20.6%</w:t>
            </w:r>
          </w:p>
        </w:tc>
        <w:tc>
          <w:tcPr>
            <w:tcW w:w="0" w:type="dxa"/>
            <w:vAlign w:val="bottom"/>
          </w:tcPr>
          <w:p>
            <w:pPr>
              <w:spacing w:after="0"/>
              <w:rPr>
                <w:sz w:val="1"/>
                <w:szCs w:val="1"/>
                <w:color w:val="auto"/>
              </w:rPr>
            </w:pPr>
          </w:p>
        </w:tc>
      </w:tr>
      <w:tr>
        <w:trPr>
          <w:trHeight w:val="135"/>
        </w:trPr>
        <w:tc>
          <w:tcPr>
            <w:tcW w:w="4180" w:type="dxa"/>
            <w:vAlign w:val="bottom"/>
            <w:gridSpan w:val="2"/>
          </w:tcPr>
          <w:p>
            <w:pPr>
              <w:spacing w:after="0" w:line="135" w:lineRule="exact"/>
              <w:rPr>
                <w:sz w:val="20"/>
                <w:szCs w:val="20"/>
                <w:color w:val="auto"/>
              </w:rPr>
            </w:pPr>
            <w:r>
              <w:rPr>
                <w:rFonts w:ascii="Arial" w:cs="Arial" w:eastAsia="Arial" w:hAnsi="Arial"/>
                <w:sz w:val="13"/>
                <w:szCs w:val="13"/>
                <w:color w:val="auto"/>
              </w:rPr>
              <w:t>Net gains on foreign exchange transactions</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0.0</w:t>
            </w:r>
          </w:p>
        </w:tc>
        <w:tc>
          <w:tcPr>
            <w:tcW w:w="22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0.1</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-0.1</w:t>
            </w:r>
          </w:p>
        </w:tc>
        <w:tc>
          <w:tcPr>
            <w:tcW w:w="92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-102.6%</w:t>
            </w:r>
          </w:p>
        </w:tc>
        <w:tc>
          <w:tcPr>
            <w:tcW w:w="180" w:type="dxa"/>
            <w:vAlign w:val="bottom"/>
          </w:tcPr>
          <w:p>
            <w:pPr>
              <w:spacing w:after="0"/>
              <w:rPr>
                <w:sz w:val="11"/>
                <w:szCs w:val="11"/>
                <w:color w:val="auto"/>
              </w:rPr>
            </w:pPr>
          </w:p>
        </w:tc>
        <w:tc>
          <w:tcPr>
            <w:tcW w:w="74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96.1%</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-0.1</w:t>
            </w:r>
          </w:p>
        </w:tc>
        <w:tc>
          <w:tcPr>
            <w:tcW w:w="260" w:type="dxa"/>
            <w:vAlign w:val="bottom"/>
          </w:tcPr>
          <w:p>
            <w:pPr>
              <w:spacing w:after="0"/>
              <w:rPr>
                <w:sz w:val="11"/>
                <w:szCs w:val="11"/>
                <w:color w:val="auto"/>
              </w:rPr>
            </w:pPr>
          </w:p>
        </w:tc>
        <w:tc>
          <w:tcPr>
            <w:tcW w:w="6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-0.2</w:t>
            </w:r>
          </w:p>
        </w:tc>
        <w:tc>
          <w:tcPr>
            <w:tcW w:w="9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57.8%</w:t>
            </w:r>
          </w:p>
        </w:tc>
        <w:tc>
          <w:tcPr>
            <w:tcW w:w="0" w:type="dxa"/>
            <w:vAlign w:val="bottom"/>
          </w:tcPr>
          <w:p>
            <w:pPr>
              <w:spacing w:after="0"/>
              <w:rPr>
                <w:sz w:val="1"/>
                <w:szCs w:val="1"/>
                <w:color w:val="auto"/>
              </w:rPr>
            </w:pPr>
          </w:p>
        </w:tc>
      </w:tr>
      <w:tr>
        <w:trPr>
          <w:trHeight w:val="149"/>
        </w:trPr>
        <w:tc>
          <w:tcPr>
            <w:tcW w:w="4180" w:type="dxa"/>
            <w:vAlign w:val="bottom"/>
            <w:gridSpan w:val="2"/>
            <w:shd w:val="clear" w:color="auto" w:fill="CCFFCC"/>
          </w:tcPr>
          <w:p>
            <w:pPr>
              <w:spacing w:after="0"/>
              <w:rPr>
                <w:sz w:val="20"/>
                <w:szCs w:val="20"/>
                <w:color w:val="auto"/>
              </w:rPr>
            </w:pPr>
            <w:r>
              <w:rPr>
                <w:rFonts w:ascii="Arial" w:cs="Arial" w:eastAsia="Arial" w:hAnsi="Arial"/>
                <w:sz w:val="13"/>
                <w:szCs w:val="13"/>
                <w:b w:val="1"/>
                <w:bCs w:val="1"/>
                <w:color w:val="auto"/>
              </w:rPr>
              <w:t>Core income</w:t>
            </w:r>
          </w:p>
        </w:tc>
        <w:tc>
          <w:tcPr>
            <w:tcW w:w="680" w:type="dxa"/>
            <w:vAlign w:val="bottom"/>
            <w:shd w:val="clear" w:color="auto" w:fill="CCFFCC"/>
          </w:tcPr>
          <w:p>
            <w:pPr>
              <w:jc w:val="right"/>
              <w:spacing w:after="0"/>
              <w:rPr>
                <w:sz w:val="20"/>
                <w:szCs w:val="20"/>
                <w:color w:val="auto"/>
              </w:rPr>
            </w:pPr>
            <w:r>
              <w:rPr>
                <w:rFonts w:ascii="Arial" w:cs="Arial" w:eastAsia="Arial" w:hAnsi="Arial"/>
                <w:sz w:val="13"/>
                <w:szCs w:val="13"/>
                <w:b w:val="1"/>
                <w:bCs w:val="1"/>
                <w:color w:val="auto"/>
              </w:rPr>
              <w:t>12.0</w:t>
            </w:r>
          </w:p>
        </w:tc>
        <w:tc>
          <w:tcPr>
            <w:tcW w:w="22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b w:val="1"/>
                <w:bCs w:val="1"/>
                <w:color w:val="auto"/>
              </w:rPr>
              <w:t>12.3</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b w:val="1"/>
                <w:bCs w:val="1"/>
                <w:color w:val="auto"/>
              </w:rPr>
              <w:t>12.0</w:t>
            </w:r>
          </w:p>
        </w:tc>
        <w:tc>
          <w:tcPr>
            <w:tcW w:w="920" w:type="dxa"/>
            <w:vAlign w:val="bottom"/>
            <w:gridSpan w:val="2"/>
            <w:shd w:val="clear" w:color="auto" w:fill="CCFFCC"/>
          </w:tcPr>
          <w:p>
            <w:pPr>
              <w:jc w:val="right"/>
              <w:ind w:right="57"/>
              <w:spacing w:after="0"/>
              <w:rPr>
                <w:sz w:val="20"/>
                <w:szCs w:val="20"/>
                <w:color w:val="auto"/>
              </w:rPr>
            </w:pPr>
            <w:r>
              <w:rPr>
                <w:rFonts w:ascii="Arial" w:cs="Arial" w:eastAsia="Arial" w:hAnsi="Arial"/>
                <w:sz w:val="13"/>
                <w:szCs w:val="13"/>
                <w:b w:val="1"/>
                <w:bCs w:val="1"/>
                <w:color w:val="auto"/>
              </w:rPr>
              <w:t>-2.2%</w:t>
            </w:r>
          </w:p>
        </w:tc>
        <w:tc>
          <w:tcPr>
            <w:tcW w:w="18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57"/>
              <w:spacing w:after="0"/>
              <w:rPr>
                <w:sz w:val="20"/>
                <w:szCs w:val="20"/>
                <w:color w:val="auto"/>
              </w:rPr>
            </w:pPr>
            <w:r>
              <w:rPr>
                <w:rFonts w:ascii="Arial" w:cs="Arial" w:eastAsia="Arial" w:hAnsi="Arial"/>
                <w:sz w:val="13"/>
                <w:szCs w:val="13"/>
                <w:b w:val="1"/>
                <w:bCs w:val="1"/>
                <w:color w:val="auto"/>
              </w:rPr>
              <w:t>0.0%</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b w:val="1"/>
                <w:bCs w:val="1"/>
                <w:color w:val="auto"/>
              </w:rPr>
              <w:t>47.7</w:t>
            </w:r>
          </w:p>
        </w:tc>
        <w:tc>
          <w:tcPr>
            <w:tcW w:w="260" w:type="dxa"/>
            <w:vAlign w:val="bottom"/>
            <w:shd w:val="clear" w:color="auto" w:fill="CCFFCC"/>
          </w:tcPr>
          <w:p>
            <w:pPr>
              <w:spacing w:after="0"/>
              <w:rPr>
                <w:sz w:val="12"/>
                <w:szCs w:val="12"/>
                <w:color w:val="auto"/>
              </w:rPr>
            </w:pPr>
          </w:p>
        </w:tc>
        <w:tc>
          <w:tcPr>
            <w:tcW w:w="64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b w:val="1"/>
                <w:bCs w:val="1"/>
                <w:color w:val="auto"/>
              </w:rPr>
              <w:t>43.3</w:t>
            </w:r>
          </w:p>
        </w:tc>
        <w:tc>
          <w:tcPr>
            <w:tcW w:w="940" w:type="dxa"/>
            <w:vAlign w:val="bottom"/>
            <w:gridSpan w:val="2"/>
            <w:shd w:val="clear" w:color="auto" w:fill="CCFFCC"/>
          </w:tcPr>
          <w:p>
            <w:pPr>
              <w:jc w:val="right"/>
              <w:spacing w:after="0"/>
              <w:rPr>
                <w:sz w:val="20"/>
                <w:szCs w:val="20"/>
                <w:color w:val="auto"/>
              </w:rPr>
            </w:pPr>
            <w:r>
              <w:rPr>
                <w:rFonts w:ascii="Arial" w:cs="Arial" w:eastAsia="Arial" w:hAnsi="Arial"/>
                <w:sz w:val="13"/>
                <w:szCs w:val="13"/>
                <w:b w:val="1"/>
                <w:bCs w:val="1"/>
                <w:color w:val="auto"/>
              </w:rPr>
              <w:t>10.3%</w:t>
            </w: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spacing w:after="0"/>
              <w:rPr>
                <w:sz w:val="20"/>
                <w:szCs w:val="20"/>
                <w:color w:val="auto"/>
              </w:rPr>
            </w:pPr>
            <w:r>
              <w:rPr>
                <w:rFonts w:ascii="Arial" w:cs="Arial" w:eastAsia="Arial" w:hAnsi="Arial"/>
                <w:sz w:val="13"/>
                <w:szCs w:val="13"/>
                <w:color w:val="auto"/>
              </w:rPr>
              <w:t>Net Provisions</w:t>
            </w: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180" w:type="dxa"/>
            <w:vAlign w:val="bottom"/>
            <w:gridSpan w:val="2"/>
            <w:vMerge w:val="continue"/>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3"/>
                <w:szCs w:val="13"/>
                <w:color w:val="auto"/>
              </w:rPr>
              <w:t>0.0</w:t>
            </w:r>
          </w:p>
        </w:tc>
        <w:tc>
          <w:tcPr>
            <w:tcW w:w="22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Arial" w:cs="Arial" w:eastAsia="Arial" w:hAnsi="Arial"/>
                <w:sz w:val="13"/>
                <w:szCs w:val="13"/>
                <w:color w:val="auto"/>
              </w:rPr>
              <w:t>0.0</w:t>
            </w:r>
          </w:p>
        </w:tc>
        <w:tc>
          <w:tcPr>
            <w:tcW w:w="220" w:type="dxa"/>
            <w:vAlign w:val="bottom"/>
            <w:vMerge w:val="continue"/>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3"/>
                <w:szCs w:val="13"/>
                <w:color w:val="auto"/>
              </w:rPr>
              <w:t>-1.1</w:t>
            </w:r>
          </w:p>
        </w:tc>
        <w:tc>
          <w:tcPr>
            <w:tcW w:w="220" w:type="dxa"/>
            <w:vAlign w:val="bottom"/>
            <w:vMerge w:val="continue"/>
          </w:tcPr>
          <w:p>
            <w:pPr>
              <w:spacing w:after="0"/>
              <w:rPr>
                <w:sz w:val="11"/>
                <w:szCs w:val="11"/>
                <w:color w:val="auto"/>
              </w:rPr>
            </w:pPr>
          </w:p>
        </w:tc>
        <w:tc>
          <w:tcPr>
            <w:tcW w:w="920" w:type="dxa"/>
            <w:vAlign w:val="bottom"/>
            <w:gridSpan w:val="2"/>
          </w:tcPr>
          <w:p>
            <w:pPr>
              <w:jc w:val="right"/>
              <w:ind w:right="77"/>
              <w:spacing w:after="0" w:line="129" w:lineRule="exact"/>
              <w:rPr>
                <w:sz w:val="20"/>
                <w:szCs w:val="20"/>
                <w:color w:val="auto"/>
              </w:rPr>
            </w:pPr>
            <w:r>
              <w:rPr>
                <w:rFonts w:ascii="Arial" w:cs="Arial" w:eastAsia="Arial" w:hAnsi="Arial"/>
                <w:sz w:val="13"/>
                <w:szCs w:val="13"/>
                <w:color w:val="auto"/>
              </w:rPr>
              <w:t>0.0%</w:t>
            </w:r>
          </w:p>
        </w:tc>
        <w:tc>
          <w:tcPr>
            <w:tcW w:w="180" w:type="dxa"/>
            <w:vAlign w:val="bottom"/>
          </w:tcPr>
          <w:p>
            <w:pPr>
              <w:spacing w:after="0"/>
              <w:rPr>
                <w:sz w:val="11"/>
                <w:szCs w:val="11"/>
                <w:color w:val="auto"/>
              </w:rPr>
            </w:pPr>
          </w:p>
        </w:tc>
        <w:tc>
          <w:tcPr>
            <w:tcW w:w="740" w:type="dxa"/>
            <w:vAlign w:val="bottom"/>
            <w:gridSpan w:val="2"/>
          </w:tcPr>
          <w:p>
            <w:pPr>
              <w:jc w:val="right"/>
              <w:ind w:right="77"/>
              <w:spacing w:after="0" w:line="129" w:lineRule="exact"/>
              <w:rPr>
                <w:sz w:val="20"/>
                <w:szCs w:val="20"/>
                <w:color w:val="auto"/>
              </w:rPr>
            </w:pPr>
            <w:r>
              <w:rPr>
                <w:rFonts w:ascii="Arial" w:cs="Arial" w:eastAsia="Arial" w:hAnsi="Arial"/>
                <w:sz w:val="13"/>
                <w:szCs w:val="13"/>
                <w:color w:val="auto"/>
              </w:rPr>
              <w:t>-100.0%</w:t>
            </w:r>
          </w:p>
        </w:tc>
        <w:tc>
          <w:tcPr>
            <w:tcW w:w="660" w:type="dxa"/>
            <w:vAlign w:val="bottom"/>
          </w:tcPr>
          <w:p>
            <w:pPr>
              <w:jc w:val="right"/>
              <w:spacing w:after="0" w:line="129" w:lineRule="exact"/>
              <w:rPr>
                <w:sz w:val="20"/>
                <w:szCs w:val="20"/>
                <w:color w:val="auto"/>
              </w:rPr>
            </w:pPr>
            <w:r>
              <w:rPr>
                <w:rFonts w:ascii="Arial" w:cs="Arial" w:eastAsia="Arial" w:hAnsi="Arial"/>
                <w:sz w:val="13"/>
                <w:szCs w:val="13"/>
                <w:color w:val="auto"/>
              </w:rPr>
              <w:t>0.0</w:t>
            </w:r>
          </w:p>
        </w:tc>
        <w:tc>
          <w:tcPr>
            <w:tcW w:w="22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jc w:val="right"/>
              <w:spacing w:after="0" w:line="129" w:lineRule="exact"/>
              <w:rPr>
                <w:sz w:val="20"/>
                <w:szCs w:val="20"/>
                <w:color w:val="auto"/>
              </w:rPr>
            </w:pPr>
            <w:r>
              <w:rPr>
                <w:rFonts w:ascii="Arial" w:cs="Arial" w:eastAsia="Arial" w:hAnsi="Arial"/>
                <w:sz w:val="13"/>
                <w:szCs w:val="13"/>
                <w:color w:val="auto"/>
              </w:rPr>
              <w:t>-1.1</w:t>
            </w:r>
          </w:p>
        </w:tc>
        <w:tc>
          <w:tcPr>
            <w:tcW w:w="220" w:type="dxa"/>
            <w:vAlign w:val="bottom"/>
            <w:vMerge w:val="continue"/>
          </w:tcPr>
          <w:p>
            <w:pPr>
              <w:spacing w:after="0"/>
              <w:rPr>
                <w:sz w:val="11"/>
                <w:szCs w:val="11"/>
                <w:color w:val="auto"/>
              </w:rPr>
            </w:pPr>
          </w:p>
        </w:tc>
        <w:tc>
          <w:tcPr>
            <w:tcW w:w="94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135"/>
        </w:trPr>
        <w:tc>
          <w:tcPr>
            <w:tcW w:w="418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Net gains from sale of securities</w:t>
            </w:r>
          </w:p>
        </w:tc>
        <w:tc>
          <w:tcPr>
            <w:tcW w:w="6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2.3</w:t>
            </w:r>
          </w:p>
        </w:tc>
        <w:tc>
          <w:tcPr>
            <w:tcW w:w="220" w:type="dxa"/>
            <w:vAlign w:val="bottom"/>
            <w:shd w:val="clear" w:color="auto" w:fill="CCFFCC"/>
          </w:tcPr>
          <w:p>
            <w:pPr>
              <w:spacing w:after="0"/>
              <w:rPr>
                <w:sz w:val="11"/>
                <w:szCs w:val="11"/>
                <w:color w:val="auto"/>
              </w:rPr>
            </w:pPr>
          </w:p>
        </w:tc>
        <w:tc>
          <w:tcPr>
            <w:tcW w:w="8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2.3</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0.6</w:t>
            </w:r>
          </w:p>
        </w:tc>
        <w:tc>
          <w:tcPr>
            <w:tcW w:w="920" w:type="dxa"/>
            <w:vAlign w:val="bottom"/>
            <w:gridSpan w:val="2"/>
            <w:shd w:val="clear" w:color="auto" w:fill="CCFFCC"/>
          </w:tcPr>
          <w:p>
            <w:pPr>
              <w:jc w:val="right"/>
              <w:ind w:right="77"/>
              <w:spacing w:after="0" w:line="135" w:lineRule="exact"/>
              <w:rPr>
                <w:sz w:val="20"/>
                <w:szCs w:val="20"/>
                <w:color w:val="auto"/>
              </w:rPr>
            </w:pPr>
            <w:r>
              <w:rPr>
                <w:rFonts w:ascii="Arial" w:cs="Arial" w:eastAsia="Arial" w:hAnsi="Arial"/>
                <w:sz w:val="13"/>
                <w:szCs w:val="13"/>
                <w:color w:val="auto"/>
              </w:rPr>
              <w:t>-2.8%</w:t>
            </w:r>
          </w:p>
        </w:tc>
        <w:tc>
          <w:tcPr>
            <w:tcW w:w="18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77"/>
              <w:spacing w:after="0" w:line="135" w:lineRule="exact"/>
              <w:rPr>
                <w:sz w:val="20"/>
                <w:szCs w:val="20"/>
                <w:color w:val="auto"/>
              </w:rPr>
            </w:pPr>
            <w:r>
              <w:rPr>
                <w:rFonts w:ascii="Arial" w:cs="Arial" w:eastAsia="Arial" w:hAnsi="Arial"/>
                <w:sz w:val="13"/>
                <w:szCs w:val="13"/>
                <w:color w:val="auto"/>
              </w:rPr>
              <w:t>289.1%</w:t>
            </w:r>
          </w:p>
        </w:tc>
        <w:tc>
          <w:tcPr>
            <w:tcW w:w="8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7.7</w:t>
            </w:r>
          </w:p>
        </w:tc>
        <w:tc>
          <w:tcPr>
            <w:tcW w:w="260" w:type="dxa"/>
            <w:vAlign w:val="bottom"/>
            <w:shd w:val="clear" w:color="auto" w:fill="CCFFCC"/>
          </w:tcPr>
          <w:p>
            <w:pPr>
              <w:spacing w:after="0"/>
              <w:rPr>
                <w:sz w:val="11"/>
                <w:szCs w:val="11"/>
                <w:color w:val="auto"/>
              </w:rPr>
            </w:pPr>
          </w:p>
        </w:tc>
        <w:tc>
          <w:tcPr>
            <w:tcW w:w="64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6.9</w:t>
            </w:r>
          </w:p>
        </w:tc>
        <w:tc>
          <w:tcPr>
            <w:tcW w:w="94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11.1%</w:t>
            </w:r>
          </w:p>
        </w:tc>
        <w:tc>
          <w:tcPr>
            <w:tcW w:w="0" w:type="dxa"/>
            <w:vAlign w:val="bottom"/>
          </w:tcPr>
          <w:p>
            <w:pPr>
              <w:spacing w:after="0"/>
              <w:rPr>
                <w:sz w:val="1"/>
                <w:szCs w:val="1"/>
                <w:color w:val="auto"/>
              </w:rPr>
            </w:pPr>
          </w:p>
        </w:tc>
      </w:tr>
      <w:tr>
        <w:trPr>
          <w:trHeight w:val="135"/>
        </w:trPr>
        <w:tc>
          <w:tcPr>
            <w:tcW w:w="4180" w:type="dxa"/>
            <w:vAlign w:val="bottom"/>
            <w:gridSpan w:val="2"/>
          </w:tcPr>
          <w:p>
            <w:pPr>
              <w:spacing w:after="0" w:line="135" w:lineRule="exact"/>
              <w:rPr>
                <w:sz w:val="20"/>
                <w:szCs w:val="20"/>
                <w:color w:val="auto"/>
              </w:rPr>
            </w:pPr>
            <w:r>
              <w:rPr>
                <w:rFonts w:ascii="Arial" w:cs="Arial" w:eastAsia="Arial" w:hAnsi="Arial"/>
                <w:sz w:val="13"/>
                <w:szCs w:val="13"/>
                <w:color w:val="auto"/>
              </w:rPr>
              <w:t>Other income</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1.9</w:t>
            </w:r>
          </w:p>
        </w:tc>
        <w:tc>
          <w:tcPr>
            <w:tcW w:w="22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0.0</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0.0</w:t>
            </w:r>
          </w:p>
        </w:tc>
        <w:tc>
          <w:tcPr>
            <w:tcW w:w="92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100.0%</w:t>
            </w:r>
          </w:p>
        </w:tc>
        <w:tc>
          <w:tcPr>
            <w:tcW w:w="180" w:type="dxa"/>
            <w:vAlign w:val="bottom"/>
          </w:tcPr>
          <w:p>
            <w:pPr>
              <w:spacing w:after="0"/>
              <w:rPr>
                <w:sz w:val="11"/>
                <w:szCs w:val="11"/>
                <w:color w:val="auto"/>
              </w:rPr>
            </w:pPr>
          </w:p>
        </w:tc>
        <w:tc>
          <w:tcPr>
            <w:tcW w:w="74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100.0%</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1.8</w:t>
            </w:r>
          </w:p>
        </w:tc>
        <w:tc>
          <w:tcPr>
            <w:tcW w:w="260" w:type="dxa"/>
            <w:vAlign w:val="bottom"/>
          </w:tcPr>
          <w:p>
            <w:pPr>
              <w:spacing w:after="0"/>
              <w:rPr>
                <w:sz w:val="11"/>
                <w:szCs w:val="11"/>
                <w:color w:val="auto"/>
              </w:rPr>
            </w:pPr>
          </w:p>
        </w:tc>
        <w:tc>
          <w:tcPr>
            <w:tcW w:w="6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0.0</w:t>
            </w:r>
          </w:p>
        </w:tc>
        <w:tc>
          <w:tcPr>
            <w:tcW w:w="9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149"/>
        </w:trPr>
        <w:tc>
          <w:tcPr>
            <w:tcW w:w="4180" w:type="dxa"/>
            <w:vAlign w:val="bottom"/>
            <w:gridSpan w:val="2"/>
            <w:shd w:val="clear" w:color="auto" w:fill="CCFFCC"/>
          </w:tcPr>
          <w:p>
            <w:pPr>
              <w:spacing w:after="0"/>
              <w:rPr>
                <w:sz w:val="20"/>
                <w:szCs w:val="20"/>
                <w:color w:val="auto"/>
              </w:rPr>
            </w:pPr>
            <w:r>
              <w:rPr>
                <w:rFonts w:ascii="Arial" w:cs="Arial" w:eastAsia="Arial" w:hAnsi="Arial"/>
                <w:sz w:val="13"/>
                <w:szCs w:val="13"/>
                <w:color w:val="auto"/>
              </w:rPr>
              <w:t>Operating expenses</w:t>
            </w:r>
          </w:p>
        </w:tc>
        <w:tc>
          <w:tcPr>
            <w:tcW w:w="680" w:type="dxa"/>
            <w:vAlign w:val="bottom"/>
            <w:shd w:val="clear" w:color="auto" w:fill="CCFFCC"/>
          </w:tcPr>
          <w:p>
            <w:pPr>
              <w:jc w:val="right"/>
              <w:spacing w:after="0"/>
              <w:rPr>
                <w:sz w:val="20"/>
                <w:szCs w:val="20"/>
                <w:color w:val="auto"/>
              </w:rPr>
            </w:pPr>
            <w:r>
              <w:rPr>
                <w:rFonts w:ascii="Arial" w:cs="Arial" w:eastAsia="Arial" w:hAnsi="Arial"/>
                <w:sz w:val="13"/>
                <w:szCs w:val="13"/>
                <w:color w:val="auto"/>
              </w:rPr>
              <w:t>-2.5</w:t>
            </w:r>
          </w:p>
        </w:tc>
        <w:tc>
          <w:tcPr>
            <w:tcW w:w="22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-2.1</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-2.3</w:t>
            </w:r>
          </w:p>
        </w:tc>
        <w:tc>
          <w:tcPr>
            <w:tcW w:w="920" w:type="dxa"/>
            <w:vAlign w:val="bottom"/>
            <w:gridSpan w:val="2"/>
            <w:shd w:val="clear" w:color="auto" w:fill="CCFFCC"/>
          </w:tcPr>
          <w:p>
            <w:pPr>
              <w:jc w:val="right"/>
              <w:ind w:right="77"/>
              <w:spacing w:after="0"/>
              <w:rPr>
                <w:sz w:val="20"/>
                <w:szCs w:val="20"/>
                <w:color w:val="auto"/>
              </w:rPr>
            </w:pPr>
            <w:r>
              <w:rPr>
                <w:rFonts w:ascii="Arial" w:cs="Arial" w:eastAsia="Arial" w:hAnsi="Arial"/>
                <w:sz w:val="13"/>
                <w:szCs w:val="13"/>
                <w:color w:val="auto"/>
              </w:rPr>
              <w:t>17.8%</w:t>
            </w:r>
          </w:p>
        </w:tc>
        <w:tc>
          <w:tcPr>
            <w:tcW w:w="18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77"/>
              <w:spacing w:after="0"/>
              <w:rPr>
                <w:sz w:val="20"/>
                <w:szCs w:val="20"/>
                <w:color w:val="auto"/>
              </w:rPr>
            </w:pPr>
            <w:r>
              <w:rPr>
                <w:rFonts w:ascii="Arial" w:cs="Arial" w:eastAsia="Arial" w:hAnsi="Arial"/>
                <w:sz w:val="13"/>
                <w:szCs w:val="13"/>
                <w:color w:val="auto"/>
              </w:rPr>
              <w:t>9.7%</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-8.8</w:t>
            </w:r>
          </w:p>
        </w:tc>
        <w:tc>
          <w:tcPr>
            <w:tcW w:w="260" w:type="dxa"/>
            <w:vAlign w:val="bottom"/>
            <w:shd w:val="clear" w:color="auto" w:fill="CCFFCC"/>
          </w:tcPr>
          <w:p>
            <w:pPr>
              <w:spacing w:after="0"/>
              <w:rPr>
                <w:sz w:val="12"/>
                <w:szCs w:val="12"/>
                <w:color w:val="auto"/>
              </w:rPr>
            </w:pPr>
          </w:p>
        </w:tc>
        <w:tc>
          <w:tcPr>
            <w:tcW w:w="64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-8.0</w:t>
            </w:r>
          </w:p>
        </w:tc>
        <w:tc>
          <w:tcPr>
            <w:tcW w:w="940" w:type="dxa"/>
            <w:vAlign w:val="bottom"/>
            <w:gridSpan w:val="2"/>
            <w:shd w:val="clear" w:color="auto" w:fill="CCFFCC"/>
          </w:tcPr>
          <w:p>
            <w:pPr>
              <w:jc w:val="right"/>
              <w:spacing w:after="0"/>
              <w:rPr>
                <w:sz w:val="20"/>
                <w:szCs w:val="20"/>
                <w:color w:val="auto"/>
              </w:rPr>
            </w:pPr>
            <w:r>
              <w:rPr>
                <w:rFonts w:ascii="Arial" w:cs="Arial" w:eastAsia="Arial" w:hAnsi="Arial"/>
                <w:sz w:val="13"/>
                <w:szCs w:val="13"/>
                <w:color w:val="auto"/>
              </w:rPr>
              <w:t>10.3%</w:t>
            </w:r>
          </w:p>
        </w:tc>
        <w:tc>
          <w:tcPr>
            <w:tcW w:w="0" w:type="dxa"/>
            <w:vAlign w:val="bottom"/>
          </w:tcPr>
          <w:p>
            <w:pPr>
              <w:spacing w:after="0"/>
              <w:rPr>
                <w:sz w:val="1"/>
                <w:szCs w:val="1"/>
                <w:color w:val="auto"/>
              </w:rPr>
            </w:pPr>
          </w:p>
        </w:tc>
      </w:tr>
      <w:tr>
        <w:trPr>
          <w:trHeight w:val="129"/>
        </w:trPr>
        <w:tc>
          <w:tcPr>
            <w:tcW w:w="4180" w:type="dxa"/>
            <w:vAlign w:val="bottom"/>
            <w:tcBorders>
              <w:bottom w:val="single" w:sz="8" w:color="CCFFCC"/>
            </w:tcBorders>
            <w:gridSpan w:val="2"/>
          </w:tcPr>
          <w:p>
            <w:pPr>
              <w:spacing w:after="0" w:line="129" w:lineRule="exact"/>
              <w:rPr>
                <w:sz w:val="20"/>
                <w:szCs w:val="20"/>
                <w:color w:val="auto"/>
              </w:rPr>
            </w:pPr>
            <w:r>
              <w:rPr>
                <w:rFonts w:ascii="Arial" w:cs="Arial" w:eastAsia="Arial" w:hAnsi="Arial"/>
                <w:sz w:val="13"/>
                <w:szCs w:val="13"/>
                <w:b w:val="1"/>
                <w:bCs w:val="1"/>
                <w:color w:val="auto"/>
              </w:rPr>
              <w:t>Net income</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13.7</w:t>
            </w:r>
          </w:p>
        </w:tc>
        <w:tc>
          <w:tcPr>
            <w:tcW w:w="220" w:type="dxa"/>
            <w:vAlign w:val="bottom"/>
            <w:tcBorders>
              <w:bottom w:val="single" w:sz="8" w:color="CCFFCC"/>
            </w:tcBorders>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12.5</w:t>
            </w:r>
          </w:p>
        </w:tc>
        <w:tc>
          <w:tcPr>
            <w:tcW w:w="220" w:type="dxa"/>
            <w:vAlign w:val="bottom"/>
            <w:tcBorders>
              <w:bottom w:val="single" w:sz="8" w:color="CCFFCC"/>
            </w:tcBorders>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9.2</w:t>
            </w:r>
          </w:p>
        </w:tc>
        <w:tc>
          <w:tcPr>
            <w:tcW w:w="220" w:type="dxa"/>
            <w:vAlign w:val="bottom"/>
            <w:tcBorders>
              <w:bottom w:val="single" w:sz="8" w:color="CCFFCC"/>
            </w:tcBorders>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9.3</w:t>
            </w:r>
          </w:p>
        </w:tc>
        <w:tc>
          <w:tcPr>
            <w:tcW w:w="240" w:type="dxa"/>
            <w:vAlign w:val="bottom"/>
            <w:tcBorders>
              <w:bottom w:val="single" w:sz="8" w:color="CCFFCC"/>
            </w:tcBorders>
          </w:tcPr>
          <w:p>
            <w:pPr>
              <w:spacing w:after="0" w:line="129" w:lineRule="exact"/>
              <w:rPr>
                <w:sz w:val="20"/>
                <w:szCs w:val="20"/>
                <w:color w:val="auto"/>
              </w:rPr>
            </w:pPr>
            <w:r>
              <w:rPr>
                <w:rFonts w:ascii="Arial" w:cs="Arial" w:eastAsia="Arial" w:hAnsi="Arial"/>
                <w:sz w:val="13"/>
                <w:szCs w:val="13"/>
                <w:b w:val="1"/>
                <w:bCs w:val="1"/>
                <w:color w:val="auto"/>
              </w:rPr>
              <w:t>%</w:t>
            </w:r>
          </w:p>
        </w:tc>
        <w:tc>
          <w:tcPr>
            <w:tcW w:w="18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49.8</w:t>
            </w:r>
          </w:p>
        </w:tc>
        <w:tc>
          <w:tcPr>
            <w:tcW w:w="260" w:type="dxa"/>
            <w:vAlign w:val="bottom"/>
            <w:tcBorders>
              <w:bottom w:val="single" w:sz="8" w:color="CCFFCC"/>
            </w:tcBorders>
          </w:tcPr>
          <w:p>
            <w:pPr>
              <w:jc w:val="right"/>
              <w:ind w:right="57"/>
              <w:spacing w:after="0" w:line="129" w:lineRule="exact"/>
              <w:rPr>
                <w:sz w:val="20"/>
                <w:szCs w:val="20"/>
                <w:color w:val="auto"/>
              </w:rPr>
            </w:pPr>
            <w:r>
              <w:rPr>
                <w:rFonts w:ascii="Arial" w:cs="Arial" w:eastAsia="Arial" w:hAnsi="Arial"/>
                <w:sz w:val="13"/>
                <w:szCs w:val="13"/>
                <w:b w:val="1"/>
                <w:bCs w:val="1"/>
                <w:color w:val="auto"/>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48.4</w:t>
            </w:r>
          </w:p>
        </w:tc>
        <w:tc>
          <w:tcPr>
            <w:tcW w:w="220" w:type="dxa"/>
            <w:vAlign w:val="bottom"/>
            <w:tcBorders>
              <w:bottom w:val="single" w:sz="8" w:color="CCFFCC"/>
            </w:tcBorders>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41.1</w:t>
            </w:r>
          </w:p>
        </w:tc>
        <w:tc>
          <w:tcPr>
            <w:tcW w:w="220" w:type="dxa"/>
            <w:vAlign w:val="bottom"/>
            <w:tcBorders>
              <w:bottom w:val="single" w:sz="8" w:color="CCFFCC"/>
            </w:tcBorders>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17.8</w:t>
            </w:r>
          </w:p>
        </w:tc>
        <w:tc>
          <w:tcPr>
            <w:tcW w:w="140" w:type="dxa"/>
            <w:vAlign w:val="bottom"/>
            <w:tcBorders>
              <w:bottom w:val="single" w:sz="8" w:color="CCFFCC"/>
            </w:tcBorders>
          </w:tcPr>
          <w:p>
            <w:pPr>
              <w:spacing w:after="0" w:line="129"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29"/>
        </w:trPr>
        <w:tc>
          <w:tcPr>
            <w:tcW w:w="4180" w:type="dxa"/>
            <w:vAlign w:val="bottom"/>
            <w:gridSpan w:val="2"/>
            <w:shd w:val="clear" w:color="auto" w:fill="CCFFCC"/>
          </w:tcPr>
          <w:p>
            <w:pPr>
              <w:spacing w:after="0" w:line="129" w:lineRule="exact"/>
              <w:rPr>
                <w:sz w:val="20"/>
                <w:szCs w:val="20"/>
                <w:color w:val="auto"/>
              </w:rPr>
            </w:pPr>
            <w:r>
              <w:rPr>
                <w:rFonts w:ascii="Arial" w:cs="Arial" w:eastAsia="Arial" w:hAnsi="Arial"/>
                <w:sz w:val="13"/>
                <w:szCs w:val="13"/>
                <w:color w:val="auto"/>
              </w:rPr>
              <w:t>Net income / share</w:t>
            </w:r>
          </w:p>
        </w:tc>
        <w:tc>
          <w:tcPr>
            <w:tcW w:w="680" w:type="dxa"/>
            <w:vAlign w:val="bottom"/>
            <w:tcBorders>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0.20</w:t>
            </w:r>
          </w:p>
        </w:tc>
        <w:tc>
          <w:tcPr>
            <w:tcW w:w="220" w:type="dxa"/>
            <w:vAlign w:val="bottom"/>
            <w:shd w:val="clear" w:color="auto" w:fill="CCFFCC"/>
          </w:tcPr>
          <w:p>
            <w:pPr>
              <w:spacing w:after="0"/>
              <w:rPr>
                <w:sz w:val="11"/>
                <w:szCs w:val="11"/>
                <w:color w:val="auto"/>
              </w:rPr>
            </w:pPr>
          </w:p>
        </w:tc>
        <w:tc>
          <w:tcPr>
            <w:tcW w:w="660" w:type="dxa"/>
            <w:vAlign w:val="bottom"/>
            <w:tcBorders>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0.18</w:t>
            </w:r>
          </w:p>
        </w:tc>
        <w:tc>
          <w:tcPr>
            <w:tcW w:w="220" w:type="dxa"/>
            <w:vAlign w:val="bottom"/>
            <w:shd w:val="clear" w:color="auto" w:fill="CCFFCC"/>
          </w:tcPr>
          <w:p>
            <w:pPr>
              <w:spacing w:after="0"/>
              <w:rPr>
                <w:sz w:val="11"/>
                <w:szCs w:val="11"/>
                <w:color w:val="auto"/>
              </w:rPr>
            </w:pPr>
          </w:p>
        </w:tc>
        <w:tc>
          <w:tcPr>
            <w:tcW w:w="680" w:type="dxa"/>
            <w:vAlign w:val="bottom"/>
            <w:tcBorders>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0.13</w:t>
            </w:r>
          </w:p>
        </w:tc>
        <w:tc>
          <w:tcPr>
            <w:tcW w:w="220" w:type="dxa"/>
            <w:vAlign w:val="bottom"/>
            <w:shd w:val="clear" w:color="auto" w:fill="CCFFCC"/>
          </w:tcPr>
          <w:p>
            <w:pPr>
              <w:spacing w:after="0"/>
              <w:rPr>
                <w:sz w:val="11"/>
                <w:szCs w:val="11"/>
                <w:color w:val="auto"/>
              </w:rPr>
            </w:pPr>
          </w:p>
        </w:tc>
        <w:tc>
          <w:tcPr>
            <w:tcW w:w="680" w:type="dxa"/>
            <w:vAlign w:val="bottom"/>
            <w:tcBorders>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9.3</w:t>
            </w:r>
          </w:p>
        </w:tc>
        <w:tc>
          <w:tcPr>
            <w:tcW w:w="240" w:type="dxa"/>
            <w:vAlign w:val="bottom"/>
            <w:shd w:val="clear" w:color="auto" w:fill="CCFFCC"/>
          </w:tcPr>
          <w:p>
            <w:pPr>
              <w:spacing w:after="0" w:line="129" w:lineRule="exact"/>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shd w:val="clear" w:color="auto" w:fill="CCFFCC"/>
          </w:tcPr>
          <w:p>
            <w:pPr>
              <w:spacing w:after="0"/>
              <w:rPr>
                <w:sz w:val="11"/>
                <w:szCs w:val="11"/>
                <w:color w:val="auto"/>
              </w:rPr>
            </w:pPr>
          </w:p>
        </w:tc>
        <w:tc>
          <w:tcPr>
            <w:tcW w:w="480" w:type="dxa"/>
            <w:vAlign w:val="bottom"/>
            <w:tcBorders>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49.8</w:t>
            </w:r>
          </w:p>
        </w:tc>
        <w:tc>
          <w:tcPr>
            <w:tcW w:w="260" w:type="dxa"/>
            <w:vAlign w:val="bottom"/>
            <w:shd w:val="clear" w:color="auto" w:fill="CCFFCC"/>
          </w:tcPr>
          <w:p>
            <w:pPr>
              <w:jc w:val="right"/>
              <w:ind w:right="77"/>
              <w:spacing w:after="0" w:line="129" w:lineRule="exact"/>
              <w:rPr>
                <w:sz w:val="20"/>
                <w:szCs w:val="20"/>
                <w:color w:val="auto"/>
              </w:rPr>
            </w:pPr>
            <w:r>
              <w:rPr>
                <w:rFonts w:ascii="Arial" w:cs="Arial" w:eastAsia="Arial" w:hAnsi="Arial"/>
                <w:sz w:val="13"/>
                <w:szCs w:val="13"/>
                <w:color w:val="auto"/>
                <w:w w:val="86"/>
              </w:rPr>
              <w:t>%</w:t>
            </w:r>
          </w:p>
        </w:tc>
        <w:tc>
          <w:tcPr>
            <w:tcW w:w="660" w:type="dxa"/>
            <w:vAlign w:val="bottom"/>
            <w:tcBorders>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0.69</w:t>
            </w:r>
          </w:p>
        </w:tc>
        <w:tc>
          <w:tcPr>
            <w:tcW w:w="220" w:type="dxa"/>
            <w:vAlign w:val="bottom"/>
            <w:shd w:val="clear" w:color="auto" w:fill="CCFFCC"/>
          </w:tcPr>
          <w:p>
            <w:pPr>
              <w:spacing w:after="0"/>
              <w:rPr>
                <w:sz w:val="11"/>
                <w:szCs w:val="11"/>
                <w:color w:val="auto"/>
              </w:rPr>
            </w:pPr>
          </w:p>
        </w:tc>
        <w:tc>
          <w:tcPr>
            <w:tcW w:w="260" w:type="dxa"/>
            <w:vAlign w:val="bottom"/>
            <w:tcBorders>
              <w:bottom w:val="single" w:sz="8" w:color="auto"/>
            </w:tcBorders>
            <w:shd w:val="clear" w:color="auto" w:fill="CCFFCC"/>
          </w:tcPr>
          <w:p>
            <w:pPr>
              <w:spacing w:after="0"/>
              <w:rPr>
                <w:sz w:val="11"/>
                <w:szCs w:val="11"/>
                <w:color w:val="auto"/>
              </w:rPr>
            </w:pPr>
          </w:p>
        </w:tc>
        <w:tc>
          <w:tcPr>
            <w:tcW w:w="420" w:type="dxa"/>
            <w:vAlign w:val="bottom"/>
            <w:tcBorders>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0.59</w:t>
            </w:r>
          </w:p>
        </w:tc>
        <w:tc>
          <w:tcPr>
            <w:tcW w:w="220" w:type="dxa"/>
            <w:vAlign w:val="bottom"/>
            <w:shd w:val="clear" w:color="auto" w:fill="CCFFCC"/>
          </w:tcPr>
          <w:p>
            <w:pPr>
              <w:spacing w:after="0"/>
              <w:rPr>
                <w:sz w:val="11"/>
                <w:szCs w:val="11"/>
                <w:color w:val="auto"/>
              </w:rPr>
            </w:pPr>
          </w:p>
        </w:tc>
        <w:tc>
          <w:tcPr>
            <w:tcW w:w="800" w:type="dxa"/>
            <w:vAlign w:val="bottom"/>
            <w:tcBorders>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17.8</w:t>
            </w:r>
          </w:p>
        </w:tc>
        <w:tc>
          <w:tcPr>
            <w:tcW w:w="140" w:type="dxa"/>
            <w:vAlign w:val="bottom"/>
            <w:shd w:val="clear" w:color="auto" w:fill="CCFFCC"/>
          </w:tcPr>
          <w:p>
            <w:pPr>
              <w:spacing w:after="0" w:line="12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4180" w:type="dxa"/>
            <w:vAlign w:val="bottom"/>
            <w:tcBorders>
              <w:bottom w:val="single" w:sz="8" w:color="CCFFCC"/>
            </w:tcBorders>
            <w:gridSpan w:val="2"/>
          </w:tcPr>
          <w:p>
            <w:pPr>
              <w:spacing w:after="0" w:line="129" w:lineRule="exact"/>
              <w:rPr>
                <w:sz w:val="20"/>
                <w:szCs w:val="20"/>
                <w:color w:val="auto"/>
              </w:rPr>
            </w:pPr>
            <w:r>
              <w:rPr>
                <w:rFonts w:ascii="Arial" w:cs="Arial" w:eastAsia="Arial" w:hAnsi="Arial"/>
                <w:sz w:val="13"/>
                <w:szCs w:val="13"/>
                <w:b w:val="1"/>
                <w:bCs w:val="1"/>
                <w:color w:val="auto"/>
              </w:rPr>
              <w:t>Contribution to Credicorp</w:t>
            </w:r>
          </w:p>
        </w:tc>
        <w:tc>
          <w:tcPr>
            <w:tcW w:w="6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13.7</w:t>
            </w:r>
          </w:p>
        </w:tc>
        <w:tc>
          <w:tcPr>
            <w:tcW w:w="220" w:type="dxa"/>
            <w:vAlign w:val="bottom"/>
            <w:tcBorders>
              <w:bottom w:val="single" w:sz="8" w:color="CCFFCC"/>
            </w:tcBorders>
          </w:tcPr>
          <w:p>
            <w:pPr>
              <w:spacing w:after="0"/>
              <w:rPr>
                <w:sz w:val="11"/>
                <w:szCs w:val="11"/>
                <w:color w:val="auto"/>
              </w:rPr>
            </w:pP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12.5</w:t>
            </w:r>
          </w:p>
        </w:tc>
        <w:tc>
          <w:tcPr>
            <w:tcW w:w="220" w:type="dxa"/>
            <w:vAlign w:val="bottom"/>
            <w:tcBorders>
              <w:bottom w:val="single" w:sz="8" w:color="CCFFCC"/>
            </w:tcBorders>
          </w:tcPr>
          <w:p>
            <w:pPr>
              <w:spacing w:after="0"/>
              <w:rPr>
                <w:sz w:val="11"/>
                <w:szCs w:val="11"/>
                <w:color w:val="auto"/>
              </w:rPr>
            </w:pPr>
          </w:p>
        </w:tc>
        <w:tc>
          <w:tcPr>
            <w:tcW w:w="6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9.2</w:t>
            </w:r>
          </w:p>
        </w:tc>
        <w:tc>
          <w:tcPr>
            <w:tcW w:w="220" w:type="dxa"/>
            <w:vAlign w:val="bottom"/>
            <w:tcBorders>
              <w:bottom w:val="single" w:sz="8" w:color="CCFFCC"/>
            </w:tcBorders>
          </w:tcPr>
          <w:p>
            <w:pPr>
              <w:spacing w:after="0"/>
              <w:rPr>
                <w:sz w:val="11"/>
                <w:szCs w:val="11"/>
                <w:color w:val="auto"/>
              </w:rPr>
            </w:pPr>
          </w:p>
        </w:tc>
        <w:tc>
          <w:tcPr>
            <w:tcW w:w="6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9.3</w:t>
            </w:r>
          </w:p>
        </w:tc>
        <w:tc>
          <w:tcPr>
            <w:tcW w:w="240" w:type="dxa"/>
            <w:vAlign w:val="bottom"/>
            <w:tcBorders>
              <w:bottom w:val="single" w:sz="8" w:color="CCFFCC"/>
            </w:tcBorders>
          </w:tcPr>
          <w:p>
            <w:pPr>
              <w:spacing w:after="0" w:line="129" w:lineRule="exact"/>
              <w:rPr>
                <w:sz w:val="20"/>
                <w:szCs w:val="20"/>
                <w:color w:val="auto"/>
              </w:rPr>
            </w:pPr>
            <w:r>
              <w:rPr>
                <w:rFonts w:ascii="Arial" w:cs="Arial" w:eastAsia="Arial" w:hAnsi="Arial"/>
                <w:sz w:val="13"/>
                <w:szCs w:val="13"/>
                <w:b w:val="1"/>
                <w:bCs w:val="1"/>
                <w:color w:val="auto"/>
              </w:rPr>
              <w:t>%</w:t>
            </w: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49.8</w:t>
            </w:r>
          </w:p>
        </w:tc>
        <w:tc>
          <w:tcPr>
            <w:tcW w:w="260" w:type="dxa"/>
            <w:vAlign w:val="bottom"/>
            <w:tcBorders>
              <w:bottom w:val="single" w:sz="8" w:color="CCFFCC"/>
            </w:tcBorders>
          </w:tcPr>
          <w:p>
            <w:pPr>
              <w:jc w:val="right"/>
              <w:ind w:right="57"/>
              <w:spacing w:after="0" w:line="129" w:lineRule="exact"/>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48.4</w:t>
            </w:r>
          </w:p>
        </w:tc>
        <w:tc>
          <w:tcPr>
            <w:tcW w:w="220" w:type="dxa"/>
            <w:vAlign w:val="bottom"/>
            <w:tcBorders>
              <w:bottom w:val="single" w:sz="8" w:color="CCFFCC"/>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41.1</w:t>
            </w:r>
          </w:p>
        </w:tc>
        <w:tc>
          <w:tcPr>
            <w:tcW w:w="220" w:type="dxa"/>
            <w:vAlign w:val="bottom"/>
            <w:tcBorders>
              <w:bottom w:val="single" w:sz="8" w:color="CCFFCC"/>
            </w:tcBorders>
          </w:tcPr>
          <w:p>
            <w:pPr>
              <w:spacing w:after="0"/>
              <w:rPr>
                <w:sz w:val="11"/>
                <w:szCs w:val="11"/>
                <w:color w:val="auto"/>
              </w:rPr>
            </w:pPr>
          </w:p>
        </w:tc>
        <w:tc>
          <w:tcPr>
            <w:tcW w:w="8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17.8</w:t>
            </w:r>
          </w:p>
        </w:tc>
        <w:tc>
          <w:tcPr>
            <w:tcW w:w="140" w:type="dxa"/>
            <w:vAlign w:val="bottom"/>
            <w:tcBorders>
              <w:bottom w:val="single" w:sz="8" w:color="CCFFCC"/>
            </w:tcBorders>
          </w:tcPr>
          <w:p>
            <w:pPr>
              <w:spacing w:after="0" w:line="129"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29"/>
        </w:trPr>
        <w:tc>
          <w:tcPr>
            <w:tcW w:w="4180" w:type="dxa"/>
            <w:vAlign w:val="bottom"/>
            <w:gridSpan w:val="2"/>
            <w:shd w:val="clear" w:color="auto" w:fill="CCFFCC"/>
          </w:tcPr>
          <w:p>
            <w:pPr>
              <w:spacing w:after="0" w:line="129" w:lineRule="exact"/>
              <w:rPr>
                <w:sz w:val="20"/>
                <w:szCs w:val="20"/>
                <w:color w:val="auto"/>
              </w:rPr>
            </w:pPr>
            <w:r>
              <w:rPr>
                <w:rFonts w:ascii="Arial" w:cs="Arial" w:eastAsia="Arial" w:hAnsi="Arial"/>
                <w:sz w:val="13"/>
                <w:szCs w:val="13"/>
                <w:color w:val="auto"/>
              </w:rPr>
              <w:t>Total loans</w:t>
            </w:r>
          </w:p>
        </w:tc>
        <w:tc>
          <w:tcPr>
            <w:tcW w:w="68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801.1</w:t>
            </w:r>
          </w:p>
        </w:tc>
        <w:tc>
          <w:tcPr>
            <w:tcW w:w="220" w:type="dxa"/>
            <w:vAlign w:val="bottom"/>
            <w:shd w:val="clear" w:color="auto" w:fill="CCFFCC"/>
          </w:tcPr>
          <w:p>
            <w:pPr>
              <w:spacing w:after="0"/>
              <w:rPr>
                <w:sz w:val="11"/>
                <w:szCs w:val="11"/>
                <w:color w:val="auto"/>
              </w:rPr>
            </w:pPr>
          </w:p>
        </w:tc>
        <w:tc>
          <w:tcPr>
            <w:tcW w:w="66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699.6</w:t>
            </w:r>
          </w:p>
        </w:tc>
        <w:tc>
          <w:tcPr>
            <w:tcW w:w="220" w:type="dxa"/>
            <w:vAlign w:val="bottom"/>
            <w:shd w:val="clear" w:color="auto" w:fill="CCFFCC"/>
          </w:tcPr>
          <w:p>
            <w:pPr>
              <w:spacing w:after="0"/>
              <w:rPr>
                <w:sz w:val="11"/>
                <w:szCs w:val="11"/>
                <w:color w:val="auto"/>
              </w:rPr>
            </w:pPr>
          </w:p>
        </w:tc>
        <w:tc>
          <w:tcPr>
            <w:tcW w:w="68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606.1</w:t>
            </w:r>
          </w:p>
        </w:tc>
        <w:tc>
          <w:tcPr>
            <w:tcW w:w="220" w:type="dxa"/>
            <w:vAlign w:val="bottom"/>
            <w:shd w:val="clear" w:color="auto" w:fill="CCFFCC"/>
          </w:tcPr>
          <w:p>
            <w:pPr>
              <w:spacing w:after="0"/>
              <w:rPr>
                <w:sz w:val="11"/>
                <w:szCs w:val="11"/>
                <w:color w:val="auto"/>
              </w:rPr>
            </w:pPr>
          </w:p>
        </w:tc>
        <w:tc>
          <w:tcPr>
            <w:tcW w:w="920" w:type="dxa"/>
            <w:vAlign w:val="bottom"/>
            <w:gridSpan w:val="2"/>
            <w:shd w:val="clear" w:color="auto" w:fill="CCFFCC"/>
          </w:tcPr>
          <w:p>
            <w:pPr>
              <w:jc w:val="right"/>
              <w:ind w:right="77"/>
              <w:spacing w:after="0" w:line="129" w:lineRule="exact"/>
              <w:rPr>
                <w:sz w:val="20"/>
                <w:szCs w:val="20"/>
                <w:color w:val="auto"/>
              </w:rPr>
            </w:pPr>
            <w:r>
              <w:rPr>
                <w:rFonts w:ascii="Arial" w:cs="Arial" w:eastAsia="Arial" w:hAnsi="Arial"/>
                <w:sz w:val="13"/>
                <w:szCs w:val="13"/>
                <w:color w:val="auto"/>
              </w:rPr>
              <w:t>14.5%</w:t>
            </w:r>
          </w:p>
        </w:tc>
        <w:tc>
          <w:tcPr>
            <w:tcW w:w="18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77"/>
              <w:spacing w:after="0" w:line="129" w:lineRule="exact"/>
              <w:rPr>
                <w:sz w:val="20"/>
                <w:szCs w:val="20"/>
                <w:color w:val="auto"/>
              </w:rPr>
            </w:pPr>
            <w:r>
              <w:rPr>
                <w:rFonts w:ascii="Arial" w:cs="Arial" w:eastAsia="Arial" w:hAnsi="Arial"/>
                <w:sz w:val="13"/>
                <w:szCs w:val="13"/>
                <w:color w:val="auto"/>
              </w:rPr>
              <w:t>32.2%</w:t>
            </w:r>
          </w:p>
        </w:tc>
        <w:tc>
          <w:tcPr>
            <w:tcW w:w="66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801.1</w:t>
            </w:r>
          </w:p>
        </w:tc>
        <w:tc>
          <w:tcPr>
            <w:tcW w:w="22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42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606.1</w:t>
            </w:r>
          </w:p>
        </w:tc>
        <w:tc>
          <w:tcPr>
            <w:tcW w:w="22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80" w:type="dxa"/>
            <w:vAlign w:val="bottom"/>
            <w:gridSpan w:val="2"/>
          </w:tcPr>
          <w:p>
            <w:pPr>
              <w:spacing w:after="0" w:line="135" w:lineRule="exact"/>
              <w:rPr>
                <w:sz w:val="20"/>
                <w:szCs w:val="20"/>
                <w:color w:val="auto"/>
              </w:rPr>
            </w:pPr>
            <w:r>
              <w:rPr>
                <w:rFonts w:ascii="Arial" w:cs="Arial" w:eastAsia="Arial" w:hAnsi="Arial"/>
                <w:sz w:val="13"/>
                <w:szCs w:val="13"/>
                <w:color w:val="auto"/>
              </w:rPr>
              <w:t>Total investments available for sale</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802.5</w:t>
            </w:r>
          </w:p>
        </w:tc>
        <w:tc>
          <w:tcPr>
            <w:tcW w:w="22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813.9</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811.6</w:t>
            </w:r>
          </w:p>
        </w:tc>
        <w:tc>
          <w:tcPr>
            <w:tcW w:w="92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-1.4%</w:t>
            </w:r>
          </w:p>
        </w:tc>
        <w:tc>
          <w:tcPr>
            <w:tcW w:w="180" w:type="dxa"/>
            <w:vAlign w:val="bottom"/>
          </w:tcPr>
          <w:p>
            <w:pPr>
              <w:spacing w:after="0"/>
              <w:rPr>
                <w:sz w:val="11"/>
                <w:szCs w:val="11"/>
                <w:color w:val="auto"/>
              </w:rPr>
            </w:pPr>
          </w:p>
        </w:tc>
        <w:tc>
          <w:tcPr>
            <w:tcW w:w="74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-1.1%</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802.5</w:t>
            </w:r>
          </w:p>
        </w:tc>
        <w:tc>
          <w:tcPr>
            <w:tcW w:w="260" w:type="dxa"/>
            <w:vAlign w:val="bottom"/>
          </w:tcPr>
          <w:p>
            <w:pPr>
              <w:spacing w:after="0"/>
              <w:rPr>
                <w:sz w:val="11"/>
                <w:szCs w:val="11"/>
                <w:color w:val="auto"/>
              </w:rPr>
            </w:pPr>
          </w:p>
        </w:tc>
        <w:tc>
          <w:tcPr>
            <w:tcW w:w="6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811.6</w:t>
            </w: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8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Total assets</w:t>
            </w:r>
          </w:p>
        </w:tc>
        <w:tc>
          <w:tcPr>
            <w:tcW w:w="6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1,768.5</w:t>
            </w:r>
          </w:p>
        </w:tc>
        <w:tc>
          <w:tcPr>
            <w:tcW w:w="220" w:type="dxa"/>
            <w:vAlign w:val="bottom"/>
            <w:shd w:val="clear" w:color="auto" w:fill="CCFFCC"/>
          </w:tcPr>
          <w:p>
            <w:pPr>
              <w:spacing w:after="0"/>
              <w:rPr>
                <w:sz w:val="11"/>
                <w:szCs w:val="11"/>
                <w:color w:val="auto"/>
              </w:rPr>
            </w:pPr>
          </w:p>
        </w:tc>
        <w:tc>
          <w:tcPr>
            <w:tcW w:w="8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1,631.6</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1,523.5</w:t>
            </w:r>
          </w:p>
        </w:tc>
        <w:tc>
          <w:tcPr>
            <w:tcW w:w="920" w:type="dxa"/>
            <w:vAlign w:val="bottom"/>
            <w:gridSpan w:val="2"/>
            <w:shd w:val="clear" w:color="auto" w:fill="CCFFCC"/>
          </w:tcPr>
          <w:p>
            <w:pPr>
              <w:jc w:val="right"/>
              <w:ind w:right="77"/>
              <w:spacing w:after="0" w:line="135" w:lineRule="exact"/>
              <w:rPr>
                <w:sz w:val="20"/>
                <w:szCs w:val="20"/>
                <w:color w:val="auto"/>
              </w:rPr>
            </w:pPr>
            <w:r>
              <w:rPr>
                <w:rFonts w:ascii="Arial" w:cs="Arial" w:eastAsia="Arial" w:hAnsi="Arial"/>
                <w:sz w:val="13"/>
                <w:szCs w:val="13"/>
                <w:color w:val="auto"/>
              </w:rPr>
              <w:t>8.4%</w:t>
            </w:r>
          </w:p>
        </w:tc>
        <w:tc>
          <w:tcPr>
            <w:tcW w:w="18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77"/>
              <w:spacing w:after="0" w:line="135" w:lineRule="exact"/>
              <w:rPr>
                <w:sz w:val="20"/>
                <w:szCs w:val="20"/>
                <w:color w:val="auto"/>
              </w:rPr>
            </w:pPr>
            <w:r>
              <w:rPr>
                <w:rFonts w:ascii="Arial" w:cs="Arial" w:eastAsia="Arial" w:hAnsi="Arial"/>
                <w:sz w:val="13"/>
                <w:szCs w:val="13"/>
                <w:color w:val="auto"/>
              </w:rPr>
              <w:t>16.1%</w:t>
            </w:r>
          </w:p>
        </w:tc>
        <w:tc>
          <w:tcPr>
            <w:tcW w:w="8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1,768.5</w:t>
            </w:r>
          </w:p>
        </w:tc>
        <w:tc>
          <w:tcPr>
            <w:tcW w:w="260" w:type="dxa"/>
            <w:vAlign w:val="bottom"/>
            <w:shd w:val="clear" w:color="auto" w:fill="CCFFCC"/>
          </w:tcPr>
          <w:p>
            <w:pPr>
              <w:spacing w:after="0"/>
              <w:rPr>
                <w:sz w:val="11"/>
                <w:szCs w:val="11"/>
                <w:color w:val="auto"/>
              </w:rPr>
            </w:pPr>
          </w:p>
        </w:tc>
        <w:tc>
          <w:tcPr>
            <w:tcW w:w="64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w w:val="92"/>
              </w:rPr>
              <w:t>1,523.5</w:t>
            </w:r>
          </w:p>
        </w:tc>
        <w:tc>
          <w:tcPr>
            <w:tcW w:w="8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80" w:type="dxa"/>
            <w:vAlign w:val="bottom"/>
            <w:gridSpan w:val="2"/>
          </w:tcPr>
          <w:p>
            <w:pPr>
              <w:spacing w:after="0" w:line="135" w:lineRule="exact"/>
              <w:rPr>
                <w:sz w:val="20"/>
                <w:szCs w:val="20"/>
                <w:color w:val="auto"/>
              </w:rPr>
            </w:pPr>
            <w:r>
              <w:rPr>
                <w:rFonts w:ascii="Arial" w:cs="Arial" w:eastAsia="Arial" w:hAnsi="Arial"/>
                <w:sz w:val="13"/>
                <w:szCs w:val="13"/>
                <w:color w:val="auto"/>
              </w:rPr>
              <w:t>Total deposits</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1,396.8</w:t>
            </w:r>
          </w:p>
        </w:tc>
        <w:tc>
          <w:tcPr>
            <w:tcW w:w="22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1,370.4</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1,320.6</w:t>
            </w:r>
          </w:p>
        </w:tc>
        <w:tc>
          <w:tcPr>
            <w:tcW w:w="92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1.9%</w:t>
            </w:r>
          </w:p>
        </w:tc>
        <w:tc>
          <w:tcPr>
            <w:tcW w:w="180" w:type="dxa"/>
            <w:vAlign w:val="bottom"/>
          </w:tcPr>
          <w:p>
            <w:pPr>
              <w:spacing w:after="0"/>
              <w:rPr>
                <w:sz w:val="11"/>
                <w:szCs w:val="11"/>
                <w:color w:val="auto"/>
              </w:rPr>
            </w:pPr>
          </w:p>
        </w:tc>
        <w:tc>
          <w:tcPr>
            <w:tcW w:w="74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5.8%</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1,396.8</w:t>
            </w:r>
          </w:p>
        </w:tc>
        <w:tc>
          <w:tcPr>
            <w:tcW w:w="260" w:type="dxa"/>
            <w:vAlign w:val="bottom"/>
          </w:tcPr>
          <w:p>
            <w:pPr>
              <w:spacing w:after="0"/>
              <w:rPr>
                <w:sz w:val="11"/>
                <w:szCs w:val="11"/>
                <w:color w:val="auto"/>
              </w:rPr>
            </w:pPr>
          </w:p>
        </w:tc>
        <w:tc>
          <w:tcPr>
            <w:tcW w:w="6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w w:val="92"/>
              </w:rPr>
              <w:t>1,320.6</w:t>
            </w: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180" w:type="dxa"/>
            <w:vAlign w:val="bottom"/>
            <w:gridSpan w:val="2"/>
            <w:shd w:val="clear" w:color="auto" w:fill="CCFFCC"/>
          </w:tcPr>
          <w:p>
            <w:pPr>
              <w:spacing w:after="0"/>
              <w:rPr>
                <w:sz w:val="20"/>
                <w:szCs w:val="20"/>
                <w:color w:val="auto"/>
              </w:rPr>
            </w:pPr>
            <w:r>
              <w:rPr>
                <w:rFonts w:ascii="Arial" w:cs="Arial" w:eastAsia="Arial" w:hAnsi="Arial"/>
                <w:sz w:val="13"/>
                <w:szCs w:val="13"/>
                <w:color w:val="auto"/>
              </w:rPr>
              <w:t>Net shareholder's equity</w:t>
            </w:r>
          </w:p>
        </w:tc>
        <w:tc>
          <w:tcPr>
            <w:tcW w:w="680" w:type="dxa"/>
            <w:vAlign w:val="bottom"/>
            <w:shd w:val="clear" w:color="auto" w:fill="CCFFCC"/>
          </w:tcPr>
          <w:p>
            <w:pPr>
              <w:jc w:val="right"/>
              <w:spacing w:after="0"/>
              <w:rPr>
                <w:sz w:val="20"/>
                <w:szCs w:val="20"/>
                <w:color w:val="auto"/>
              </w:rPr>
            </w:pPr>
            <w:r>
              <w:rPr>
                <w:rFonts w:ascii="Arial" w:cs="Arial" w:eastAsia="Arial" w:hAnsi="Arial"/>
                <w:sz w:val="13"/>
                <w:szCs w:val="13"/>
                <w:color w:val="auto"/>
              </w:rPr>
              <w:t>219.8</w:t>
            </w:r>
          </w:p>
        </w:tc>
        <w:tc>
          <w:tcPr>
            <w:tcW w:w="22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204.6</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189.2</w:t>
            </w:r>
          </w:p>
        </w:tc>
        <w:tc>
          <w:tcPr>
            <w:tcW w:w="920" w:type="dxa"/>
            <w:vAlign w:val="bottom"/>
            <w:gridSpan w:val="2"/>
            <w:shd w:val="clear" w:color="auto" w:fill="CCFFCC"/>
          </w:tcPr>
          <w:p>
            <w:pPr>
              <w:jc w:val="right"/>
              <w:ind w:right="77"/>
              <w:spacing w:after="0"/>
              <w:rPr>
                <w:sz w:val="20"/>
                <w:szCs w:val="20"/>
                <w:color w:val="auto"/>
              </w:rPr>
            </w:pPr>
            <w:r>
              <w:rPr>
                <w:rFonts w:ascii="Arial" w:cs="Arial" w:eastAsia="Arial" w:hAnsi="Arial"/>
                <w:sz w:val="13"/>
                <w:szCs w:val="13"/>
                <w:color w:val="auto"/>
              </w:rPr>
              <w:t>7.4%</w:t>
            </w:r>
          </w:p>
        </w:tc>
        <w:tc>
          <w:tcPr>
            <w:tcW w:w="18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77"/>
              <w:spacing w:after="0"/>
              <w:rPr>
                <w:sz w:val="20"/>
                <w:szCs w:val="20"/>
                <w:color w:val="auto"/>
              </w:rPr>
            </w:pPr>
            <w:r>
              <w:rPr>
                <w:rFonts w:ascii="Arial" w:cs="Arial" w:eastAsia="Arial" w:hAnsi="Arial"/>
                <w:sz w:val="13"/>
                <w:szCs w:val="13"/>
                <w:color w:val="auto"/>
              </w:rPr>
              <w:t>16.1%</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219.8</w:t>
            </w:r>
          </w:p>
        </w:tc>
        <w:tc>
          <w:tcPr>
            <w:tcW w:w="260" w:type="dxa"/>
            <w:vAlign w:val="bottom"/>
            <w:shd w:val="clear" w:color="auto" w:fill="CCFFCC"/>
          </w:tcPr>
          <w:p>
            <w:pPr>
              <w:spacing w:after="0"/>
              <w:rPr>
                <w:sz w:val="12"/>
                <w:szCs w:val="12"/>
                <w:color w:val="auto"/>
              </w:rPr>
            </w:pPr>
          </w:p>
        </w:tc>
        <w:tc>
          <w:tcPr>
            <w:tcW w:w="64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189.2</w:t>
            </w:r>
          </w:p>
        </w:tc>
        <w:tc>
          <w:tcPr>
            <w:tcW w:w="8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spacing w:after="0"/>
              <w:rPr>
                <w:sz w:val="20"/>
                <w:szCs w:val="20"/>
                <w:color w:val="auto"/>
              </w:rPr>
            </w:pPr>
            <w:r>
              <w:rPr>
                <w:rFonts w:ascii="Arial" w:cs="Arial" w:eastAsia="Arial" w:hAnsi="Arial"/>
                <w:sz w:val="13"/>
                <w:szCs w:val="13"/>
                <w:color w:val="auto"/>
              </w:rPr>
              <w:t>Net interest margin</w:t>
            </w: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180" w:type="dxa"/>
            <w:vAlign w:val="bottom"/>
            <w:gridSpan w:val="2"/>
            <w:vMerge w:val="continue"/>
          </w:tcPr>
          <w:p>
            <w:pPr>
              <w:spacing w:after="0"/>
              <w:rPr>
                <w:sz w:val="11"/>
                <w:szCs w:val="11"/>
                <w:color w:val="auto"/>
              </w:rPr>
            </w:pPr>
          </w:p>
        </w:tc>
        <w:tc>
          <w:tcPr>
            <w:tcW w:w="900" w:type="dxa"/>
            <w:vAlign w:val="bottom"/>
            <w:gridSpan w:val="2"/>
          </w:tcPr>
          <w:p>
            <w:pPr>
              <w:jc w:val="right"/>
              <w:ind w:right="120"/>
              <w:spacing w:after="0" w:line="129" w:lineRule="exact"/>
              <w:rPr>
                <w:sz w:val="20"/>
                <w:szCs w:val="20"/>
                <w:color w:val="auto"/>
              </w:rPr>
            </w:pPr>
            <w:r>
              <w:rPr>
                <w:rFonts w:ascii="Arial" w:cs="Arial" w:eastAsia="Arial" w:hAnsi="Arial"/>
                <w:sz w:val="13"/>
                <w:szCs w:val="13"/>
                <w:color w:val="auto"/>
              </w:rPr>
              <w:t>2.4%</w:t>
            </w:r>
          </w:p>
        </w:tc>
        <w:tc>
          <w:tcPr>
            <w:tcW w:w="880" w:type="dxa"/>
            <w:vAlign w:val="bottom"/>
            <w:gridSpan w:val="2"/>
          </w:tcPr>
          <w:p>
            <w:pPr>
              <w:jc w:val="right"/>
              <w:ind w:right="100"/>
              <w:spacing w:after="0" w:line="129" w:lineRule="exact"/>
              <w:rPr>
                <w:sz w:val="20"/>
                <w:szCs w:val="20"/>
                <w:color w:val="auto"/>
              </w:rPr>
            </w:pPr>
            <w:r>
              <w:rPr>
                <w:rFonts w:ascii="Arial" w:cs="Arial" w:eastAsia="Arial" w:hAnsi="Arial"/>
                <w:sz w:val="13"/>
                <w:szCs w:val="13"/>
                <w:color w:val="auto"/>
              </w:rPr>
              <w:t>2.5%</w:t>
            </w:r>
          </w:p>
        </w:tc>
        <w:tc>
          <w:tcPr>
            <w:tcW w:w="900" w:type="dxa"/>
            <w:vAlign w:val="bottom"/>
            <w:gridSpan w:val="2"/>
          </w:tcPr>
          <w:p>
            <w:pPr>
              <w:jc w:val="right"/>
              <w:ind w:right="120"/>
              <w:spacing w:after="0" w:line="129" w:lineRule="exact"/>
              <w:rPr>
                <w:sz w:val="20"/>
                <w:szCs w:val="20"/>
                <w:color w:val="auto"/>
              </w:rPr>
            </w:pPr>
            <w:r>
              <w:rPr>
                <w:rFonts w:ascii="Arial" w:cs="Arial" w:eastAsia="Arial" w:hAnsi="Arial"/>
                <w:sz w:val="13"/>
                <w:szCs w:val="13"/>
                <w:color w:val="auto"/>
              </w:rPr>
              <w:t>2.6%</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gridSpan w:val="2"/>
          </w:tcPr>
          <w:p>
            <w:pPr>
              <w:jc w:val="right"/>
              <w:ind w:right="100"/>
              <w:spacing w:after="0" w:line="129" w:lineRule="exact"/>
              <w:rPr>
                <w:sz w:val="20"/>
                <w:szCs w:val="20"/>
                <w:color w:val="auto"/>
              </w:rPr>
            </w:pPr>
            <w:r>
              <w:rPr>
                <w:rFonts w:ascii="Arial" w:cs="Arial" w:eastAsia="Arial" w:hAnsi="Arial"/>
                <w:sz w:val="13"/>
                <w:szCs w:val="13"/>
                <w:color w:val="auto"/>
              </w:rPr>
              <w:t>2.4%</w:t>
            </w:r>
          </w:p>
        </w:tc>
        <w:tc>
          <w:tcPr>
            <w:tcW w:w="260" w:type="dxa"/>
            <w:vAlign w:val="bottom"/>
          </w:tcPr>
          <w:p>
            <w:pPr>
              <w:spacing w:after="0"/>
              <w:rPr>
                <w:sz w:val="11"/>
                <w:szCs w:val="11"/>
                <w:color w:val="auto"/>
              </w:rPr>
            </w:pPr>
          </w:p>
        </w:tc>
        <w:tc>
          <w:tcPr>
            <w:tcW w:w="640" w:type="dxa"/>
            <w:vAlign w:val="bottom"/>
            <w:gridSpan w:val="2"/>
          </w:tcPr>
          <w:p>
            <w:pPr>
              <w:jc w:val="right"/>
              <w:ind w:right="120"/>
              <w:spacing w:after="0" w:line="129" w:lineRule="exact"/>
              <w:rPr>
                <w:sz w:val="20"/>
                <w:szCs w:val="20"/>
                <w:color w:val="auto"/>
              </w:rPr>
            </w:pPr>
            <w:r>
              <w:rPr>
                <w:rFonts w:ascii="Arial" w:cs="Arial" w:eastAsia="Arial" w:hAnsi="Arial"/>
                <w:sz w:val="13"/>
                <w:szCs w:val="13"/>
                <w:color w:val="auto"/>
              </w:rPr>
              <w:t>2.2%</w:t>
            </w: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8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Efficiency ratio</w:t>
            </w:r>
          </w:p>
        </w:tc>
        <w:tc>
          <w:tcPr>
            <w:tcW w:w="9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15.5%</w:t>
            </w:r>
          </w:p>
        </w:tc>
        <w:tc>
          <w:tcPr>
            <w:tcW w:w="88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14.6%</w:t>
            </w:r>
          </w:p>
        </w:tc>
        <w:tc>
          <w:tcPr>
            <w:tcW w:w="9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18.2%</w:t>
            </w:r>
          </w:p>
        </w:tc>
        <w:tc>
          <w:tcPr>
            <w:tcW w:w="6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48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88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15.5%</w:t>
            </w:r>
          </w:p>
        </w:tc>
        <w:tc>
          <w:tcPr>
            <w:tcW w:w="260" w:type="dxa"/>
            <w:vAlign w:val="bottom"/>
            <w:shd w:val="clear" w:color="auto" w:fill="CCFFCC"/>
          </w:tcPr>
          <w:p>
            <w:pPr>
              <w:spacing w:after="0"/>
              <w:rPr>
                <w:sz w:val="11"/>
                <w:szCs w:val="11"/>
                <w:color w:val="auto"/>
              </w:rPr>
            </w:pPr>
          </w:p>
        </w:tc>
        <w:tc>
          <w:tcPr>
            <w:tcW w:w="64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16.0%</w:t>
            </w:r>
          </w:p>
        </w:tc>
        <w:tc>
          <w:tcPr>
            <w:tcW w:w="8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80" w:type="dxa"/>
            <w:vAlign w:val="bottom"/>
            <w:gridSpan w:val="2"/>
          </w:tcPr>
          <w:p>
            <w:pPr>
              <w:spacing w:after="0" w:line="135" w:lineRule="exact"/>
              <w:rPr>
                <w:sz w:val="20"/>
                <w:szCs w:val="20"/>
                <w:color w:val="auto"/>
              </w:rPr>
            </w:pPr>
            <w:r>
              <w:rPr>
                <w:rFonts w:ascii="Arial" w:cs="Arial" w:eastAsia="Arial" w:hAnsi="Arial"/>
                <w:sz w:val="13"/>
                <w:szCs w:val="13"/>
                <w:color w:val="auto"/>
              </w:rPr>
              <w:t>Return on average equity</w:t>
            </w: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25.8%</w:t>
            </w:r>
          </w:p>
        </w:tc>
        <w:tc>
          <w:tcPr>
            <w:tcW w:w="8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26.1%</w:t>
            </w: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20.2%</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25.1%</w:t>
            </w:r>
          </w:p>
        </w:tc>
        <w:tc>
          <w:tcPr>
            <w:tcW w:w="260" w:type="dxa"/>
            <w:vAlign w:val="bottom"/>
          </w:tcPr>
          <w:p>
            <w:pPr>
              <w:spacing w:after="0"/>
              <w:rPr>
                <w:sz w:val="11"/>
                <w:szCs w:val="11"/>
                <w:color w:val="auto"/>
              </w:rPr>
            </w:pPr>
          </w:p>
        </w:tc>
        <w:tc>
          <w:tcPr>
            <w:tcW w:w="6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22.2%</w:t>
            </w: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180" w:type="dxa"/>
            <w:vAlign w:val="bottom"/>
            <w:gridSpan w:val="2"/>
            <w:shd w:val="clear" w:color="auto" w:fill="CCFFCC"/>
          </w:tcPr>
          <w:p>
            <w:pPr>
              <w:spacing w:after="0"/>
              <w:rPr>
                <w:sz w:val="20"/>
                <w:szCs w:val="20"/>
                <w:color w:val="auto"/>
              </w:rPr>
            </w:pPr>
            <w:r>
              <w:rPr>
                <w:rFonts w:ascii="Arial" w:cs="Arial" w:eastAsia="Arial" w:hAnsi="Arial"/>
                <w:sz w:val="13"/>
                <w:szCs w:val="13"/>
                <w:color w:val="auto"/>
              </w:rPr>
              <w:t>PDL / Total loans</w:t>
            </w:r>
          </w:p>
        </w:tc>
        <w:tc>
          <w:tcPr>
            <w:tcW w:w="680" w:type="dxa"/>
            <w:vAlign w:val="bottom"/>
            <w:shd w:val="clear" w:color="auto" w:fill="CCFFCC"/>
          </w:tcPr>
          <w:p>
            <w:pPr>
              <w:jc w:val="right"/>
              <w:spacing w:after="0"/>
              <w:rPr>
                <w:sz w:val="20"/>
                <w:szCs w:val="20"/>
                <w:color w:val="auto"/>
              </w:rPr>
            </w:pPr>
            <w:r>
              <w:rPr>
                <w:rFonts w:ascii="Arial" w:cs="Arial" w:eastAsia="Arial" w:hAnsi="Arial"/>
                <w:sz w:val="13"/>
                <w:szCs w:val="13"/>
                <w:color w:val="auto"/>
              </w:rPr>
              <w:t>0.00</w:t>
            </w:r>
          </w:p>
        </w:tc>
        <w:tc>
          <w:tcPr>
            <w:tcW w:w="22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0.00</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0.00</w:t>
            </w:r>
          </w:p>
        </w:tc>
        <w:tc>
          <w:tcPr>
            <w:tcW w:w="68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4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0.00</w:t>
            </w:r>
          </w:p>
        </w:tc>
        <w:tc>
          <w:tcPr>
            <w:tcW w:w="260" w:type="dxa"/>
            <w:vAlign w:val="bottom"/>
            <w:shd w:val="clear" w:color="auto" w:fill="CCFFCC"/>
          </w:tcPr>
          <w:p>
            <w:pPr>
              <w:spacing w:after="0"/>
              <w:rPr>
                <w:sz w:val="12"/>
                <w:szCs w:val="12"/>
                <w:color w:val="auto"/>
              </w:rPr>
            </w:pPr>
          </w:p>
        </w:tc>
        <w:tc>
          <w:tcPr>
            <w:tcW w:w="64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0.00</w:t>
            </w:r>
          </w:p>
        </w:tc>
        <w:tc>
          <w:tcPr>
            <w:tcW w:w="8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spacing w:after="0"/>
              <w:rPr>
                <w:sz w:val="20"/>
                <w:szCs w:val="20"/>
                <w:color w:val="auto"/>
              </w:rPr>
            </w:pPr>
            <w:r>
              <w:rPr>
                <w:rFonts w:ascii="Arial" w:cs="Arial" w:eastAsia="Arial" w:hAnsi="Arial"/>
                <w:sz w:val="13"/>
                <w:szCs w:val="13"/>
                <w:color w:val="auto"/>
              </w:rPr>
              <w:t>Coverage ratio</w:t>
            </w: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180" w:type="dxa"/>
            <w:vAlign w:val="bottom"/>
            <w:gridSpan w:val="2"/>
            <w:vMerge w:val="continue"/>
          </w:tcPr>
          <w:p>
            <w:pPr>
              <w:spacing w:after="0"/>
              <w:rPr>
                <w:sz w:val="11"/>
                <w:szCs w:val="11"/>
                <w:color w:val="auto"/>
              </w:rPr>
            </w:pPr>
          </w:p>
        </w:tc>
        <w:tc>
          <w:tcPr>
            <w:tcW w:w="900" w:type="dxa"/>
            <w:vAlign w:val="bottom"/>
            <w:gridSpan w:val="2"/>
          </w:tcPr>
          <w:p>
            <w:pPr>
              <w:jc w:val="right"/>
              <w:ind w:right="120"/>
              <w:spacing w:after="0" w:line="129" w:lineRule="exact"/>
              <w:rPr>
                <w:sz w:val="20"/>
                <w:szCs w:val="20"/>
                <w:color w:val="auto"/>
              </w:rPr>
            </w:pPr>
            <w:r>
              <w:rPr>
                <w:rFonts w:ascii="Arial" w:cs="Arial" w:eastAsia="Arial" w:hAnsi="Arial"/>
                <w:sz w:val="13"/>
                <w:szCs w:val="13"/>
                <w:color w:val="auto"/>
              </w:rPr>
              <w:t>0.1%</w:t>
            </w:r>
          </w:p>
        </w:tc>
        <w:tc>
          <w:tcPr>
            <w:tcW w:w="880" w:type="dxa"/>
            <w:vAlign w:val="bottom"/>
            <w:gridSpan w:val="2"/>
          </w:tcPr>
          <w:p>
            <w:pPr>
              <w:jc w:val="right"/>
              <w:ind w:right="100"/>
              <w:spacing w:after="0" w:line="129" w:lineRule="exact"/>
              <w:rPr>
                <w:sz w:val="20"/>
                <w:szCs w:val="20"/>
                <w:color w:val="auto"/>
              </w:rPr>
            </w:pPr>
            <w:r>
              <w:rPr>
                <w:rFonts w:ascii="Arial" w:cs="Arial" w:eastAsia="Arial" w:hAnsi="Arial"/>
                <w:sz w:val="13"/>
                <w:szCs w:val="13"/>
                <w:color w:val="auto"/>
              </w:rPr>
              <w:t>0.1%</w:t>
            </w:r>
          </w:p>
        </w:tc>
        <w:tc>
          <w:tcPr>
            <w:tcW w:w="900" w:type="dxa"/>
            <w:vAlign w:val="bottom"/>
            <w:gridSpan w:val="2"/>
          </w:tcPr>
          <w:p>
            <w:pPr>
              <w:jc w:val="right"/>
              <w:ind w:right="120"/>
              <w:spacing w:after="0" w:line="129" w:lineRule="exact"/>
              <w:rPr>
                <w:sz w:val="20"/>
                <w:szCs w:val="20"/>
                <w:color w:val="auto"/>
              </w:rPr>
            </w:pPr>
            <w:r>
              <w:rPr>
                <w:rFonts w:ascii="Arial" w:cs="Arial" w:eastAsia="Arial" w:hAnsi="Arial"/>
                <w:sz w:val="13"/>
                <w:szCs w:val="13"/>
                <w:color w:val="auto"/>
              </w:rPr>
              <w:t>0.1%</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gridSpan w:val="2"/>
          </w:tcPr>
          <w:p>
            <w:pPr>
              <w:jc w:val="right"/>
              <w:ind w:right="100"/>
              <w:spacing w:after="0" w:line="129" w:lineRule="exact"/>
              <w:rPr>
                <w:sz w:val="20"/>
                <w:szCs w:val="20"/>
                <w:color w:val="auto"/>
              </w:rPr>
            </w:pPr>
            <w:r>
              <w:rPr>
                <w:rFonts w:ascii="Arial" w:cs="Arial" w:eastAsia="Arial" w:hAnsi="Arial"/>
                <w:sz w:val="13"/>
                <w:szCs w:val="13"/>
                <w:color w:val="auto"/>
              </w:rPr>
              <w:t>0.1%</w:t>
            </w:r>
          </w:p>
        </w:tc>
        <w:tc>
          <w:tcPr>
            <w:tcW w:w="260" w:type="dxa"/>
            <w:vAlign w:val="bottom"/>
          </w:tcPr>
          <w:p>
            <w:pPr>
              <w:spacing w:after="0"/>
              <w:rPr>
                <w:sz w:val="11"/>
                <w:szCs w:val="11"/>
                <w:color w:val="auto"/>
              </w:rPr>
            </w:pPr>
          </w:p>
        </w:tc>
        <w:tc>
          <w:tcPr>
            <w:tcW w:w="640" w:type="dxa"/>
            <w:vAlign w:val="bottom"/>
            <w:gridSpan w:val="2"/>
          </w:tcPr>
          <w:p>
            <w:pPr>
              <w:jc w:val="right"/>
              <w:ind w:right="120"/>
              <w:spacing w:after="0" w:line="129" w:lineRule="exact"/>
              <w:rPr>
                <w:sz w:val="20"/>
                <w:szCs w:val="20"/>
                <w:color w:val="auto"/>
              </w:rPr>
            </w:pPr>
            <w:r>
              <w:rPr>
                <w:rFonts w:ascii="Arial" w:cs="Arial" w:eastAsia="Arial" w:hAnsi="Arial"/>
                <w:sz w:val="13"/>
                <w:szCs w:val="13"/>
                <w:color w:val="auto"/>
              </w:rPr>
              <w:t>0.1%</w:t>
            </w: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180" w:type="dxa"/>
            <w:vAlign w:val="bottom"/>
            <w:gridSpan w:val="2"/>
            <w:shd w:val="clear" w:color="auto" w:fill="CCFFCC"/>
          </w:tcPr>
          <w:p>
            <w:pPr>
              <w:spacing w:after="0" w:line="189" w:lineRule="exact"/>
              <w:rPr>
                <w:sz w:val="20"/>
                <w:szCs w:val="20"/>
                <w:color w:val="auto"/>
              </w:rPr>
            </w:pPr>
            <w:r>
              <w:rPr>
                <w:rFonts w:ascii="Arial" w:cs="Arial" w:eastAsia="Arial" w:hAnsi="Arial"/>
                <w:sz w:val="13"/>
                <w:szCs w:val="13"/>
                <w:color w:val="auto"/>
              </w:rPr>
              <w:t xml:space="preserve">BIS Ratio </w:t>
            </w:r>
            <w:r>
              <w:rPr>
                <w:rFonts w:ascii="Arial" w:cs="Arial" w:eastAsia="Arial" w:hAnsi="Arial"/>
                <w:sz w:val="20"/>
                <w:szCs w:val="20"/>
                <w:color w:val="auto"/>
                <w:vertAlign w:val="superscript"/>
              </w:rPr>
              <w:t>(*)</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16.79%</w:t>
            </w: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16.89%</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19.36%</w:t>
            </w:r>
          </w:p>
        </w:tc>
        <w:tc>
          <w:tcPr>
            <w:tcW w:w="680" w:type="dxa"/>
            <w:vAlign w:val="bottom"/>
            <w:shd w:val="clear" w:color="auto" w:fill="CCFFCC"/>
          </w:tcPr>
          <w:p>
            <w:pPr>
              <w:spacing w:after="0"/>
              <w:rPr>
                <w:sz w:val="16"/>
                <w:szCs w:val="16"/>
                <w:color w:val="auto"/>
              </w:rPr>
            </w:pPr>
          </w:p>
        </w:tc>
        <w:tc>
          <w:tcPr>
            <w:tcW w:w="240" w:type="dxa"/>
            <w:vAlign w:val="bottom"/>
            <w:shd w:val="clear" w:color="auto" w:fill="CCFFCC"/>
          </w:tcPr>
          <w:p>
            <w:pPr>
              <w:spacing w:after="0"/>
              <w:rPr>
                <w:sz w:val="16"/>
                <w:szCs w:val="16"/>
                <w:color w:val="auto"/>
              </w:rPr>
            </w:pPr>
          </w:p>
        </w:tc>
        <w:tc>
          <w:tcPr>
            <w:tcW w:w="180" w:type="dxa"/>
            <w:vAlign w:val="bottom"/>
            <w:shd w:val="clear" w:color="auto" w:fill="CCFFCC"/>
          </w:tcPr>
          <w:p>
            <w:pPr>
              <w:spacing w:after="0"/>
              <w:rPr>
                <w:sz w:val="16"/>
                <w:szCs w:val="16"/>
                <w:color w:val="auto"/>
              </w:rPr>
            </w:pPr>
          </w:p>
        </w:tc>
        <w:tc>
          <w:tcPr>
            <w:tcW w:w="480" w:type="dxa"/>
            <w:vAlign w:val="bottom"/>
            <w:shd w:val="clear" w:color="auto" w:fill="CCFFCC"/>
          </w:tcPr>
          <w:p>
            <w:pPr>
              <w:spacing w:after="0"/>
              <w:rPr>
                <w:sz w:val="16"/>
                <w:szCs w:val="16"/>
                <w:color w:val="auto"/>
              </w:rPr>
            </w:pPr>
          </w:p>
        </w:tc>
        <w:tc>
          <w:tcPr>
            <w:tcW w:w="260" w:type="dxa"/>
            <w:vAlign w:val="bottom"/>
            <w:shd w:val="clear" w:color="auto" w:fill="CCFFCC"/>
          </w:tcPr>
          <w:p>
            <w:pPr>
              <w:spacing w:after="0"/>
              <w:rPr>
                <w:sz w:val="16"/>
                <w:szCs w:val="16"/>
                <w:color w:val="auto"/>
              </w:rPr>
            </w:pP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16.79%</w:t>
            </w:r>
          </w:p>
        </w:tc>
        <w:tc>
          <w:tcPr>
            <w:tcW w:w="260" w:type="dxa"/>
            <w:vAlign w:val="bottom"/>
            <w:shd w:val="clear" w:color="auto" w:fill="CCFFCC"/>
          </w:tcPr>
          <w:p>
            <w:pPr>
              <w:spacing w:after="0"/>
              <w:rPr>
                <w:sz w:val="16"/>
                <w:szCs w:val="16"/>
                <w:color w:val="auto"/>
              </w:rPr>
            </w:pPr>
          </w:p>
        </w:tc>
        <w:tc>
          <w:tcPr>
            <w:tcW w:w="64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19.36%</w:t>
            </w:r>
          </w:p>
        </w:tc>
        <w:tc>
          <w:tcPr>
            <w:tcW w:w="800" w:type="dxa"/>
            <w:vAlign w:val="bottom"/>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auto"/>
        <w:rPr>
          <w:sz w:val="20"/>
          <w:szCs w:val="20"/>
          <w:color w:val="auto"/>
        </w:rPr>
      </w:pPr>
      <w:r>
        <w:rPr>
          <w:rFonts w:ascii="Arial" w:cs="Arial" w:eastAsia="Arial" w:hAnsi="Arial"/>
          <w:sz w:val="17"/>
          <w:szCs w:val="17"/>
          <w:i w:val="1"/>
          <w:iCs w:val="1"/>
          <w:color w:val="auto"/>
        </w:rPr>
        <w:t xml:space="preserve">(*) Basel II Bis Ratio = (Regulatory Capital - deductions) / (RWA </w:t>
      </w:r>
      <w:r>
        <w:rPr>
          <w:rFonts w:ascii="Arial" w:cs="Arial" w:eastAsia="Arial" w:hAnsi="Arial"/>
          <w:sz w:val="28"/>
          <w:szCs w:val="28"/>
          <w:i w:val="1"/>
          <w:iCs w:val="1"/>
          <w:color w:val="auto"/>
          <w:vertAlign w:val="subscript"/>
        </w:rPr>
        <w:t>Credit risk</w:t>
      </w:r>
      <w:r>
        <w:rPr>
          <w:rFonts w:ascii="Arial" w:cs="Arial" w:eastAsia="Arial" w:hAnsi="Arial"/>
          <w:sz w:val="17"/>
          <w:szCs w:val="17"/>
          <w:i w:val="1"/>
          <w:iCs w:val="1"/>
          <w:color w:val="auto"/>
        </w:rPr>
        <w:t xml:space="preserve"> + Charge Operational risk + Charge Market risk).</w:t>
      </w:r>
    </w:p>
    <w:p>
      <w:pPr>
        <w:spacing w:after="0" w:line="18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Core income fell 2.2% QoQ due to a decline in fees and commissions for services (-13.3%). In effect, the increase in commissions paid to third parties to manage the investment portfolio (+65%) offset the increase in commissions for third party asset management (entries and shares in funds) as well as commissions to hold clients’ positions in custody. Nevertheless realized earnings on sales of equity instruments, higher than the amount initially estimated (+US$ 1.3 million), were included as extraordinary income in Other Income, which basically explains the 9.3% expansion in net income. A YoY comparison reveals that core income remained stable due to the evolution of net interest income (+3.9%), which offset lower income for dividends, fees and commissions for services and net gains on foreign exchange transactions. The 49.8% YoY increase in the net result was due to the favorable performance of (i) Other Income (+US$ 1.9 million), (ii) higher gains on sales of securities (+US$ 1.7 million); and (iii) a reduction in the net provisions (-US$ 1.1 million) that had been set aside at the end of 2011 for investment impairment.</w:t>
      </w:r>
    </w:p>
    <w:p>
      <w:pPr>
        <w:spacing w:after="0" w:line="395"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5" w:name="page36"/>
    <w:bookmarkEnd w:id="35"/>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6254750</wp:posOffset>
            </wp:positionH>
            <wp:positionV relativeFrom="page">
              <wp:posOffset>568960</wp:posOffset>
            </wp:positionV>
            <wp:extent cx="1149350" cy="3175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r>
    </w:p>
    <w:p>
      <w:pPr>
        <w:jc w:val="both"/>
        <w:spacing w:after="0" w:line="277" w:lineRule="auto"/>
        <w:rPr>
          <w:sz w:val="20"/>
          <w:szCs w:val="20"/>
          <w:color w:val="auto"/>
        </w:rPr>
      </w:pPr>
      <w:r>
        <w:rPr>
          <w:rFonts w:ascii="Arial" w:cs="Arial" w:eastAsia="Arial" w:hAnsi="Arial"/>
          <w:sz w:val="18"/>
          <w:szCs w:val="18"/>
          <w:color w:val="auto"/>
        </w:rPr>
        <w:t>In 4Q12 ASB posted an efficiency ratio of 15.5%, which represented a 90bps increase with regard to the previous quarter. In accumulated terms, the efficiency ratio reached 15.5%, which was 50bps below the result obtained at the end of 2011.</w:t>
      </w:r>
    </w:p>
    <w:p>
      <w:pPr>
        <w:spacing w:after="0" w:line="17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annualized ROAE this quarter reached 25.8%, which falls below the 26.1% reported in 3Q12 but tops the 20.2% posted in 4Q11. This result is evidence of a consistent increase in income that is in line with the expansion seen in asset volumes.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2012</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accumulated terms, ASB’s core income totaled US$ 47.7 million in 2012, which represented a 10.3% increase YoY. This result was primarily due to an increase in net interest income (22.9%), which is associated with the current rebalancing strategy (see Exhibit 1) and the increase in volumes of interest-earning assets, and to a lesser extent to the drop in provisions (-US$ 1.1 million) and extraordinary income generated this quarter. All of this was, nevertheless, slightly offset by a decline in Banking services commissions (-20.6%) due to an increase in the commissions paid to third parties.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this context, ASB’s annual contribution to Credicorp totaled US$ 48.4 million, which represents a 17.8% increase with regard to 2011’s figure. ROAE during this period reached 25.1% versus 22.2% in 2011. This indicates an increase of 3.0 percentage points, which is attributable to income growth this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Interest-earning assets totaled US$ 1,701 million, as indicated in the table below. This represented expansion of 9.1% QoQ and 16.7% YoY. In both cases, the driver of expansion was loan growth (+14.5% QoQ; +32.2% YoY). It is important to mention that ASB has striven to maintain a good risk profile, which is reflected in our delinquency-free portfolio.</w:t>
      </w:r>
    </w:p>
    <w:p>
      <w:pPr>
        <w:spacing w:after="0" w:line="177"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Interest earning assets*</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ind w:left="180"/>
              <w:spacing w:after="0"/>
              <w:rPr>
                <w:sz w:val="20"/>
                <w:szCs w:val="20"/>
                <w:color w:val="auto"/>
              </w:rPr>
            </w:pPr>
            <w:r>
              <w:rPr>
                <w:rFonts w:ascii="Arial" w:cs="Arial" w:eastAsia="Arial" w:hAnsi="Arial"/>
                <w:sz w:val="18"/>
                <w:szCs w:val="18"/>
                <w:b w:val="1"/>
                <w:bCs w:val="1"/>
                <w:color w:val="auto"/>
              </w:rPr>
              <w:t>Quarter</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gridSpan w:val="3"/>
          </w:tcPr>
          <w:p>
            <w:pPr>
              <w:ind w:left="700"/>
              <w:spacing w:after="0"/>
              <w:rPr>
                <w:sz w:val="20"/>
                <w:szCs w:val="20"/>
                <w:color w:val="auto"/>
              </w:rPr>
            </w:pPr>
            <w:r>
              <w:rPr>
                <w:rFonts w:ascii="Arial" w:cs="Arial" w:eastAsia="Arial" w:hAnsi="Arial"/>
                <w:sz w:val="18"/>
                <w:szCs w:val="18"/>
                <w:b w:val="1"/>
                <w:bCs w:val="1"/>
                <w:color w:val="auto"/>
                <w:w w:val="94"/>
              </w:rPr>
              <w:t>Change %</w:t>
            </w: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4"/>
        </w:trPr>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million</w:t>
            </w:r>
          </w:p>
        </w:tc>
        <w:tc>
          <w:tcPr>
            <w:tcW w:w="100" w:type="dxa"/>
            <w:vAlign w:val="bottom"/>
            <w:tcBorders>
              <w:bottom w:val="single" w:sz="8" w:color="CCFFCC"/>
            </w:tcBorders>
          </w:tcPr>
          <w:p>
            <w:pPr>
              <w:spacing w:after="0"/>
              <w:rPr>
                <w:sz w:val="20"/>
                <w:szCs w:val="20"/>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4Q12</w:t>
            </w:r>
          </w:p>
        </w:tc>
        <w:tc>
          <w:tcPr>
            <w:tcW w:w="220" w:type="dxa"/>
            <w:vAlign w:val="bottom"/>
            <w:tcBorders>
              <w:bottom w:val="single" w:sz="8" w:color="CCFFCC"/>
            </w:tcBorders>
          </w:tcPr>
          <w:p>
            <w:pPr>
              <w:spacing w:after="0"/>
              <w:rPr>
                <w:sz w:val="20"/>
                <w:szCs w:val="20"/>
                <w:color w:val="auto"/>
              </w:rPr>
            </w:pP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3Q12</w:t>
            </w:r>
          </w:p>
        </w:tc>
        <w:tc>
          <w:tcPr>
            <w:tcW w:w="220" w:type="dxa"/>
            <w:vAlign w:val="bottom"/>
            <w:tcBorders>
              <w:bottom w:val="single" w:sz="8" w:color="CCFFCC"/>
            </w:tcBorders>
          </w:tcPr>
          <w:p>
            <w:pPr>
              <w:spacing w:after="0"/>
              <w:rPr>
                <w:sz w:val="20"/>
                <w:szCs w:val="20"/>
                <w:color w:val="auto"/>
              </w:rPr>
            </w:pP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4Q 2011</w:t>
            </w:r>
          </w:p>
        </w:tc>
        <w:tc>
          <w:tcPr>
            <w:tcW w:w="220" w:type="dxa"/>
            <w:vAlign w:val="bottom"/>
            <w:tcBorders>
              <w:bottom w:val="single" w:sz="8" w:color="CCFFCC"/>
            </w:tcBorders>
          </w:tcPr>
          <w:p>
            <w:pPr>
              <w:spacing w:after="0"/>
              <w:rPr>
                <w:sz w:val="20"/>
                <w:szCs w:val="20"/>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FFC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6"/>
              </w:rPr>
              <w:t>YoY</w:t>
            </w:r>
          </w:p>
        </w:tc>
        <w:tc>
          <w:tcPr>
            <w:tcW w:w="200" w:type="dxa"/>
            <w:vAlign w:val="bottom"/>
            <w:tcBorders>
              <w:bottom w:val="single" w:sz="8" w:color="CCFFCC"/>
            </w:tcBorders>
          </w:tcPr>
          <w:p>
            <w:pPr>
              <w:spacing w:after="0"/>
              <w:rPr>
                <w:sz w:val="20"/>
                <w:szCs w:val="20"/>
                <w:color w:val="auto"/>
              </w:rPr>
            </w:pPr>
          </w:p>
        </w:tc>
      </w:tr>
      <w:tr>
        <w:trPr>
          <w:trHeight w:val="210"/>
        </w:trPr>
        <w:tc>
          <w:tcPr>
            <w:tcW w:w="4760" w:type="dxa"/>
            <w:vAlign w:val="bottom"/>
            <w:shd w:val="clear" w:color="auto" w:fill="CCFFCC"/>
          </w:tcPr>
          <w:p>
            <w:pPr>
              <w:spacing w:after="0"/>
              <w:rPr>
                <w:sz w:val="20"/>
                <w:szCs w:val="20"/>
                <w:color w:val="auto"/>
              </w:rPr>
            </w:pPr>
            <w:r>
              <w:rPr>
                <w:rFonts w:ascii="Arial" w:cs="Arial" w:eastAsia="Arial" w:hAnsi="Arial"/>
                <w:sz w:val="18"/>
                <w:szCs w:val="18"/>
                <w:color w:val="auto"/>
              </w:rPr>
              <w:t>Cash and deposits</w:t>
            </w:r>
          </w:p>
        </w:tc>
        <w:tc>
          <w:tcPr>
            <w:tcW w:w="10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137</w:t>
            </w:r>
          </w:p>
        </w:tc>
        <w:tc>
          <w:tcPr>
            <w:tcW w:w="22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83</w:t>
            </w:r>
          </w:p>
        </w:tc>
        <w:tc>
          <w:tcPr>
            <w:tcW w:w="22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80</w:t>
            </w:r>
          </w:p>
        </w:tc>
        <w:tc>
          <w:tcPr>
            <w:tcW w:w="22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64.5%</w:t>
            </w:r>
          </w:p>
        </w:tc>
        <w:tc>
          <w:tcPr>
            <w:tcW w:w="28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71.6%</w:t>
            </w: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Loans</w:t>
            </w:r>
          </w:p>
        </w:tc>
        <w:tc>
          <w:tcPr>
            <w:tcW w:w="960" w:type="dxa"/>
            <w:vAlign w:val="bottom"/>
          </w:tcPr>
          <w:p>
            <w:pPr>
              <w:jc w:val="right"/>
              <w:spacing w:after="0"/>
              <w:rPr>
                <w:sz w:val="20"/>
                <w:szCs w:val="20"/>
                <w:color w:val="auto"/>
              </w:rPr>
            </w:pPr>
            <w:r>
              <w:rPr>
                <w:rFonts w:ascii="Arial" w:cs="Arial" w:eastAsia="Arial" w:hAnsi="Arial"/>
                <w:sz w:val="18"/>
                <w:szCs w:val="18"/>
                <w:color w:val="auto"/>
              </w:rPr>
              <w:t>801</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700</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606</w:t>
            </w:r>
          </w:p>
        </w:tc>
        <w:tc>
          <w:tcPr>
            <w:tcW w:w="220" w:type="dxa"/>
            <w:vAlign w:val="bottom"/>
          </w:tcPr>
          <w:p>
            <w:pPr>
              <w:spacing w:after="0"/>
              <w:rPr>
                <w:sz w:val="18"/>
                <w:szCs w:val="18"/>
                <w:color w:val="auto"/>
              </w:rPr>
            </w:pPr>
          </w:p>
        </w:tc>
        <w:tc>
          <w:tcPr>
            <w:tcW w:w="1260" w:type="dxa"/>
            <w:vAlign w:val="bottom"/>
            <w:gridSpan w:val="2"/>
          </w:tcPr>
          <w:p>
            <w:pPr>
              <w:jc w:val="right"/>
              <w:ind w:right="70"/>
              <w:spacing w:after="0"/>
              <w:rPr>
                <w:sz w:val="20"/>
                <w:szCs w:val="20"/>
                <w:color w:val="auto"/>
              </w:rPr>
            </w:pPr>
            <w:r>
              <w:rPr>
                <w:rFonts w:ascii="Arial" w:cs="Arial" w:eastAsia="Arial" w:hAnsi="Arial"/>
                <w:sz w:val="18"/>
                <w:szCs w:val="18"/>
                <w:color w:val="auto"/>
              </w:rPr>
              <w:t>14.5%</w:t>
            </w:r>
          </w:p>
        </w:tc>
        <w:tc>
          <w:tcPr>
            <w:tcW w:w="2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32.2%</w:t>
            </w:r>
          </w:p>
        </w:tc>
      </w:tr>
      <w:tr>
        <w:trPr>
          <w:trHeight w:val="230"/>
        </w:trPr>
        <w:tc>
          <w:tcPr>
            <w:tcW w:w="48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Investments</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763</w:t>
            </w:r>
          </w:p>
        </w:tc>
        <w:tc>
          <w:tcPr>
            <w:tcW w:w="220" w:type="dxa"/>
            <w:vAlign w:val="bottom"/>
            <w:shd w:val="clear" w:color="auto" w:fill="CCFFCC"/>
          </w:tcPr>
          <w:p>
            <w:pPr>
              <w:spacing w:after="0"/>
              <w:rPr>
                <w:sz w:val="19"/>
                <w:szCs w:val="19"/>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776</w:t>
            </w:r>
          </w:p>
        </w:tc>
        <w:tc>
          <w:tcPr>
            <w:tcW w:w="220" w:type="dxa"/>
            <w:vAlign w:val="bottom"/>
            <w:shd w:val="clear" w:color="auto" w:fill="CCFFCC"/>
          </w:tcPr>
          <w:p>
            <w:pPr>
              <w:spacing w:after="0"/>
              <w:rPr>
                <w:sz w:val="19"/>
                <w:szCs w:val="19"/>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771</w:t>
            </w:r>
          </w:p>
        </w:tc>
        <w:tc>
          <w:tcPr>
            <w:tcW w:w="22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-1.7%</w:t>
            </w:r>
          </w:p>
        </w:tc>
        <w:tc>
          <w:tcPr>
            <w:tcW w:w="280" w:type="dxa"/>
            <w:vAlign w:val="bottom"/>
            <w:shd w:val="clear" w:color="auto" w:fill="CCFFCC"/>
          </w:tcPr>
          <w:p>
            <w:pPr>
              <w:spacing w:after="0"/>
              <w:rPr>
                <w:sz w:val="19"/>
                <w:szCs w:val="19"/>
                <w:color w:val="auto"/>
              </w:rPr>
            </w:pPr>
          </w:p>
        </w:tc>
        <w:tc>
          <w:tcPr>
            <w:tcW w:w="8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-1.1%</w:t>
            </w:r>
          </w:p>
        </w:tc>
      </w:tr>
      <w:tr>
        <w:trPr>
          <w:trHeight w:val="225"/>
        </w:trPr>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Total interest-earning assets</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1,701</w:t>
            </w:r>
          </w:p>
        </w:tc>
        <w:tc>
          <w:tcPr>
            <w:tcW w:w="22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1,559</w:t>
            </w:r>
          </w:p>
        </w:tc>
        <w:tc>
          <w:tcPr>
            <w:tcW w:w="22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1,457</w:t>
            </w:r>
          </w:p>
        </w:tc>
        <w:tc>
          <w:tcPr>
            <w:tcW w:w="22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9.1</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2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16.7</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3281045</wp:posOffset>
            </wp:positionH>
            <wp:positionV relativeFrom="paragraph">
              <wp:posOffset>-8890</wp:posOffset>
            </wp:positionV>
            <wp:extent cx="36703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670300" cy="8890"/>
                    </a:xfrm>
                    <a:prstGeom prst="rect">
                      <a:avLst/>
                    </a:prstGeom>
                    <a:noFill/>
                  </pic:spPr>
                </pic:pic>
              </a:graphicData>
            </a:graphic>
          </wp:anchor>
        </w:drawing>
      </w:r>
    </w:p>
    <w:p>
      <w:pPr>
        <w:ind w:left="240"/>
        <w:spacing w:after="0"/>
        <w:rPr>
          <w:sz w:val="20"/>
          <w:szCs w:val="20"/>
          <w:color w:val="auto"/>
        </w:rPr>
      </w:pPr>
      <w:r>
        <w:rPr>
          <w:rFonts w:ascii="Arial" w:cs="Arial" w:eastAsia="Arial" w:hAnsi="Arial"/>
          <w:sz w:val="18"/>
          <w:szCs w:val="18"/>
          <w:i w:val="1"/>
          <w:iCs w:val="1"/>
          <w:color w:val="auto"/>
        </w:rPr>
        <w:t>(*) Excludes investments in equities and mutual funds.</w:t>
      </w:r>
    </w:p>
    <w:p>
      <w:pPr>
        <w:spacing w:after="0" w:line="20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With regard to the investment portfolio, it is important to note that a significant portion of ASB’s instruments continue to be investment grade (70%), which reflects the bank’s prudent and sustained policy to concentrate portfolio investment in instruments with a good risk profile.</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6" w:name="page37"/>
    <w:bookmarkEnd w:id="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877570</wp:posOffset>
            </wp:positionH>
            <wp:positionV relativeFrom="page">
              <wp:posOffset>568960</wp:posOffset>
            </wp:positionV>
            <wp:extent cx="6525895" cy="2684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525895" cy="2684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ASB exercises strict control over and follow-up on diversification strategies and the limits set for investment types. This helps maintain a healthy balance in its proprietary portfolio, ensure the quality of its investments and guarantee return levels that contribute to the financial margin- which has a subsequently positive impact on shareholders’ returns.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Client deposits increased 1.9% YoY and 5.8% YoY. To finance growth in assets during the quarter, the Bank has taken financing for short-term working capital, which explains the increase in other liabilities (US$95.2 million). With regard to 4Q11, the variation in deposits is due to the increase in funds captured from clients and in other liabilities, which is also due to financing taken in 4Q12.</w:t>
      </w:r>
    </w:p>
    <w:p>
      <w:pPr>
        <w:spacing w:after="0" w:line="177"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382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ind w:left="280"/>
              <w:spacing w:after="0"/>
              <w:rPr>
                <w:sz w:val="20"/>
                <w:szCs w:val="20"/>
                <w:color w:val="auto"/>
              </w:rPr>
            </w:pPr>
            <w:r>
              <w:rPr>
                <w:rFonts w:ascii="Arial" w:cs="Arial" w:eastAsia="Arial" w:hAnsi="Arial"/>
                <w:sz w:val="18"/>
                <w:szCs w:val="18"/>
                <w:b w:val="1"/>
                <w:bCs w:val="1"/>
                <w:color w:val="auto"/>
              </w:rPr>
              <w:t>Quarter</w:t>
            </w: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gridSpan w:val="3"/>
          </w:tcPr>
          <w:p>
            <w:pPr>
              <w:ind w:left="920"/>
              <w:spacing w:after="0"/>
              <w:rPr>
                <w:sz w:val="20"/>
                <w:szCs w:val="20"/>
                <w:color w:val="auto"/>
              </w:rPr>
            </w:pPr>
            <w:r>
              <w:rPr>
                <w:rFonts w:ascii="Arial" w:cs="Arial" w:eastAsia="Arial" w:hAnsi="Arial"/>
                <w:sz w:val="18"/>
                <w:szCs w:val="18"/>
                <w:b w:val="1"/>
                <w:bCs w:val="1"/>
                <w:color w:val="auto"/>
              </w:rPr>
              <w:t>Change %</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4"/>
        </w:trPr>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million</w:t>
            </w:r>
          </w:p>
        </w:tc>
        <w:tc>
          <w:tcPr>
            <w:tcW w:w="120" w:type="dxa"/>
            <w:vAlign w:val="bottom"/>
            <w:tcBorders>
              <w:bottom w:val="single" w:sz="8" w:color="CCFFCC"/>
            </w:tcBorders>
          </w:tcPr>
          <w:p>
            <w:pPr>
              <w:spacing w:after="0"/>
              <w:rPr>
                <w:sz w:val="20"/>
                <w:szCs w:val="20"/>
                <w:color w:val="auto"/>
              </w:rPr>
            </w:pPr>
          </w:p>
        </w:tc>
        <w:tc>
          <w:tcPr>
            <w:tcW w:w="11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4Q12</w:t>
            </w:r>
          </w:p>
        </w:tc>
        <w:tc>
          <w:tcPr>
            <w:tcW w:w="220" w:type="dxa"/>
            <w:vAlign w:val="bottom"/>
            <w:tcBorders>
              <w:bottom w:val="single" w:sz="8" w:color="CCFFCC"/>
            </w:tcBorders>
          </w:tcPr>
          <w:p>
            <w:pPr>
              <w:spacing w:after="0"/>
              <w:rPr>
                <w:sz w:val="20"/>
                <w:szCs w:val="20"/>
                <w:color w:val="auto"/>
              </w:rPr>
            </w:pPr>
          </w:p>
        </w:tc>
        <w:tc>
          <w:tcPr>
            <w:tcW w:w="11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3Q12</w:t>
            </w:r>
          </w:p>
        </w:tc>
        <w:tc>
          <w:tcPr>
            <w:tcW w:w="220" w:type="dxa"/>
            <w:vAlign w:val="bottom"/>
            <w:tcBorders>
              <w:bottom w:val="single" w:sz="8" w:color="CCFFCC"/>
            </w:tcBorders>
          </w:tcPr>
          <w:p>
            <w:pPr>
              <w:spacing w:after="0"/>
              <w:rPr>
                <w:sz w:val="20"/>
                <w:szCs w:val="20"/>
                <w:color w:val="auto"/>
              </w:rPr>
            </w:pPr>
          </w:p>
        </w:tc>
        <w:tc>
          <w:tcPr>
            <w:tcW w:w="11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4Q11</w:t>
            </w:r>
          </w:p>
        </w:tc>
        <w:tc>
          <w:tcPr>
            <w:tcW w:w="200" w:type="dxa"/>
            <w:vAlign w:val="bottom"/>
            <w:tcBorders>
              <w:bottom w:val="single" w:sz="8" w:color="CCFFCC"/>
            </w:tcBorders>
          </w:tcPr>
          <w:p>
            <w:pPr>
              <w:spacing w:after="0"/>
              <w:rPr>
                <w:sz w:val="20"/>
                <w:szCs w:val="20"/>
                <w:color w:val="auto"/>
              </w:rPr>
            </w:pPr>
          </w:p>
        </w:tc>
        <w:tc>
          <w:tcPr>
            <w:tcW w:w="11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FFC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YoY</w:t>
            </w:r>
          </w:p>
        </w:tc>
        <w:tc>
          <w:tcPr>
            <w:tcW w:w="200" w:type="dxa"/>
            <w:vAlign w:val="bottom"/>
            <w:tcBorders>
              <w:bottom w:val="single" w:sz="8" w:color="CCFFCC"/>
            </w:tcBorders>
          </w:tcPr>
          <w:p>
            <w:pPr>
              <w:spacing w:after="0"/>
              <w:rPr>
                <w:sz w:val="20"/>
                <w:szCs w:val="20"/>
                <w:color w:val="auto"/>
              </w:rPr>
            </w:pPr>
          </w:p>
        </w:tc>
      </w:tr>
      <w:tr>
        <w:trPr>
          <w:trHeight w:val="210"/>
        </w:trPr>
        <w:tc>
          <w:tcPr>
            <w:tcW w:w="3700" w:type="dxa"/>
            <w:vAlign w:val="bottom"/>
            <w:shd w:val="clear" w:color="auto" w:fill="CCFFCC"/>
          </w:tcPr>
          <w:p>
            <w:pPr>
              <w:spacing w:after="0"/>
              <w:rPr>
                <w:sz w:val="20"/>
                <w:szCs w:val="20"/>
                <w:color w:val="auto"/>
              </w:rPr>
            </w:pPr>
            <w:r>
              <w:rPr>
                <w:rFonts w:ascii="Arial" w:cs="Arial" w:eastAsia="Arial" w:hAnsi="Arial"/>
                <w:sz w:val="18"/>
                <w:szCs w:val="18"/>
                <w:color w:val="auto"/>
              </w:rPr>
              <w:t>Deposits</w:t>
            </w:r>
          </w:p>
        </w:tc>
        <w:tc>
          <w:tcPr>
            <w:tcW w:w="12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1,397</w:t>
            </w:r>
          </w:p>
        </w:tc>
        <w:tc>
          <w:tcPr>
            <w:tcW w:w="22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1,370</w:t>
            </w:r>
          </w:p>
        </w:tc>
        <w:tc>
          <w:tcPr>
            <w:tcW w:w="22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1,321</w:t>
            </w:r>
          </w:p>
        </w:tc>
        <w:tc>
          <w:tcPr>
            <w:tcW w:w="20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1.9%</w:t>
            </w:r>
          </w:p>
        </w:tc>
        <w:tc>
          <w:tcPr>
            <w:tcW w:w="3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382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1160" w:type="dxa"/>
            <w:vAlign w:val="bottom"/>
          </w:tcPr>
          <w:p>
            <w:pPr>
              <w:jc w:val="right"/>
              <w:spacing w:after="0"/>
              <w:rPr>
                <w:sz w:val="20"/>
                <w:szCs w:val="20"/>
                <w:color w:val="auto"/>
              </w:rPr>
            </w:pPr>
            <w:r>
              <w:rPr>
                <w:rFonts w:ascii="Arial" w:cs="Arial" w:eastAsia="Arial" w:hAnsi="Arial"/>
                <w:sz w:val="18"/>
                <w:szCs w:val="18"/>
                <w:color w:val="auto"/>
              </w:rPr>
              <w:t>152</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9"/>
                <w:szCs w:val="19"/>
                <w:color w:val="auto"/>
              </w:rPr>
            </w:pPr>
          </w:p>
        </w:tc>
        <w:tc>
          <w:tcPr>
            <w:tcW w:w="1480" w:type="dxa"/>
            <w:vAlign w:val="bottom"/>
            <w:gridSpan w:val="2"/>
          </w:tcPr>
          <w:p>
            <w:pPr>
              <w:jc w:val="right"/>
              <w:ind w:right="70"/>
              <w:spacing w:after="0"/>
              <w:rPr>
                <w:sz w:val="20"/>
                <w:szCs w:val="20"/>
                <w:color w:val="auto"/>
              </w:rPr>
            </w:pPr>
            <w:r>
              <w:rPr>
                <w:rFonts w:ascii="Arial" w:cs="Arial" w:eastAsia="Arial" w:hAnsi="Arial"/>
                <w:sz w:val="18"/>
                <w:szCs w:val="18"/>
                <w:color w:val="auto"/>
              </w:rPr>
              <w:t>168.2%</w:t>
            </w:r>
          </w:p>
        </w:tc>
        <w:tc>
          <w:tcPr>
            <w:tcW w:w="3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1012.7%</w:t>
            </w:r>
          </w:p>
        </w:tc>
      </w:tr>
      <w:tr>
        <w:trPr>
          <w:trHeight w:val="210"/>
        </w:trPr>
        <w:tc>
          <w:tcPr>
            <w:tcW w:w="382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b w:val="1"/>
                <w:bCs w:val="1"/>
                <w:color w:val="auto"/>
              </w:rPr>
              <w:t>Total Liabilities</w:t>
            </w:r>
          </w:p>
        </w:tc>
        <w:tc>
          <w:tcPr>
            <w:tcW w:w="1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1,549</w:t>
            </w:r>
          </w:p>
        </w:tc>
        <w:tc>
          <w:tcPr>
            <w:tcW w:w="220" w:type="dxa"/>
            <w:vAlign w:val="bottom"/>
            <w:tcBorders>
              <w:top w:val="single" w:sz="8" w:color="CCFFCC"/>
            </w:tcBorders>
            <w:shd w:val="clear" w:color="auto" w:fill="CCFFCC"/>
          </w:tcPr>
          <w:p>
            <w:pPr>
              <w:spacing w:after="0"/>
              <w:rPr>
                <w:sz w:val="18"/>
                <w:szCs w:val="18"/>
                <w:color w:val="auto"/>
              </w:rPr>
            </w:pPr>
          </w:p>
        </w:tc>
        <w:tc>
          <w:tcPr>
            <w:tcW w:w="11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1,427</w:t>
            </w:r>
          </w:p>
        </w:tc>
        <w:tc>
          <w:tcPr>
            <w:tcW w:w="220" w:type="dxa"/>
            <w:vAlign w:val="bottom"/>
            <w:tcBorders>
              <w:top w:val="single" w:sz="8" w:color="CCFFCC"/>
            </w:tcBorders>
            <w:shd w:val="clear" w:color="auto" w:fill="CCFFCC"/>
          </w:tcPr>
          <w:p>
            <w:pPr>
              <w:spacing w:after="0"/>
              <w:rPr>
                <w:sz w:val="18"/>
                <w:szCs w:val="18"/>
                <w:color w:val="auto"/>
              </w:rPr>
            </w:pPr>
          </w:p>
        </w:tc>
        <w:tc>
          <w:tcPr>
            <w:tcW w:w="11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1,334</w:t>
            </w:r>
          </w:p>
        </w:tc>
        <w:tc>
          <w:tcPr>
            <w:tcW w:w="200" w:type="dxa"/>
            <w:vAlign w:val="bottom"/>
            <w:tcBorders>
              <w:top w:val="single" w:sz="8" w:color="CCFFCC"/>
            </w:tcBorders>
            <w:shd w:val="clear" w:color="auto" w:fill="CCFFCC"/>
          </w:tcPr>
          <w:p>
            <w:pPr>
              <w:spacing w:after="0"/>
              <w:rPr>
                <w:sz w:val="18"/>
                <w:szCs w:val="18"/>
                <w:color w:val="auto"/>
              </w:rPr>
            </w:pPr>
          </w:p>
        </w:tc>
        <w:tc>
          <w:tcPr>
            <w:tcW w:w="11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8.5</w:t>
            </w:r>
          </w:p>
        </w:tc>
        <w:tc>
          <w:tcPr>
            <w:tcW w:w="300" w:type="dxa"/>
            <w:vAlign w:val="bottom"/>
            <w:tcBorders>
              <w:top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340" w:type="dxa"/>
            <w:vAlign w:val="bottom"/>
            <w:tcBorders>
              <w:top w:val="single" w:sz="8" w:color="auto"/>
              <w:bottom w:val="single" w:sz="8" w:color="auto"/>
            </w:tcBorders>
            <w:shd w:val="clear" w:color="auto" w:fill="CCFFCC"/>
          </w:tcPr>
          <w:p>
            <w:pPr>
              <w:spacing w:after="0"/>
              <w:rPr>
                <w:sz w:val="18"/>
                <w:szCs w:val="18"/>
                <w:color w:val="auto"/>
              </w:rPr>
            </w:pPr>
          </w:p>
        </w:tc>
        <w:tc>
          <w:tcPr>
            <w:tcW w:w="8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16.1</w:t>
            </w:r>
          </w:p>
        </w:tc>
        <w:tc>
          <w:tcPr>
            <w:tcW w:w="20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Shareholders’ equity increased 7.4% QoQ and 16.1% YoY due to quarterly and accumulated earnings at the end of 2012. These improvements were due to the fact that the securities market performed better during the period and also reflected ASB’s successful implementation of strategies to maximize shareholder returns.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BIS ratio at the end of 4Q12 was situated at 16.79%, which falls below the 16.89% reported in 3Q12. The aforementioned is due to an increase in risk-weighted assets (loan growth) and is also attributable to the good quality of risk-weighted assets, which was complemented by growth in regulatory capital due to quarterly earnings. It is important to note that the Bank maintains a minimum ratio of 12%.</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7" w:name="page38"/>
    <w:bookmarkEnd w:id="37"/>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6254750</wp:posOffset>
            </wp:positionH>
            <wp:positionV relativeFrom="page">
              <wp:posOffset>568960</wp:posOffset>
            </wp:positionV>
            <wp:extent cx="1149350" cy="3175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Asset Management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rates have remained low over the last three quarters and are highly unlikely to rise in the future, ASB has put together a wide range of very attractive investment products and services. Assets under administration, which include client deposits, investments in funds and financial instruments in custody, posted a market value of US$5,358 million at the end of 4Q12, which represents an increase of US$ 354 million with regard to 3Q12 and US$844 million YoY. These results are due to an increase in the stock of securities for investments (+5.7% QoQ; +14% YoY) as well as the market effect (an appreciation in the price for these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1917700</wp:posOffset>
            </wp:positionH>
            <wp:positionV relativeFrom="paragraph">
              <wp:posOffset>128905</wp:posOffset>
            </wp:positionV>
            <wp:extent cx="3430270" cy="2693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30270" cy="269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8" w:name="page39"/>
    <w:bookmarkEnd w:id="38"/>
    <w:p>
      <w:pPr>
        <w:spacing w:after="0" w:line="1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6254750</wp:posOffset>
            </wp:positionH>
            <wp:positionV relativeFrom="page">
              <wp:posOffset>568960</wp:posOffset>
            </wp:positionV>
            <wp:extent cx="1149350" cy="3175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VII. Prima AFP</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PRIMA’S business in 4Q12 reflects the effects of the reform of the Private Pension system, primarily in terms of changes related to: i) a commission deferment, which caused fee income to drop US$ -7.8 million; ii) a lower fund management fee, which fell from 1.75% to 1.60% due to the assignment process, which took place in September 2012 and was won by PRIMA; and iii) provisions for charges for personnel and operating support to abide with the new rules and procedures defined by the SPP Reform (i.e. mixed commission fee, process to tender new affiliates, among others).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aforementioned explains Prima’s lower contribution to Credicorp this quarter, which totaled US$ 4.9 million after excluding extraordinary earnings on the sale of fixed assets to Pacifico Vida. In this context, net income this Q was US$ 8.1 million.</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terms of accumulated annual results, Prima’s evolution was favorable in 2012 despite 4Q12’s result. In this context, annual income was US$ 38.2 million, which represented 17.9% growth YoY and led to a contribution to Credicorp after eliminations of US$ 35 million (6.8% higher than the figure reported for 2011). Prima’s excellent performance this year is due primarily to the increase in fee income, which is in turn attributable to the fact that the company’s solid base of affiliates has continued to consolidate in a framework of sustained economic growth. Additionally, Prima won the assignment process for exclusive affiliation rights in September, which will be in place until the end of the year. Both of these factors were complemented by the company’s strict control of and follow-up on expenses as well as its avid search for operating efficiencies.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ind w:left="220"/>
              <w:spacing w:after="0"/>
              <w:rPr>
                <w:sz w:val="20"/>
                <w:szCs w:val="20"/>
                <w:color w:val="auto"/>
              </w:rPr>
            </w:pPr>
            <w:r>
              <w:rPr>
                <w:rFonts w:ascii="Arial" w:cs="Arial" w:eastAsia="Arial" w:hAnsi="Arial"/>
                <w:sz w:val="18"/>
                <w:szCs w:val="18"/>
                <w:b w:val="1"/>
                <w:bCs w:val="1"/>
                <w:color w:val="auto"/>
              </w:rPr>
              <w:t>PRIMA</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System</w:t>
            </w: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Share</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PRIMA</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System</w:t>
            </w: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Share</w:t>
            </w:r>
          </w:p>
        </w:tc>
      </w:tr>
      <w:tr>
        <w:trPr>
          <w:trHeight w:val="234"/>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Quarterly main indicators and market share</w:t>
            </w:r>
          </w:p>
        </w:tc>
        <w:tc>
          <w:tcPr>
            <w:tcW w:w="120" w:type="dxa"/>
            <w:vAlign w:val="bottom"/>
            <w:tcBorders>
              <w:bottom w:val="single" w:sz="8" w:color="CCFFCC"/>
            </w:tcBorders>
          </w:tcPr>
          <w:p>
            <w:pPr>
              <w:spacing w:after="0"/>
              <w:rPr>
                <w:sz w:val="20"/>
                <w:szCs w:val="20"/>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4Q12</w:t>
            </w:r>
          </w:p>
        </w:tc>
        <w:tc>
          <w:tcPr>
            <w:tcW w:w="220" w:type="dxa"/>
            <w:vAlign w:val="bottom"/>
            <w:tcBorders>
              <w:bottom w:val="single" w:sz="8" w:color="CCFFCC"/>
            </w:tcBorders>
          </w:tcPr>
          <w:p>
            <w:pPr>
              <w:spacing w:after="0"/>
              <w:rPr>
                <w:sz w:val="20"/>
                <w:szCs w:val="20"/>
                <w:color w:val="auto"/>
              </w:rPr>
            </w:pPr>
          </w:p>
        </w:tc>
        <w:tc>
          <w:tcPr>
            <w:tcW w:w="100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4Q12</w:t>
            </w:r>
          </w:p>
        </w:tc>
        <w:tc>
          <w:tcPr>
            <w:tcW w:w="220" w:type="dxa"/>
            <w:vAlign w:val="bottom"/>
            <w:tcBorders>
              <w:bottom w:val="single" w:sz="8" w:color="CCFFCC"/>
            </w:tcBorders>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4Q12 %</w:t>
            </w:r>
          </w:p>
        </w:tc>
        <w:tc>
          <w:tcPr>
            <w:tcW w:w="260" w:type="dxa"/>
            <w:vAlign w:val="bottom"/>
            <w:tcBorders>
              <w:bottom w:val="single" w:sz="8" w:color="CCFFCC"/>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3Q12</w:t>
            </w:r>
          </w:p>
        </w:tc>
        <w:tc>
          <w:tcPr>
            <w:tcW w:w="220" w:type="dxa"/>
            <w:vAlign w:val="bottom"/>
            <w:tcBorders>
              <w:bottom w:val="single" w:sz="8" w:color="CCFFCC"/>
            </w:tcBorders>
          </w:tcPr>
          <w:p>
            <w:pPr>
              <w:spacing w:after="0"/>
              <w:rPr>
                <w:sz w:val="20"/>
                <w:szCs w:val="20"/>
                <w:color w:val="auto"/>
              </w:rPr>
            </w:pPr>
          </w:p>
        </w:tc>
        <w:tc>
          <w:tcPr>
            <w:tcW w:w="100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3Q12</w:t>
            </w:r>
          </w:p>
        </w:tc>
        <w:tc>
          <w:tcPr>
            <w:tcW w:w="220" w:type="dxa"/>
            <w:vAlign w:val="bottom"/>
            <w:tcBorders>
              <w:bottom w:val="single" w:sz="8" w:color="CCFFCC"/>
            </w:tcBorders>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3Q12 %</w:t>
            </w:r>
          </w:p>
        </w:tc>
        <w:tc>
          <w:tcPr>
            <w:tcW w:w="160" w:type="dxa"/>
            <w:vAlign w:val="bottom"/>
            <w:tcBorders>
              <w:bottom w:val="single" w:sz="8" w:color="CCFFCC"/>
            </w:tcBorders>
          </w:tcPr>
          <w:p>
            <w:pPr>
              <w:spacing w:after="0"/>
              <w:rPr>
                <w:sz w:val="20"/>
                <w:szCs w:val="20"/>
                <w:color w:val="auto"/>
              </w:rPr>
            </w:pPr>
          </w:p>
        </w:tc>
      </w:tr>
      <w:tr>
        <w:trPr>
          <w:trHeight w:val="210"/>
        </w:trPr>
        <w:tc>
          <w:tcPr>
            <w:tcW w:w="3900" w:type="dxa"/>
            <w:vAlign w:val="bottom"/>
            <w:shd w:val="clear" w:color="auto" w:fill="CCFFCC"/>
          </w:tcPr>
          <w:p>
            <w:pPr>
              <w:spacing w:after="0"/>
              <w:rPr>
                <w:sz w:val="20"/>
                <w:szCs w:val="20"/>
                <w:color w:val="auto"/>
              </w:rPr>
            </w:pPr>
            <w:r>
              <w:rPr>
                <w:rFonts w:ascii="Arial" w:cs="Arial" w:eastAsia="Arial" w:hAnsi="Arial"/>
                <w:sz w:val="18"/>
                <w:szCs w:val="18"/>
                <w:color w:val="auto"/>
              </w:rPr>
              <w:t>Affiliates</w:t>
            </w:r>
          </w:p>
        </w:tc>
        <w:tc>
          <w:tcPr>
            <w:tcW w:w="12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1,339,180</w:t>
            </w:r>
          </w:p>
        </w:tc>
        <w:tc>
          <w:tcPr>
            <w:tcW w:w="220" w:type="dxa"/>
            <w:vAlign w:val="bottom"/>
            <w:shd w:val="clear" w:color="auto" w:fill="CCFFCC"/>
          </w:tcPr>
          <w:p>
            <w:pPr>
              <w:spacing w:after="0"/>
              <w:rPr>
                <w:sz w:val="18"/>
                <w:szCs w:val="18"/>
                <w:color w:val="auto"/>
              </w:rPr>
            </w:pPr>
          </w:p>
        </w:tc>
        <w:tc>
          <w:tcPr>
            <w:tcW w:w="1000" w:type="dxa"/>
            <w:vAlign w:val="bottom"/>
            <w:shd w:val="clear" w:color="auto" w:fill="CCFFCC"/>
          </w:tcPr>
          <w:p>
            <w:pPr>
              <w:ind w:left="280"/>
              <w:spacing w:after="0"/>
              <w:rPr>
                <w:sz w:val="20"/>
                <w:szCs w:val="20"/>
                <w:color w:val="auto"/>
              </w:rPr>
            </w:pPr>
            <w:r>
              <w:rPr>
                <w:rFonts w:ascii="Arial" w:cs="Arial" w:eastAsia="Arial" w:hAnsi="Arial"/>
                <w:sz w:val="18"/>
                <w:szCs w:val="18"/>
                <w:color w:val="auto"/>
                <w:w w:val="87"/>
              </w:rPr>
              <w:t>5,268,457</w:t>
            </w:r>
          </w:p>
        </w:tc>
        <w:tc>
          <w:tcPr>
            <w:tcW w:w="22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25.4%</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1,274,635</w:t>
            </w:r>
          </w:p>
        </w:tc>
        <w:tc>
          <w:tcPr>
            <w:tcW w:w="220" w:type="dxa"/>
            <w:vAlign w:val="bottom"/>
            <w:shd w:val="clear" w:color="auto" w:fill="CCFFCC"/>
          </w:tcPr>
          <w:p>
            <w:pPr>
              <w:spacing w:after="0"/>
              <w:rPr>
                <w:sz w:val="18"/>
                <w:szCs w:val="18"/>
                <w:color w:val="auto"/>
              </w:rPr>
            </w:pPr>
          </w:p>
        </w:tc>
        <w:tc>
          <w:tcPr>
            <w:tcW w:w="1000" w:type="dxa"/>
            <w:vAlign w:val="bottom"/>
            <w:shd w:val="clear" w:color="auto" w:fill="CCFFCC"/>
          </w:tcPr>
          <w:p>
            <w:pPr>
              <w:ind w:left="280"/>
              <w:spacing w:after="0"/>
              <w:rPr>
                <w:sz w:val="20"/>
                <w:szCs w:val="20"/>
                <w:color w:val="auto"/>
              </w:rPr>
            </w:pPr>
            <w:r>
              <w:rPr>
                <w:rFonts w:ascii="Arial" w:cs="Arial" w:eastAsia="Arial" w:hAnsi="Arial"/>
                <w:sz w:val="18"/>
                <w:szCs w:val="18"/>
                <w:color w:val="auto"/>
                <w:w w:val="87"/>
              </w:rPr>
              <w:t>5,209,225</w:t>
            </w:r>
          </w:p>
        </w:tc>
        <w:tc>
          <w:tcPr>
            <w:tcW w:w="22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24.5%</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New affiliations (1)</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65,763</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65,769</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28,041</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122,669</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22.9%</w:t>
            </w:r>
          </w:p>
        </w:tc>
      </w:tr>
      <w:tr>
        <w:trPr>
          <w:trHeight w:val="216"/>
        </w:trPr>
        <w:tc>
          <w:tcPr>
            <w:tcW w:w="40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Funds under management US$ million</w:t>
            </w:r>
          </w:p>
        </w:tc>
        <w:tc>
          <w:tcPr>
            <w:tcW w:w="12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11,964</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37,967</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31.51%</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11,300</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35,903</w:t>
            </w:r>
          </w:p>
        </w:tc>
        <w:tc>
          <w:tcPr>
            <w:tcW w:w="11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31.47%</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Collections US$ million (1)</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226</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681</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33.2%</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210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646</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32.5%</w:t>
            </w:r>
          </w:p>
        </w:tc>
      </w:tr>
      <w:tr>
        <w:trPr>
          <w:trHeight w:val="216"/>
        </w:trPr>
        <w:tc>
          <w:tcPr>
            <w:tcW w:w="40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Voluntary contributions US$ million</w:t>
            </w:r>
          </w:p>
        </w:tc>
        <w:tc>
          <w:tcPr>
            <w:tcW w:w="12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102</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230</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44.1%</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98</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222</w:t>
            </w:r>
          </w:p>
        </w:tc>
        <w:tc>
          <w:tcPr>
            <w:tcW w:w="11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44.0%</w:t>
            </w:r>
          </w:p>
        </w:tc>
      </w:tr>
      <w:tr>
        <w:trPr>
          <w:trHeight w:val="230"/>
        </w:trPr>
        <w:tc>
          <w:tcPr>
            <w:tcW w:w="4020" w:type="dxa"/>
            <w:vAlign w:val="bottom"/>
            <w:gridSpan w:val="2"/>
          </w:tcPr>
          <w:p>
            <w:pPr>
              <w:spacing w:after="0"/>
              <w:rPr>
                <w:sz w:val="20"/>
                <w:szCs w:val="20"/>
                <w:color w:val="auto"/>
              </w:rPr>
            </w:pPr>
            <w:r>
              <w:rPr>
                <w:rFonts w:ascii="Arial" w:cs="Arial" w:eastAsia="Arial" w:hAnsi="Arial"/>
                <w:sz w:val="18"/>
                <w:szCs w:val="18"/>
                <w:color w:val="auto"/>
              </w:rPr>
              <w:t>RAM US$ million (2)</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663</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2,044</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32.4%</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616</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1,918</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2629535</wp:posOffset>
            </wp:positionH>
            <wp:positionV relativeFrom="paragraph">
              <wp:posOffset>0</wp:posOffset>
            </wp:positionV>
            <wp:extent cx="451929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519295" cy="8890"/>
                    </a:xfrm>
                    <a:prstGeom prst="rect">
                      <a:avLst/>
                    </a:prstGeom>
                    <a:noFill/>
                  </pic:spPr>
                </pic:pic>
              </a:graphicData>
            </a:graphic>
          </wp:anchor>
        </w:drawing>
      </w:r>
    </w:p>
    <w:p>
      <w:pPr>
        <w:spacing w:after="0" w:line="194" w:lineRule="exact"/>
        <w:rPr>
          <w:sz w:val="20"/>
          <w:szCs w:val="20"/>
          <w:color w:val="auto"/>
        </w:rPr>
      </w:pPr>
    </w:p>
    <w:p>
      <w:pPr>
        <w:ind w:left="260" w:hanging="252"/>
        <w:spacing w:after="0"/>
        <w:tabs>
          <w:tab w:leader="none" w:pos="260"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Accumulated to the Quarter.</w:t>
      </w:r>
    </w:p>
    <w:p>
      <w:pPr>
        <w:spacing w:after="0" w:line="23" w:lineRule="exact"/>
        <w:rPr>
          <w:rFonts w:ascii="Arial" w:cs="Arial" w:eastAsia="Arial" w:hAnsi="Arial"/>
          <w:sz w:val="18"/>
          <w:szCs w:val="18"/>
          <w:i w:val="1"/>
          <w:iCs w:val="1"/>
          <w:color w:val="auto"/>
        </w:rPr>
      </w:pPr>
    </w:p>
    <w:p>
      <w:pPr>
        <w:ind w:left="260" w:hanging="252"/>
        <w:spacing w:after="0"/>
        <w:tabs>
          <w:tab w:leader="none" w:pos="260" w:val="left"/>
        </w:tabs>
        <w:numPr>
          <w:ilvl w:val="0"/>
          <w:numId w:val="28"/>
        </w:numPr>
        <w:rPr>
          <w:rFonts w:ascii="Arial" w:cs="Arial" w:eastAsia="Arial" w:hAnsi="Arial"/>
          <w:sz w:val="17"/>
          <w:szCs w:val="17"/>
          <w:i w:val="1"/>
          <w:iCs w:val="1"/>
          <w:color w:val="auto"/>
        </w:rPr>
      </w:pPr>
      <w:r>
        <w:rPr>
          <w:rFonts w:ascii="Arial" w:cs="Arial" w:eastAsia="Arial" w:hAnsi="Arial"/>
          <w:sz w:val="17"/>
          <w:szCs w:val="17"/>
          <w:i w:val="1"/>
          <w:iCs w:val="1"/>
          <w:color w:val="auto"/>
        </w:rPr>
        <w:t>PRIMA AFP estimates: average of aggregated income during the last 4 months excluding special collections and voluntary contribution fees.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Commercial Rights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Affiliations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terms of new affiliations, an additional 65,769 individuals joined the SPP system. PRIMA AFP, winner of the assignment process, captured all of these affiliations, which allowed it to significantly increase its client portfolio. In 4Q12, affiliate captures reflected 135% growth with regard to the previous quarter. In annual terms, PRIMA’s capture volume was 63.1% higher than 2011’s level. SPP’s annual growth during this period was 16.6%.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RAM</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With regard to the RAM level (monthly insurable remuneration) of Prima’s clients, growth in 4Q12, similar to the rest of the year, was relatively constant. In this context, RAM increased 7.6% QoQ and 24% YoY to total US$663 million at the end of 4Q12. Once again, Prima consolidated its leadership and posted a market share of 32.4% in terms of RAM, the AFP’s income base.</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9" w:name="page40"/>
    <w:bookmarkEnd w:id="39"/>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6254750</wp:posOffset>
            </wp:positionH>
            <wp:positionV relativeFrom="page">
              <wp:posOffset>568960</wp:posOffset>
            </wp:positionV>
            <wp:extent cx="1149350" cy="3175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Managed portfolio and contributions collection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At the end of December 2012, PRIMA’s managed portfolio totaled US$ 11,964 million. This figure represented growth of 5.9% QoQ and 26.1% YoY.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Consequently, PRIMA led the market this quarter with a 31.5% share of SPP’s total funds under management.</w:t>
      </w:r>
    </w:p>
    <w:p>
      <w:pPr>
        <w:spacing w:after="0" w:line="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terms of contribution collections, Prima amassed US$ 226.1 million in 4Q12, which represents 33.2% of total collections in the SPP. This contribution level topped that reported in 3Q12 (32.5%) and 4Q11 (32.6%). New affiliate captures are progressively reflected in the monthly volume of contribution collections.</w:t>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results once again confirm Prima’s market leadership, growth and its ability to consolidate in terms of RAM, the volume of contribution collections and the value of the managed portfolio.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Volatility continued in the global markets in the fourth quarter due to uncertainty regarding the international economic outlook. In terms of the local scene, the Peruvian economy performed well and posted solid indicators. In this context, Prima continues to follow a conservative approach to investing, opting only for companies with good fundamentals in an environment of heightened global risks.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terms of the profitability of funds under management, in the last 12 months (December 2012 / December 2011) the results were 12.04%, 12.36% and 11.52% for funds 1, 2 and 3 respectively. These results situate PRIMA AFP in third place with regard to Fund 1, in first place in Fund 2 and in second place in Fund 3 in the system’s profitability ranking.</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an evaluation period that covers 7 years (December 2012 / December 2005), Prima’s fund 2, which currently represents 66.0% of its total funds under management, achieved an annualized nominal yield of 11.41% while the SPP’s average yield was 10.81%. It is important to note that during this period, the profitability of Prima's fund 2 ranked first in the system.</w:t>
      </w:r>
    </w:p>
    <w:p>
      <w:pPr>
        <w:spacing w:after="0" w:line="185" w:lineRule="exact"/>
        <w:rPr>
          <w:sz w:val="20"/>
          <w:szCs w:val="20"/>
          <w:color w:val="auto"/>
        </w:rPr>
      </w:pPr>
    </w:p>
    <w:p>
      <w:pPr>
        <w:jc w:val="both"/>
        <w:spacing w:after="0" w:line="210" w:lineRule="auto"/>
        <w:rPr>
          <w:sz w:val="20"/>
          <w:szCs w:val="20"/>
          <w:color w:val="auto"/>
        </w:rPr>
      </w:pPr>
      <w:r>
        <w:rPr>
          <w:rFonts w:ascii="Arial" w:cs="Arial" w:eastAsia="Arial" w:hAnsi="Arial"/>
          <w:sz w:val="18"/>
          <w:szCs w:val="18"/>
          <w:color w:val="auto"/>
        </w:rPr>
        <w:t>From the creation of the SPP to date (December 2012/December 1993</w:t>
      </w:r>
      <w:r>
        <w:rPr>
          <w:rFonts w:ascii="Arial" w:cs="Arial" w:eastAsia="Arial" w:hAnsi="Arial"/>
          <w:sz w:val="30"/>
          <w:szCs w:val="30"/>
          <w:color w:val="auto"/>
          <w:vertAlign w:val="superscript"/>
        </w:rPr>
        <w:t>3</w:t>
      </w:r>
      <w:r>
        <w:rPr>
          <w:rFonts w:ascii="Arial" w:cs="Arial" w:eastAsia="Arial" w:hAnsi="Arial"/>
          <w:sz w:val="18"/>
          <w:szCs w:val="18"/>
          <w:color w:val="auto"/>
        </w:rPr>
        <w:t>), the annualized profitability of the funds managed by the AFP was 13.0% in nominal terms and 8.1% in real terms.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structure of the fund managed by Prima at the end of the fourth quarter of 2012:</w:t>
      </w:r>
    </w:p>
    <w:p>
      <w:pPr>
        <w:spacing w:after="0" w:line="235"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Funds under management as of September 2012</w:t>
            </w:r>
          </w:p>
        </w:tc>
        <w:tc>
          <w:tcPr>
            <w:tcW w:w="100" w:type="dxa"/>
            <w:vAlign w:val="bottom"/>
            <w:tcBorders>
              <w:bottom w:val="single" w:sz="8" w:color="CCFFCC"/>
            </w:tcBorders>
          </w:tcPr>
          <w:p>
            <w:pPr>
              <w:spacing w:after="0"/>
              <w:rPr>
                <w:sz w:val="20"/>
                <w:szCs w:val="20"/>
                <w:color w:val="auto"/>
              </w:rPr>
            </w:pPr>
          </w:p>
        </w:tc>
        <w:tc>
          <w:tcPr>
            <w:tcW w:w="11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Dec 12</w:t>
            </w:r>
          </w:p>
        </w:tc>
        <w:tc>
          <w:tcPr>
            <w:tcW w:w="220" w:type="dxa"/>
            <w:vAlign w:val="bottom"/>
            <w:tcBorders>
              <w:bottom w:val="single" w:sz="8" w:color="CCFFCC"/>
            </w:tcBorders>
          </w:tcPr>
          <w:p>
            <w:pPr>
              <w:spacing w:after="0"/>
              <w:rPr>
                <w:sz w:val="20"/>
                <w:szCs w:val="20"/>
                <w:color w:val="auto"/>
              </w:rPr>
            </w:pPr>
          </w:p>
        </w:tc>
        <w:tc>
          <w:tcPr>
            <w:tcW w:w="12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Share %</w:t>
            </w:r>
          </w:p>
        </w:tc>
        <w:tc>
          <w:tcPr>
            <w:tcW w:w="260" w:type="dxa"/>
            <w:vAlign w:val="bottom"/>
            <w:tcBorders>
              <w:bottom w:val="single" w:sz="8" w:color="CCFFCC"/>
            </w:tcBorders>
          </w:tcPr>
          <w:p>
            <w:pPr>
              <w:spacing w:after="0"/>
              <w:rPr>
                <w:sz w:val="20"/>
                <w:szCs w:val="20"/>
                <w:color w:val="auto"/>
              </w:rPr>
            </w:pPr>
          </w:p>
        </w:tc>
        <w:tc>
          <w:tcPr>
            <w:tcW w:w="11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Sep 12</w:t>
            </w:r>
          </w:p>
        </w:tc>
        <w:tc>
          <w:tcPr>
            <w:tcW w:w="220" w:type="dxa"/>
            <w:vAlign w:val="bottom"/>
            <w:tcBorders>
              <w:bottom w:val="single" w:sz="8" w:color="CCFFCC"/>
            </w:tcBorders>
          </w:tcPr>
          <w:p>
            <w:pPr>
              <w:spacing w:after="0"/>
              <w:rPr>
                <w:sz w:val="20"/>
                <w:szCs w:val="20"/>
                <w:color w:val="auto"/>
              </w:rPr>
            </w:pPr>
          </w:p>
        </w:tc>
        <w:tc>
          <w:tcPr>
            <w:tcW w:w="12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Share %</w:t>
            </w:r>
          </w:p>
        </w:tc>
        <w:tc>
          <w:tcPr>
            <w:tcW w:w="160" w:type="dxa"/>
            <w:vAlign w:val="bottom"/>
            <w:tcBorders>
              <w:bottom w:val="single" w:sz="8" w:color="CCFFCC"/>
            </w:tcBorders>
          </w:tcPr>
          <w:p>
            <w:pPr>
              <w:spacing w:after="0"/>
              <w:rPr>
                <w:sz w:val="20"/>
                <w:szCs w:val="20"/>
                <w:color w:val="auto"/>
              </w:rPr>
            </w:pPr>
          </w:p>
        </w:tc>
      </w:tr>
      <w:tr>
        <w:trPr>
          <w:trHeight w:val="210"/>
        </w:trPr>
        <w:tc>
          <w:tcPr>
            <w:tcW w:w="5120" w:type="dxa"/>
            <w:vAlign w:val="bottom"/>
            <w:shd w:val="clear" w:color="auto" w:fill="CCFFCC"/>
          </w:tcPr>
          <w:p>
            <w:pPr>
              <w:spacing w:after="0"/>
              <w:rPr>
                <w:sz w:val="20"/>
                <w:szCs w:val="20"/>
                <w:color w:val="auto"/>
              </w:rPr>
            </w:pPr>
            <w:r>
              <w:rPr>
                <w:rFonts w:ascii="Arial" w:cs="Arial" w:eastAsia="Arial" w:hAnsi="Arial"/>
                <w:sz w:val="18"/>
                <w:szCs w:val="18"/>
                <w:color w:val="auto"/>
              </w:rPr>
              <w:t>Fund 1</w:t>
            </w:r>
          </w:p>
        </w:tc>
        <w:tc>
          <w:tcPr>
            <w:tcW w:w="10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1,272</w:t>
            </w:r>
          </w:p>
        </w:tc>
        <w:tc>
          <w:tcPr>
            <w:tcW w:w="22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10.6%</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1,164</w:t>
            </w:r>
          </w:p>
        </w:tc>
        <w:tc>
          <w:tcPr>
            <w:tcW w:w="2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Fund 2</w:t>
            </w:r>
          </w:p>
        </w:tc>
        <w:tc>
          <w:tcPr>
            <w:tcW w:w="1180" w:type="dxa"/>
            <w:vAlign w:val="bottom"/>
          </w:tcPr>
          <w:p>
            <w:pPr>
              <w:jc w:val="right"/>
              <w:spacing w:after="0"/>
              <w:rPr>
                <w:sz w:val="20"/>
                <w:szCs w:val="20"/>
                <w:color w:val="auto"/>
              </w:rPr>
            </w:pPr>
            <w:r>
              <w:rPr>
                <w:rFonts w:ascii="Arial" w:cs="Arial" w:eastAsia="Arial" w:hAnsi="Arial"/>
                <w:sz w:val="18"/>
                <w:szCs w:val="18"/>
                <w:color w:val="auto"/>
              </w:rPr>
              <w:t>7,897</w:t>
            </w:r>
          </w:p>
        </w:tc>
        <w:tc>
          <w:tcPr>
            <w:tcW w:w="220" w:type="dxa"/>
            <w:vAlign w:val="bottom"/>
          </w:tcPr>
          <w:p>
            <w:pPr>
              <w:spacing w:after="0"/>
              <w:rPr>
                <w:sz w:val="18"/>
                <w:szCs w:val="18"/>
                <w:color w:val="auto"/>
              </w:rPr>
            </w:pPr>
          </w:p>
        </w:tc>
        <w:tc>
          <w:tcPr>
            <w:tcW w:w="1460" w:type="dxa"/>
            <w:vAlign w:val="bottom"/>
            <w:gridSpan w:val="2"/>
          </w:tcPr>
          <w:p>
            <w:pPr>
              <w:jc w:val="right"/>
              <w:ind w:right="30"/>
              <w:spacing w:after="0"/>
              <w:rPr>
                <w:sz w:val="20"/>
                <w:szCs w:val="20"/>
                <w:color w:val="auto"/>
              </w:rPr>
            </w:pPr>
            <w:r>
              <w:rPr>
                <w:rFonts w:ascii="Arial" w:cs="Arial" w:eastAsia="Arial" w:hAnsi="Arial"/>
                <w:sz w:val="18"/>
                <w:szCs w:val="18"/>
                <w:color w:val="auto"/>
              </w:rPr>
              <w:t>66.0%</w:t>
            </w:r>
          </w:p>
        </w:tc>
        <w:tc>
          <w:tcPr>
            <w:tcW w:w="1180" w:type="dxa"/>
            <w:vAlign w:val="bottom"/>
          </w:tcPr>
          <w:p>
            <w:pPr>
              <w:jc w:val="right"/>
              <w:spacing w:after="0"/>
              <w:rPr>
                <w:sz w:val="20"/>
                <w:szCs w:val="20"/>
                <w:color w:val="auto"/>
              </w:rPr>
            </w:pPr>
            <w:r>
              <w:rPr>
                <w:rFonts w:ascii="Arial" w:cs="Arial" w:eastAsia="Arial" w:hAnsi="Arial"/>
                <w:sz w:val="18"/>
                <w:szCs w:val="18"/>
                <w:color w:val="auto"/>
              </w:rPr>
              <w:t>7,464</w:t>
            </w:r>
          </w:p>
        </w:tc>
        <w:tc>
          <w:tcPr>
            <w:tcW w:w="22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66.1%</w:t>
            </w:r>
          </w:p>
        </w:tc>
      </w:tr>
      <w:tr>
        <w:trPr>
          <w:trHeight w:val="230"/>
        </w:trPr>
        <w:tc>
          <w:tcPr>
            <w:tcW w:w="52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Fund 3</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2,795</w:t>
            </w:r>
          </w:p>
        </w:tc>
        <w:tc>
          <w:tcPr>
            <w:tcW w:w="220" w:type="dxa"/>
            <w:vAlign w:val="bottom"/>
            <w:shd w:val="clear" w:color="auto" w:fill="CCFFCC"/>
          </w:tcPr>
          <w:p>
            <w:pPr>
              <w:spacing w:after="0"/>
              <w:rPr>
                <w:sz w:val="19"/>
                <w:szCs w:val="19"/>
                <w:color w:val="auto"/>
              </w:rPr>
            </w:pPr>
          </w:p>
        </w:tc>
        <w:tc>
          <w:tcPr>
            <w:tcW w:w="146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23.4%</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2,672</w:t>
            </w:r>
          </w:p>
        </w:tc>
        <w:tc>
          <w:tcPr>
            <w:tcW w:w="220" w:type="dxa"/>
            <w:vAlign w:val="bottom"/>
            <w:shd w:val="clear" w:color="auto" w:fill="CCFFCC"/>
          </w:tcPr>
          <w:p>
            <w:pPr>
              <w:spacing w:after="0"/>
              <w:rPr>
                <w:sz w:val="19"/>
                <w:szCs w:val="19"/>
                <w:color w:val="auto"/>
              </w:rPr>
            </w:pP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23.6%</w:t>
            </w:r>
          </w:p>
        </w:tc>
      </w:tr>
      <w:tr>
        <w:trPr>
          <w:trHeight w:val="224"/>
        </w:trPr>
        <w:tc>
          <w:tcPr>
            <w:tcW w:w="5220" w:type="dxa"/>
            <w:vAlign w:val="bottom"/>
            <w:gridSpan w:val="2"/>
          </w:tcPr>
          <w:p>
            <w:pPr>
              <w:spacing w:after="0"/>
              <w:rPr>
                <w:sz w:val="20"/>
                <w:szCs w:val="20"/>
                <w:color w:val="auto"/>
              </w:rPr>
            </w:pPr>
            <w:r>
              <w:rPr>
                <w:rFonts w:ascii="Arial" w:cs="Arial" w:eastAsia="Arial" w:hAnsi="Arial"/>
                <w:sz w:val="18"/>
                <w:szCs w:val="18"/>
                <w:color w:val="auto"/>
              </w:rPr>
              <w:t>Total US$ millon</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11,964</w:t>
            </w:r>
          </w:p>
        </w:tc>
        <w:tc>
          <w:tcPr>
            <w:tcW w:w="220" w:type="dxa"/>
            <w:vAlign w:val="bottom"/>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w w:val="74"/>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11,300</w:t>
            </w:r>
          </w:p>
        </w:tc>
        <w:tc>
          <w:tcPr>
            <w:tcW w:w="220" w:type="dxa"/>
            <w:vAlign w:val="bottom"/>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-8255</wp:posOffset>
            </wp:positionV>
            <wp:extent cx="346456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ind w:left="240"/>
        <w:spacing w:after="0"/>
        <w:rPr>
          <w:sz w:val="20"/>
          <w:szCs w:val="20"/>
          <w:color w:val="auto"/>
        </w:rPr>
      </w:pPr>
      <w:r>
        <w:rPr>
          <w:rFonts w:ascii="Arial" w:cs="Arial" w:eastAsia="Arial" w:hAnsi="Arial"/>
          <w:sz w:val="18"/>
          <w:szCs w:val="18"/>
          <w:i w:val="1"/>
          <w:iCs w:val="1"/>
          <w:color w:val="auto"/>
        </w:rPr>
        <w:t>Source: Superintendencia de Banca, Seguros y AFP.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108902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3 The latest information from the SBS website.</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0" w:name="page41"/>
    <w:bookmarkEnd w:id="40"/>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6254750</wp:posOffset>
            </wp:positionH>
            <wp:positionV relativeFrom="page">
              <wp:posOffset>568960</wp:posOffset>
            </wp:positionV>
            <wp:extent cx="1149350" cy="3175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u w:val="single" w:color="auto"/>
          <w:color w:val="auto"/>
        </w:rPr>
        <w:t>Financial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the fourth quarter of the year, Prima’s fee income totaled US$ 24.6 million, which represented a decline of -23.3% QoQ. This drop is due to the fact that the company recorded an income deferral (NIIF) for US$ 7.8 million and cut its fund management fee from 1.75% to 1.60% as of 2012. It is important to highlight, that the new regulations provide for income deferral to cover the costs associated to the administration of funds from clients that have stopped contributing (e.g. unemployed), but Prima still manages their fund. Therefore, a portion of the income from commissions (from clients that contribute) must be deferred and booked as a provision in the Balance Sheet. The amount deferred this 4Q refers to all such costs for non-contributing clients since the beginning of Prima. Therefore, we expect this income deferral to be significantly lower than the US$ 7.8 million in the future and reflect just a quarterly volume of such clients. The impact of these income reducing changes was partially offset by the additional income generated by the new affiliate captures posted after the tender assignment process. In accumulated terms, fee income in 2012 was US$ 117.2 million, which represented an increase of 12.2% YoY.</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solidity of our income base is reflected in our RAM indicator (the aggregate of our affiliates’ salaries), which reached US$ 663 million at the end of 2012. This figure tops 4Q11’s level by 21%.</w:t>
      </w:r>
    </w:p>
    <w:p>
      <w:pPr>
        <w:spacing w:after="0" w:line="166"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Estimate of base to calculate earnings</w:t>
            </w:r>
          </w:p>
        </w:tc>
        <w:tc>
          <w:tcPr>
            <w:tcW w:w="14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PRIMA</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System</w:t>
            </w: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43"/>
        </w:trPr>
        <w:tc>
          <w:tcPr>
            <w:tcW w:w="6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million</w:t>
            </w:r>
          </w:p>
        </w:tc>
        <w:tc>
          <w:tcPr>
            <w:tcW w:w="120" w:type="dxa"/>
            <w:vAlign w:val="bottom"/>
            <w:tcBorders>
              <w:bottom w:val="single" w:sz="8" w:color="CCFFCC"/>
            </w:tcBorders>
          </w:tcPr>
          <w:p>
            <w:pPr>
              <w:spacing w:after="0"/>
              <w:rPr>
                <w:sz w:val="21"/>
                <w:szCs w:val="21"/>
                <w:color w:val="auto"/>
              </w:rPr>
            </w:pPr>
          </w:p>
        </w:tc>
        <w:tc>
          <w:tcPr>
            <w:tcW w:w="11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Dec 2012</w:t>
            </w:r>
          </w:p>
        </w:tc>
        <w:tc>
          <w:tcPr>
            <w:tcW w:w="260" w:type="dxa"/>
            <w:vAlign w:val="bottom"/>
            <w:tcBorders>
              <w:bottom w:val="single" w:sz="8" w:color="CCFFCC"/>
            </w:tcBorders>
          </w:tcPr>
          <w:p>
            <w:pPr>
              <w:spacing w:after="0"/>
              <w:rPr>
                <w:sz w:val="21"/>
                <w:szCs w:val="21"/>
                <w:color w:val="auto"/>
              </w:rPr>
            </w:pPr>
          </w:p>
        </w:tc>
        <w:tc>
          <w:tcPr>
            <w:tcW w:w="11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Dec 2012</w:t>
            </w:r>
          </w:p>
        </w:tc>
        <w:tc>
          <w:tcPr>
            <w:tcW w:w="260" w:type="dxa"/>
            <w:vAlign w:val="bottom"/>
            <w:tcBorders>
              <w:bottom w:val="single" w:sz="8" w:color="CCFFCC"/>
            </w:tcBorders>
          </w:tcPr>
          <w:p>
            <w:pPr>
              <w:spacing w:after="0"/>
              <w:rPr>
                <w:sz w:val="21"/>
                <w:szCs w:val="21"/>
                <w:color w:val="auto"/>
              </w:rPr>
            </w:pPr>
          </w:p>
        </w:tc>
        <w:tc>
          <w:tcPr>
            <w:tcW w:w="12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Share %</w:t>
            </w:r>
          </w:p>
        </w:tc>
        <w:tc>
          <w:tcPr>
            <w:tcW w:w="160" w:type="dxa"/>
            <w:vAlign w:val="bottom"/>
            <w:tcBorders>
              <w:bottom w:val="single" w:sz="8" w:color="CCFFCC"/>
            </w:tcBorders>
          </w:tcPr>
          <w:p>
            <w:pPr>
              <w:spacing w:after="0"/>
              <w:rPr>
                <w:sz w:val="21"/>
                <w:szCs w:val="21"/>
                <w:color w:val="auto"/>
              </w:rPr>
            </w:pPr>
          </w:p>
        </w:tc>
      </w:tr>
      <w:tr>
        <w:trPr>
          <w:trHeight w:val="210"/>
        </w:trPr>
        <w:tc>
          <w:tcPr>
            <w:tcW w:w="6480" w:type="dxa"/>
            <w:vAlign w:val="bottom"/>
            <w:shd w:val="clear" w:color="auto" w:fill="CCFFCC"/>
          </w:tcPr>
          <w:p>
            <w:pPr>
              <w:spacing w:after="0"/>
              <w:rPr>
                <w:sz w:val="20"/>
                <w:szCs w:val="20"/>
                <w:color w:val="auto"/>
              </w:rPr>
            </w:pPr>
            <w:r>
              <w:rPr>
                <w:rFonts w:ascii="Arial" w:cs="Arial" w:eastAsia="Arial" w:hAnsi="Arial"/>
                <w:sz w:val="18"/>
                <w:szCs w:val="18"/>
                <w:color w:val="auto"/>
              </w:rPr>
              <w:t>Administrative fees (1)</w:t>
            </w:r>
          </w:p>
        </w:tc>
        <w:tc>
          <w:tcPr>
            <w:tcW w:w="1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1.60%</w:t>
            </w: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1.83%</w:t>
            </w:r>
          </w:p>
        </w:tc>
        <w:tc>
          <w:tcPr>
            <w:tcW w:w="1200" w:type="dxa"/>
            <w:vAlign w:val="bottom"/>
            <w:shd w:val="clear" w:color="auto" w:fill="CCFFCC"/>
          </w:tcPr>
          <w:p>
            <w:pPr>
              <w:ind w:left="920"/>
              <w:spacing w:after="0"/>
              <w:rPr>
                <w:sz w:val="20"/>
                <w:szCs w:val="20"/>
                <w:color w:val="auto"/>
              </w:rPr>
            </w:pPr>
            <w:r>
              <w:rPr>
                <w:rFonts w:ascii="Arial" w:cs="Arial" w:eastAsia="Arial" w:hAnsi="Arial"/>
                <w:sz w:val="18"/>
                <w:szCs w:val="18"/>
                <w:color w:val="auto"/>
                <w:w w:val="86"/>
              </w:rPr>
              <w:t>n.a.</w:t>
            </w:r>
          </w:p>
        </w:tc>
        <w:tc>
          <w:tcPr>
            <w:tcW w:w="160" w:type="dxa"/>
            <w:vAlign w:val="bottom"/>
            <w:shd w:val="clear" w:color="auto" w:fill="CCFFCC"/>
          </w:tcPr>
          <w:p>
            <w:pPr>
              <w:spacing w:after="0"/>
              <w:rPr>
                <w:sz w:val="18"/>
                <w:szCs w:val="18"/>
                <w:color w:val="auto"/>
              </w:rPr>
            </w:pPr>
          </w:p>
        </w:tc>
      </w:tr>
      <w:tr>
        <w:trPr>
          <w:trHeight w:val="230"/>
        </w:trPr>
        <w:tc>
          <w:tcPr>
            <w:tcW w:w="6600" w:type="dxa"/>
            <w:vAlign w:val="bottom"/>
            <w:gridSpan w:val="2"/>
          </w:tcPr>
          <w:p>
            <w:pPr>
              <w:spacing w:after="0"/>
              <w:rPr>
                <w:sz w:val="20"/>
                <w:szCs w:val="20"/>
                <w:color w:val="auto"/>
              </w:rPr>
            </w:pPr>
            <w:r>
              <w:rPr>
                <w:rFonts w:ascii="Arial" w:cs="Arial" w:eastAsia="Arial" w:hAnsi="Arial"/>
                <w:sz w:val="18"/>
                <w:szCs w:val="18"/>
                <w:color w:val="auto"/>
              </w:rPr>
              <w:t>RAM base (2)</w:t>
            </w:r>
          </w:p>
        </w:tc>
        <w:tc>
          <w:tcPr>
            <w:tcW w:w="1180" w:type="dxa"/>
            <w:vAlign w:val="bottom"/>
          </w:tcPr>
          <w:p>
            <w:pPr>
              <w:jc w:val="right"/>
              <w:spacing w:after="0"/>
              <w:rPr>
                <w:sz w:val="20"/>
                <w:szCs w:val="20"/>
                <w:color w:val="auto"/>
              </w:rPr>
            </w:pPr>
            <w:r>
              <w:rPr>
                <w:rFonts w:ascii="Arial" w:cs="Arial" w:eastAsia="Arial" w:hAnsi="Arial"/>
                <w:sz w:val="18"/>
                <w:szCs w:val="18"/>
                <w:color w:val="auto"/>
              </w:rPr>
              <w:t>663</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2,044</w:t>
            </w:r>
          </w:p>
        </w:tc>
        <w:tc>
          <w:tcPr>
            <w:tcW w:w="26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32.4%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4447540</wp:posOffset>
            </wp:positionH>
            <wp:positionV relativeFrom="paragraph">
              <wp:posOffset>0</wp:posOffset>
            </wp:positionV>
            <wp:extent cx="252158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94" w:lineRule="exact"/>
        <w:rPr>
          <w:sz w:val="20"/>
          <w:szCs w:val="20"/>
          <w:color w:val="auto"/>
        </w:rPr>
      </w:pPr>
    </w:p>
    <w:p>
      <w:pPr>
        <w:ind w:left="460" w:hanging="258"/>
        <w:spacing w:after="0"/>
        <w:tabs>
          <w:tab w:leader="none" w:pos="46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System administrative fee: simple average.</w:t>
      </w:r>
    </w:p>
    <w:p>
      <w:pPr>
        <w:spacing w:after="0" w:line="23" w:lineRule="exact"/>
        <w:rPr>
          <w:rFonts w:ascii="Arial" w:cs="Arial" w:eastAsia="Arial" w:hAnsi="Arial"/>
          <w:sz w:val="18"/>
          <w:szCs w:val="18"/>
          <w:i w:val="1"/>
          <w:iCs w:val="1"/>
          <w:color w:val="auto"/>
        </w:rPr>
      </w:pPr>
    </w:p>
    <w:p>
      <w:pPr>
        <w:ind w:left="460" w:hanging="258"/>
        <w:spacing w:after="0"/>
        <w:tabs>
          <w:tab w:leader="none" w:pos="46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RAM: average of aggregated income during the last 4 months excluding special collections and voluntary contributions fees.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4Q12 administrative and sales expenses totaled US$ 15.8 million, which represented growth of 21% QoQ. This increase in expenses was attributable to charges for operating support that were incurred due to the process to assign affiliates and charges for sales and administrative personnel, which were associated with the SPP reform process. It is important to note that a significant portion of these expenses were one-time in nature.</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Depreciation and amortization costs were US$ 2.2 million this Q and included charges for amortization of intangible assets (obtained in the framework of the merger with Unión Vida), as well as depreciation and amortization of real estate, equipment and systems.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aforementioned led to US$ 6.6 million in operating income in 4Q12, which represented a decline of -60.7% -QoQ.</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other income/expenses item reflects the US$ 3.6 million generated by the sale of the company’s main office to Pacifico Vida Compañía de Seguros y Reaseguros. This figure is eliminated in Credicorp’s consolidation given that it constitutes a sale between companies in the same Group.</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aforementioned explains why Prima’s contribution to Credicorp in 4Q12 was US$4.9 million if its net income for the quarter was US$8.1 million. In terms of the annual result, net income in 2012 was US$ 38.2 million, which represented 17.9% growth YoY, but the contribution to Credicorp in 2012 was US$ 35 million if we exclude the impact of the real estate sale.</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4Q12, the return on average equity (ROAE) reached 23%. In annual terms the accumulated ROAE was 27.1%, which represents a considerable increase with regard to 2011 (21.9%).</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1" w:name="page42"/>
    <w:bookmarkEnd w:id="41"/>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6254750</wp:posOffset>
            </wp:positionH>
            <wp:positionV relativeFrom="page">
              <wp:posOffset>568960</wp:posOffset>
            </wp:positionV>
            <wp:extent cx="1149350" cy="3175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r>
    </w:p>
    <w:p>
      <w:pPr>
        <w:spacing w:after="0" w:line="277" w:lineRule="auto"/>
        <w:rPr>
          <w:sz w:val="20"/>
          <w:szCs w:val="20"/>
          <w:color w:val="auto"/>
        </w:rPr>
      </w:pPr>
      <w:r>
        <w:rPr>
          <w:rFonts w:ascii="Arial" w:cs="Arial" w:eastAsia="Arial" w:hAnsi="Arial"/>
          <w:sz w:val="18"/>
          <w:szCs w:val="18"/>
          <w:color w:val="auto"/>
        </w:rPr>
        <w:t>Additionally, in 4Q12 PRIMA reduced its capital stock by US$ 26.3 million with funds generated from its operations as well as from the sale of its main office.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includes the financial results: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20" w:type="dxa"/>
            <w:vAlign w:val="bottom"/>
            <w:gridSpan w:val="3"/>
          </w:tcPr>
          <w:p>
            <w:pPr>
              <w:spacing w:after="0"/>
              <w:rPr>
                <w:sz w:val="20"/>
                <w:szCs w:val="20"/>
                <w:color w:val="auto"/>
              </w:rPr>
            </w:pPr>
            <w:r>
              <w:rPr>
                <w:rFonts w:ascii="Arial" w:cs="Arial" w:eastAsia="Arial" w:hAnsi="Arial"/>
                <w:sz w:val="14"/>
                <w:szCs w:val="14"/>
                <w:b w:val="1"/>
                <w:bCs w:val="1"/>
                <w:color w:val="auto"/>
              </w:rPr>
              <w:t>Main financial indicators</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3"/>
          </w:tcPr>
          <w:p>
            <w:pPr>
              <w:ind w:left="80"/>
              <w:spacing w:after="0"/>
              <w:rPr>
                <w:sz w:val="20"/>
                <w:szCs w:val="20"/>
                <w:color w:val="auto"/>
              </w:rPr>
            </w:pPr>
            <w:r>
              <w:rPr>
                <w:rFonts w:ascii="Arial" w:cs="Arial" w:eastAsia="Arial" w:hAnsi="Arial"/>
                <w:sz w:val="14"/>
                <w:szCs w:val="14"/>
                <w:b w:val="1"/>
                <w:bCs w:val="1"/>
                <w:color w:val="auto"/>
              </w:rPr>
              <w:t>Quarter</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4"/>
          </w:tcPr>
          <w:p>
            <w:pPr>
              <w:ind w:left="600"/>
              <w:spacing w:after="0"/>
              <w:rPr>
                <w:sz w:val="20"/>
                <w:szCs w:val="20"/>
                <w:color w:val="auto"/>
              </w:rPr>
            </w:pPr>
            <w:r>
              <w:rPr>
                <w:rFonts w:ascii="Arial" w:cs="Arial" w:eastAsia="Arial" w:hAnsi="Arial"/>
                <w:sz w:val="14"/>
                <w:szCs w:val="14"/>
                <w:b w:val="1"/>
                <w:bCs w:val="1"/>
                <w:color w:val="auto"/>
              </w:rPr>
              <w:t>Change %</w:t>
            </w: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3"/>
          </w:tcPr>
          <w:p>
            <w:pPr>
              <w:ind w:left="680"/>
              <w:spacing w:after="0"/>
              <w:rPr>
                <w:sz w:val="20"/>
                <w:szCs w:val="20"/>
                <w:color w:val="auto"/>
              </w:rPr>
            </w:pPr>
            <w:r>
              <w:rPr>
                <w:rFonts w:ascii="Arial" w:cs="Arial" w:eastAsia="Arial" w:hAnsi="Arial"/>
                <w:sz w:val="14"/>
                <w:szCs w:val="14"/>
                <w:b w:val="1"/>
                <w:bCs w:val="1"/>
                <w:color w:val="auto"/>
                <w:w w:val="90"/>
              </w:rPr>
              <w:t>Year ended</w:t>
            </w: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tcPr>
          <w:p>
            <w:pPr>
              <w:jc w:val="right"/>
              <w:ind w:right="208"/>
              <w:spacing w:after="0"/>
              <w:rPr>
                <w:sz w:val="20"/>
                <w:szCs w:val="20"/>
                <w:color w:val="auto"/>
              </w:rPr>
            </w:pPr>
            <w:r>
              <w:rPr>
                <w:rFonts w:ascii="Arial" w:cs="Arial" w:eastAsia="Arial" w:hAnsi="Arial"/>
                <w:sz w:val="14"/>
                <w:szCs w:val="14"/>
                <w:b w:val="1"/>
                <w:bCs w:val="1"/>
                <w:color w:val="auto"/>
              </w:rPr>
              <w:t>Change %</w:t>
            </w:r>
          </w:p>
        </w:tc>
        <w:tc>
          <w:tcPr>
            <w:tcW w:w="0" w:type="dxa"/>
            <w:vAlign w:val="bottom"/>
          </w:tcPr>
          <w:p>
            <w:pPr>
              <w:spacing w:after="0"/>
              <w:rPr>
                <w:sz w:val="1"/>
                <w:szCs w:val="1"/>
                <w:color w:val="auto"/>
              </w:rPr>
            </w:pPr>
          </w:p>
        </w:tc>
      </w:tr>
      <w:tr>
        <w:trPr>
          <w:trHeight w:val="171"/>
        </w:trPr>
        <w:tc>
          <w:tcPr>
            <w:tcW w:w="2200" w:type="dxa"/>
            <w:vAlign w:val="bottom"/>
          </w:tcPr>
          <w:p>
            <w:pPr>
              <w:spacing w:after="0"/>
              <w:rPr>
                <w:sz w:val="20"/>
                <w:szCs w:val="20"/>
                <w:color w:val="auto"/>
              </w:rPr>
            </w:pPr>
            <w:r>
              <w:rPr>
                <w:rFonts w:ascii="Arial" w:cs="Arial" w:eastAsia="Arial" w:hAnsi="Arial"/>
                <w:sz w:val="14"/>
                <w:szCs w:val="14"/>
                <w:color w:val="auto"/>
              </w:rPr>
              <w:t>(US$ thousand) (1)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208"/>
              <w:spacing w:after="0"/>
              <w:rPr>
                <w:sz w:val="20"/>
                <w:szCs w:val="20"/>
                <w:color w:val="auto"/>
              </w:rPr>
            </w:pPr>
            <w:r>
              <w:rPr>
                <w:rFonts w:ascii="Arial" w:cs="Arial" w:eastAsia="Arial" w:hAnsi="Arial"/>
                <w:sz w:val="14"/>
                <w:szCs w:val="14"/>
                <w:b w:val="1"/>
                <w:bCs w:val="1"/>
                <w:color w:val="auto"/>
              </w:rPr>
              <w:t>4Q12</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208"/>
              <w:spacing w:after="0"/>
              <w:rPr>
                <w:sz w:val="20"/>
                <w:szCs w:val="20"/>
                <w:color w:val="auto"/>
              </w:rPr>
            </w:pPr>
            <w:r>
              <w:rPr>
                <w:rFonts w:ascii="Arial" w:cs="Arial" w:eastAsia="Arial" w:hAnsi="Arial"/>
                <w:sz w:val="14"/>
                <w:szCs w:val="14"/>
                <w:b w:val="1"/>
                <w:bCs w:val="1"/>
                <w:color w:val="auto"/>
              </w:rPr>
              <w:t>3Q12</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208"/>
              <w:spacing w:after="0"/>
              <w:rPr>
                <w:sz w:val="20"/>
                <w:szCs w:val="20"/>
                <w:color w:val="auto"/>
              </w:rPr>
            </w:pPr>
            <w:r>
              <w:rPr>
                <w:rFonts w:ascii="Arial" w:cs="Arial" w:eastAsia="Arial" w:hAnsi="Arial"/>
                <w:sz w:val="14"/>
                <w:szCs w:val="14"/>
                <w:b w:val="1"/>
                <w:bCs w:val="1"/>
                <w:color w:val="auto"/>
              </w:rPr>
              <w:t>4Q11</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228"/>
              <w:spacing w:after="0"/>
              <w:rPr>
                <w:sz w:val="20"/>
                <w:szCs w:val="20"/>
                <w:color w:val="auto"/>
              </w:rPr>
            </w:pPr>
            <w:r>
              <w:rPr>
                <w:rFonts w:ascii="Arial" w:cs="Arial" w:eastAsia="Arial" w:hAnsi="Arial"/>
                <w:sz w:val="14"/>
                <w:szCs w:val="14"/>
                <w:b w:val="1"/>
                <w:bCs w:val="1"/>
                <w:color w:val="auto"/>
              </w:rPr>
              <w:t>QoQ</w:t>
            </w:r>
          </w:p>
        </w:tc>
        <w:tc>
          <w:tcPr>
            <w:tcW w:w="240" w:type="dxa"/>
            <w:vAlign w:val="bottom"/>
          </w:tcPr>
          <w:p>
            <w:pPr>
              <w:spacing w:after="0"/>
              <w:rPr>
                <w:sz w:val="14"/>
                <w:szCs w:val="14"/>
                <w:color w:val="auto"/>
              </w:rPr>
            </w:pPr>
          </w:p>
        </w:tc>
        <w:tc>
          <w:tcPr>
            <w:tcW w:w="260" w:type="dxa"/>
            <w:vAlign w:val="bottom"/>
            <w:gridSpan w:val="2"/>
          </w:tcPr>
          <w:p>
            <w:pPr>
              <w:spacing w:after="0"/>
              <w:rPr>
                <w:sz w:val="14"/>
                <w:szCs w:val="14"/>
                <w:color w:val="auto"/>
              </w:rPr>
            </w:pPr>
          </w:p>
        </w:tc>
        <w:tc>
          <w:tcPr>
            <w:tcW w:w="640" w:type="dxa"/>
            <w:vAlign w:val="bottom"/>
          </w:tcPr>
          <w:p>
            <w:pPr>
              <w:jc w:val="right"/>
              <w:ind w:right="248"/>
              <w:spacing w:after="0"/>
              <w:rPr>
                <w:sz w:val="20"/>
                <w:szCs w:val="20"/>
                <w:color w:val="auto"/>
              </w:rPr>
            </w:pPr>
            <w:r>
              <w:rPr>
                <w:rFonts w:ascii="Arial" w:cs="Arial" w:eastAsia="Arial" w:hAnsi="Arial"/>
                <w:sz w:val="14"/>
                <w:szCs w:val="14"/>
                <w:b w:val="1"/>
                <w:bCs w:val="1"/>
                <w:color w:val="auto"/>
              </w:rPr>
              <w:t>YoY</w:t>
            </w:r>
          </w:p>
        </w:tc>
        <w:tc>
          <w:tcPr>
            <w:tcW w:w="260" w:type="dxa"/>
            <w:vAlign w:val="bottom"/>
          </w:tcPr>
          <w:p>
            <w:pPr>
              <w:spacing w:after="0"/>
              <w:rPr>
                <w:sz w:val="14"/>
                <w:szCs w:val="14"/>
                <w:color w:val="auto"/>
              </w:rPr>
            </w:pPr>
          </w:p>
        </w:tc>
        <w:tc>
          <w:tcPr>
            <w:tcW w:w="880" w:type="dxa"/>
            <w:vAlign w:val="bottom"/>
          </w:tcPr>
          <w:p>
            <w:pPr>
              <w:jc w:val="right"/>
              <w:ind w:right="168"/>
              <w:spacing w:after="0"/>
              <w:rPr>
                <w:sz w:val="20"/>
                <w:szCs w:val="20"/>
                <w:color w:val="auto"/>
              </w:rPr>
            </w:pPr>
            <w:r>
              <w:rPr>
                <w:rFonts w:ascii="Arial" w:cs="Arial" w:eastAsia="Arial" w:hAnsi="Arial"/>
                <w:sz w:val="14"/>
                <w:szCs w:val="14"/>
                <w:b w:val="1"/>
                <w:bCs w:val="1"/>
                <w:color w:val="auto"/>
              </w:rPr>
              <w:t>Dec 12</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jc w:val="right"/>
              <w:ind w:right="168"/>
              <w:spacing w:after="0"/>
              <w:rPr>
                <w:sz w:val="20"/>
                <w:szCs w:val="20"/>
                <w:color w:val="auto"/>
              </w:rPr>
            </w:pPr>
            <w:r>
              <w:rPr>
                <w:rFonts w:ascii="Arial" w:cs="Arial" w:eastAsia="Arial" w:hAnsi="Arial"/>
                <w:sz w:val="14"/>
                <w:szCs w:val="14"/>
                <w:b w:val="1"/>
                <w:bCs w:val="1"/>
                <w:color w:val="auto"/>
                <w:w w:val="88"/>
              </w:rPr>
              <w:t>Dec 11</w:t>
            </w:r>
          </w:p>
        </w:tc>
        <w:tc>
          <w:tcPr>
            <w:tcW w:w="260" w:type="dxa"/>
            <w:vAlign w:val="bottom"/>
          </w:tcPr>
          <w:p>
            <w:pPr>
              <w:spacing w:after="0"/>
              <w:rPr>
                <w:sz w:val="14"/>
                <w:szCs w:val="14"/>
                <w:color w:val="auto"/>
              </w:rPr>
            </w:pPr>
          </w:p>
        </w:tc>
        <w:tc>
          <w:tcPr>
            <w:tcW w:w="106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w w:val="88"/>
              </w:rPr>
              <w:t>Dec 12 / Dec 11</w:t>
            </w:r>
          </w:p>
        </w:tc>
        <w:tc>
          <w:tcPr>
            <w:tcW w:w="0" w:type="dxa"/>
            <w:vAlign w:val="bottom"/>
          </w:tcPr>
          <w:p>
            <w:pPr>
              <w:spacing w:after="0"/>
              <w:rPr>
                <w:sz w:val="1"/>
                <w:szCs w:val="1"/>
                <w:color w:val="auto"/>
              </w:rPr>
            </w:pPr>
          </w:p>
        </w:tc>
      </w:tr>
      <w:tr>
        <w:trPr>
          <w:trHeight w:val="20"/>
        </w:trPr>
        <w:tc>
          <w:tcPr>
            <w:tcW w:w="220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FF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Borders>
              <w:right w:val="single" w:sz="8" w:color="CCFFCC"/>
            </w:tcBorders>
            <w:vMerge w:val="restart"/>
            <w:shd w:val="clear" w:color="auto" w:fill="CCFFC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0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Income from commissions</w:t>
            </w:r>
          </w:p>
        </w:tc>
        <w:tc>
          <w:tcPr>
            <w:tcW w:w="120" w:type="dxa"/>
            <w:vAlign w:val="bottom"/>
            <w:vMerge w:val="continue"/>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24,616</w:t>
            </w:r>
          </w:p>
        </w:tc>
        <w:tc>
          <w:tcPr>
            <w:tcW w:w="260" w:type="dxa"/>
            <w:vAlign w:val="bottom"/>
            <w:vMerge w:val="continue"/>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32,080</w:t>
            </w:r>
          </w:p>
        </w:tc>
        <w:tc>
          <w:tcPr>
            <w:tcW w:w="260" w:type="dxa"/>
            <w:vAlign w:val="bottom"/>
            <w:vMerge w:val="continue"/>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27,829</w:t>
            </w:r>
          </w:p>
        </w:tc>
        <w:tc>
          <w:tcPr>
            <w:tcW w:w="260" w:type="dxa"/>
            <w:vAlign w:val="bottom"/>
            <w:vMerge w:val="continue"/>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48"/>
              <w:spacing w:after="0" w:line="142" w:lineRule="exact"/>
              <w:rPr>
                <w:sz w:val="20"/>
                <w:szCs w:val="20"/>
                <w:color w:val="auto"/>
              </w:rPr>
            </w:pPr>
            <w:r>
              <w:rPr>
                <w:rFonts w:ascii="Arial" w:cs="Arial" w:eastAsia="Arial" w:hAnsi="Arial"/>
                <w:sz w:val="14"/>
                <w:szCs w:val="14"/>
                <w:color w:val="auto"/>
              </w:rPr>
              <w:t>-23.3%</w:t>
            </w:r>
          </w:p>
        </w:tc>
        <w:tc>
          <w:tcPr>
            <w:tcW w:w="1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rPr>
              <w:t>-11.5%</w:t>
            </w:r>
          </w:p>
        </w:tc>
        <w:tc>
          <w:tcPr>
            <w:tcW w:w="8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117,157</w:t>
            </w:r>
          </w:p>
        </w:tc>
        <w:tc>
          <w:tcPr>
            <w:tcW w:w="260" w:type="dxa"/>
            <w:vAlign w:val="bottom"/>
            <w:vMerge w:val="continue"/>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66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104,380</w:t>
            </w:r>
          </w:p>
        </w:tc>
        <w:tc>
          <w:tcPr>
            <w:tcW w:w="260" w:type="dxa"/>
            <w:vAlign w:val="bottom"/>
            <w:tcBorders>
              <w:right w:val="single" w:sz="8" w:color="CCFFCC"/>
            </w:tcBorders>
            <w:vMerge w:val="continue"/>
            <w:shd w:val="clear" w:color="auto" w:fill="CCFFCC"/>
          </w:tcPr>
          <w:p>
            <w:pPr>
              <w:spacing w:after="0"/>
              <w:rPr>
                <w:sz w:val="12"/>
                <w:szCs w:val="12"/>
                <w:color w:val="auto"/>
              </w:rPr>
            </w:pPr>
          </w:p>
        </w:tc>
        <w:tc>
          <w:tcPr>
            <w:tcW w:w="106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149"/>
        </w:trPr>
        <w:tc>
          <w:tcPr>
            <w:tcW w:w="2420" w:type="dxa"/>
            <w:vAlign w:val="bottom"/>
            <w:gridSpan w:val="3"/>
          </w:tcPr>
          <w:p>
            <w:pPr>
              <w:spacing w:after="0" w:line="149" w:lineRule="exact"/>
              <w:rPr>
                <w:sz w:val="20"/>
                <w:szCs w:val="20"/>
                <w:color w:val="auto"/>
              </w:rPr>
            </w:pPr>
            <w:r>
              <w:rPr>
                <w:rFonts w:ascii="Arial" w:cs="Arial" w:eastAsia="Arial" w:hAnsi="Arial"/>
                <w:sz w:val="14"/>
                <w:szCs w:val="14"/>
                <w:color w:val="auto"/>
              </w:rPr>
              <w:t>Administrative and sale expenses</w:t>
            </w:r>
          </w:p>
        </w:tc>
        <w:tc>
          <w:tcPr>
            <w:tcW w:w="104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(15,787)</w:t>
            </w:r>
          </w:p>
        </w:tc>
        <w:tc>
          <w:tcPr>
            <w:tcW w:w="120" w:type="dxa"/>
            <w:vAlign w:val="bottom"/>
          </w:tcPr>
          <w:p>
            <w:pPr>
              <w:spacing w:after="0"/>
              <w:rPr>
                <w:sz w:val="12"/>
                <w:szCs w:val="12"/>
                <w:color w:val="auto"/>
              </w:rPr>
            </w:pPr>
          </w:p>
        </w:tc>
        <w:tc>
          <w:tcPr>
            <w:tcW w:w="10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(13,042)</w:t>
            </w:r>
          </w:p>
        </w:tc>
        <w:tc>
          <w:tcPr>
            <w:tcW w:w="100" w:type="dxa"/>
            <w:vAlign w:val="bottom"/>
          </w:tcPr>
          <w:p>
            <w:pPr>
              <w:spacing w:after="0"/>
              <w:rPr>
                <w:sz w:val="12"/>
                <w:szCs w:val="12"/>
                <w:color w:val="auto"/>
              </w:rPr>
            </w:pPr>
          </w:p>
        </w:tc>
        <w:tc>
          <w:tcPr>
            <w:tcW w:w="104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(13,044)</w:t>
            </w:r>
          </w:p>
        </w:tc>
        <w:tc>
          <w:tcPr>
            <w:tcW w:w="100" w:type="dxa"/>
            <w:vAlign w:val="bottom"/>
          </w:tcPr>
          <w:p>
            <w:pPr>
              <w:spacing w:after="0"/>
              <w:rPr>
                <w:sz w:val="12"/>
                <w:szCs w:val="12"/>
                <w:color w:val="auto"/>
              </w:rPr>
            </w:pP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21.0%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21.0%</w:t>
            </w:r>
          </w:p>
        </w:tc>
        <w:tc>
          <w:tcPr>
            <w:tcW w:w="114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(53,187)</w:t>
            </w:r>
          </w:p>
        </w:tc>
        <w:tc>
          <w:tcPr>
            <w:tcW w:w="240" w:type="dxa"/>
            <w:vAlign w:val="bottom"/>
          </w:tcPr>
          <w:p>
            <w:pPr>
              <w:spacing w:after="0"/>
              <w:rPr>
                <w:sz w:val="12"/>
                <w:szCs w:val="12"/>
                <w:color w:val="auto"/>
              </w:rPr>
            </w:pPr>
          </w:p>
        </w:tc>
        <w:tc>
          <w:tcPr>
            <w:tcW w:w="92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(46,159)</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149"/>
        </w:trPr>
        <w:tc>
          <w:tcPr>
            <w:tcW w:w="2420" w:type="dxa"/>
            <w:vAlign w:val="bottom"/>
            <w:gridSpan w:val="3"/>
            <w:shd w:val="clear" w:color="auto" w:fill="CCFFCC"/>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1040" w:type="dxa"/>
            <w:vAlign w:val="bottom"/>
            <w:gridSpan w:val="2"/>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(2,202)</w:t>
            </w:r>
          </w:p>
        </w:tc>
        <w:tc>
          <w:tcPr>
            <w:tcW w:w="12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(2,179)</w:t>
            </w:r>
          </w:p>
        </w:tc>
        <w:tc>
          <w:tcPr>
            <w:tcW w:w="10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(2,079)</w:t>
            </w:r>
          </w:p>
        </w:tc>
        <w:tc>
          <w:tcPr>
            <w:tcW w:w="10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1.1%</w:t>
            </w:r>
          </w:p>
        </w:tc>
        <w:tc>
          <w:tcPr>
            <w:tcW w:w="1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5.9%</w:t>
            </w:r>
          </w:p>
        </w:tc>
        <w:tc>
          <w:tcPr>
            <w:tcW w:w="1140" w:type="dxa"/>
            <w:vAlign w:val="bottom"/>
            <w:gridSpan w:val="2"/>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(8,542)</w:t>
            </w:r>
          </w:p>
        </w:tc>
        <w:tc>
          <w:tcPr>
            <w:tcW w:w="240" w:type="dxa"/>
            <w:vAlign w:val="bottom"/>
            <w:shd w:val="clear" w:color="auto" w:fill="CCFFCC"/>
          </w:tcPr>
          <w:p>
            <w:pPr>
              <w:spacing w:after="0"/>
              <w:rPr>
                <w:sz w:val="12"/>
                <w:szCs w:val="12"/>
                <w:color w:val="auto"/>
              </w:rPr>
            </w:pPr>
          </w:p>
        </w:tc>
        <w:tc>
          <w:tcPr>
            <w:tcW w:w="920" w:type="dxa"/>
            <w:vAlign w:val="bottom"/>
            <w:tcBorders>
              <w:right w:val="single" w:sz="8" w:color="CCFFCC"/>
            </w:tcBorders>
            <w:gridSpan w:val="2"/>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(9,147)</w:t>
            </w:r>
          </w:p>
        </w:tc>
        <w:tc>
          <w:tcPr>
            <w:tcW w:w="10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49"/>
        </w:trPr>
        <w:tc>
          <w:tcPr>
            <w:tcW w:w="24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Operating income</w:t>
            </w:r>
          </w:p>
        </w:tc>
        <w:tc>
          <w:tcPr>
            <w:tcW w:w="1040" w:type="dxa"/>
            <w:vAlign w:val="bottom"/>
            <w:gridSpan w:val="2"/>
          </w:tcPr>
          <w:p>
            <w:pPr>
              <w:jc w:val="right"/>
              <w:ind w:right="188"/>
              <w:spacing w:after="0" w:line="149" w:lineRule="exact"/>
              <w:rPr>
                <w:sz w:val="20"/>
                <w:szCs w:val="20"/>
                <w:color w:val="auto"/>
              </w:rPr>
            </w:pPr>
            <w:r>
              <w:rPr>
                <w:rFonts w:ascii="Arial" w:cs="Arial" w:eastAsia="Arial" w:hAnsi="Arial"/>
                <w:sz w:val="14"/>
                <w:szCs w:val="14"/>
                <w:b w:val="1"/>
                <w:bCs w:val="1"/>
                <w:color w:val="auto"/>
              </w:rPr>
              <w:t>6,627</w:t>
            </w:r>
          </w:p>
        </w:tc>
        <w:tc>
          <w:tcPr>
            <w:tcW w:w="120" w:type="dxa"/>
            <w:vAlign w:val="bottom"/>
          </w:tcPr>
          <w:p>
            <w:pPr>
              <w:spacing w:after="0"/>
              <w:rPr>
                <w:sz w:val="12"/>
                <w:szCs w:val="12"/>
                <w:color w:val="auto"/>
              </w:rPr>
            </w:pPr>
          </w:p>
        </w:tc>
        <w:tc>
          <w:tcPr>
            <w:tcW w:w="1040" w:type="dxa"/>
            <w:vAlign w:val="bottom"/>
            <w:gridSpan w:val="2"/>
          </w:tcPr>
          <w:p>
            <w:pPr>
              <w:jc w:val="right"/>
              <w:ind w:right="188"/>
              <w:spacing w:after="0" w:line="149" w:lineRule="exact"/>
              <w:rPr>
                <w:sz w:val="20"/>
                <w:szCs w:val="20"/>
                <w:color w:val="auto"/>
              </w:rPr>
            </w:pPr>
            <w:r>
              <w:rPr>
                <w:rFonts w:ascii="Arial" w:cs="Arial" w:eastAsia="Arial" w:hAnsi="Arial"/>
                <w:sz w:val="14"/>
                <w:szCs w:val="14"/>
                <w:b w:val="1"/>
                <w:bCs w:val="1"/>
                <w:color w:val="auto"/>
              </w:rPr>
              <w:t>16,860</w:t>
            </w:r>
          </w:p>
        </w:tc>
        <w:tc>
          <w:tcPr>
            <w:tcW w:w="100" w:type="dxa"/>
            <w:vAlign w:val="bottom"/>
          </w:tcPr>
          <w:p>
            <w:pPr>
              <w:spacing w:after="0"/>
              <w:rPr>
                <w:sz w:val="12"/>
                <w:szCs w:val="12"/>
                <w:color w:val="auto"/>
              </w:rPr>
            </w:pPr>
          </w:p>
        </w:tc>
        <w:tc>
          <w:tcPr>
            <w:tcW w:w="1040" w:type="dxa"/>
            <w:vAlign w:val="bottom"/>
            <w:gridSpan w:val="2"/>
          </w:tcPr>
          <w:p>
            <w:pPr>
              <w:jc w:val="right"/>
              <w:ind w:right="188"/>
              <w:spacing w:after="0" w:line="149" w:lineRule="exact"/>
              <w:rPr>
                <w:sz w:val="20"/>
                <w:szCs w:val="20"/>
                <w:color w:val="auto"/>
              </w:rPr>
            </w:pPr>
            <w:r>
              <w:rPr>
                <w:rFonts w:ascii="Arial" w:cs="Arial" w:eastAsia="Arial" w:hAnsi="Arial"/>
                <w:sz w:val="14"/>
                <w:szCs w:val="14"/>
                <w:b w:val="1"/>
                <w:bCs w:val="1"/>
                <w:color w:val="auto"/>
              </w:rPr>
              <w:t>12,706</w:t>
            </w:r>
          </w:p>
        </w:tc>
        <w:tc>
          <w:tcPr>
            <w:tcW w:w="100" w:type="dxa"/>
            <w:vAlign w:val="bottom"/>
          </w:tcPr>
          <w:p>
            <w:pPr>
              <w:spacing w:after="0"/>
              <w:rPr>
                <w:sz w:val="12"/>
                <w:szCs w:val="12"/>
                <w:color w:val="auto"/>
              </w:rPr>
            </w:pPr>
          </w:p>
        </w:tc>
        <w:tc>
          <w:tcPr>
            <w:tcW w:w="1040" w:type="dxa"/>
            <w:vAlign w:val="bottom"/>
            <w:gridSpan w:val="2"/>
          </w:tcPr>
          <w:p>
            <w:pPr>
              <w:jc w:val="right"/>
              <w:ind w:right="28"/>
              <w:spacing w:after="0" w:line="149" w:lineRule="exact"/>
              <w:rPr>
                <w:sz w:val="20"/>
                <w:szCs w:val="20"/>
                <w:color w:val="auto"/>
              </w:rPr>
            </w:pPr>
            <w:r>
              <w:rPr>
                <w:rFonts w:ascii="Arial" w:cs="Arial" w:eastAsia="Arial" w:hAnsi="Arial"/>
                <w:sz w:val="14"/>
                <w:szCs w:val="14"/>
                <w:b w:val="1"/>
                <w:bCs w:val="1"/>
                <w:color w:val="auto"/>
              </w:rPr>
              <w:t>-60.7%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48"/>
              <w:spacing w:after="0" w:line="149" w:lineRule="exact"/>
              <w:rPr>
                <w:sz w:val="20"/>
                <w:szCs w:val="20"/>
                <w:color w:val="auto"/>
              </w:rPr>
            </w:pPr>
            <w:r>
              <w:rPr>
                <w:rFonts w:ascii="Arial" w:cs="Arial" w:eastAsia="Arial" w:hAnsi="Arial"/>
                <w:sz w:val="14"/>
                <w:szCs w:val="14"/>
                <w:b w:val="1"/>
                <w:bCs w:val="1"/>
                <w:color w:val="auto"/>
              </w:rPr>
              <w:t>-47.8%</w:t>
            </w:r>
          </w:p>
        </w:tc>
        <w:tc>
          <w:tcPr>
            <w:tcW w:w="1140" w:type="dxa"/>
            <w:vAlign w:val="bottom"/>
            <w:gridSpan w:val="2"/>
          </w:tcPr>
          <w:p>
            <w:pPr>
              <w:jc w:val="right"/>
              <w:ind w:right="188"/>
              <w:spacing w:after="0" w:line="149" w:lineRule="exact"/>
              <w:rPr>
                <w:sz w:val="20"/>
                <w:szCs w:val="20"/>
                <w:color w:val="auto"/>
              </w:rPr>
            </w:pPr>
            <w:r>
              <w:rPr>
                <w:rFonts w:ascii="Arial" w:cs="Arial" w:eastAsia="Arial" w:hAnsi="Arial"/>
                <w:sz w:val="14"/>
                <w:szCs w:val="14"/>
                <w:b w:val="1"/>
                <w:bCs w:val="1"/>
                <w:color w:val="auto"/>
              </w:rPr>
              <w:t>55,428</w:t>
            </w:r>
          </w:p>
        </w:tc>
        <w:tc>
          <w:tcPr>
            <w:tcW w:w="240" w:type="dxa"/>
            <w:vAlign w:val="bottom"/>
          </w:tcPr>
          <w:p>
            <w:pPr>
              <w:spacing w:after="0"/>
              <w:rPr>
                <w:sz w:val="12"/>
                <w:szCs w:val="12"/>
                <w:color w:val="auto"/>
              </w:rPr>
            </w:pPr>
          </w:p>
        </w:tc>
        <w:tc>
          <w:tcPr>
            <w:tcW w:w="920" w:type="dxa"/>
            <w:vAlign w:val="bottom"/>
            <w:gridSpan w:val="2"/>
          </w:tcPr>
          <w:p>
            <w:pPr>
              <w:jc w:val="right"/>
              <w:ind w:right="188"/>
              <w:spacing w:after="0" w:line="149" w:lineRule="exact"/>
              <w:rPr>
                <w:sz w:val="20"/>
                <w:szCs w:val="20"/>
                <w:color w:val="auto"/>
              </w:rPr>
            </w:pPr>
            <w:r>
              <w:rPr>
                <w:rFonts w:ascii="Arial" w:cs="Arial" w:eastAsia="Arial" w:hAnsi="Arial"/>
                <w:sz w:val="14"/>
                <w:szCs w:val="14"/>
                <w:b w:val="1"/>
                <w:bCs w:val="1"/>
                <w:color w:val="auto"/>
              </w:rPr>
              <w:t>49,074</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12.9%</w:t>
            </w:r>
          </w:p>
        </w:tc>
        <w:tc>
          <w:tcPr>
            <w:tcW w:w="0" w:type="dxa"/>
            <w:vAlign w:val="bottom"/>
          </w:tcPr>
          <w:p>
            <w:pPr>
              <w:spacing w:after="0"/>
              <w:rPr>
                <w:sz w:val="1"/>
                <w:szCs w:val="1"/>
                <w:color w:val="auto"/>
              </w:rPr>
            </w:pPr>
          </w:p>
        </w:tc>
      </w:tr>
      <w:tr>
        <w:trPr>
          <w:trHeight w:val="149"/>
        </w:trPr>
        <w:tc>
          <w:tcPr>
            <w:tcW w:w="2420" w:type="dxa"/>
            <w:vAlign w:val="bottom"/>
            <w:gridSpan w:val="3"/>
            <w:shd w:val="clear" w:color="auto" w:fill="CCFFCC"/>
          </w:tcPr>
          <w:p>
            <w:pPr>
              <w:spacing w:after="0" w:line="149" w:lineRule="exact"/>
              <w:rPr>
                <w:sz w:val="20"/>
                <w:szCs w:val="20"/>
                <w:color w:val="auto"/>
              </w:rPr>
            </w:pPr>
            <w:r>
              <w:rPr>
                <w:rFonts w:ascii="Arial" w:cs="Arial" w:eastAsia="Arial" w:hAnsi="Arial"/>
                <w:sz w:val="14"/>
                <w:szCs w:val="14"/>
                <w:color w:val="auto"/>
              </w:rPr>
              <w:t>Other income and expenses, net</w:t>
            </w:r>
          </w:p>
        </w:tc>
        <w:tc>
          <w:tcPr>
            <w:tcW w:w="104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color w:val="auto"/>
              </w:rPr>
              <w:t>2,755</w:t>
            </w:r>
          </w:p>
        </w:tc>
        <w:tc>
          <w:tcPr>
            <w:tcW w:w="12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(1,102)</w:t>
            </w:r>
          </w:p>
        </w:tc>
        <w:tc>
          <w:tcPr>
            <w:tcW w:w="10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(473)</w:t>
            </w:r>
          </w:p>
        </w:tc>
        <w:tc>
          <w:tcPr>
            <w:tcW w:w="10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-349.9%</w:t>
            </w:r>
          </w:p>
        </w:tc>
        <w:tc>
          <w:tcPr>
            <w:tcW w:w="1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-682.7%</w:t>
            </w:r>
          </w:p>
        </w:tc>
        <w:tc>
          <w:tcPr>
            <w:tcW w:w="114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color w:val="auto"/>
              </w:rPr>
              <w:t>1,153</w:t>
            </w:r>
          </w:p>
        </w:tc>
        <w:tc>
          <w:tcPr>
            <w:tcW w:w="240" w:type="dxa"/>
            <w:vAlign w:val="bottom"/>
            <w:shd w:val="clear" w:color="auto" w:fill="CCFFCC"/>
          </w:tcPr>
          <w:p>
            <w:pPr>
              <w:spacing w:after="0"/>
              <w:rPr>
                <w:sz w:val="12"/>
                <w:szCs w:val="12"/>
                <w:color w:val="auto"/>
              </w:rPr>
            </w:pPr>
          </w:p>
        </w:tc>
        <w:tc>
          <w:tcPr>
            <w:tcW w:w="920" w:type="dxa"/>
            <w:vAlign w:val="bottom"/>
            <w:tcBorders>
              <w:right w:val="single" w:sz="8" w:color="CCFFCC"/>
            </w:tcBorders>
            <w:gridSpan w:val="2"/>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(1,377)</w:t>
            </w:r>
          </w:p>
        </w:tc>
        <w:tc>
          <w:tcPr>
            <w:tcW w:w="10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-183.7%</w:t>
            </w:r>
          </w:p>
        </w:tc>
        <w:tc>
          <w:tcPr>
            <w:tcW w:w="0" w:type="dxa"/>
            <w:vAlign w:val="bottom"/>
          </w:tcPr>
          <w:p>
            <w:pPr>
              <w:spacing w:after="0"/>
              <w:rPr>
                <w:sz w:val="1"/>
                <w:szCs w:val="1"/>
                <w:color w:val="auto"/>
              </w:rPr>
            </w:pPr>
          </w:p>
        </w:tc>
      </w:tr>
      <w:tr>
        <w:trPr>
          <w:trHeight w:val="149"/>
        </w:trPr>
        <w:tc>
          <w:tcPr>
            <w:tcW w:w="2420" w:type="dxa"/>
            <w:vAlign w:val="bottom"/>
            <w:gridSpan w:val="3"/>
          </w:tcPr>
          <w:p>
            <w:pPr>
              <w:spacing w:after="0" w:line="149" w:lineRule="exact"/>
              <w:rPr>
                <w:sz w:val="20"/>
                <w:szCs w:val="20"/>
                <w:color w:val="auto"/>
              </w:rPr>
            </w:pPr>
            <w:r>
              <w:rPr>
                <w:rFonts w:ascii="Arial" w:cs="Arial" w:eastAsia="Arial" w:hAnsi="Arial"/>
                <w:sz w:val="14"/>
                <w:szCs w:val="14"/>
                <w:color w:val="auto"/>
              </w:rPr>
              <w:t>Income tax</w:t>
            </w:r>
          </w:p>
        </w:tc>
        <w:tc>
          <w:tcPr>
            <w:tcW w:w="104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(1,615)</w:t>
            </w:r>
          </w:p>
        </w:tc>
        <w:tc>
          <w:tcPr>
            <w:tcW w:w="120" w:type="dxa"/>
            <w:vAlign w:val="bottom"/>
          </w:tcPr>
          <w:p>
            <w:pPr>
              <w:spacing w:after="0"/>
              <w:rPr>
                <w:sz w:val="12"/>
                <w:szCs w:val="12"/>
                <w:color w:val="auto"/>
              </w:rPr>
            </w:pPr>
          </w:p>
        </w:tc>
        <w:tc>
          <w:tcPr>
            <w:tcW w:w="10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(6,154)</w:t>
            </w:r>
          </w:p>
        </w:tc>
        <w:tc>
          <w:tcPr>
            <w:tcW w:w="100" w:type="dxa"/>
            <w:vAlign w:val="bottom"/>
          </w:tcPr>
          <w:p>
            <w:pPr>
              <w:spacing w:after="0"/>
              <w:rPr>
                <w:sz w:val="12"/>
                <w:szCs w:val="12"/>
                <w:color w:val="auto"/>
              </w:rPr>
            </w:pPr>
          </w:p>
        </w:tc>
        <w:tc>
          <w:tcPr>
            <w:tcW w:w="104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(3,406)</w:t>
            </w:r>
          </w:p>
        </w:tc>
        <w:tc>
          <w:tcPr>
            <w:tcW w:w="100" w:type="dxa"/>
            <w:vAlign w:val="bottom"/>
          </w:tcPr>
          <w:p>
            <w:pPr>
              <w:spacing w:after="0"/>
              <w:rPr>
                <w:sz w:val="12"/>
                <w:szCs w:val="12"/>
                <w:color w:val="auto"/>
              </w:rPr>
            </w:pP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-73.8%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-52.6%</w:t>
            </w:r>
          </w:p>
        </w:tc>
        <w:tc>
          <w:tcPr>
            <w:tcW w:w="114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(18,547)</w:t>
            </w:r>
          </w:p>
        </w:tc>
        <w:tc>
          <w:tcPr>
            <w:tcW w:w="240" w:type="dxa"/>
            <w:vAlign w:val="bottom"/>
          </w:tcPr>
          <w:p>
            <w:pPr>
              <w:spacing w:after="0"/>
              <w:rPr>
                <w:sz w:val="12"/>
                <w:szCs w:val="12"/>
                <w:color w:val="auto"/>
              </w:rPr>
            </w:pPr>
          </w:p>
        </w:tc>
        <w:tc>
          <w:tcPr>
            <w:tcW w:w="92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(15,125)</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22.6%</w:t>
            </w:r>
          </w:p>
        </w:tc>
        <w:tc>
          <w:tcPr>
            <w:tcW w:w="0" w:type="dxa"/>
            <w:vAlign w:val="bottom"/>
          </w:tcPr>
          <w:p>
            <w:pPr>
              <w:spacing w:after="0"/>
              <w:rPr>
                <w:sz w:val="1"/>
                <w:szCs w:val="1"/>
                <w:color w:val="auto"/>
              </w:rPr>
            </w:pPr>
          </w:p>
        </w:tc>
      </w:tr>
      <w:tr>
        <w:trPr>
          <w:trHeight w:val="126"/>
        </w:trPr>
        <w:tc>
          <w:tcPr>
            <w:tcW w:w="2420" w:type="dxa"/>
            <w:vAlign w:val="bottom"/>
            <w:gridSpan w:val="3"/>
            <w:shd w:val="clear" w:color="auto" w:fill="CCFFCC"/>
          </w:tcPr>
          <w:p>
            <w:pPr>
              <w:spacing w:after="0" w:line="126" w:lineRule="exact"/>
              <w:rPr>
                <w:sz w:val="20"/>
                <w:szCs w:val="20"/>
                <w:color w:val="auto"/>
              </w:rPr>
            </w:pPr>
            <w:r>
              <w:rPr>
                <w:rFonts w:ascii="Arial" w:cs="Arial" w:eastAsia="Arial" w:hAnsi="Arial"/>
                <w:sz w:val="14"/>
                <w:szCs w:val="14"/>
                <w:b w:val="1"/>
                <w:bCs w:val="1"/>
                <w:color w:val="auto"/>
              </w:rPr>
              <w:t>Net income before translation</w:t>
            </w:r>
          </w:p>
        </w:tc>
        <w:tc>
          <w:tcPr>
            <w:tcW w:w="1040" w:type="dxa"/>
            <w:vAlign w:val="bottom"/>
            <w:gridSpan w:val="2"/>
            <w:vMerge w:val="restart"/>
            <w:shd w:val="clear" w:color="auto" w:fill="CCFFCC"/>
          </w:tcPr>
          <w:p>
            <w:pPr>
              <w:jc w:val="right"/>
              <w:ind w:right="188"/>
              <w:spacing w:after="0"/>
              <w:rPr>
                <w:sz w:val="20"/>
                <w:szCs w:val="20"/>
                <w:color w:val="auto"/>
              </w:rPr>
            </w:pPr>
            <w:r>
              <w:rPr>
                <w:rFonts w:ascii="Arial" w:cs="Arial" w:eastAsia="Arial" w:hAnsi="Arial"/>
                <w:sz w:val="14"/>
                <w:szCs w:val="14"/>
                <w:b w:val="1"/>
                <w:bCs w:val="1"/>
                <w:color w:val="auto"/>
              </w:rPr>
              <w:t>7,767</w:t>
            </w:r>
          </w:p>
        </w:tc>
        <w:tc>
          <w:tcPr>
            <w:tcW w:w="120" w:type="dxa"/>
            <w:vAlign w:val="bottom"/>
            <w:shd w:val="clear" w:color="auto" w:fill="CCFFCC"/>
          </w:tcPr>
          <w:p>
            <w:pPr>
              <w:spacing w:after="0"/>
              <w:rPr>
                <w:sz w:val="10"/>
                <w:szCs w:val="10"/>
                <w:color w:val="auto"/>
              </w:rPr>
            </w:pPr>
          </w:p>
        </w:tc>
        <w:tc>
          <w:tcPr>
            <w:tcW w:w="1040" w:type="dxa"/>
            <w:vAlign w:val="bottom"/>
            <w:gridSpan w:val="2"/>
            <w:vMerge w:val="restart"/>
            <w:shd w:val="clear" w:color="auto" w:fill="CCFFCC"/>
          </w:tcPr>
          <w:p>
            <w:pPr>
              <w:jc w:val="right"/>
              <w:ind w:right="188"/>
              <w:spacing w:after="0"/>
              <w:rPr>
                <w:sz w:val="20"/>
                <w:szCs w:val="20"/>
                <w:color w:val="auto"/>
              </w:rPr>
            </w:pPr>
            <w:r>
              <w:rPr>
                <w:rFonts w:ascii="Arial" w:cs="Arial" w:eastAsia="Arial" w:hAnsi="Arial"/>
                <w:sz w:val="14"/>
                <w:szCs w:val="14"/>
                <w:b w:val="1"/>
                <w:bCs w:val="1"/>
                <w:color w:val="auto"/>
              </w:rPr>
              <w:t>9,604</w:t>
            </w:r>
          </w:p>
        </w:tc>
        <w:tc>
          <w:tcPr>
            <w:tcW w:w="100" w:type="dxa"/>
            <w:vAlign w:val="bottom"/>
            <w:shd w:val="clear" w:color="auto" w:fill="CCFFCC"/>
          </w:tcPr>
          <w:p>
            <w:pPr>
              <w:spacing w:after="0"/>
              <w:rPr>
                <w:sz w:val="10"/>
                <w:szCs w:val="10"/>
                <w:color w:val="auto"/>
              </w:rPr>
            </w:pPr>
          </w:p>
        </w:tc>
        <w:tc>
          <w:tcPr>
            <w:tcW w:w="1040" w:type="dxa"/>
            <w:vAlign w:val="bottom"/>
            <w:gridSpan w:val="2"/>
            <w:vMerge w:val="restart"/>
            <w:shd w:val="clear" w:color="auto" w:fill="CCFFCC"/>
          </w:tcPr>
          <w:p>
            <w:pPr>
              <w:jc w:val="right"/>
              <w:ind w:right="188"/>
              <w:spacing w:after="0"/>
              <w:rPr>
                <w:sz w:val="20"/>
                <w:szCs w:val="20"/>
                <w:color w:val="auto"/>
              </w:rPr>
            </w:pPr>
            <w:r>
              <w:rPr>
                <w:rFonts w:ascii="Arial" w:cs="Arial" w:eastAsia="Arial" w:hAnsi="Arial"/>
                <w:sz w:val="14"/>
                <w:szCs w:val="14"/>
                <w:b w:val="1"/>
                <w:bCs w:val="1"/>
                <w:color w:val="auto"/>
              </w:rPr>
              <w:t>8,828</w:t>
            </w:r>
          </w:p>
        </w:tc>
        <w:tc>
          <w:tcPr>
            <w:tcW w:w="100" w:type="dxa"/>
            <w:vAlign w:val="bottom"/>
            <w:shd w:val="clear" w:color="auto" w:fill="CCFFCC"/>
          </w:tcPr>
          <w:p>
            <w:pPr>
              <w:spacing w:after="0"/>
              <w:rPr>
                <w:sz w:val="10"/>
                <w:szCs w:val="10"/>
                <w:color w:val="auto"/>
              </w:rPr>
            </w:pPr>
          </w:p>
        </w:tc>
        <w:tc>
          <w:tcPr>
            <w:tcW w:w="1040" w:type="dxa"/>
            <w:vAlign w:val="bottom"/>
            <w:gridSpan w:val="2"/>
            <w:vMerge w:val="restart"/>
            <w:shd w:val="clear" w:color="auto" w:fill="CCFFCC"/>
          </w:tcPr>
          <w:p>
            <w:pPr>
              <w:jc w:val="right"/>
              <w:ind w:right="28"/>
              <w:spacing w:after="0"/>
              <w:rPr>
                <w:sz w:val="20"/>
                <w:szCs w:val="20"/>
                <w:color w:val="auto"/>
              </w:rPr>
            </w:pPr>
            <w:r>
              <w:rPr>
                <w:rFonts w:ascii="Arial" w:cs="Arial" w:eastAsia="Arial" w:hAnsi="Arial"/>
                <w:sz w:val="14"/>
                <w:szCs w:val="14"/>
                <w:b w:val="1"/>
                <w:bCs w:val="1"/>
                <w:color w:val="auto"/>
              </w:rPr>
              <w:t>-19.1%</w:t>
            </w:r>
          </w:p>
        </w:tc>
        <w:tc>
          <w:tcPr>
            <w:tcW w:w="1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900" w:type="dxa"/>
            <w:vAlign w:val="bottom"/>
            <w:gridSpan w:val="2"/>
            <w:vMerge w:val="restart"/>
            <w:shd w:val="clear" w:color="auto" w:fill="CCFFCC"/>
          </w:tcPr>
          <w:p>
            <w:pPr>
              <w:jc w:val="right"/>
              <w:ind w:right="48"/>
              <w:spacing w:after="0"/>
              <w:rPr>
                <w:sz w:val="20"/>
                <w:szCs w:val="20"/>
                <w:color w:val="auto"/>
              </w:rPr>
            </w:pPr>
            <w:r>
              <w:rPr>
                <w:rFonts w:ascii="Arial" w:cs="Arial" w:eastAsia="Arial" w:hAnsi="Arial"/>
                <w:sz w:val="14"/>
                <w:szCs w:val="14"/>
                <w:b w:val="1"/>
                <w:bCs w:val="1"/>
                <w:color w:val="auto"/>
              </w:rPr>
              <w:t>-12.0%</w:t>
            </w:r>
          </w:p>
        </w:tc>
        <w:tc>
          <w:tcPr>
            <w:tcW w:w="1140" w:type="dxa"/>
            <w:vAlign w:val="bottom"/>
            <w:gridSpan w:val="2"/>
            <w:vMerge w:val="restart"/>
            <w:shd w:val="clear" w:color="auto" w:fill="CCFFCC"/>
          </w:tcPr>
          <w:p>
            <w:pPr>
              <w:jc w:val="right"/>
              <w:ind w:right="188"/>
              <w:spacing w:after="0"/>
              <w:rPr>
                <w:sz w:val="20"/>
                <w:szCs w:val="20"/>
                <w:color w:val="auto"/>
              </w:rPr>
            </w:pPr>
            <w:r>
              <w:rPr>
                <w:rFonts w:ascii="Arial" w:cs="Arial" w:eastAsia="Arial" w:hAnsi="Arial"/>
                <w:sz w:val="14"/>
                <w:szCs w:val="14"/>
                <w:b w:val="1"/>
                <w:bCs w:val="1"/>
                <w:color w:val="auto"/>
              </w:rPr>
              <w:t>38,033</w:t>
            </w:r>
          </w:p>
        </w:tc>
        <w:tc>
          <w:tcPr>
            <w:tcW w:w="240" w:type="dxa"/>
            <w:vAlign w:val="bottom"/>
            <w:shd w:val="clear" w:color="auto" w:fill="CCFFCC"/>
          </w:tcPr>
          <w:p>
            <w:pPr>
              <w:spacing w:after="0"/>
              <w:rPr>
                <w:sz w:val="10"/>
                <w:szCs w:val="10"/>
                <w:color w:val="auto"/>
              </w:rPr>
            </w:pPr>
          </w:p>
        </w:tc>
        <w:tc>
          <w:tcPr>
            <w:tcW w:w="920" w:type="dxa"/>
            <w:vAlign w:val="bottom"/>
            <w:tcBorders>
              <w:right w:val="single" w:sz="8" w:color="CCFFCC"/>
            </w:tcBorders>
            <w:gridSpan w:val="2"/>
            <w:vMerge w:val="restart"/>
            <w:shd w:val="clear" w:color="auto" w:fill="CCFFCC"/>
          </w:tcPr>
          <w:p>
            <w:pPr>
              <w:jc w:val="right"/>
              <w:ind w:right="188"/>
              <w:spacing w:after="0"/>
              <w:rPr>
                <w:sz w:val="20"/>
                <w:szCs w:val="20"/>
                <w:color w:val="auto"/>
              </w:rPr>
            </w:pPr>
            <w:r>
              <w:rPr>
                <w:rFonts w:ascii="Arial" w:cs="Arial" w:eastAsia="Arial" w:hAnsi="Arial"/>
                <w:sz w:val="14"/>
                <w:szCs w:val="14"/>
                <w:b w:val="1"/>
                <w:bCs w:val="1"/>
                <w:color w:val="auto"/>
              </w:rPr>
              <w:t>32,572</w:t>
            </w:r>
          </w:p>
        </w:tc>
        <w:tc>
          <w:tcPr>
            <w:tcW w:w="1060" w:type="dxa"/>
            <w:vAlign w:val="bottom"/>
            <w:gridSpan w:val="2"/>
            <w:vMerge w:val="restart"/>
            <w:shd w:val="clear" w:color="auto" w:fill="CCFFCC"/>
          </w:tcPr>
          <w:p>
            <w:pPr>
              <w:jc w:val="right"/>
              <w:spacing w:after="0"/>
              <w:rPr>
                <w:sz w:val="20"/>
                <w:szCs w:val="20"/>
                <w:color w:val="auto"/>
              </w:rPr>
            </w:pPr>
            <w:r>
              <w:rPr>
                <w:rFonts w:ascii="Arial" w:cs="Arial" w:eastAsia="Arial" w:hAnsi="Arial"/>
                <w:sz w:val="14"/>
                <w:szCs w:val="14"/>
                <w:b w:val="1"/>
                <w:bCs w:val="1"/>
                <w:color w:val="auto"/>
              </w:rPr>
              <w:t>16.8%</w:t>
            </w:r>
          </w:p>
        </w:tc>
        <w:tc>
          <w:tcPr>
            <w:tcW w:w="0" w:type="dxa"/>
            <w:vAlign w:val="bottom"/>
          </w:tcPr>
          <w:p>
            <w:pPr>
              <w:spacing w:after="0"/>
              <w:rPr>
                <w:sz w:val="1"/>
                <w:szCs w:val="1"/>
                <w:color w:val="auto"/>
              </w:rPr>
            </w:pPr>
          </w:p>
        </w:tc>
      </w:tr>
      <w:tr>
        <w:trPr>
          <w:trHeight w:val="171"/>
        </w:trPr>
        <w:tc>
          <w:tcPr>
            <w:tcW w:w="2420" w:type="dxa"/>
            <w:vAlign w:val="bottom"/>
            <w:gridSpan w:val="3"/>
            <w:shd w:val="clear" w:color="auto" w:fill="CCFFCC"/>
          </w:tcPr>
          <w:p>
            <w:pPr>
              <w:spacing w:after="0"/>
              <w:rPr>
                <w:sz w:val="20"/>
                <w:szCs w:val="20"/>
                <w:color w:val="auto"/>
              </w:rPr>
            </w:pPr>
            <w:r>
              <w:rPr>
                <w:rFonts w:ascii="Arial" w:cs="Arial" w:eastAsia="Arial" w:hAnsi="Arial"/>
                <w:sz w:val="14"/>
                <w:szCs w:val="14"/>
                <w:b w:val="1"/>
                <w:bCs w:val="1"/>
                <w:color w:val="auto"/>
              </w:rPr>
              <w:t>results</w:t>
            </w:r>
          </w:p>
        </w:tc>
        <w:tc>
          <w:tcPr>
            <w:tcW w:w="1040" w:type="dxa"/>
            <w:vAlign w:val="bottom"/>
            <w:gridSpan w:val="2"/>
            <w:vMerge w:val="continue"/>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40" w:type="dxa"/>
            <w:vAlign w:val="bottom"/>
            <w:gridSpan w:val="2"/>
            <w:vMerge w:val="continue"/>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040" w:type="dxa"/>
            <w:vAlign w:val="bottom"/>
            <w:gridSpan w:val="2"/>
            <w:vMerge w:val="continue"/>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040" w:type="dxa"/>
            <w:vAlign w:val="bottom"/>
            <w:gridSpan w:val="2"/>
            <w:vMerge w:val="continue"/>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900" w:type="dxa"/>
            <w:vAlign w:val="bottom"/>
            <w:gridSpan w:val="2"/>
            <w:vMerge w:val="continue"/>
            <w:shd w:val="clear" w:color="auto" w:fill="CCFFCC"/>
          </w:tcPr>
          <w:p>
            <w:pPr>
              <w:spacing w:after="0"/>
              <w:rPr>
                <w:sz w:val="14"/>
                <w:szCs w:val="14"/>
                <w:color w:val="auto"/>
              </w:rPr>
            </w:pPr>
          </w:p>
        </w:tc>
        <w:tc>
          <w:tcPr>
            <w:tcW w:w="1140" w:type="dxa"/>
            <w:vAlign w:val="bottom"/>
            <w:gridSpan w:val="2"/>
            <w:vMerge w:val="continue"/>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920" w:type="dxa"/>
            <w:vAlign w:val="bottom"/>
            <w:tcBorders>
              <w:right w:val="single" w:sz="8" w:color="CCFFCC"/>
            </w:tcBorders>
            <w:gridSpan w:val="2"/>
            <w:vMerge w:val="continue"/>
            <w:shd w:val="clear" w:color="auto" w:fill="CCFFCC"/>
          </w:tcPr>
          <w:p>
            <w:pPr>
              <w:spacing w:after="0"/>
              <w:rPr>
                <w:sz w:val="14"/>
                <w:szCs w:val="14"/>
                <w:color w:val="auto"/>
              </w:rPr>
            </w:pPr>
          </w:p>
        </w:tc>
        <w:tc>
          <w:tcPr>
            <w:tcW w:w="1060" w:type="dxa"/>
            <w:vAlign w:val="bottom"/>
            <w:gridSpan w:val="2"/>
            <w:vMerge w:val="continue"/>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420" w:type="dxa"/>
            <w:vAlign w:val="bottom"/>
            <w:gridSpan w:val="3"/>
          </w:tcPr>
          <w:p>
            <w:pPr>
              <w:spacing w:after="0" w:line="130" w:lineRule="exact"/>
              <w:rPr>
                <w:sz w:val="20"/>
                <w:szCs w:val="20"/>
                <w:color w:val="auto"/>
              </w:rPr>
            </w:pPr>
            <w:r>
              <w:rPr>
                <w:rFonts w:ascii="Arial" w:cs="Arial" w:eastAsia="Arial" w:hAnsi="Arial"/>
                <w:sz w:val="14"/>
                <w:szCs w:val="14"/>
                <w:color w:val="auto"/>
              </w:rPr>
              <w:t>Translations results and deferred</w:t>
            </w: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20" w:type="dxa"/>
            <w:vAlign w:val="bottom"/>
            <w:gridSpan w:val="3"/>
          </w:tcPr>
          <w:p>
            <w:pPr>
              <w:spacing w:after="0"/>
              <w:rPr>
                <w:sz w:val="20"/>
                <w:szCs w:val="20"/>
                <w:color w:val="auto"/>
              </w:rPr>
            </w:pPr>
            <w:r>
              <w:rPr>
                <w:rFonts w:ascii="Arial" w:cs="Arial" w:eastAsia="Arial" w:hAnsi="Arial"/>
                <w:sz w:val="14"/>
                <w:szCs w:val="14"/>
                <w:color w:val="auto"/>
              </w:rPr>
              <w:t>liabilities</w:t>
            </w:r>
          </w:p>
        </w:tc>
        <w:tc>
          <w:tcPr>
            <w:tcW w:w="1040" w:type="dxa"/>
            <w:vAlign w:val="bottom"/>
            <w:gridSpan w:val="2"/>
          </w:tcPr>
          <w:p>
            <w:pPr>
              <w:jc w:val="right"/>
              <w:ind w:right="188"/>
              <w:spacing w:after="0"/>
              <w:rPr>
                <w:sz w:val="20"/>
                <w:szCs w:val="20"/>
                <w:color w:val="auto"/>
              </w:rPr>
            </w:pPr>
            <w:r>
              <w:rPr>
                <w:rFonts w:ascii="Arial" w:cs="Arial" w:eastAsia="Arial" w:hAnsi="Arial"/>
                <w:sz w:val="14"/>
                <w:szCs w:val="14"/>
                <w:color w:val="auto"/>
              </w:rPr>
              <w:t>355</w:t>
            </w:r>
          </w:p>
        </w:tc>
        <w:tc>
          <w:tcPr>
            <w:tcW w:w="120" w:type="dxa"/>
            <w:vAlign w:val="bottom"/>
          </w:tcPr>
          <w:p>
            <w:pPr>
              <w:spacing w:after="0"/>
              <w:rPr>
                <w:sz w:val="14"/>
                <w:szCs w:val="14"/>
                <w:color w:val="auto"/>
              </w:rPr>
            </w:pPr>
          </w:p>
        </w:tc>
        <w:tc>
          <w:tcPr>
            <w:tcW w:w="1040" w:type="dxa"/>
            <w:vAlign w:val="bottom"/>
            <w:gridSpan w:val="2"/>
          </w:tcPr>
          <w:p>
            <w:pPr>
              <w:jc w:val="right"/>
              <w:ind w:right="148"/>
              <w:spacing w:after="0"/>
              <w:rPr>
                <w:sz w:val="20"/>
                <w:szCs w:val="20"/>
                <w:color w:val="auto"/>
              </w:rPr>
            </w:pPr>
            <w:r>
              <w:rPr>
                <w:rFonts w:ascii="Arial" w:cs="Arial" w:eastAsia="Arial" w:hAnsi="Arial"/>
                <w:sz w:val="14"/>
                <w:szCs w:val="14"/>
                <w:color w:val="auto"/>
              </w:rPr>
              <w:t>(154)</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48"/>
              <w:spacing w:after="0"/>
              <w:rPr>
                <w:sz w:val="20"/>
                <w:szCs w:val="20"/>
                <w:color w:val="auto"/>
              </w:rPr>
            </w:pPr>
            <w:r>
              <w:rPr>
                <w:rFonts w:ascii="Arial" w:cs="Arial" w:eastAsia="Arial" w:hAnsi="Arial"/>
                <w:sz w:val="14"/>
                <w:szCs w:val="14"/>
                <w:color w:val="auto"/>
              </w:rPr>
              <w:t>-330.9%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68"/>
              <w:spacing w:after="0"/>
              <w:rPr>
                <w:sz w:val="20"/>
                <w:szCs w:val="20"/>
                <w:color w:val="auto"/>
              </w:rPr>
            </w:pPr>
            <w:r>
              <w:rPr>
                <w:rFonts w:ascii="Arial" w:cs="Arial" w:eastAsia="Arial" w:hAnsi="Arial"/>
                <w:sz w:val="14"/>
                <w:szCs w:val="14"/>
                <w:color w:val="auto"/>
              </w:rPr>
              <w:t>1306.8%</w:t>
            </w:r>
          </w:p>
        </w:tc>
        <w:tc>
          <w:tcPr>
            <w:tcW w:w="1140" w:type="dxa"/>
            <w:vAlign w:val="bottom"/>
            <w:gridSpan w:val="2"/>
          </w:tcPr>
          <w:p>
            <w:pPr>
              <w:jc w:val="right"/>
              <w:ind w:right="188"/>
              <w:spacing w:after="0"/>
              <w:rPr>
                <w:sz w:val="20"/>
                <w:szCs w:val="20"/>
                <w:color w:val="auto"/>
              </w:rPr>
            </w:pPr>
            <w:r>
              <w:rPr>
                <w:rFonts w:ascii="Arial" w:cs="Arial" w:eastAsia="Arial" w:hAnsi="Arial"/>
                <w:sz w:val="14"/>
                <w:szCs w:val="14"/>
                <w:color w:val="auto"/>
              </w:rPr>
              <w:t>152</w:t>
            </w:r>
          </w:p>
        </w:tc>
        <w:tc>
          <w:tcPr>
            <w:tcW w:w="240" w:type="dxa"/>
            <w:vAlign w:val="bottom"/>
          </w:tcPr>
          <w:p>
            <w:pPr>
              <w:spacing w:after="0"/>
              <w:rPr>
                <w:sz w:val="14"/>
                <w:szCs w:val="14"/>
                <w:color w:val="auto"/>
              </w:rPr>
            </w:pPr>
          </w:p>
        </w:tc>
        <w:tc>
          <w:tcPr>
            <w:tcW w:w="920" w:type="dxa"/>
            <w:vAlign w:val="bottom"/>
            <w:gridSpan w:val="2"/>
          </w:tcPr>
          <w:p>
            <w:pPr>
              <w:jc w:val="right"/>
              <w:ind w:right="148"/>
              <w:spacing w:after="0"/>
              <w:rPr>
                <w:sz w:val="20"/>
                <w:szCs w:val="20"/>
                <w:color w:val="auto"/>
              </w:rPr>
            </w:pPr>
            <w:r>
              <w:rPr>
                <w:rFonts w:ascii="Arial" w:cs="Arial" w:eastAsia="Arial" w:hAnsi="Arial"/>
                <w:sz w:val="14"/>
                <w:szCs w:val="14"/>
                <w:color w:val="auto"/>
              </w:rPr>
              <w:t>(177)</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-186.0%</w:t>
            </w:r>
          </w:p>
        </w:tc>
        <w:tc>
          <w:tcPr>
            <w:tcW w:w="0" w:type="dxa"/>
            <w:vAlign w:val="bottom"/>
          </w:tcPr>
          <w:p>
            <w:pPr>
              <w:spacing w:after="0"/>
              <w:rPr>
                <w:sz w:val="1"/>
                <w:szCs w:val="1"/>
                <w:color w:val="auto"/>
              </w:rPr>
            </w:pPr>
          </w:p>
        </w:tc>
      </w:tr>
      <w:tr>
        <w:trPr>
          <w:trHeight w:val="162"/>
        </w:trPr>
        <w:tc>
          <w:tcPr>
            <w:tcW w:w="2420" w:type="dxa"/>
            <w:vAlign w:val="bottom"/>
            <w:gridSpan w:val="3"/>
            <w:shd w:val="clear" w:color="auto" w:fill="CCFFCC"/>
          </w:tcPr>
          <w:p>
            <w:pPr>
              <w:spacing w:after="0"/>
              <w:rPr>
                <w:sz w:val="20"/>
                <w:szCs w:val="20"/>
                <w:color w:val="auto"/>
              </w:rPr>
            </w:pPr>
            <w:r>
              <w:rPr>
                <w:rFonts w:ascii="Arial" w:cs="Arial" w:eastAsia="Arial" w:hAnsi="Arial"/>
                <w:sz w:val="14"/>
                <w:szCs w:val="14"/>
                <w:b w:val="1"/>
                <w:bCs w:val="1"/>
                <w:color w:val="auto"/>
              </w:rPr>
              <w:t>Net income</w:t>
            </w:r>
          </w:p>
        </w:tc>
        <w:tc>
          <w:tcPr>
            <w:tcW w:w="1040" w:type="dxa"/>
            <w:vAlign w:val="bottom"/>
            <w:gridSpan w:val="2"/>
            <w:shd w:val="clear" w:color="auto" w:fill="CCFFCC"/>
          </w:tcPr>
          <w:p>
            <w:pPr>
              <w:jc w:val="right"/>
              <w:ind w:right="188"/>
              <w:spacing w:after="0"/>
              <w:rPr>
                <w:sz w:val="20"/>
                <w:szCs w:val="20"/>
                <w:color w:val="auto"/>
              </w:rPr>
            </w:pPr>
            <w:r>
              <w:rPr>
                <w:rFonts w:ascii="Arial" w:cs="Arial" w:eastAsia="Arial" w:hAnsi="Arial"/>
                <w:sz w:val="14"/>
                <w:szCs w:val="14"/>
                <w:b w:val="1"/>
                <w:bCs w:val="1"/>
                <w:color w:val="auto"/>
              </w:rPr>
              <w:t>8,122</w:t>
            </w:r>
          </w:p>
        </w:tc>
        <w:tc>
          <w:tcPr>
            <w:tcW w:w="120" w:type="dxa"/>
            <w:vAlign w:val="bottom"/>
            <w:shd w:val="clear" w:color="auto" w:fill="CCFFCC"/>
          </w:tcPr>
          <w:p>
            <w:pPr>
              <w:spacing w:after="0"/>
              <w:rPr>
                <w:sz w:val="14"/>
                <w:szCs w:val="14"/>
                <w:color w:val="auto"/>
              </w:rPr>
            </w:pPr>
          </w:p>
        </w:tc>
        <w:tc>
          <w:tcPr>
            <w:tcW w:w="1040" w:type="dxa"/>
            <w:vAlign w:val="bottom"/>
            <w:gridSpan w:val="2"/>
            <w:shd w:val="clear" w:color="auto" w:fill="CCFFCC"/>
          </w:tcPr>
          <w:p>
            <w:pPr>
              <w:jc w:val="right"/>
              <w:ind w:right="188"/>
              <w:spacing w:after="0"/>
              <w:rPr>
                <w:sz w:val="20"/>
                <w:szCs w:val="20"/>
                <w:color w:val="auto"/>
              </w:rPr>
            </w:pPr>
            <w:r>
              <w:rPr>
                <w:rFonts w:ascii="Arial" w:cs="Arial" w:eastAsia="Arial" w:hAnsi="Arial"/>
                <w:sz w:val="14"/>
                <w:szCs w:val="14"/>
                <w:b w:val="1"/>
                <w:bCs w:val="1"/>
                <w:color w:val="auto"/>
              </w:rPr>
              <w:t>9,450</w:t>
            </w:r>
          </w:p>
        </w:tc>
        <w:tc>
          <w:tcPr>
            <w:tcW w:w="100" w:type="dxa"/>
            <w:vAlign w:val="bottom"/>
            <w:shd w:val="clear" w:color="auto" w:fill="CCFFCC"/>
          </w:tcPr>
          <w:p>
            <w:pPr>
              <w:spacing w:after="0"/>
              <w:rPr>
                <w:sz w:val="14"/>
                <w:szCs w:val="14"/>
                <w:color w:val="auto"/>
              </w:rPr>
            </w:pPr>
          </w:p>
        </w:tc>
        <w:tc>
          <w:tcPr>
            <w:tcW w:w="1040" w:type="dxa"/>
            <w:vAlign w:val="bottom"/>
            <w:gridSpan w:val="2"/>
            <w:shd w:val="clear" w:color="auto" w:fill="CCFFCC"/>
          </w:tcPr>
          <w:p>
            <w:pPr>
              <w:jc w:val="right"/>
              <w:ind w:right="188"/>
              <w:spacing w:after="0"/>
              <w:rPr>
                <w:sz w:val="20"/>
                <w:szCs w:val="20"/>
                <w:color w:val="auto"/>
              </w:rPr>
            </w:pPr>
            <w:r>
              <w:rPr>
                <w:rFonts w:ascii="Arial" w:cs="Arial" w:eastAsia="Arial" w:hAnsi="Arial"/>
                <w:sz w:val="14"/>
                <w:szCs w:val="14"/>
                <w:b w:val="1"/>
                <w:bCs w:val="1"/>
                <w:color w:val="auto"/>
              </w:rPr>
              <w:t>8,853</w:t>
            </w:r>
          </w:p>
        </w:tc>
        <w:tc>
          <w:tcPr>
            <w:tcW w:w="100" w:type="dxa"/>
            <w:vAlign w:val="bottom"/>
            <w:shd w:val="clear" w:color="auto" w:fill="CCFFCC"/>
          </w:tcPr>
          <w:p>
            <w:pPr>
              <w:spacing w:after="0"/>
              <w:rPr>
                <w:sz w:val="14"/>
                <w:szCs w:val="14"/>
                <w:color w:val="auto"/>
              </w:rPr>
            </w:pPr>
          </w:p>
        </w:tc>
        <w:tc>
          <w:tcPr>
            <w:tcW w:w="1040" w:type="dxa"/>
            <w:vAlign w:val="bottom"/>
            <w:gridSpan w:val="2"/>
            <w:shd w:val="clear" w:color="auto" w:fill="CCFFCC"/>
          </w:tcPr>
          <w:p>
            <w:pPr>
              <w:jc w:val="right"/>
              <w:ind w:right="48"/>
              <w:spacing w:after="0"/>
              <w:rPr>
                <w:sz w:val="20"/>
                <w:szCs w:val="20"/>
                <w:color w:val="auto"/>
              </w:rPr>
            </w:pPr>
            <w:r>
              <w:rPr>
                <w:rFonts w:ascii="Arial" w:cs="Arial" w:eastAsia="Arial" w:hAnsi="Arial"/>
                <w:sz w:val="14"/>
                <w:szCs w:val="14"/>
                <w:color w:val="auto"/>
              </w:rPr>
              <w:t>-14.1%</w:t>
            </w:r>
          </w:p>
        </w:tc>
        <w:tc>
          <w:tcPr>
            <w:tcW w:w="12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900" w:type="dxa"/>
            <w:vAlign w:val="bottom"/>
            <w:gridSpan w:val="2"/>
            <w:shd w:val="clear" w:color="auto" w:fill="CCFFCC"/>
          </w:tcPr>
          <w:p>
            <w:pPr>
              <w:jc w:val="right"/>
              <w:ind w:right="68"/>
              <w:spacing w:after="0"/>
              <w:rPr>
                <w:sz w:val="20"/>
                <w:szCs w:val="20"/>
                <w:color w:val="auto"/>
              </w:rPr>
            </w:pPr>
            <w:r>
              <w:rPr>
                <w:rFonts w:ascii="Arial" w:cs="Arial" w:eastAsia="Arial" w:hAnsi="Arial"/>
                <w:sz w:val="14"/>
                <w:szCs w:val="14"/>
                <w:color w:val="auto"/>
              </w:rPr>
              <w:t>-8.3%</w:t>
            </w:r>
          </w:p>
        </w:tc>
        <w:tc>
          <w:tcPr>
            <w:tcW w:w="1140" w:type="dxa"/>
            <w:vAlign w:val="bottom"/>
            <w:gridSpan w:val="2"/>
            <w:shd w:val="clear" w:color="auto" w:fill="CCFFCC"/>
          </w:tcPr>
          <w:p>
            <w:pPr>
              <w:jc w:val="right"/>
              <w:ind w:right="188"/>
              <w:spacing w:after="0"/>
              <w:rPr>
                <w:sz w:val="20"/>
                <w:szCs w:val="20"/>
                <w:color w:val="auto"/>
              </w:rPr>
            </w:pPr>
            <w:r>
              <w:rPr>
                <w:rFonts w:ascii="Arial" w:cs="Arial" w:eastAsia="Arial" w:hAnsi="Arial"/>
                <w:sz w:val="14"/>
                <w:szCs w:val="14"/>
                <w:b w:val="1"/>
                <w:bCs w:val="1"/>
                <w:color w:val="auto"/>
              </w:rPr>
              <w:t>38,185</w:t>
            </w:r>
          </w:p>
        </w:tc>
        <w:tc>
          <w:tcPr>
            <w:tcW w:w="240" w:type="dxa"/>
            <w:vAlign w:val="bottom"/>
            <w:shd w:val="clear" w:color="auto" w:fill="CCFFCC"/>
          </w:tcPr>
          <w:p>
            <w:pPr>
              <w:spacing w:after="0"/>
              <w:rPr>
                <w:sz w:val="14"/>
                <w:szCs w:val="14"/>
                <w:color w:val="auto"/>
              </w:rPr>
            </w:pPr>
          </w:p>
        </w:tc>
        <w:tc>
          <w:tcPr>
            <w:tcW w:w="920" w:type="dxa"/>
            <w:vAlign w:val="bottom"/>
            <w:tcBorders>
              <w:right w:val="single" w:sz="8" w:color="CCFFCC"/>
            </w:tcBorders>
            <w:gridSpan w:val="2"/>
            <w:shd w:val="clear" w:color="auto" w:fill="CCFFCC"/>
          </w:tcPr>
          <w:p>
            <w:pPr>
              <w:jc w:val="right"/>
              <w:ind w:right="188"/>
              <w:spacing w:after="0"/>
              <w:rPr>
                <w:sz w:val="20"/>
                <w:szCs w:val="20"/>
                <w:color w:val="auto"/>
              </w:rPr>
            </w:pPr>
            <w:r>
              <w:rPr>
                <w:rFonts w:ascii="Arial" w:cs="Arial" w:eastAsia="Arial" w:hAnsi="Arial"/>
                <w:sz w:val="14"/>
                <w:szCs w:val="14"/>
                <w:b w:val="1"/>
                <w:bCs w:val="1"/>
                <w:color w:val="auto"/>
              </w:rPr>
              <w:t>32,396</w:t>
            </w: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17.9%</w:t>
            </w:r>
          </w:p>
        </w:tc>
        <w:tc>
          <w:tcPr>
            <w:tcW w:w="0" w:type="dxa"/>
            <w:vAlign w:val="bottom"/>
          </w:tcPr>
          <w:p>
            <w:pPr>
              <w:spacing w:after="0"/>
              <w:rPr>
                <w:sz w:val="1"/>
                <w:szCs w:val="1"/>
                <w:color w:val="auto"/>
              </w:rPr>
            </w:pPr>
          </w:p>
        </w:tc>
      </w:tr>
      <w:tr>
        <w:trPr>
          <w:trHeight w:val="142"/>
        </w:trPr>
        <w:tc>
          <w:tcPr>
            <w:tcW w:w="2320" w:type="dxa"/>
            <w:vAlign w:val="bottom"/>
            <w:tcBorders>
              <w:bottom w:val="single" w:sz="8" w:color="CCFFCC"/>
            </w:tcBorders>
            <w:gridSpan w:val="2"/>
          </w:tcPr>
          <w:p>
            <w:pPr>
              <w:spacing w:after="0" w:line="142" w:lineRule="exact"/>
              <w:rPr>
                <w:sz w:val="20"/>
                <w:szCs w:val="20"/>
                <w:color w:val="auto"/>
              </w:rPr>
            </w:pPr>
            <w:r>
              <w:rPr>
                <w:rFonts w:ascii="Arial" w:cs="Arial" w:eastAsia="Arial" w:hAnsi="Arial"/>
                <w:sz w:val="14"/>
                <w:szCs w:val="14"/>
                <w:b w:val="1"/>
                <w:bCs w:val="1"/>
                <w:color w:val="auto"/>
              </w:rPr>
              <w:t>ROAE (2)</w:t>
            </w: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23.0</w:t>
            </w:r>
          </w:p>
        </w:tc>
        <w:tc>
          <w:tcPr>
            <w:tcW w:w="260" w:type="dxa"/>
            <w:vAlign w:val="bottom"/>
            <w:tcBorders>
              <w:bottom w:val="single" w:sz="8" w:color="CCFFCC"/>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25.9</w:t>
            </w:r>
          </w:p>
        </w:tc>
        <w:tc>
          <w:tcPr>
            <w:tcW w:w="260" w:type="dxa"/>
            <w:vAlign w:val="bottom"/>
            <w:tcBorders>
              <w:bottom w:val="single" w:sz="8" w:color="CCFFCC"/>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23.2</w:t>
            </w:r>
          </w:p>
        </w:tc>
        <w:tc>
          <w:tcPr>
            <w:tcW w:w="260" w:type="dxa"/>
            <w:vAlign w:val="bottom"/>
            <w:tcBorders>
              <w:bottom w:val="single" w:sz="8" w:color="CCFFCC"/>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-2.9</w:t>
            </w:r>
          </w:p>
        </w:tc>
        <w:tc>
          <w:tcPr>
            <w:tcW w:w="240" w:type="dxa"/>
            <w:vAlign w:val="bottom"/>
            <w:tcBorders>
              <w:bottom w:val="single" w:sz="8" w:color="CCFFCC"/>
            </w:tcBorders>
          </w:tcPr>
          <w:p>
            <w:pPr>
              <w:jc w:val="right"/>
              <w:ind w:right="28"/>
              <w:spacing w:after="0" w:line="142" w:lineRule="exact"/>
              <w:rPr>
                <w:sz w:val="20"/>
                <w:szCs w:val="20"/>
                <w:color w:val="auto"/>
              </w:rPr>
            </w:pPr>
            <w:r>
              <w:rPr>
                <w:rFonts w:ascii="Arial" w:cs="Arial" w:eastAsia="Arial" w:hAnsi="Arial"/>
                <w:sz w:val="14"/>
                <w:szCs w:val="14"/>
                <w:b w:val="1"/>
                <w:bCs w:val="1"/>
                <w:color w:val="auto"/>
                <w:w w:val="96"/>
              </w:rPr>
              <w:t>%</w:t>
            </w:r>
          </w:p>
        </w:tc>
        <w:tc>
          <w:tcPr>
            <w:tcW w:w="1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-0.2</w:t>
            </w:r>
          </w:p>
        </w:tc>
        <w:tc>
          <w:tcPr>
            <w:tcW w:w="260" w:type="dxa"/>
            <w:vAlign w:val="bottom"/>
            <w:tcBorders>
              <w:bottom w:val="single" w:sz="8" w:color="CCFFCC"/>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27.1</w:t>
            </w:r>
          </w:p>
        </w:tc>
        <w:tc>
          <w:tcPr>
            <w:tcW w:w="260" w:type="dxa"/>
            <w:vAlign w:val="bottom"/>
            <w:tcBorders>
              <w:bottom w:val="single" w:sz="8" w:color="CCFFCC"/>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21.9</w:t>
            </w:r>
          </w:p>
        </w:tc>
        <w:tc>
          <w:tcPr>
            <w:tcW w:w="260" w:type="dxa"/>
            <w:vAlign w:val="bottom"/>
            <w:tcBorders>
              <w:bottom w:val="single" w:sz="8" w:color="CCFFCC"/>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5.2</w:t>
            </w:r>
          </w:p>
        </w:tc>
        <w:tc>
          <w:tcPr>
            <w:tcW w:w="140" w:type="dxa"/>
            <w:vAlign w:val="bottom"/>
            <w:tcBorders>
              <w:bottom w:val="single" w:sz="8" w:color="CCFFCC"/>
            </w:tcBorders>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42"/>
        </w:trPr>
        <w:tc>
          <w:tcPr>
            <w:tcW w:w="2320" w:type="dxa"/>
            <w:vAlign w:val="bottom"/>
            <w:gridSpan w:val="2"/>
            <w:shd w:val="clear" w:color="auto" w:fill="CCFFCC"/>
          </w:tcPr>
          <w:p>
            <w:pPr>
              <w:spacing w:after="0" w:line="142" w:lineRule="exact"/>
              <w:rPr>
                <w:sz w:val="20"/>
                <w:szCs w:val="20"/>
                <w:color w:val="auto"/>
              </w:rPr>
            </w:pPr>
            <w:r>
              <w:rPr>
                <w:rFonts w:ascii="Arial" w:cs="Arial" w:eastAsia="Arial" w:hAnsi="Arial"/>
                <w:sz w:val="14"/>
                <w:szCs w:val="14"/>
                <w:color w:val="auto"/>
              </w:rPr>
              <w:t>Total assets</w:t>
            </w:r>
          </w:p>
        </w:tc>
        <w:tc>
          <w:tcPr>
            <w:tcW w:w="10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310,821</w:t>
            </w:r>
          </w:p>
        </w:tc>
        <w:tc>
          <w:tcPr>
            <w:tcW w:w="2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282,699</w:t>
            </w:r>
          </w:p>
        </w:tc>
        <w:tc>
          <w:tcPr>
            <w:tcW w:w="2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270,242</w:t>
            </w:r>
          </w:p>
        </w:tc>
        <w:tc>
          <w:tcPr>
            <w:tcW w:w="2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48"/>
              <w:spacing w:after="0" w:line="142" w:lineRule="exact"/>
              <w:rPr>
                <w:sz w:val="20"/>
                <w:szCs w:val="20"/>
                <w:color w:val="auto"/>
              </w:rPr>
            </w:pPr>
            <w:r>
              <w:rPr>
                <w:rFonts w:ascii="Arial" w:cs="Arial" w:eastAsia="Arial" w:hAnsi="Arial"/>
                <w:sz w:val="14"/>
                <w:szCs w:val="14"/>
                <w:color w:val="auto"/>
              </w:rPr>
              <w:t>9.9%</w:t>
            </w:r>
          </w:p>
        </w:tc>
        <w:tc>
          <w:tcPr>
            <w:tcW w:w="1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rPr>
              <w:t>15.0%</w:t>
            </w:r>
          </w:p>
        </w:tc>
        <w:tc>
          <w:tcPr>
            <w:tcW w:w="8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60" w:type="dxa"/>
            <w:vAlign w:val="bottom"/>
            <w:tcBorders>
              <w:right w:val="single" w:sz="8" w:color="CCFFCC"/>
            </w:tcBorders>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gridSpan w:val="3"/>
          </w:tcPr>
          <w:p>
            <w:pPr>
              <w:spacing w:after="0" w:line="149" w:lineRule="exact"/>
              <w:rPr>
                <w:sz w:val="20"/>
                <w:szCs w:val="20"/>
                <w:color w:val="auto"/>
              </w:rPr>
            </w:pPr>
            <w:r>
              <w:rPr>
                <w:rFonts w:ascii="Arial" w:cs="Arial" w:eastAsia="Arial" w:hAnsi="Arial"/>
                <w:sz w:val="14"/>
                <w:szCs w:val="14"/>
                <w:color w:val="auto"/>
              </w:rPr>
              <w:t>Total liabilities</w:t>
            </w:r>
          </w:p>
        </w:tc>
        <w:tc>
          <w:tcPr>
            <w:tcW w:w="104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141,713</w:t>
            </w:r>
          </w:p>
        </w:tc>
        <w:tc>
          <w:tcPr>
            <w:tcW w:w="120" w:type="dxa"/>
            <w:vAlign w:val="bottom"/>
          </w:tcPr>
          <w:p>
            <w:pPr>
              <w:spacing w:after="0"/>
              <w:rPr>
                <w:sz w:val="12"/>
                <w:szCs w:val="12"/>
                <w:color w:val="auto"/>
              </w:rPr>
            </w:pPr>
          </w:p>
        </w:tc>
        <w:tc>
          <w:tcPr>
            <w:tcW w:w="104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97,295</w:t>
            </w:r>
          </w:p>
        </w:tc>
        <w:tc>
          <w:tcPr>
            <w:tcW w:w="100" w:type="dxa"/>
            <w:vAlign w:val="bottom"/>
          </w:tcPr>
          <w:p>
            <w:pPr>
              <w:spacing w:after="0"/>
              <w:rPr>
                <w:sz w:val="12"/>
                <w:szCs w:val="12"/>
                <w:color w:val="auto"/>
              </w:rPr>
            </w:pPr>
          </w:p>
        </w:tc>
        <w:tc>
          <w:tcPr>
            <w:tcW w:w="104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92,311</w:t>
            </w:r>
          </w:p>
        </w:tc>
        <w:tc>
          <w:tcPr>
            <w:tcW w:w="100" w:type="dxa"/>
            <w:vAlign w:val="bottom"/>
          </w:tcPr>
          <w:p>
            <w:pPr>
              <w:spacing w:after="0"/>
              <w:rPr>
                <w:sz w:val="12"/>
                <w:szCs w:val="12"/>
                <w:color w:val="auto"/>
              </w:rPr>
            </w:pP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45.7%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53.5%</w:t>
            </w: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42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Net shareholders' equity</w:t>
            </w:r>
          </w:p>
        </w:tc>
        <w:tc>
          <w:tcPr>
            <w:tcW w:w="1040" w:type="dxa"/>
            <w:vAlign w:val="bottom"/>
            <w:gridSpan w:val="2"/>
            <w:shd w:val="clear" w:color="auto" w:fill="CCFFCC"/>
          </w:tcPr>
          <w:p>
            <w:pPr>
              <w:jc w:val="right"/>
              <w:ind w:right="188"/>
              <w:spacing w:after="0"/>
              <w:rPr>
                <w:sz w:val="20"/>
                <w:szCs w:val="20"/>
                <w:color w:val="auto"/>
              </w:rPr>
            </w:pPr>
            <w:r>
              <w:rPr>
                <w:rFonts w:ascii="Arial" w:cs="Arial" w:eastAsia="Arial" w:hAnsi="Arial"/>
                <w:sz w:val="14"/>
                <w:szCs w:val="14"/>
                <w:color w:val="auto"/>
              </w:rPr>
              <w:t>169,108</w:t>
            </w:r>
          </w:p>
        </w:tc>
        <w:tc>
          <w:tcPr>
            <w:tcW w:w="120" w:type="dxa"/>
            <w:vAlign w:val="bottom"/>
            <w:shd w:val="clear" w:color="auto" w:fill="CCFFCC"/>
          </w:tcPr>
          <w:p>
            <w:pPr>
              <w:spacing w:after="0"/>
              <w:rPr>
                <w:sz w:val="14"/>
                <w:szCs w:val="14"/>
                <w:color w:val="auto"/>
              </w:rPr>
            </w:pPr>
          </w:p>
        </w:tc>
        <w:tc>
          <w:tcPr>
            <w:tcW w:w="1040" w:type="dxa"/>
            <w:vAlign w:val="bottom"/>
            <w:gridSpan w:val="2"/>
            <w:shd w:val="clear" w:color="auto" w:fill="CCFFCC"/>
          </w:tcPr>
          <w:p>
            <w:pPr>
              <w:jc w:val="right"/>
              <w:ind w:right="188"/>
              <w:spacing w:after="0"/>
              <w:rPr>
                <w:sz w:val="20"/>
                <w:szCs w:val="20"/>
                <w:color w:val="auto"/>
              </w:rPr>
            </w:pPr>
            <w:r>
              <w:rPr>
                <w:rFonts w:ascii="Arial" w:cs="Arial" w:eastAsia="Arial" w:hAnsi="Arial"/>
                <w:sz w:val="14"/>
                <w:szCs w:val="14"/>
                <w:color w:val="auto"/>
              </w:rPr>
              <w:t>185,403</w:t>
            </w:r>
          </w:p>
        </w:tc>
        <w:tc>
          <w:tcPr>
            <w:tcW w:w="100" w:type="dxa"/>
            <w:vAlign w:val="bottom"/>
            <w:shd w:val="clear" w:color="auto" w:fill="CCFFCC"/>
          </w:tcPr>
          <w:p>
            <w:pPr>
              <w:spacing w:after="0"/>
              <w:rPr>
                <w:sz w:val="14"/>
                <w:szCs w:val="14"/>
                <w:color w:val="auto"/>
              </w:rPr>
            </w:pPr>
          </w:p>
        </w:tc>
        <w:tc>
          <w:tcPr>
            <w:tcW w:w="1040" w:type="dxa"/>
            <w:vAlign w:val="bottom"/>
            <w:gridSpan w:val="2"/>
            <w:shd w:val="clear" w:color="auto" w:fill="CCFFCC"/>
          </w:tcPr>
          <w:p>
            <w:pPr>
              <w:jc w:val="right"/>
              <w:ind w:right="188"/>
              <w:spacing w:after="0"/>
              <w:rPr>
                <w:sz w:val="20"/>
                <w:szCs w:val="20"/>
                <w:color w:val="auto"/>
              </w:rPr>
            </w:pPr>
            <w:r>
              <w:rPr>
                <w:rFonts w:ascii="Arial" w:cs="Arial" w:eastAsia="Arial" w:hAnsi="Arial"/>
                <w:sz w:val="14"/>
                <w:szCs w:val="14"/>
                <w:color w:val="auto"/>
              </w:rPr>
              <w:t>177,931</w:t>
            </w:r>
          </w:p>
        </w:tc>
        <w:tc>
          <w:tcPr>
            <w:tcW w:w="100" w:type="dxa"/>
            <w:vAlign w:val="bottom"/>
            <w:shd w:val="clear" w:color="auto" w:fill="CCFFCC"/>
          </w:tcPr>
          <w:p>
            <w:pPr>
              <w:spacing w:after="0"/>
              <w:rPr>
                <w:sz w:val="14"/>
                <w:szCs w:val="14"/>
                <w:color w:val="auto"/>
              </w:rPr>
            </w:pPr>
          </w:p>
        </w:tc>
        <w:tc>
          <w:tcPr>
            <w:tcW w:w="1040" w:type="dxa"/>
            <w:vAlign w:val="bottom"/>
            <w:gridSpan w:val="2"/>
            <w:shd w:val="clear" w:color="auto" w:fill="CCFFCC"/>
          </w:tcPr>
          <w:p>
            <w:pPr>
              <w:jc w:val="right"/>
              <w:ind w:right="48"/>
              <w:spacing w:after="0"/>
              <w:rPr>
                <w:sz w:val="20"/>
                <w:szCs w:val="20"/>
                <w:color w:val="auto"/>
              </w:rPr>
            </w:pPr>
            <w:r>
              <w:rPr>
                <w:rFonts w:ascii="Arial" w:cs="Arial" w:eastAsia="Arial" w:hAnsi="Arial"/>
                <w:sz w:val="14"/>
                <w:szCs w:val="14"/>
                <w:color w:val="auto"/>
              </w:rPr>
              <w:t>-8.8%</w:t>
            </w:r>
          </w:p>
        </w:tc>
        <w:tc>
          <w:tcPr>
            <w:tcW w:w="12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900" w:type="dxa"/>
            <w:vAlign w:val="bottom"/>
            <w:gridSpan w:val="2"/>
            <w:shd w:val="clear" w:color="auto" w:fill="CCFFCC"/>
          </w:tcPr>
          <w:p>
            <w:pPr>
              <w:jc w:val="right"/>
              <w:ind w:right="68"/>
              <w:spacing w:after="0"/>
              <w:rPr>
                <w:sz w:val="20"/>
                <w:szCs w:val="20"/>
                <w:color w:val="auto"/>
              </w:rPr>
            </w:pPr>
            <w:r>
              <w:rPr>
                <w:rFonts w:ascii="Arial" w:cs="Arial" w:eastAsia="Arial" w:hAnsi="Arial"/>
                <w:sz w:val="14"/>
                <w:szCs w:val="14"/>
                <w:color w:val="auto"/>
              </w:rPr>
              <w:t>-5.0%</w:t>
            </w:r>
          </w:p>
        </w:tc>
        <w:tc>
          <w:tcPr>
            <w:tcW w:w="88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660" w:type="dxa"/>
            <w:vAlign w:val="bottom"/>
            <w:shd w:val="clear" w:color="auto" w:fill="CCFFCC"/>
          </w:tcPr>
          <w:p>
            <w:pPr>
              <w:spacing w:after="0"/>
              <w:rPr>
                <w:sz w:val="14"/>
                <w:szCs w:val="14"/>
                <w:color w:val="auto"/>
              </w:rPr>
            </w:pPr>
          </w:p>
        </w:tc>
        <w:tc>
          <w:tcPr>
            <w:tcW w:w="260" w:type="dxa"/>
            <w:vAlign w:val="bottom"/>
            <w:tcBorders>
              <w:right w:val="single" w:sz="8" w:color="CCFFCC"/>
            </w:tcBorders>
            <w:shd w:val="clear" w:color="auto" w:fill="CCFFCC"/>
          </w:tcPr>
          <w:p>
            <w:pPr>
              <w:spacing w:after="0"/>
              <w:rPr>
                <w:sz w:val="14"/>
                <w:szCs w:val="14"/>
                <w:color w:val="auto"/>
              </w:rPr>
            </w:pPr>
          </w:p>
        </w:tc>
        <w:tc>
          <w:tcPr>
            <w:tcW w:w="92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60" w:hanging="252"/>
        <w:spacing w:after="0"/>
        <w:tabs>
          <w:tab w:leader="none" w:pos="260"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IFRS.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The calculation of ROAE excludes the unrealized gains from Net shareholders´ equity.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Changes related to the Private Pension System Reform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Tenders: new affiliates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Given that Prima AFP was designated the winner of the assignment process, which took place on September 2012 (Ley 29903 – Law to Reform the Private Pension System and Resolución SBS N°6641-2012), a significant increase in the volume of new affiliations was reported.</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December 20, 2012, and in accordance with Ley 29903, the first auction (process to tender new affiliates) was conducted for new affiliates to the SPP and was awarded to a new participant in the system. According to the new rule, workers who join the Private Pension system between February 01, 2013 and January 31, 2015 will affiliate with the AFP that won the tender. Nevertheless, given that the AFP that won this process is a new player in the Peruvian market, it will need a few months to implement operations. As such, the law stipulates that Prima AFP will continue to affiliate new contributors until the new AFP is ready to begin operations. This will allow Prima AFP to temporarily continue to capture new affiliates, which increases its client base.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Commissions for funds under management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Another change established by the Law to Reform the SPP involves the scheme that the AFPs use to charge fund management fees. Prima AFP presented its new scheme of commissions at the end of December 2012:</w:t>
      </w:r>
    </w:p>
    <w:p>
      <w:pPr>
        <w:spacing w:after="0" w:line="170" w:lineRule="exact"/>
        <w:rPr>
          <w:sz w:val="20"/>
          <w:szCs w:val="20"/>
          <w:color w:val="auto"/>
        </w:rPr>
      </w:pPr>
    </w:p>
    <w:p>
      <w:pPr>
        <w:ind w:left="540" w:hanging="148"/>
        <w:spacing w:after="0"/>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Commission by flow: 1.60% applied to the affiliates’ monthly remuneration. This commission is currently in effect.</w:t>
      </w:r>
    </w:p>
    <w:p>
      <w:pPr>
        <w:spacing w:after="0" w:line="225" w:lineRule="exact"/>
        <w:rPr>
          <w:rFonts w:ascii="Arial" w:cs="Arial" w:eastAsia="Arial" w:hAnsi="Arial"/>
          <w:sz w:val="18"/>
          <w:szCs w:val="18"/>
          <w:color w:val="auto"/>
        </w:rPr>
      </w:pPr>
    </w:p>
    <w:p>
      <w:pPr>
        <w:ind w:left="640" w:hanging="248"/>
        <w:spacing w:after="0" w:line="308" w:lineRule="auto"/>
        <w:tabs>
          <w:tab w:leader="none" w:pos="613" w:val="left"/>
        </w:tabs>
        <w:numPr>
          <w:ilvl w:val="0"/>
          <w:numId w:val="31"/>
        </w:numPr>
        <w:rPr>
          <w:rFonts w:ascii="Arial" w:cs="Arial" w:eastAsia="Arial" w:hAnsi="Arial"/>
          <w:sz w:val="17"/>
          <w:szCs w:val="17"/>
          <w:color w:val="auto"/>
        </w:rPr>
      </w:pPr>
      <w:r>
        <w:rPr>
          <w:rFonts w:ascii="Arial" w:cs="Arial" w:eastAsia="Arial" w:hAnsi="Arial"/>
          <w:sz w:val="17"/>
          <w:szCs w:val="17"/>
          <w:color w:val="auto"/>
        </w:rPr>
        <w:t>Mixed commission: composed of 1.51% commission on the flow, which is applied to the affiliates’ monthly remuneration, plus a 1.90% annual commission, which is applied to the new balance generated as of February 2013 for new affiliates and April 2013 for current clients.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Current affiliates must choose between the commission on the flow and the mixed commission. The deadline for making this choice is March 31, 2013.</w:t>
      </w: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2" w:name="page43"/>
    <w:bookmarkEnd w:id="42"/>
    <w:p>
      <w:pPr>
        <w:spacing w:after="0" w:line="1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6254750</wp:posOffset>
            </wp:positionH>
            <wp:positionV relativeFrom="page">
              <wp:posOffset>568960</wp:posOffset>
            </wp:positionV>
            <wp:extent cx="1149350" cy="3175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VIII. Economic Outlook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Economic Activity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November, the economy grew 6.8% versus 6.7% the previous month. This result was due to the fact that the non-primary sectors such as construction, commerce and services remain dynamic, which is in line with strong internal demand. The manufacturing sector continued to post a gradual recovery. This was primarily due to the good performance of the non-primary segment, where capital goods and input production was in line with the dynamic pace of investment in other sectors. In light of the aforementioned, we estimate that growth in 2012 was 6.3% with a slight upward bias given the better-than-expected performance seen in the last few months.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terms of spending components, the dynamism in private investment was reflected in increasingly higher investment rates (15.9% in 3Q12) and stable household consumption (5.8%) in a context marked by growth in income and the favorable evolution of the expectations of economic agents. Public spending continued to expand but at a slower pace (11.9% versus 15.8% in 2Q12) due to a contraction in spending at the national government level and a deceleration in expenditure in sub-national governments.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line with the aforementioned, business expectations remained favorable in 4Q12 and registered significant levels of optimism, which were in turn attributable to the increase observed in private investment over the last few months. We expect to grow 6.3% (in terms of GDP) this year, given the dynamism seen in the non-primary sectors such as construction, commerce and services as well as the fact that different mining projects are underway in the country’s interior.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Gross Domestic Product and Internal Demand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(Annualized percentage variation)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2526665</wp:posOffset>
            </wp:positionH>
            <wp:positionV relativeFrom="paragraph">
              <wp:posOffset>142875</wp:posOffset>
            </wp:positionV>
            <wp:extent cx="2212340" cy="1783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212340" cy="1783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620"/>
        <w:spacing w:after="0"/>
        <w:rPr>
          <w:sz w:val="20"/>
          <w:szCs w:val="20"/>
          <w:color w:val="auto"/>
        </w:rPr>
      </w:pPr>
      <w:r>
        <w:rPr>
          <w:rFonts w:ascii="Arial" w:cs="Arial" w:eastAsia="Arial" w:hAnsi="Arial"/>
          <w:sz w:val="18"/>
          <w:szCs w:val="18"/>
          <w:i w:val="1"/>
          <w:iCs w:val="1"/>
          <w:color w:val="auto"/>
        </w:rPr>
        <w:t>Source: INEI, BCR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External Sector</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November, the trade balance was positive and reported a surplus of US$ 147 million after having posted a balance of US$ 68 million in Oct-12. Exports totaled US$ 3,741 million, which represented a 13.4% increase with regard to November 2011 and marked the highest annual rate posted since Mar-12. This recovery is due primarily to higher sales of traditional products (17.0%) and particularly noteworthy growth in mining product exports (13.4%), which posted the most significant expansion reported since Feb-12. Non-traditional exports grew 4.1% due to higher volumes products in agricultural and livestock, fishing, chemical and iron and steel segments.</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3" w:name="page44"/>
    <w:bookmarkEnd w:id="43"/>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6254750</wp:posOffset>
            </wp:positionH>
            <wp:positionV relativeFrom="page">
              <wp:posOffset>568960</wp:posOffset>
            </wp:positionV>
            <wp:extent cx="1149350" cy="3175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r>
    </w:p>
    <w:p>
      <w:pPr>
        <w:jc w:val="both"/>
        <w:spacing w:after="0" w:line="259" w:lineRule="auto"/>
        <w:rPr>
          <w:sz w:val="20"/>
          <w:szCs w:val="20"/>
          <w:color w:val="auto"/>
        </w:rPr>
      </w:pPr>
      <w:r>
        <w:rPr>
          <w:rFonts w:ascii="Arial" w:cs="Arial" w:eastAsia="Arial" w:hAnsi="Arial"/>
          <w:sz w:val="18"/>
          <w:szCs w:val="18"/>
          <w:color w:val="auto"/>
        </w:rPr>
        <w:t>Imports totaled US$ 3,594 million, which represents a 14.8% increase with regard to November 2011. The import volume grew 14.5% due to more purchases of durable consumer goods, industrial inputs and capital goods. Average prices rose 0.2% with a noteworthy increase in the prices for consumer and capital goods, which offset lower prices for inputs. In this context the accumulated trade balance for the last twelve months was US$ 4,940 million, which constituted the lowest level since Nov-09.</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accumulation of net international reserves (NIE) has continued due to BCR’s moves to purchase dollars in the exchange rate market. In this context, at the end of 2012, NIR totaled US$ 63,991 million. This figure topped that registered at the end of 2011 by US$ 15,175 million and surpassed 3Q12’s result by US$ 2,830 million. The increase in NIR posted during 4Q12 was due primarily to higher net purchases of foreign currency in the Trading Room for US$ 2,760 million; the US$ 240 million increase in deposits in the financial system; and higher yields on investment for a total of US$ 162 million.</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Exports and Imports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 month moving average annual % var.)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620"/>
        <w:spacing w:after="0"/>
        <w:rPr>
          <w:sz w:val="20"/>
          <w:szCs w:val="20"/>
          <w:color w:val="auto"/>
        </w:rPr>
      </w:pPr>
      <w:r>
        <w:rPr>
          <w:rFonts w:ascii="Arial" w:cs="Arial" w:eastAsia="Arial" w:hAnsi="Arial"/>
          <w:sz w:val="18"/>
          <w:szCs w:val="18"/>
          <w:i w:val="1"/>
          <w:iCs w:val="1"/>
          <w:color w:val="auto"/>
        </w:rPr>
        <w:t>Source: BCR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Prices and the Exchange Rate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Annual inflation in 2012 was situated at 2.65% and followed the downward trajectory observed at the end of 2011 (4.74%). This reduction was attributable to the reversals of supply shocks posted throughout the year that were due, to a large extent, to an upturn in prices for food and fuel, which began to subside in the last few months of the year. In this context, inflation at the end of 2012 converged with the BCR target range (2% +/- 1pp). The monetary authority currently expects inflation to converge at 2% by the end of 2013, which is slightly lower than our forecast (2.4%), in a context in which inflationary pressures remain moderate.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line with the aforementioned, the BCR is expected to maintain the current reference rate in 2013 given that inflation is below the target range, thanks to a reversal in temporary supply factors, and the fact that the economy’s pace of growth is close to fulfilling its potential. Nevertheless due to the uncertainty associated with the external sector, which has had an impact on the terms of exchange and growth in developed and emerging economies, the BCR has indicated that it will continue to watch these indicators to intervene if necessary.</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4" w:name="page45"/>
    <w:bookmarkEnd w:id="44"/>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6254750</wp:posOffset>
            </wp:positionH>
            <wp:positionV relativeFrom="page">
              <wp:posOffset>568960</wp:posOffset>
            </wp:positionV>
            <wp:extent cx="1149350" cy="3175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r>
    </w:p>
    <w:p>
      <w:pPr>
        <w:jc w:val="both"/>
        <w:spacing w:after="0" w:line="254" w:lineRule="auto"/>
        <w:rPr>
          <w:sz w:val="20"/>
          <w:szCs w:val="20"/>
          <w:color w:val="auto"/>
        </w:rPr>
      </w:pPr>
      <w:r>
        <w:rPr>
          <w:rFonts w:ascii="Arial" w:cs="Arial" w:eastAsia="Arial" w:hAnsi="Arial"/>
          <w:sz w:val="18"/>
          <w:szCs w:val="18"/>
          <w:color w:val="auto"/>
        </w:rPr>
        <w:t>The appreciatory trend in the exchange rate accentuated in 4Q12. This was in line with an expansion in foreign capital flows due the increase in liquidity that followed the main central banks’ announcement of monetary stimuli. In this context the exchange rate closed 2012 at S/. 2.55, which represents a yearly appreciation of 5.4%. The appreciation of the Nuevo Sol may continue and could even accentuate despite interventions by BCR, MEF and SBS. During the aforementioned period, BCR intervened in the exchange market to buy US$ 2,760 million. In September 2012, the BCR began to buy dollars not only when the Nuevo Sol appreciates but also when it falls to generate more volatility in the exchange market and as such more uncertainty regarding the trajectory of the Nuevo Sol. Nevertheless, some purchases at the beginning of 2013 exceeded the target range, which is between USD 20 million and 150 million. This indicates that the issuing entity is increasingly concerned about appreciation. In this context, our estimate for year-end is situated at S/.2.48 with a downward bias.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Consumer Price Index Exchange Rate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percentage variation)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Nuevos Soles</w:t>
      </w:r>
      <w:r>
        <w:rPr>
          <w:rFonts w:ascii="Arial" w:cs="Arial" w:eastAsia="Arial" w:hAnsi="Arial"/>
          <w:sz w:val="18"/>
          <w:szCs w:val="18"/>
          <w:color w:val="auto"/>
        </w:rPr>
        <w:t xml:space="preserve"> for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6414770" cy="17665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414770" cy="1766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 INEI, BCR.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Sector</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the end of November 2012, the non-financial public sector reported an economic surplus of S/. 19,203 million, which tops the figure posted in the same period of 2011 by S/. 2,645 million.</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general government’s accumulated current income at the end of November was S/. 103,722 million, which represents a real increase of 6.7% YoY and indicates that collections continue to expand. This result reflects growth in both tax revenues (6.8%) and non-tax revenues (6.3%). The behavior of tax revenues mainly reflects the evolution of income taxes, which grew 6.3% in the period beginning in January and ending in November. Growth in individual tax collections was particularly noteworthy (9.4%) and to a less extent, the increase in corporate collections (4.8%). The evolution of the latter was affected by lower revenues from companies in the mining sector (-18.7%) in a context in which prices for our mineral exports are lower. In contrast, income tax collections from companies in the following sectors have grown: services (16.9%), commerce (14.2%) and construction (15.9%), which is in line with the evolution of the local economy.</w:t>
      </w: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5" w:name="page46"/>
    <w:bookmarkEnd w:id="45"/>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6254750</wp:posOffset>
            </wp:positionH>
            <wp:positionV relativeFrom="page">
              <wp:posOffset>568960</wp:posOffset>
            </wp:positionV>
            <wp:extent cx="1149350" cy="3175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r>
    </w:p>
    <w:p>
      <w:pPr>
        <w:jc w:val="both"/>
        <w:spacing w:after="0" w:line="254" w:lineRule="auto"/>
        <w:rPr>
          <w:sz w:val="20"/>
          <w:szCs w:val="20"/>
          <w:color w:val="auto"/>
        </w:rPr>
      </w:pPr>
      <w:r>
        <w:rPr>
          <w:rFonts w:ascii="Arial" w:cs="Arial" w:eastAsia="Arial" w:hAnsi="Arial"/>
          <w:sz w:val="18"/>
          <w:szCs w:val="18"/>
          <w:color w:val="auto"/>
        </w:rPr>
        <w:t>In the period from January to November, the general government’s non-financial expenses (S/. 80,424 million) reported real growth of 7.0% due mainly to higher expenditure at the sub-national government level (local governments posted a 3.9% increase while regional governments weighed in with 18.0% growth). The increase seen in these governments’ expenditures contrasts with the 4.9% contraction in the national government’s non-financial spending. The highest expenditure at the regional and local government level corresponds to an increase in the procurement of goods and services (36.4% and 34.1%, respectively) and higher spending on investment projects (40.0% and 64.6% respectively). This is due to the fact that in 2011, spending execution was delayed by the change of government. As such, the comparative base is low. In contrast, lower expenditure at the national government level reflects a decrease in current transfers and particularly those destined for the Fuel Price Stabilization Fund (FEPC) after the majority of fuels were excluded from this fund’s eligibility scheme.</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Given this evolution and considering the higher seasonal expenditures reported in December, 2012 more than likely closed with a surplus of around 2.1% of GDP, which tops the 1.9% reported in 2011.</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Tax Income of the Central Government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(Annualized in </w:t>
      </w:r>
      <w:r>
        <w:rPr>
          <w:rFonts w:ascii="Arial" w:cs="Arial" w:eastAsia="Arial" w:hAnsi="Arial"/>
          <w:sz w:val="18"/>
          <w:szCs w:val="18"/>
          <w:i w:val="1"/>
          <w:iCs w:val="1"/>
          <w:color w:val="auto"/>
        </w:rPr>
        <w:t>Nuevos Soles</w:t>
      </w:r>
      <w:r>
        <w:rPr>
          <w:rFonts w:ascii="Arial" w:cs="Arial" w:eastAsia="Arial" w:hAnsi="Arial"/>
          <w:sz w:val="18"/>
          <w:szCs w:val="18"/>
          <w:color w:val="auto"/>
        </w:rPr>
        <w:t xml:space="preserve">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142875</wp:posOffset>
            </wp:positionV>
            <wp:extent cx="2152650" cy="18611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152650" cy="1861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920"/>
        <w:spacing w:after="0"/>
        <w:rPr>
          <w:sz w:val="20"/>
          <w:szCs w:val="20"/>
          <w:color w:val="auto"/>
        </w:rPr>
      </w:pPr>
      <w:r>
        <w:rPr>
          <w:rFonts w:ascii="Arial" w:cs="Arial" w:eastAsia="Arial" w:hAnsi="Arial"/>
          <w:sz w:val="18"/>
          <w:szCs w:val="18"/>
          <w:i w:val="1"/>
          <w:iCs w:val="1"/>
          <w:color w:val="auto"/>
        </w:rPr>
        <w:t>Source: Sunat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Sector</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At the end of the month of November, loans by the financial entities authorized to capture deposits expanded at an annual rate of 16.6%, which is similar to the figure posted the previous month (16.5%). This advance was due to growth in corporate loans (16.0% versus 15.5% in October) and mortgage loans (25.9% versus 25.6% in October). In this context the dollarization coefficient of total loans was 44.6%, which indicates little variation since Aug-12. By loan type, the level of dollarization in corporate loans reached 54.7% (54.7% in October and 46.8% in mortgage loans (47.4% in July) while dollarization in consumer loans held steady at 10.1%. As part of the regulatory measures to strengthen the financial system (and reduce exchange rate risk in particular), the Superintendence of Banking, Insurance and AFPs passed new rules. Some of the most noteworthy changes included: more capital requirements on loans granted for more than 3 years as well as higher requirements to cover exchange risk on loans denominated in dollars.</w:t>
      </w:r>
    </w:p>
    <w:p>
      <w:pPr>
        <w:spacing w:after="0" w:line="3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6" w:name="page47"/>
    <w:bookmarkEnd w:id="46"/>
    <w:p>
      <w:pPr>
        <w:spacing w:after="0" w:line="1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6254750</wp:posOffset>
            </wp:positionH>
            <wp:positionV relativeFrom="page">
              <wp:posOffset>568960</wp:posOffset>
            </wp:positionV>
            <wp:extent cx="1149350" cy="3175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Main Economic Indicators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60" w:type="dxa"/>
            <w:vAlign w:val="bottom"/>
          </w:tcPr>
          <w:p>
            <w:pPr>
              <w:spacing w:after="0"/>
              <w:rPr>
                <w:sz w:val="13"/>
                <w:szCs w:val="13"/>
                <w:color w:val="auto"/>
              </w:rPr>
            </w:pPr>
          </w:p>
        </w:tc>
        <w:tc>
          <w:tcPr>
            <w:tcW w:w="800" w:type="dxa"/>
            <w:vAlign w:val="bottom"/>
          </w:tcPr>
          <w:p>
            <w:pPr>
              <w:jc w:val="right"/>
              <w:ind w:right="217"/>
              <w:spacing w:after="0"/>
              <w:rPr>
                <w:sz w:val="20"/>
                <w:szCs w:val="20"/>
                <w:color w:val="auto"/>
              </w:rPr>
            </w:pPr>
            <w:r>
              <w:rPr>
                <w:rFonts w:ascii="Arial" w:cs="Arial" w:eastAsia="Arial" w:hAnsi="Arial"/>
                <w:sz w:val="13"/>
                <w:szCs w:val="13"/>
                <w:b w:val="1"/>
                <w:bCs w:val="1"/>
                <w:color w:val="auto"/>
              </w:rPr>
              <w:t>2010</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237"/>
              <w:spacing w:after="0"/>
              <w:rPr>
                <w:sz w:val="20"/>
                <w:szCs w:val="20"/>
                <w:color w:val="auto"/>
              </w:rPr>
            </w:pPr>
            <w:r>
              <w:rPr>
                <w:rFonts w:ascii="Arial" w:cs="Arial" w:eastAsia="Arial" w:hAnsi="Arial"/>
                <w:sz w:val="13"/>
                <w:szCs w:val="13"/>
                <w:b w:val="1"/>
                <w:bCs w:val="1"/>
                <w:color w:val="auto"/>
              </w:rPr>
              <w:t>2011</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right"/>
              <w:ind w:right="217"/>
              <w:spacing w:after="0"/>
              <w:rPr>
                <w:sz w:val="20"/>
                <w:szCs w:val="20"/>
                <w:color w:val="auto"/>
              </w:rPr>
            </w:pPr>
            <w:r>
              <w:rPr>
                <w:rFonts w:ascii="Arial" w:cs="Arial" w:eastAsia="Arial" w:hAnsi="Arial"/>
                <w:sz w:val="13"/>
                <w:szCs w:val="13"/>
                <w:b w:val="1"/>
                <w:bCs w:val="1"/>
                <w:color w:val="auto"/>
              </w:rPr>
              <w:t>2012</w:t>
            </w: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3"/>
        </w:trPr>
        <w:tc>
          <w:tcPr>
            <w:tcW w:w="4360" w:type="dxa"/>
            <w:vAlign w:val="bottom"/>
          </w:tcPr>
          <w:p>
            <w:pPr>
              <w:spacing w:after="0"/>
              <w:rPr>
                <w:sz w:val="13"/>
                <w:szCs w:val="13"/>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Year</w:t>
            </w:r>
          </w:p>
        </w:tc>
        <w:tc>
          <w:tcPr>
            <w:tcW w:w="104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IIIQ</w:t>
            </w:r>
          </w:p>
        </w:tc>
        <w:tc>
          <w:tcPr>
            <w:tcW w:w="106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IVQ</w:t>
            </w:r>
          </w:p>
        </w:tc>
        <w:tc>
          <w:tcPr>
            <w:tcW w:w="1000" w:type="dxa"/>
            <w:vAlign w:val="bottom"/>
            <w:gridSpan w:val="2"/>
          </w:tcPr>
          <w:p>
            <w:pPr>
              <w:ind w:left="260"/>
              <w:spacing w:after="0"/>
              <w:rPr>
                <w:sz w:val="20"/>
                <w:szCs w:val="20"/>
                <w:color w:val="auto"/>
              </w:rPr>
            </w:pPr>
            <w:r>
              <w:rPr>
                <w:rFonts w:ascii="Arial" w:cs="Arial" w:eastAsia="Arial" w:hAnsi="Arial"/>
                <w:sz w:val="13"/>
                <w:szCs w:val="13"/>
                <w:b w:val="1"/>
                <w:bCs w:val="1"/>
                <w:color w:val="auto"/>
              </w:rPr>
              <w:t>Year</w:t>
            </w:r>
          </w:p>
        </w:tc>
        <w:tc>
          <w:tcPr>
            <w:tcW w:w="1000" w:type="dxa"/>
            <w:vAlign w:val="bottom"/>
            <w:gridSpan w:val="2"/>
          </w:tcPr>
          <w:p>
            <w:pPr>
              <w:ind w:left="320"/>
              <w:spacing w:after="0"/>
              <w:rPr>
                <w:sz w:val="20"/>
                <w:szCs w:val="20"/>
                <w:color w:val="auto"/>
              </w:rPr>
            </w:pPr>
            <w:r>
              <w:rPr>
                <w:rFonts w:ascii="Arial" w:cs="Arial" w:eastAsia="Arial" w:hAnsi="Arial"/>
                <w:sz w:val="13"/>
                <w:szCs w:val="13"/>
                <w:b w:val="1"/>
                <w:bCs w:val="1"/>
                <w:color w:val="auto"/>
              </w:rPr>
              <w:t>IQ</w:t>
            </w:r>
          </w:p>
        </w:tc>
        <w:tc>
          <w:tcPr>
            <w:tcW w:w="1000" w:type="dxa"/>
            <w:vAlign w:val="bottom"/>
            <w:gridSpan w:val="2"/>
          </w:tcPr>
          <w:p>
            <w:pPr>
              <w:ind w:left="300"/>
              <w:spacing w:after="0"/>
              <w:rPr>
                <w:sz w:val="20"/>
                <w:szCs w:val="20"/>
                <w:color w:val="auto"/>
              </w:rPr>
            </w:pPr>
            <w:r>
              <w:rPr>
                <w:rFonts w:ascii="Arial" w:cs="Arial" w:eastAsia="Arial" w:hAnsi="Arial"/>
                <w:sz w:val="13"/>
                <w:szCs w:val="13"/>
                <w:b w:val="1"/>
                <w:bCs w:val="1"/>
                <w:color w:val="auto"/>
              </w:rPr>
              <w:t>IIQ</w:t>
            </w:r>
          </w:p>
        </w:tc>
        <w:tc>
          <w:tcPr>
            <w:tcW w:w="900" w:type="dxa"/>
            <w:vAlign w:val="bottom"/>
            <w:gridSpan w:val="2"/>
          </w:tcPr>
          <w:p>
            <w:pPr>
              <w:ind w:left="280"/>
              <w:spacing w:after="0"/>
              <w:rPr>
                <w:sz w:val="20"/>
                <w:szCs w:val="20"/>
                <w:color w:val="auto"/>
              </w:rPr>
            </w:pPr>
            <w:r>
              <w:rPr>
                <w:rFonts w:ascii="Arial" w:cs="Arial" w:eastAsia="Arial" w:hAnsi="Arial"/>
                <w:sz w:val="13"/>
                <w:szCs w:val="13"/>
                <w:b w:val="1"/>
                <w:bCs w:val="1"/>
                <w:color w:val="auto"/>
              </w:rPr>
              <w:t>IIIQ</w:t>
            </w:r>
          </w:p>
        </w:tc>
      </w:tr>
      <w:tr>
        <w:trPr>
          <w:trHeight w:val="129"/>
        </w:trPr>
        <w:tc>
          <w:tcPr>
            <w:tcW w:w="4360" w:type="dxa"/>
            <w:vAlign w:val="bottom"/>
            <w:tcBorders>
              <w:top w:val="single" w:sz="8" w:color="CCFFCC"/>
            </w:tcBorders>
            <w:shd w:val="clear" w:color="auto" w:fill="CCFFCC"/>
          </w:tcPr>
          <w:p>
            <w:pPr>
              <w:spacing w:after="0" w:line="129" w:lineRule="exact"/>
              <w:rPr>
                <w:sz w:val="20"/>
                <w:szCs w:val="20"/>
                <w:color w:val="auto"/>
              </w:rPr>
            </w:pPr>
            <w:r>
              <w:rPr>
                <w:rFonts w:ascii="Arial" w:cs="Arial" w:eastAsia="Arial" w:hAnsi="Arial"/>
                <w:sz w:val="13"/>
                <w:szCs w:val="13"/>
                <w:color w:val="auto"/>
              </w:rPr>
              <w:t>GDP (US$ MM)</w:t>
            </w:r>
          </w:p>
        </w:tc>
        <w:tc>
          <w:tcPr>
            <w:tcW w:w="800" w:type="dxa"/>
            <w:vAlign w:val="bottom"/>
            <w:tcBorders>
              <w:top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b w:val="1"/>
                <w:bCs w:val="1"/>
                <w:color w:val="auto"/>
              </w:rPr>
              <w:t>153,964</w:t>
            </w:r>
          </w:p>
        </w:tc>
        <w:tc>
          <w:tcPr>
            <w:tcW w:w="260" w:type="dxa"/>
            <w:vAlign w:val="bottom"/>
            <w:tcBorders>
              <w:top w:val="single" w:sz="8" w:color="CCFFCC"/>
            </w:tcBorders>
            <w:shd w:val="clear" w:color="auto" w:fill="CCFFCC"/>
          </w:tcPr>
          <w:p>
            <w:pPr>
              <w:spacing w:after="0"/>
              <w:rPr>
                <w:sz w:val="11"/>
                <w:szCs w:val="11"/>
                <w:color w:val="auto"/>
              </w:rPr>
            </w:pPr>
          </w:p>
        </w:tc>
        <w:tc>
          <w:tcPr>
            <w:tcW w:w="800" w:type="dxa"/>
            <w:vAlign w:val="bottom"/>
            <w:tcBorders>
              <w:top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44,819</w:t>
            </w:r>
          </w:p>
        </w:tc>
        <w:tc>
          <w:tcPr>
            <w:tcW w:w="240" w:type="dxa"/>
            <w:vAlign w:val="bottom"/>
            <w:tcBorders>
              <w:top w:val="single" w:sz="8" w:color="CCFFCC"/>
            </w:tcBorders>
            <w:shd w:val="clear" w:color="auto" w:fill="CCFFCC"/>
          </w:tcPr>
          <w:p>
            <w:pPr>
              <w:spacing w:after="0"/>
              <w:rPr>
                <w:sz w:val="11"/>
                <w:szCs w:val="11"/>
                <w:color w:val="auto"/>
              </w:rPr>
            </w:pPr>
          </w:p>
        </w:tc>
        <w:tc>
          <w:tcPr>
            <w:tcW w:w="820" w:type="dxa"/>
            <w:vAlign w:val="bottom"/>
            <w:tcBorders>
              <w:top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46,321</w:t>
            </w:r>
          </w:p>
        </w:tc>
        <w:tc>
          <w:tcPr>
            <w:tcW w:w="240" w:type="dxa"/>
            <w:vAlign w:val="bottom"/>
            <w:tcBorders>
              <w:top w:val="single" w:sz="8" w:color="CCFFCC"/>
            </w:tcBorders>
            <w:shd w:val="clear" w:color="auto" w:fill="CCFFCC"/>
          </w:tcPr>
          <w:p>
            <w:pPr>
              <w:spacing w:after="0"/>
              <w:rPr>
                <w:sz w:val="11"/>
                <w:szCs w:val="11"/>
                <w:color w:val="auto"/>
              </w:rPr>
            </w:pPr>
          </w:p>
        </w:tc>
        <w:tc>
          <w:tcPr>
            <w:tcW w:w="800" w:type="dxa"/>
            <w:vAlign w:val="bottom"/>
            <w:tcBorders>
              <w:top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b w:val="1"/>
                <w:bCs w:val="1"/>
                <w:color w:val="auto"/>
              </w:rPr>
              <w:t>176,761</w:t>
            </w:r>
          </w:p>
        </w:tc>
        <w:tc>
          <w:tcPr>
            <w:tcW w:w="200" w:type="dxa"/>
            <w:vAlign w:val="bottom"/>
            <w:tcBorders>
              <w:top w:val="single" w:sz="8" w:color="CCFFCC"/>
            </w:tcBorders>
            <w:shd w:val="clear" w:color="auto" w:fill="CCFFCC"/>
          </w:tcPr>
          <w:p>
            <w:pPr>
              <w:spacing w:after="0"/>
              <w:rPr>
                <w:sz w:val="11"/>
                <w:szCs w:val="11"/>
                <w:color w:val="auto"/>
              </w:rPr>
            </w:pPr>
          </w:p>
        </w:tc>
        <w:tc>
          <w:tcPr>
            <w:tcW w:w="800" w:type="dxa"/>
            <w:vAlign w:val="bottom"/>
            <w:tcBorders>
              <w:top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46,761</w:t>
            </w:r>
          </w:p>
        </w:tc>
        <w:tc>
          <w:tcPr>
            <w:tcW w:w="200" w:type="dxa"/>
            <w:vAlign w:val="bottom"/>
            <w:tcBorders>
              <w:top w:val="single" w:sz="8" w:color="CCFFCC"/>
            </w:tcBorders>
            <w:shd w:val="clear" w:color="auto" w:fill="CCFFCC"/>
          </w:tcPr>
          <w:p>
            <w:pPr>
              <w:spacing w:after="0"/>
              <w:rPr>
                <w:sz w:val="11"/>
                <w:szCs w:val="11"/>
                <w:color w:val="auto"/>
              </w:rPr>
            </w:pPr>
          </w:p>
        </w:tc>
        <w:tc>
          <w:tcPr>
            <w:tcW w:w="800" w:type="dxa"/>
            <w:vAlign w:val="bottom"/>
            <w:tcBorders>
              <w:top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50,259</w:t>
            </w:r>
          </w:p>
        </w:tc>
        <w:tc>
          <w:tcPr>
            <w:tcW w:w="200" w:type="dxa"/>
            <w:vAlign w:val="bottom"/>
            <w:tcBorders>
              <w:top w:val="single" w:sz="8" w:color="CCFFCC"/>
            </w:tcBorders>
            <w:shd w:val="clear" w:color="auto" w:fill="CCFFCC"/>
          </w:tcPr>
          <w:p>
            <w:pPr>
              <w:spacing w:after="0"/>
              <w:rPr>
                <w:sz w:val="11"/>
                <w:szCs w:val="11"/>
                <w:color w:val="auto"/>
              </w:rPr>
            </w:pPr>
          </w:p>
        </w:tc>
        <w:tc>
          <w:tcPr>
            <w:tcW w:w="800" w:type="dxa"/>
            <w:vAlign w:val="bottom"/>
            <w:tcBorders>
              <w:top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49,748</w:t>
            </w:r>
          </w:p>
        </w:tc>
        <w:tc>
          <w:tcPr>
            <w:tcW w:w="100" w:type="dxa"/>
            <w:vAlign w:val="bottom"/>
            <w:tcBorders>
              <w:top w:val="single" w:sz="8" w:color="CCFFCC"/>
            </w:tcBorders>
            <w:shd w:val="clear" w:color="auto" w:fill="CCFFCC"/>
          </w:tcPr>
          <w:p>
            <w:pPr>
              <w:spacing w:after="0"/>
              <w:rPr>
                <w:sz w:val="11"/>
                <w:szCs w:val="11"/>
                <w:color w:val="auto"/>
              </w:rPr>
            </w:pPr>
          </w:p>
        </w:tc>
      </w:tr>
      <w:tr>
        <w:trPr>
          <w:trHeight w:val="135"/>
        </w:trPr>
        <w:tc>
          <w:tcPr>
            <w:tcW w:w="4360" w:type="dxa"/>
            <w:vAlign w:val="bottom"/>
          </w:tcPr>
          <w:p>
            <w:pPr>
              <w:spacing w:after="0" w:line="135" w:lineRule="exact"/>
              <w:rPr>
                <w:sz w:val="20"/>
                <w:szCs w:val="20"/>
                <w:color w:val="auto"/>
              </w:rPr>
            </w:pPr>
            <w:r>
              <w:rPr>
                <w:rFonts w:ascii="Arial" w:cs="Arial" w:eastAsia="Arial" w:hAnsi="Arial"/>
                <w:sz w:val="13"/>
                <w:szCs w:val="13"/>
                <w:color w:val="auto"/>
              </w:rPr>
              <w:t>Real GDP (var. %)</w:t>
            </w:r>
          </w:p>
        </w:tc>
        <w:tc>
          <w:tcPr>
            <w:tcW w:w="1060" w:type="dxa"/>
            <w:vAlign w:val="bottom"/>
            <w:gridSpan w:val="2"/>
          </w:tcPr>
          <w:p>
            <w:pPr>
              <w:jc w:val="right"/>
              <w:ind w:right="260"/>
              <w:spacing w:after="0" w:line="135" w:lineRule="exact"/>
              <w:rPr>
                <w:sz w:val="20"/>
                <w:szCs w:val="20"/>
                <w:color w:val="auto"/>
              </w:rPr>
            </w:pPr>
            <w:r>
              <w:rPr>
                <w:rFonts w:ascii="Arial" w:cs="Arial" w:eastAsia="Arial" w:hAnsi="Arial"/>
                <w:sz w:val="13"/>
                <w:szCs w:val="13"/>
                <w:b w:val="1"/>
                <w:bCs w:val="1"/>
                <w:color w:val="auto"/>
              </w:rPr>
              <w:t>8.8</w:t>
            </w: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6.7</w:t>
            </w:r>
          </w:p>
        </w:tc>
        <w:tc>
          <w:tcPr>
            <w:tcW w:w="10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5.5</w:t>
            </w:r>
          </w:p>
        </w:tc>
        <w:tc>
          <w:tcPr>
            <w:tcW w:w="100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auto"/>
              </w:rPr>
              <w:t>6.9</w:t>
            </w:r>
          </w:p>
        </w:tc>
        <w:tc>
          <w:tcPr>
            <w:tcW w:w="10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6.0</w:t>
            </w:r>
          </w:p>
        </w:tc>
        <w:tc>
          <w:tcPr>
            <w:tcW w:w="10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6.3</w:t>
            </w: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6.5</w:t>
            </w:r>
          </w:p>
        </w:tc>
      </w:tr>
      <w:tr>
        <w:trPr>
          <w:trHeight w:val="135"/>
        </w:trPr>
        <w:tc>
          <w:tcPr>
            <w:tcW w:w="436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GDP per-capita (US$)</w:t>
            </w:r>
          </w:p>
        </w:tc>
        <w:tc>
          <w:tcPr>
            <w:tcW w:w="1060" w:type="dxa"/>
            <w:vAlign w:val="bottom"/>
            <w:gridSpan w:val="2"/>
            <w:shd w:val="clear" w:color="auto" w:fill="CCFFCC"/>
          </w:tcPr>
          <w:p>
            <w:pPr>
              <w:jc w:val="right"/>
              <w:ind w:right="260"/>
              <w:spacing w:after="0" w:line="135" w:lineRule="exact"/>
              <w:rPr>
                <w:sz w:val="20"/>
                <w:szCs w:val="20"/>
                <w:color w:val="auto"/>
              </w:rPr>
            </w:pPr>
            <w:r>
              <w:rPr>
                <w:rFonts w:ascii="Arial" w:cs="Arial" w:eastAsia="Arial" w:hAnsi="Arial"/>
                <w:sz w:val="13"/>
                <w:szCs w:val="13"/>
                <w:b w:val="1"/>
                <w:bCs w:val="1"/>
                <w:color w:val="auto"/>
              </w:rPr>
              <w:t>5,101</w:t>
            </w:r>
          </w:p>
        </w:tc>
        <w:tc>
          <w:tcPr>
            <w:tcW w:w="10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5,707</w:t>
            </w:r>
          </w:p>
        </w:tc>
        <w:tc>
          <w:tcPr>
            <w:tcW w:w="106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5,846</w:t>
            </w:r>
          </w:p>
        </w:tc>
        <w:tc>
          <w:tcPr>
            <w:tcW w:w="100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b w:val="1"/>
                <w:bCs w:val="1"/>
                <w:color w:val="auto"/>
              </w:rPr>
              <w:t>5,650</w:t>
            </w:r>
          </w:p>
        </w:tc>
        <w:tc>
          <w:tcPr>
            <w:tcW w:w="100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5,849</w:t>
            </w:r>
          </w:p>
        </w:tc>
        <w:tc>
          <w:tcPr>
            <w:tcW w:w="100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6,230</w:t>
            </w:r>
          </w:p>
        </w:tc>
        <w:tc>
          <w:tcPr>
            <w:tcW w:w="90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6,112</w:t>
            </w:r>
          </w:p>
        </w:tc>
      </w:tr>
      <w:tr>
        <w:trPr>
          <w:trHeight w:val="135"/>
        </w:trPr>
        <w:tc>
          <w:tcPr>
            <w:tcW w:w="4360" w:type="dxa"/>
            <w:vAlign w:val="bottom"/>
          </w:tcPr>
          <w:p>
            <w:pPr>
              <w:ind w:left="180"/>
              <w:spacing w:after="0" w:line="135" w:lineRule="exact"/>
              <w:rPr>
                <w:sz w:val="20"/>
                <w:szCs w:val="20"/>
                <w:color w:val="auto"/>
              </w:rPr>
            </w:pPr>
            <w:r>
              <w:rPr>
                <w:rFonts w:ascii="Arial" w:cs="Arial" w:eastAsia="Arial" w:hAnsi="Arial"/>
                <w:sz w:val="13"/>
                <w:szCs w:val="13"/>
                <w:color w:val="auto"/>
              </w:rPr>
              <w:t>Domestic demand (var. %)</w:t>
            </w:r>
          </w:p>
        </w:tc>
        <w:tc>
          <w:tcPr>
            <w:tcW w:w="1060" w:type="dxa"/>
            <w:vAlign w:val="bottom"/>
            <w:gridSpan w:val="2"/>
          </w:tcPr>
          <w:p>
            <w:pPr>
              <w:jc w:val="right"/>
              <w:ind w:right="260"/>
              <w:spacing w:after="0" w:line="135" w:lineRule="exact"/>
              <w:rPr>
                <w:sz w:val="20"/>
                <w:szCs w:val="20"/>
                <w:color w:val="auto"/>
              </w:rPr>
            </w:pPr>
            <w:r>
              <w:rPr>
                <w:rFonts w:ascii="Arial" w:cs="Arial" w:eastAsia="Arial" w:hAnsi="Arial"/>
                <w:sz w:val="13"/>
                <w:szCs w:val="13"/>
                <w:b w:val="1"/>
                <w:bCs w:val="1"/>
                <w:color w:val="auto"/>
              </w:rPr>
              <w:t>13.1</w:t>
            </w: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5.5</w:t>
            </w:r>
          </w:p>
        </w:tc>
        <w:tc>
          <w:tcPr>
            <w:tcW w:w="10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5.2</w:t>
            </w:r>
          </w:p>
        </w:tc>
        <w:tc>
          <w:tcPr>
            <w:tcW w:w="100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auto"/>
              </w:rPr>
              <w:t>7.2</w:t>
            </w:r>
          </w:p>
        </w:tc>
        <w:tc>
          <w:tcPr>
            <w:tcW w:w="10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5.0</w:t>
            </w:r>
          </w:p>
        </w:tc>
        <w:tc>
          <w:tcPr>
            <w:tcW w:w="10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7.4</w:t>
            </w: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9.9</w:t>
            </w:r>
          </w:p>
        </w:tc>
      </w:tr>
      <w:tr>
        <w:trPr>
          <w:trHeight w:val="135"/>
        </w:trPr>
        <w:tc>
          <w:tcPr>
            <w:tcW w:w="436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Consumption (var. %)</w:t>
            </w:r>
          </w:p>
        </w:tc>
        <w:tc>
          <w:tcPr>
            <w:tcW w:w="1060" w:type="dxa"/>
            <w:vAlign w:val="bottom"/>
            <w:gridSpan w:val="2"/>
            <w:shd w:val="clear" w:color="auto" w:fill="CCFFCC"/>
          </w:tcPr>
          <w:p>
            <w:pPr>
              <w:jc w:val="right"/>
              <w:ind w:right="260"/>
              <w:spacing w:after="0" w:line="135" w:lineRule="exact"/>
              <w:rPr>
                <w:sz w:val="20"/>
                <w:szCs w:val="20"/>
                <w:color w:val="auto"/>
              </w:rPr>
            </w:pPr>
            <w:r>
              <w:rPr>
                <w:rFonts w:ascii="Arial" w:cs="Arial" w:eastAsia="Arial" w:hAnsi="Arial"/>
                <w:sz w:val="13"/>
                <w:szCs w:val="13"/>
                <w:b w:val="1"/>
                <w:bCs w:val="1"/>
                <w:color w:val="auto"/>
              </w:rPr>
              <w:t>6.0</w:t>
            </w:r>
          </w:p>
        </w:tc>
        <w:tc>
          <w:tcPr>
            <w:tcW w:w="10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6.3</w:t>
            </w:r>
          </w:p>
        </w:tc>
        <w:tc>
          <w:tcPr>
            <w:tcW w:w="106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6.4</w:t>
            </w:r>
          </w:p>
        </w:tc>
        <w:tc>
          <w:tcPr>
            <w:tcW w:w="100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b w:val="1"/>
                <w:bCs w:val="1"/>
                <w:color w:val="auto"/>
              </w:rPr>
              <w:t>6.4</w:t>
            </w:r>
          </w:p>
        </w:tc>
        <w:tc>
          <w:tcPr>
            <w:tcW w:w="100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6.0</w:t>
            </w:r>
          </w:p>
        </w:tc>
        <w:tc>
          <w:tcPr>
            <w:tcW w:w="100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5.8</w:t>
            </w:r>
          </w:p>
        </w:tc>
        <w:tc>
          <w:tcPr>
            <w:tcW w:w="90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5.8</w:t>
            </w:r>
          </w:p>
        </w:tc>
      </w:tr>
      <w:tr>
        <w:trPr>
          <w:trHeight w:val="135"/>
        </w:trPr>
        <w:tc>
          <w:tcPr>
            <w:tcW w:w="4360" w:type="dxa"/>
            <w:vAlign w:val="bottom"/>
          </w:tcPr>
          <w:p>
            <w:pPr>
              <w:ind w:left="180"/>
              <w:spacing w:after="0" w:line="135" w:lineRule="exact"/>
              <w:rPr>
                <w:sz w:val="20"/>
                <w:szCs w:val="20"/>
                <w:color w:val="auto"/>
              </w:rPr>
            </w:pPr>
            <w:r>
              <w:rPr>
                <w:rFonts w:ascii="Arial" w:cs="Arial" w:eastAsia="Arial" w:hAnsi="Arial"/>
                <w:sz w:val="13"/>
                <w:szCs w:val="13"/>
                <w:color w:val="auto"/>
              </w:rPr>
              <w:t>Private Investment (var. %)</w:t>
            </w:r>
          </w:p>
        </w:tc>
        <w:tc>
          <w:tcPr>
            <w:tcW w:w="1060" w:type="dxa"/>
            <w:vAlign w:val="bottom"/>
            <w:gridSpan w:val="2"/>
          </w:tcPr>
          <w:p>
            <w:pPr>
              <w:jc w:val="right"/>
              <w:ind w:right="260"/>
              <w:spacing w:after="0" w:line="135" w:lineRule="exact"/>
              <w:rPr>
                <w:sz w:val="20"/>
                <w:szCs w:val="20"/>
                <w:color w:val="auto"/>
              </w:rPr>
            </w:pPr>
            <w:r>
              <w:rPr>
                <w:rFonts w:ascii="Arial" w:cs="Arial" w:eastAsia="Arial" w:hAnsi="Arial"/>
                <w:sz w:val="13"/>
                <w:szCs w:val="13"/>
                <w:b w:val="1"/>
                <w:bCs w:val="1"/>
                <w:color w:val="auto"/>
              </w:rPr>
              <w:t>23.2</w:t>
            </w: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1.3</w:t>
            </w:r>
          </w:p>
        </w:tc>
        <w:tc>
          <w:tcPr>
            <w:tcW w:w="10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3.3</w:t>
            </w:r>
          </w:p>
        </w:tc>
        <w:tc>
          <w:tcPr>
            <w:tcW w:w="100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auto"/>
              </w:rPr>
              <w:t>5.1</w:t>
            </w:r>
          </w:p>
        </w:tc>
        <w:tc>
          <w:tcPr>
            <w:tcW w:w="10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17.4</w:t>
            </w:r>
          </w:p>
        </w:tc>
        <w:tc>
          <w:tcPr>
            <w:tcW w:w="10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15.7</w:t>
            </w: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17.0</w:t>
            </w:r>
          </w:p>
        </w:tc>
      </w:tr>
      <w:tr>
        <w:trPr>
          <w:trHeight w:val="135"/>
        </w:trPr>
        <w:tc>
          <w:tcPr>
            <w:tcW w:w="436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CPI (annual change, %)</w:t>
            </w:r>
          </w:p>
        </w:tc>
        <w:tc>
          <w:tcPr>
            <w:tcW w:w="1060" w:type="dxa"/>
            <w:vAlign w:val="bottom"/>
            <w:gridSpan w:val="2"/>
            <w:shd w:val="clear" w:color="auto" w:fill="CCFFCC"/>
          </w:tcPr>
          <w:p>
            <w:pPr>
              <w:jc w:val="right"/>
              <w:ind w:right="260"/>
              <w:spacing w:after="0" w:line="135" w:lineRule="exact"/>
              <w:rPr>
                <w:sz w:val="20"/>
                <w:szCs w:val="20"/>
                <w:color w:val="auto"/>
              </w:rPr>
            </w:pPr>
            <w:r>
              <w:rPr>
                <w:rFonts w:ascii="Arial" w:cs="Arial" w:eastAsia="Arial" w:hAnsi="Arial"/>
                <w:sz w:val="13"/>
                <w:szCs w:val="13"/>
                <w:b w:val="1"/>
                <w:bCs w:val="1"/>
                <w:color w:val="auto"/>
              </w:rPr>
              <w:t>2.1</w:t>
            </w:r>
          </w:p>
        </w:tc>
        <w:tc>
          <w:tcPr>
            <w:tcW w:w="10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3.7</w:t>
            </w:r>
          </w:p>
        </w:tc>
        <w:tc>
          <w:tcPr>
            <w:tcW w:w="106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4.7</w:t>
            </w:r>
          </w:p>
        </w:tc>
        <w:tc>
          <w:tcPr>
            <w:tcW w:w="100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b w:val="1"/>
                <w:bCs w:val="1"/>
                <w:color w:val="auto"/>
              </w:rPr>
              <w:t>4.7</w:t>
            </w:r>
          </w:p>
        </w:tc>
        <w:tc>
          <w:tcPr>
            <w:tcW w:w="100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4.23</w:t>
            </w:r>
          </w:p>
        </w:tc>
        <w:tc>
          <w:tcPr>
            <w:tcW w:w="100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4.00</w:t>
            </w:r>
          </w:p>
        </w:tc>
        <w:tc>
          <w:tcPr>
            <w:tcW w:w="90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3.74</w:t>
            </w:r>
          </w:p>
        </w:tc>
      </w:tr>
      <w:tr>
        <w:trPr>
          <w:trHeight w:val="135"/>
        </w:trPr>
        <w:tc>
          <w:tcPr>
            <w:tcW w:w="4360" w:type="dxa"/>
            <w:vAlign w:val="bottom"/>
          </w:tcPr>
          <w:p>
            <w:pPr>
              <w:spacing w:after="0" w:line="135" w:lineRule="exact"/>
              <w:rPr>
                <w:sz w:val="20"/>
                <w:szCs w:val="20"/>
                <w:color w:val="auto"/>
              </w:rPr>
            </w:pPr>
            <w:r>
              <w:rPr>
                <w:rFonts w:ascii="Arial" w:cs="Arial" w:eastAsia="Arial" w:hAnsi="Arial"/>
                <w:sz w:val="13"/>
                <w:szCs w:val="13"/>
                <w:color w:val="auto"/>
              </w:rPr>
              <w:t>Exchange rate, eop (S/. per US$)</w:t>
            </w:r>
          </w:p>
        </w:tc>
        <w:tc>
          <w:tcPr>
            <w:tcW w:w="1060" w:type="dxa"/>
            <w:vAlign w:val="bottom"/>
            <w:gridSpan w:val="2"/>
          </w:tcPr>
          <w:p>
            <w:pPr>
              <w:jc w:val="right"/>
              <w:ind w:right="260"/>
              <w:spacing w:after="0" w:line="135" w:lineRule="exact"/>
              <w:rPr>
                <w:sz w:val="20"/>
                <w:szCs w:val="20"/>
                <w:color w:val="auto"/>
              </w:rPr>
            </w:pPr>
            <w:r>
              <w:rPr>
                <w:rFonts w:ascii="Arial" w:cs="Arial" w:eastAsia="Arial" w:hAnsi="Arial"/>
                <w:sz w:val="13"/>
                <w:szCs w:val="13"/>
                <w:b w:val="1"/>
                <w:bCs w:val="1"/>
                <w:color w:val="auto"/>
              </w:rPr>
              <w:t>2.82</w:t>
            </w: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2.74</w:t>
            </w:r>
          </w:p>
        </w:tc>
        <w:tc>
          <w:tcPr>
            <w:tcW w:w="10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2.70</w:t>
            </w:r>
          </w:p>
        </w:tc>
        <w:tc>
          <w:tcPr>
            <w:tcW w:w="100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auto"/>
              </w:rPr>
              <w:t>2.70</w:t>
            </w:r>
          </w:p>
        </w:tc>
        <w:tc>
          <w:tcPr>
            <w:tcW w:w="10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2.67</w:t>
            </w:r>
          </w:p>
        </w:tc>
        <w:tc>
          <w:tcPr>
            <w:tcW w:w="10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2.67</w:t>
            </w: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2.60</w:t>
            </w:r>
          </w:p>
        </w:tc>
      </w:tr>
      <w:tr>
        <w:trPr>
          <w:trHeight w:val="135"/>
        </w:trPr>
        <w:tc>
          <w:tcPr>
            <w:tcW w:w="436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Devaluation (annual change, %)</w:t>
            </w:r>
          </w:p>
        </w:tc>
        <w:tc>
          <w:tcPr>
            <w:tcW w:w="8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-2.4</w:t>
            </w:r>
          </w:p>
        </w:tc>
        <w:tc>
          <w:tcPr>
            <w:tcW w:w="260" w:type="dxa"/>
            <w:vAlign w:val="bottom"/>
            <w:shd w:val="clear" w:color="auto" w:fill="CCFFCC"/>
          </w:tcPr>
          <w:p>
            <w:pPr>
              <w:spacing w:after="0"/>
              <w:rPr>
                <w:sz w:val="11"/>
                <w:szCs w:val="11"/>
                <w:color w:val="auto"/>
              </w:rPr>
            </w:pPr>
          </w:p>
        </w:tc>
        <w:tc>
          <w:tcPr>
            <w:tcW w:w="8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-1.6</w:t>
            </w:r>
          </w:p>
        </w:tc>
        <w:tc>
          <w:tcPr>
            <w:tcW w:w="240" w:type="dxa"/>
            <w:vAlign w:val="bottom"/>
            <w:shd w:val="clear" w:color="auto" w:fill="CCFFCC"/>
          </w:tcPr>
          <w:p>
            <w:pPr>
              <w:spacing w:after="0"/>
              <w:rPr>
                <w:sz w:val="11"/>
                <w:szCs w:val="11"/>
                <w:color w:val="auto"/>
              </w:rPr>
            </w:pPr>
          </w:p>
        </w:tc>
        <w:tc>
          <w:tcPr>
            <w:tcW w:w="82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-4.4</w:t>
            </w:r>
          </w:p>
        </w:tc>
        <w:tc>
          <w:tcPr>
            <w:tcW w:w="240" w:type="dxa"/>
            <w:vAlign w:val="bottom"/>
            <w:shd w:val="clear" w:color="auto" w:fill="CCFFCC"/>
          </w:tcPr>
          <w:p>
            <w:pPr>
              <w:spacing w:after="0"/>
              <w:rPr>
                <w:sz w:val="11"/>
                <w:szCs w:val="11"/>
                <w:color w:val="auto"/>
              </w:rPr>
            </w:pPr>
          </w:p>
        </w:tc>
        <w:tc>
          <w:tcPr>
            <w:tcW w:w="100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b w:val="1"/>
                <w:bCs w:val="1"/>
                <w:color w:val="auto"/>
              </w:rPr>
              <w:t>-4.4</w:t>
            </w:r>
          </w:p>
        </w:tc>
        <w:tc>
          <w:tcPr>
            <w:tcW w:w="100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-4.01</w:t>
            </w:r>
          </w:p>
        </w:tc>
        <w:tc>
          <w:tcPr>
            <w:tcW w:w="100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-3.3</w:t>
            </w:r>
          </w:p>
        </w:tc>
        <w:tc>
          <w:tcPr>
            <w:tcW w:w="90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-5.32</w:t>
            </w:r>
          </w:p>
        </w:tc>
      </w:tr>
      <w:tr>
        <w:trPr>
          <w:trHeight w:val="135"/>
        </w:trPr>
        <w:tc>
          <w:tcPr>
            <w:tcW w:w="4360" w:type="dxa"/>
            <w:vAlign w:val="bottom"/>
          </w:tcPr>
          <w:p>
            <w:pPr>
              <w:spacing w:after="0" w:line="135" w:lineRule="exact"/>
              <w:rPr>
                <w:sz w:val="20"/>
                <w:szCs w:val="20"/>
                <w:color w:val="auto"/>
              </w:rPr>
            </w:pPr>
            <w:r>
              <w:rPr>
                <w:rFonts w:ascii="Arial" w:cs="Arial" w:eastAsia="Arial" w:hAnsi="Arial"/>
                <w:sz w:val="13"/>
                <w:szCs w:val="13"/>
                <w:color w:val="auto"/>
              </w:rPr>
              <w:t>Exchange rate, average (S/. per US $)</w:t>
            </w:r>
          </w:p>
        </w:tc>
        <w:tc>
          <w:tcPr>
            <w:tcW w:w="1060" w:type="dxa"/>
            <w:vAlign w:val="bottom"/>
            <w:gridSpan w:val="2"/>
          </w:tcPr>
          <w:p>
            <w:pPr>
              <w:jc w:val="right"/>
              <w:ind w:right="260"/>
              <w:spacing w:after="0" w:line="135" w:lineRule="exact"/>
              <w:rPr>
                <w:sz w:val="20"/>
                <w:szCs w:val="20"/>
                <w:color w:val="auto"/>
              </w:rPr>
            </w:pPr>
            <w:r>
              <w:rPr>
                <w:rFonts w:ascii="Arial" w:cs="Arial" w:eastAsia="Arial" w:hAnsi="Arial"/>
                <w:sz w:val="13"/>
                <w:szCs w:val="13"/>
                <w:b w:val="1"/>
                <w:bCs w:val="1"/>
                <w:color w:val="auto"/>
              </w:rPr>
              <w:t>2.83</w:t>
            </w: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2.74</w:t>
            </w:r>
          </w:p>
        </w:tc>
        <w:tc>
          <w:tcPr>
            <w:tcW w:w="10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2.71</w:t>
            </w:r>
          </w:p>
        </w:tc>
        <w:tc>
          <w:tcPr>
            <w:tcW w:w="100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auto"/>
              </w:rPr>
              <w:t>2.75</w:t>
            </w:r>
          </w:p>
        </w:tc>
        <w:tc>
          <w:tcPr>
            <w:tcW w:w="10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2.67</w:t>
            </w:r>
          </w:p>
        </w:tc>
        <w:tc>
          <w:tcPr>
            <w:tcW w:w="10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2.67</w:t>
            </w: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2.60</w:t>
            </w:r>
          </w:p>
        </w:tc>
      </w:tr>
      <w:tr>
        <w:trPr>
          <w:trHeight w:val="135"/>
        </w:trPr>
        <w:tc>
          <w:tcPr>
            <w:tcW w:w="436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Non-Financial Public Sector (% of GDP)</w:t>
            </w:r>
          </w:p>
        </w:tc>
        <w:tc>
          <w:tcPr>
            <w:tcW w:w="8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-0.3</w:t>
            </w:r>
          </w:p>
        </w:tc>
        <w:tc>
          <w:tcPr>
            <w:tcW w:w="260" w:type="dxa"/>
            <w:vAlign w:val="bottom"/>
            <w:shd w:val="clear" w:color="auto" w:fill="CCFFCC"/>
          </w:tcPr>
          <w:p>
            <w:pPr>
              <w:spacing w:after="0"/>
              <w:rPr>
                <w:sz w:val="11"/>
                <w:szCs w:val="11"/>
                <w:color w:val="auto"/>
              </w:rPr>
            </w:pPr>
          </w:p>
        </w:tc>
        <w:tc>
          <w:tcPr>
            <w:tcW w:w="10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1.3</w:t>
            </w:r>
          </w:p>
        </w:tc>
        <w:tc>
          <w:tcPr>
            <w:tcW w:w="82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-4.9</w:t>
            </w:r>
          </w:p>
        </w:tc>
        <w:tc>
          <w:tcPr>
            <w:tcW w:w="240" w:type="dxa"/>
            <w:vAlign w:val="bottom"/>
            <w:shd w:val="clear" w:color="auto" w:fill="CCFFCC"/>
          </w:tcPr>
          <w:p>
            <w:pPr>
              <w:spacing w:after="0"/>
              <w:rPr>
                <w:sz w:val="11"/>
                <w:szCs w:val="11"/>
                <w:color w:val="auto"/>
              </w:rPr>
            </w:pPr>
          </w:p>
        </w:tc>
        <w:tc>
          <w:tcPr>
            <w:tcW w:w="100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b w:val="1"/>
                <w:bCs w:val="1"/>
                <w:color w:val="auto"/>
              </w:rPr>
              <w:t>1.9</w:t>
            </w:r>
          </w:p>
        </w:tc>
        <w:tc>
          <w:tcPr>
            <w:tcW w:w="100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5.2</w:t>
            </w:r>
          </w:p>
        </w:tc>
        <w:tc>
          <w:tcPr>
            <w:tcW w:w="100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5.7</w:t>
            </w:r>
          </w:p>
        </w:tc>
        <w:tc>
          <w:tcPr>
            <w:tcW w:w="90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-2.1</w:t>
            </w:r>
          </w:p>
        </w:tc>
      </w:tr>
      <w:tr>
        <w:trPr>
          <w:trHeight w:val="135"/>
        </w:trPr>
        <w:tc>
          <w:tcPr>
            <w:tcW w:w="4360" w:type="dxa"/>
            <w:vAlign w:val="bottom"/>
          </w:tcPr>
          <w:p>
            <w:pPr>
              <w:ind w:left="180"/>
              <w:spacing w:after="0" w:line="135" w:lineRule="exact"/>
              <w:rPr>
                <w:sz w:val="20"/>
                <w:szCs w:val="20"/>
                <w:color w:val="auto"/>
              </w:rPr>
            </w:pPr>
            <w:r>
              <w:rPr>
                <w:rFonts w:ascii="Arial" w:cs="Arial" w:eastAsia="Arial" w:hAnsi="Arial"/>
                <w:sz w:val="13"/>
                <w:szCs w:val="13"/>
                <w:color w:val="auto"/>
              </w:rPr>
              <w:t>Central government current revenues (% of GDP)</w:t>
            </w:r>
          </w:p>
        </w:tc>
        <w:tc>
          <w:tcPr>
            <w:tcW w:w="1060" w:type="dxa"/>
            <w:vAlign w:val="bottom"/>
            <w:gridSpan w:val="2"/>
          </w:tcPr>
          <w:p>
            <w:pPr>
              <w:jc w:val="right"/>
              <w:ind w:right="260"/>
              <w:spacing w:after="0" w:line="135" w:lineRule="exact"/>
              <w:rPr>
                <w:sz w:val="20"/>
                <w:szCs w:val="20"/>
                <w:color w:val="auto"/>
              </w:rPr>
            </w:pPr>
            <w:r>
              <w:rPr>
                <w:rFonts w:ascii="Arial" w:cs="Arial" w:eastAsia="Arial" w:hAnsi="Arial"/>
                <w:sz w:val="13"/>
                <w:szCs w:val="13"/>
                <w:b w:val="1"/>
                <w:bCs w:val="1"/>
                <w:color w:val="auto"/>
              </w:rPr>
              <w:t>17.2</w:t>
            </w: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17.1</w:t>
            </w:r>
          </w:p>
        </w:tc>
        <w:tc>
          <w:tcPr>
            <w:tcW w:w="10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17.1</w:t>
            </w:r>
          </w:p>
        </w:tc>
        <w:tc>
          <w:tcPr>
            <w:tcW w:w="100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auto"/>
              </w:rPr>
              <w:t>18.1</w:t>
            </w:r>
          </w:p>
        </w:tc>
        <w:tc>
          <w:tcPr>
            <w:tcW w:w="10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19.2</w:t>
            </w:r>
          </w:p>
        </w:tc>
        <w:tc>
          <w:tcPr>
            <w:tcW w:w="10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19.6</w:t>
            </w: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17.6</w:t>
            </w:r>
          </w:p>
        </w:tc>
      </w:tr>
      <w:tr>
        <w:trPr>
          <w:trHeight w:val="135"/>
        </w:trPr>
        <w:tc>
          <w:tcPr>
            <w:tcW w:w="436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Tax Income (% of GDP)</w:t>
            </w:r>
          </w:p>
        </w:tc>
        <w:tc>
          <w:tcPr>
            <w:tcW w:w="1060" w:type="dxa"/>
            <w:vAlign w:val="bottom"/>
            <w:gridSpan w:val="2"/>
            <w:shd w:val="clear" w:color="auto" w:fill="CCFFCC"/>
          </w:tcPr>
          <w:p>
            <w:pPr>
              <w:jc w:val="right"/>
              <w:ind w:right="260"/>
              <w:spacing w:after="0" w:line="135" w:lineRule="exact"/>
              <w:rPr>
                <w:sz w:val="20"/>
                <w:szCs w:val="20"/>
                <w:color w:val="auto"/>
              </w:rPr>
            </w:pPr>
            <w:r>
              <w:rPr>
                <w:rFonts w:ascii="Arial" w:cs="Arial" w:eastAsia="Arial" w:hAnsi="Arial"/>
                <w:sz w:val="13"/>
                <w:szCs w:val="13"/>
                <w:b w:val="1"/>
                <w:bCs w:val="1"/>
                <w:color w:val="auto"/>
              </w:rPr>
              <w:t>14.8</w:t>
            </w:r>
          </w:p>
        </w:tc>
        <w:tc>
          <w:tcPr>
            <w:tcW w:w="10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14.6</w:t>
            </w:r>
          </w:p>
        </w:tc>
        <w:tc>
          <w:tcPr>
            <w:tcW w:w="106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14.8</w:t>
            </w:r>
          </w:p>
        </w:tc>
        <w:tc>
          <w:tcPr>
            <w:tcW w:w="100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b w:val="1"/>
                <w:bCs w:val="1"/>
                <w:color w:val="auto"/>
              </w:rPr>
              <w:t>15.5</w:t>
            </w:r>
          </w:p>
        </w:tc>
        <w:tc>
          <w:tcPr>
            <w:tcW w:w="100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16.6</w:t>
            </w:r>
          </w:p>
        </w:tc>
        <w:tc>
          <w:tcPr>
            <w:tcW w:w="100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16.5</w:t>
            </w:r>
          </w:p>
        </w:tc>
        <w:tc>
          <w:tcPr>
            <w:tcW w:w="90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15.3</w:t>
            </w:r>
          </w:p>
        </w:tc>
      </w:tr>
      <w:tr>
        <w:trPr>
          <w:trHeight w:val="135"/>
        </w:trPr>
        <w:tc>
          <w:tcPr>
            <w:tcW w:w="4360" w:type="dxa"/>
            <w:vAlign w:val="bottom"/>
          </w:tcPr>
          <w:p>
            <w:pPr>
              <w:ind w:left="180"/>
              <w:spacing w:after="0" w:line="135" w:lineRule="exact"/>
              <w:rPr>
                <w:sz w:val="20"/>
                <w:szCs w:val="20"/>
                <w:color w:val="auto"/>
              </w:rPr>
            </w:pPr>
            <w:r>
              <w:rPr>
                <w:rFonts w:ascii="Arial" w:cs="Arial" w:eastAsia="Arial" w:hAnsi="Arial"/>
                <w:sz w:val="13"/>
                <w:szCs w:val="13"/>
                <w:color w:val="auto"/>
              </w:rPr>
              <w:t>Non Tax Income (% of GDP)</w:t>
            </w:r>
          </w:p>
        </w:tc>
        <w:tc>
          <w:tcPr>
            <w:tcW w:w="1060" w:type="dxa"/>
            <w:vAlign w:val="bottom"/>
            <w:gridSpan w:val="2"/>
          </w:tcPr>
          <w:p>
            <w:pPr>
              <w:jc w:val="right"/>
              <w:ind w:right="260"/>
              <w:spacing w:after="0" w:line="135" w:lineRule="exact"/>
              <w:rPr>
                <w:sz w:val="20"/>
                <w:szCs w:val="20"/>
                <w:color w:val="auto"/>
              </w:rPr>
            </w:pPr>
            <w:r>
              <w:rPr>
                <w:rFonts w:ascii="Arial" w:cs="Arial" w:eastAsia="Arial" w:hAnsi="Arial"/>
                <w:sz w:val="13"/>
                <w:szCs w:val="13"/>
                <w:b w:val="1"/>
                <w:bCs w:val="1"/>
                <w:color w:val="auto"/>
              </w:rPr>
              <w:t>2.4</w:t>
            </w: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2.5</w:t>
            </w:r>
          </w:p>
        </w:tc>
        <w:tc>
          <w:tcPr>
            <w:tcW w:w="10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2.3</w:t>
            </w:r>
          </w:p>
        </w:tc>
        <w:tc>
          <w:tcPr>
            <w:tcW w:w="100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auto"/>
              </w:rPr>
              <w:t>2.6</w:t>
            </w:r>
          </w:p>
        </w:tc>
        <w:tc>
          <w:tcPr>
            <w:tcW w:w="10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2.5</w:t>
            </w:r>
          </w:p>
        </w:tc>
        <w:tc>
          <w:tcPr>
            <w:tcW w:w="10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3.1</w:t>
            </w: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2.3</w:t>
            </w:r>
          </w:p>
        </w:tc>
      </w:tr>
      <w:tr>
        <w:trPr>
          <w:trHeight w:val="135"/>
        </w:trPr>
        <w:tc>
          <w:tcPr>
            <w:tcW w:w="436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Current expenditures (% of GDP)</w:t>
            </w:r>
          </w:p>
        </w:tc>
        <w:tc>
          <w:tcPr>
            <w:tcW w:w="1060" w:type="dxa"/>
            <w:vAlign w:val="bottom"/>
            <w:gridSpan w:val="2"/>
            <w:shd w:val="clear" w:color="auto" w:fill="CCFFCC"/>
          </w:tcPr>
          <w:p>
            <w:pPr>
              <w:jc w:val="right"/>
              <w:ind w:right="260"/>
              <w:spacing w:after="0" w:line="135" w:lineRule="exact"/>
              <w:rPr>
                <w:sz w:val="20"/>
                <w:szCs w:val="20"/>
                <w:color w:val="auto"/>
              </w:rPr>
            </w:pPr>
            <w:r>
              <w:rPr>
                <w:rFonts w:ascii="Arial" w:cs="Arial" w:eastAsia="Arial" w:hAnsi="Arial"/>
                <w:sz w:val="13"/>
                <w:szCs w:val="13"/>
                <w:b w:val="1"/>
                <w:bCs w:val="1"/>
                <w:color w:val="auto"/>
              </w:rPr>
              <w:t>11.8</w:t>
            </w:r>
          </w:p>
        </w:tc>
        <w:tc>
          <w:tcPr>
            <w:tcW w:w="10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11.3</w:t>
            </w:r>
          </w:p>
        </w:tc>
        <w:tc>
          <w:tcPr>
            <w:tcW w:w="106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12.6</w:t>
            </w:r>
          </w:p>
        </w:tc>
        <w:tc>
          <w:tcPr>
            <w:tcW w:w="100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b w:val="1"/>
                <w:bCs w:val="1"/>
                <w:color w:val="auto"/>
              </w:rPr>
              <w:t>12.0</w:t>
            </w:r>
          </w:p>
        </w:tc>
        <w:tc>
          <w:tcPr>
            <w:tcW w:w="100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10.0</w:t>
            </w:r>
          </w:p>
        </w:tc>
        <w:tc>
          <w:tcPr>
            <w:tcW w:w="100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9.9</w:t>
            </w:r>
          </w:p>
        </w:tc>
        <w:tc>
          <w:tcPr>
            <w:tcW w:w="90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13.9</w:t>
            </w:r>
          </w:p>
        </w:tc>
      </w:tr>
      <w:tr>
        <w:trPr>
          <w:trHeight w:val="135"/>
        </w:trPr>
        <w:tc>
          <w:tcPr>
            <w:tcW w:w="4360" w:type="dxa"/>
            <w:vAlign w:val="bottom"/>
          </w:tcPr>
          <w:p>
            <w:pPr>
              <w:ind w:left="180"/>
              <w:spacing w:after="0" w:line="135" w:lineRule="exact"/>
              <w:rPr>
                <w:sz w:val="20"/>
                <w:szCs w:val="20"/>
                <w:color w:val="auto"/>
              </w:rPr>
            </w:pPr>
            <w:r>
              <w:rPr>
                <w:rFonts w:ascii="Arial" w:cs="Arial" w:eastAsia="Arial" w:hAnsi="Arial"/>
                <w:sz w:val="13"/>
                <w:szCs w:val="13"/>
                <w:color w:val="auto"/>
              </w:rPr>
              <w:t>Capital expenditures (% of GDP)</w:t>
            </w:r>
          </w:p>
        </w:tc>
        <w:tc>
          <w:tcPr>
            <w:tcW w:w="1060" w:type="dxa"/>
            <w:vAlign w:val="bottom"/>
            <w:gridSpan w:val="2"/>
          </w:tcPr>
          <w:p>
            <w:pPr>
              <w:jc w:val="right"/>
              <w:ind w:right="260"/>
              <w:spacing w:after="0" w:line="135" w:lineRule="exact"/>
              <w:rPr>
                <w:sz w:val="20"/>
                <w:szCs w:val="20"/>
                <w:color w:val="auto"/>
              </w:rPr>
            </w:pPr>
            <w:r>
              <w:rPr>
                <w:rFonts w:ascii="Arial" w:cs="Arial" w:eastAsia="Arial" w:hAnsi="Arial"/>
                <w:sz w:val="13"/>
                <w:szCs w:val="13"/>
                <w:b w:val="1"/>
                <w:bCs w:val="1"/>
                <w:color w:val="auto"/>
              </w:rPr>
              <w:t>6.4</w:t>
            </w: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4.6</w:t>
            </w:r>
          </w:p>
        </w:tc>
        <w:tc>
          <w:tcPr>
            <w:tcW w:w="10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9.0</w:t>
            </w:r>
          </w:p>
        </w:tc>
        <w:tc>
          <w:tcPr>
            <w:tcW w:w="100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auto"/>
              </w:rPr>
              <w:t>5.3</w:t>
            </w:r>
          </w:p>
        </w:tc>
        <w:tc>
          <w:tcPr>
            <w:tcW w:w="10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2.7</w:t>
            </w:r>
          </w:p>
        </w:tc>
        <w:tc>
          <w:tcPr>
            <w:tcW w:w="10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3.5</w:t>
            </w: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4.6</w:t>
            </w:r>
          </w:p>
        </w:tc>
      </w:tr>
      <w:tr>
        <w:trPr>
          <w:trHeight w:val="135"/>
        </w:trPr>
        <w:tc>
          <w:tcPr>
            <w:tcW w:w="436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Trade Balance (US$ MM)</w:t>
            </w:r>
          </w:p>
        </w:tc>
        <w:tc>
          <w:tcPr>
            <w:tcW w:w="1060" w:type="dxa"/>
            <w:vAlign w:val="bottom"/>
            <w:gridSpan w:val="2"/>
            <w:shd w:val="clear" w:color="auto" w:fill="CCFFCC"/>
          </w:tcPr>
          <w:p>
            <w:pPr>
              <w:jc w:val="right"/>
              <w:ind w:right="260"/>
              <w:spacing w:after="0" w:line="135" w:lineRule="exact"/>
              <w:rPr>
                <w:sz w:val="20"/>
                <w:szCs w:val="20"/>
                <w:color w:val="auto"/>
              </w:rPr>
            </w:pPr>
            <w:r>
              <w:rPr>
                <w:rFonts w:ascii="Arial" w:cs="Arial" w:eastAsia="Arial" w:hAnsi="Arial"/>
                <w:sz w:val="13"/>
                <w:szCs w:val="13"/>
                <w:b w:val="1"/>
                <w:bCs w:val="1"/>
                <w:color w:val="auto"/>
              </w:rPr>
              <w:t>6,750</w:t>
            </w:r>
          </w:p>
        </w:tc>
        <w:tc>
          <w:tcPr>
            <w:tcW w:w="10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3,210</w:t>
            </w:r>
          </w:p>
        </w:tc>
        <w:tc>
          <w:tcPr>
            <w:tcW w:w="106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2,004</w:t>
            </w:r>
          </w:p>
        </w:tc>
        <w:tc>
          <w:tcPr>
            <w:tcW w:w="100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b w:val="1"/>
                <w:bCs w:val="1"/>
                <w:color w:val="auto"/>
              </w:rPr>
              <w:t>9,302</w:t>
            </w:r>
          </w:p>
        </w:tc>
        <w:tc>
          <w:tcPr>
            <w:tcW w:w="100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2,402</w:t>
            </w:r>
          </w:p>
        </w:tc>
        <w:tc>
          <w:tcPr>
            <w:tcW w:w="100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554</w:t>
            </w:r>
          </w:p>
        </w:tc>
        <w:tc>
          <w:tcPr>
            <w:tcW w:w="90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300</w:t>
            </w:r>
          </w:p>
        </w:tc>
      </w:tr>
      <w:tr>
        <w:trPr>
          <w:trHeight w:val="135"/>
        </w:trPr>
        <w:tc>
          <w:tcPr>
            <w:tcW w:w="4360" w:type="dxa"/>
            <w:vAlign w:val="bottom"/>
          </w:tcPr>
          <w:p>
            <w:pPr>
              <w:ind w:left="180"/>
              <w:spacing w:after="0" w:line="135" w:lineRule="exact"/>
              <w:rPr>
                <w:sz w:val="20"/>
                <w:szCs w:val="20"/>
                <w:color w:val="auto"/>
              </w:rPr>
            </w:pPr>
            <w:r>
              <w:rPr>
                <w:rFonts w:ascii="Arial" w:cs="Arial" w:eastAsia="Arial" w:hAnsi="Arial"/>
                <w:sz w:val="13"/>
                <w:szCs w:val="13"/>
                <w:color w:val="auto"/>
              </w:rPr>
              <w:t>Exports (US$ MM)</w:t>
            </w:r>
          </w:p>
        </w:tc>
        <w:tc>
          <w:tcPr>
            <w:tcW w:w="1060" w:type="dxa"/>
            <w:vAlign w:val="bottom"/>
            <w:gridSpan w:val="2"/>
          </w:tcPr>
          <w:p>
            <w:pPr>
              <w:jc w:val="right"/>
              <w:ind w:right="260"/>
              <w:spacing w:after="0" w:line="135" w:lineRule="exact"/>
              <w:rPr>
                <w:sz w:val="20"/>
                <w:szCs w:val="20"/>
                <w:color w:val="auto"/>
              </w:rPr>
            </w:pPr>
            <w:r>
              <w:rPr>
                <w:rFonts w:ascii="Arial" w:cs="Arial" w:eastAsia="Arial" w:hAnsi="Arial"/>
                <w:sz w:val="13"/>
                <w:szCs w:val="13"/>
                <w:b w:val="1"/>
                <w:bCs w:val="1"/>
                <w:color w:val="auto"/>
              </w:rPr>
              <w:t>35,565</w:t>
            </w: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12,900</w:t>
            </w:r>
          </w:p>
        </w:tc>
        <w:tc>
          <w:tcPr>
            <w:tcW w:w="10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11,511</w:t>
            </w:r>
          </w:p>
        </w:tc>
        <w:tc>
          <w:tcPr>
            <w:tcW w:w="100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auto"/>
              </w:rPr>
              <w:t>46,268</w:t>
            </w:r>
          </w:p>
        </w:tc>
        <w:tc>
          <w:tcPr>
            <w:tcW w:w="10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11,973</w:t>
            </w:r>
          </w:p>
        </w:tc>
        <w:tc>
          <w:tcPr>
            <w:tcW w:w="10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10,554</w:t>
            </w: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11,312</w:t>
            </w:r>
          </w:p>
        </w:tc>
      </w:tr>
      <w:tr>
        <w:trPr>
          <w:trHeight w:val="135"/>
        </w:trPr>
        <w:tc>
          <w:tcPr>
            <w:tcW w:w="436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Imports (US$ MM)</w:t>
            </w:r>
          </w:p>
        </w:tc>
        <w:tc>
          <w:tcPr>
            <w:tcW w:w="1060" w:type="dxa"/>
            <w:vAlign w:val="bottom"/>
            <w:gridSpan w:val="2"/>
            <w:shd w:val="clear" w:color="auto" w:fill="CCFFCC"/>
          </w:tcPr>
          <w:p>
            <w:pPr>
              <w:jc w:val="right"/>
              <w:ind w:right="260"/>
              <w:spacing w:after="0" w:line="135" w:lineRule="exact"/>
              <w:rPr>
                <w:sz w:val="20"/>
                <w:szCs w:val="20"/>
                <w:color w:val="auto"/>
              </w:rPr>
            </w:pPr>
            <w:r>
              <w:rPr>
                <w:rFonts w:ascii="Arial" w:cs="Arial" w:eastAsia="Arial" w:hAnsi="Arial"/>
                <w:sz w:val="13"/>
                <w:szCs w:val="13"/>
                <w:b w:val="1"/>
                <w:bCs w:val="1"/>
                <w:color w:val="auto"/>
              </w:rPr>
              <w:t>28,815</w:t>
            </w:r>
          </w:p>
        </w:tc>
        <w:tc>
          <w:tcPr>
            <w:tcW w:w="10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9,690</w:t>
            </w:r>
          </w:p>
        </w:tc>
        <w:tc>
          <w:tcPr>
            <w:tcW w:w="106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9,507</w:t>
            </w:r>
          </w:p>
        </w:tc>
        <w:tc>
          <w:tcPr>
            <w:tcW w:w="100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b w:val="1"/>
                <w:bCs w:val="1"/>
                <w:color w:val="auto"/>
              </w:rPr>
              <w:t>36,967</w:t>
            </w:r>
          </w:p>
        </w:tc>
        <w:tc>
          <w:tcPr>
            <w:tcW w:w="100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9,572</w:t>
            </w:r>
          </w:p>
        </w:tc>
        <w:tc>
          <w:tcPr>
            <w:tcW w:w="100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10,001</w:t>
            </w:r>
          </w:p>
        </w:tc>
        <w:tc>
          <w:tcPr>
            <w:tcW w:w="90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11,013</w:t>
            </w:r>
          </w:p>
        </w:tc>
      </w:tr>
      <w:tr>
        <w:trPr>
          <w:trHeight w:val="135"/>
        </w:trPr>
        <w:tc>
          <w:tcPr>
            <w:tcW w:w="4360" w:type="dxa"/>
            <w:vAlign w:val="bottom"/>
          </w:tcPr>
          <w:p>
            <w:pPr>
              <w:spacing w:after="0" w:line="135" w:lineRule="exact"/>
              <w:rPr>
                <w:sz w:val="20"/>
                <w:szCs w:val="20"/>
                <w:color w:val="auto"/>
              </w:rPr>
            </w:pPr>
            <w:r>
              <w:rPr>
                <w:rFonts w:ascii="Arial" w:cs="Arial" w:eastAsia="Arial" w:hAnsi="Arial"/>
                <w:sz w:val="13"/>
                <w:szCs w:val="13"/>
                <w:color w:val="auto"/>
              </w:rPr>
              <w:t>Current Account Balance (US$ MM)</w:t>
            </w:r>
          </w:p>
        </w:tc>
        <w:tc>
          <w:tcPr>
            <w:tcW w:w="8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-2,625</w:t>
            </w:r>
          </w:p>
        </w:tc>
        <w:tc>
          <w:tcPr>
            <w:tcW w:w="26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49</w:t>
            </w:r>
          </w:p>
        </w:tc>
        <w:tc>
          <w:tcPr>
            <w:tcW w:w="240" w:type="dxa"/>
            <w:vAlign w:val="bottom"/>
          </w:tcPr>
          <w:p>
            <w:pPr>
              <w:spacing w:after="0"/>
              <w:rPr>
                <w:sz w:val="11"/>
                <w:szCs w:val="11"/>
                <w:color w:val="auto"/>
              </w:rPr>
            </w:pPr>
          </w:p>
        </w:tc>
        <w:tc>
          <w:tcPr>
            <w:tcW w:w="10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-794</w:t>
            </w:r>
          </w:p>
        </w:tc>
        <w:tc>
          <w:tcPr>
            <w:tcW w:w="100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auto"/>
              </w:rPr>
              <w:t>-3,341</w:t>
            </w:r>
          </w:p>
        </w:tc>
        <w:tc>
          <w:tcPr>
            <w:tcW w:w="10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-696</w:t>
            </w:r>
          </w:p>
        </w:tc>
        <w:tc>
          <w:tcPr>
            <w:tcW w:w="10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-1,941</w:t>
            </w: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-2,782</w:t>
            </w:r>
          </w:p>
        </w:tc>
      </w:tr>
      <w:tr>
        <w:trPr>
          <w:trHeight w:val="149"/>
        </w:trPr>
        <w:tc>
          <w:tcPr>
            <w:tcW w:w="4360" w:type="dxa"/>
            <w:vAlign w:val="bottom"/>
            <w:shd w:val="clear" w:color="auto" w:fill="CCFFCC"/>
          </w:tcPr>
          <w:p>
            <w:pPr>
              <w:ind w:left="180"/>
              <w:spacing w:after="0"/>
              <w:rPr>
                <w:sz w:val="20"/>
                <w:szCs w:val="20"/>
                <w:color w:val="auto"/>
              </w:rPr>
            </w:pPr>
            <w:r>
              <w:rPr>
                <w:rFonts w:ascii="Arial" w:cs="Arial" w:eastAsia="Arial" w:hAnsi="Arial"/>
                <w:sz w:val="13"/>
                <w:szCs w:val="13"/>
                <w:color w:val="auto"/>
              </w:rPr>
              <w:t>Current Account Balance (% of GDP)</w:t>
            </w:r>
          </w:p>
        </w:tc>
        <w:tc>
          <w:tcPr>
            <w:tcW w:w="800" w:type="dxa"/>
            <w:vAlign w:val="bottom"/>
            <w:shd w:val="clear" w:color="auto" w:fill="CCFFCC"/>
          </w:tcPr>
          <w:p>
            <w:pPr>
              <w:jc w:val="right"/>
              <w:spacing w:after="0"/>
              <w:rPr>
                <w:sz w:val="20"/>
                <w:szCs w:val="20"/>
                <w:color w:val="auto"/>
              </w:rPr>
            </w:pPr>
            <w:r>
              <w:rPr>
                <w:rFonts w:ascii="Arial" w:cs="Arial" w:eastAsia="Arial" w:hAnsi="Arial"/>
                <w:sz w:val="13"/>
                <w:szCs w:val="13"/>
                <w:b w:val="1"/>
                <w:bCs w:val="1"/>
                <w:color w:val="auto"/>
              </w:rPr>
              <w:t>-1.7</w:t>
            </w:r>
          </w:p>
        </w:tc>
        <w:tc>
          <w:tcPr>
            <w:tcW w:w="26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240"/>
              <w:spacing w:after="0"/>
              <w:rPr>
                <w:sz w:val="20"/>
                <w:szCs w:val="20"/>
                <w:color w:val="auto"/>
              </w:rPr>
            </w:pPr>
            <w:r>
              <w:rPr>
                <w:rFonts w:ascii="Arial" w:cs="Arial" w:eastAsia="Arial" w:hAnsi="Arial"/>
                <w:sz w:val="13"/>
                <w:szCs w:val="13"/>
                <w:color w:val="auto"/>
              </w:rPr>
              <w:t>0.9</w:t>
            </w:r>
          </w:p>
        </w:tc>
        <w:tc>
          <w:tcPr>
            <w:tcW w:w="820" w:type="dxa"/>
            <w:vAlign w:val="bottom"/>
            <w:shd w:val="clear" w:color="auto" w:fill="CCFFCC"/>
          </w:tcPr>
          <w:p>
            <w:pPr>
              <w:jc w:val="right"/>
              <w:spacing w:after="0"/>
              <w:rPr>
                <w:sz w:val="20"/>
                <w:szCs w:val="20"/>
                <w:color w:val="auto"/>
              </w:rPr>
            </w:pPr>
            <w:r>
              <w:rPr>
                <w:rFonts w:ascii="Arial" w:cs="Arial" w:eastAsia="Arial" w:hAnsi="Arial"/>
                <w:sz w:val="13"/>
                <w:szCs w:val="13"/>
                <w:color w:val="auto"/>
              </w:rPr>
              <w:t>-1.3</w:t>
            </w:r>
          </w:p>
        </w:tc>
        <w:tc>
          <w:tcPr>
            <w:tcW w:w="24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b w:val="1"/>
                <w:bCs w:val="1"/>
                <w:color w:val="auto"/>
              </w:rPr>
              <w:t>-1.3</w:t>
            </w: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-1.5</w:t>
            </w: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-3.9</w:t>
            </w: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-5.6</w:t>
            </w:r>
          </w:p>
        </w:tc>
      </w:tr>
      <w:tr>
        <w:trPr>
          <w:trHeight w:val="20"/>
        </w:trPr>
        <w:tc>
          <w:tcPr>
            <w:tcW w:w="43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t>Source: BCR, INEI, estimated by BCP.</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7" w:name="page48"/>
    <w:bookmarkEnd w:id="47"/>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6254750</wp:posOffset>
            </wp:positionH>
            <wp:positionV relativeFrom="page">
              <wp:posOffset>568960</wp:posOffset>
            </wp:positionV>
            <wp:extent cx="1149350" cy="3175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Company Description:</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Credicorp Ltd. (NYSE: BAP) is the leading financial services holding company in Peru. It primarily operates via its four principal Subsidiaries: Banco de Crédito del Peru (BCP), Atlantic Security Holding Corporation (ASHC), El Pacífico-Peruano Suiza Compañía de Seguros y Reaseguros (PPS) and Grupo Credito. Credicorp is engaged principally in commercial banking (including trade finance, corporate finance and leasing services), insurance (including commercial property, transportation and marine hull, automobile, life, health and pension fund underwriting insurance) and investment banking (including brokerage services, asset management, trust, custody and securitization services, trading and investment). BCP is the Company's primary subsidiary.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 Harbor for Forward-Looking Statements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material includes “forward-looking statements” within the meaning of Section 21E of the Securities Exchange Act of 1934. All statements other than statements of historical information provided herein are forward-looking and may contain information about financial results, economic conditions, trends and known uncertainties.</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cautions readers that actual results could differ materially from those expected by the Company, depending on the outcome of certain factors, including, without limitation: (1) adverse changes in the Peruvian economy with respect to the rates of inflation, economic growth, currency devaluation, and other factors, (2) adverse changes in the Peruvian political situation, including, without limitation, the reversal of market-oriented reforms and economic recovery measures, or the failure of such measures and reforms to achieve their goals, and (3) adverse changes in the markets in which the Company operates, including increased competition, decreased demand for financial services, and other factors. Readers are cautioned not to place undue reliance on these forward-looking statements, which speak only as of the date hereof.</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undertakes no obligation to release publicly the result of any revisions to these forward-looking statements which may be made to reflect events or circumstances after the date hereof, including, without limitation, changes in the Company’s business strategy or planned capital expenditures, or to reflect the occurrence of unanticipated events.</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8" w:name="page49"/>
    <w:bookmarkEnd w:id="48"/>
    <w:p>
      <w:pPr>
        <w:spacing w:after="0" w:line="1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6254750</wp:posOffset>
            </wp:positionH>
            <wp:positionV relativeFrom="page">
              <wp:posOffset>568960</wp:posOffset>
            </wp:positionV>
            <wp:extent cx="1149350" cy="3175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CREDICORP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thousands, IFRS)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As of</w:t>
            </w: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3"/>
          </w:tcPr>
          <w:p>
            <w:pPr>
              <w:ind w:left="820"/>
              <w:spacing w:after="0"/>
              <w:rPr>
                <w:sz w:val="20"/>
                <w:szCs w:val="20"/>
                <w:color w:val="auto"/>
              </w:rPr>
            </w:pPr>
            <w:r>
              <w:rPr>
                <w:rFonts w:ascii="Arial" w:cs="Arial" w:eastAsia="Arial" w:hAnsi="Arial"/>
                <w:sz w:val="14"/>
                <w:szCs w:val="14"/>
                <w:b w:val="1"/>
                <w:bCs w:val="1"/>
                <w:color w:val="auto"/>
              </w:rPr>
              <w:t>Change %</w:t>
            </w: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Dec 12</w:t>
            </w:r>
          </w:p>
        </w:tc>
        <w:tc>
          <w:tcPr>
            <w:tcW w:w="12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Sep 11</w:t>
            </w:r>
          </w:p>
        </w:tc>
        <w:tc>
          <w:tcPr>
            <w:tcW w:w="12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Dec 11</w:t>
            </w:r>
          </w:p>
        </w:tc>
        <w:tc>
          <w:tcPr>
            <w:tcW w:w="1560" w:type="dxa"/>
            <w:vAlign w:val="bottom"/>
            <w:gridSpan w:val="3"/>
          </w:tcPr>
          <w:p>
            <w:pPr>
              <w:ind w:left="360"/>
              <w:spacing w:after="0"/>
              <w:rPr>
                <w:sz w:val="20"/>
                <w:szCs w:val="20"/>
                <w:color w:val="auto"/>
              </w:rPr>
            </w:pPr>
            <w:r>
              <w:rPr>
                <w:rFonts w:ascii="Arial" w:cs="Arial" w:eastAsia="Arial" w:hAnsi="Arial"/>
                <w:sz w:val="14"/>
                <w:szCs w:val="14"/>
                <w:b w:val="1"/>
                <w:bCs w:val="1"/>
                <w:color w:val="auto"/>
              </w:rPr>
              <w:t>QoQ</w:t>
            </w:r>
          </w:p>
        </w:tc>
        <w:tc>
          <w:tcPr>
            <w:tcW w:w="8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YoY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tcBorders>
              <w:top w:val="single" w:sz="8" w:color="CCFFCC"/>
            </w:tcBorders>
            <w:shd w:val="clear" w:color="auto" w:fill="CCFFCC"/>
          </w:tcPr>
          <w:p>
            <w:pPr>
              <w:jc w:val="center"/>
              <w:ind w:right="68"/>
              <w:spacing w:after="0" w:line="142" w:lineRule="exact"/>
              <w:rPr>
                <w:sz w:val="20"/>
                <w:szCs w:val="20"/>
                <w:color w:val="auto"/>
              </w:rPr>
            </w:pPr>
            <w:r>
              <w:rPr>
                <w:rFonts w:ascii="Arial" w:cs="Arial" w:eastAsia="Arial" w:hAnsi="Arial"/>
                <w:sz w:val="14"/>
                <w:szCs w:val="14"/>
                <w:b w:val="1"/>
                <w:bCs w:val="1"/>
                <w:color w:val="auto"/>
                <w:w w:val="92"/>
              </w:rPr>
              <w:t>ASSETS</w:t>
            </w:r>
          </w:p>
        </w:tc>
        <w:tc>
          <w:tcPr>
            <w:tcW w:w="1040" w:type="dxa"/>
            <w:vAlign w:val="bottom"/>
            <w:tcBorders>
              <w:top w:val="single" w:sz="8" w:color="auto"/>
            </w:tcBorders>
            <w:shd w:val="clear" w:color="auto" w:fill="CCFFCC"/>
          </w:tcPr>
          <w:p>
            <w:pPr>
              <w:spacing w:after="0"/>
              <w:rPr>
                <w:sz w:val="12"/>
                <w:szCs w:val="12"/>
                <w:color w:val="auto"/>
              </w:rPr>
            </w:pPr>
          </w:p>
        </w:tc>
        <w:tc>
          <w:tcPr>
            <w:tcW w:w="220" w:type="dxa"/>
            <w:vAlign w:val="bottom"/>
            <w:tcBorders>
              <w:top w:val="single" w:sz="8" w:color="CCFFCC"/>
            </w:tcBorders>
            <w:shd w:val="clear" w:color="auto" w:fill="CCFFCC"/>
          </w:tcPr>
          <w:p>
            <w:pPr>
              <w:spacing w:after="0"/>
              <w:rPr>
                <w:sz w:val="12"/>
                <w:szCs w:val="12"/>
                <w:color w:val="auto"/>
              </w:rPr>
            </w:pPr>
          </w:p>
        </w:tc>
        <w:tc>
          <w:tcPr>
            <w:tcW w:w="1000" w:type="dxa"/>
            <w:vAlign w:val="bottom"/>
            <w:tcBorders>
              <w:top w:val="single" w:sz="8" w:color="auto"/>
            </w:tcBorders>
            <w:shd w:val="clear" w:color="auto" w:fill="CCFFCC"/>
          </w:tcPr>
          <w:p>
            <w:pPr>
              <w:spacing w:after="0"/>
              <w:rPr>
                <w:sz w:val="12"/>
                <w:szCs w:val="12"/>
                <w:color w:val="auto"/>
              </w:rPr>
            </w:pPr>
          </w:p>
        </w:tc>
        <w:tc>
          <w:tcPr>
            <w:tcW w:w="220" w:type="dxa"/>
            <w:vAlign w:val="bottom"/>
            <w:tcBorders>
              <w:top w:val="single" w:sz="8" w:color="CCFFCC"/>
            </w:tcBorders>
            <w:shd w:val="clear" w:color="auto" w:fill="CCFFCC"/>
          </w:tcPr>
          <w:p>
            <w:pPr>
              <w:spacing w:after="0"/>
              <w:rPr>
                <w:sz w:val="12"/>
                <w:szCs w:val="12"/>
                <w:color w:val="auto"/>
              </w:rPr>
            </w:pPr>
          </w:p>
        </w:tc>
        <w:tc>
          <w:tcPr>
            <w:tcW w:w="1020" w:type="dxa"/>
            <w:vAlign w:val="bottom"/>
            <w:tcBorders>
              <w:top w:val="single" w:sz="8" w:color="auto"/>
            </w:tcBorders>
            <w:shd w:val="clear" w:color="auto" w:fill="CCFFCC"/>
          </w:tcPr>
          <w:p>
            <w:pPr>
              <w:spacing w:after="0"/>
              <w:rPr>
                <w:sz w:val="12"/>
                <w:szCs w:val="12"/>
                <w:color w:val="auto"/>
              </w:rPr>
            </w:pPr>
          </w:p>
        </w:tc>
        <w:tc>
          <w:tcPr>
            <w:tcW w:w="200" w:type="dxa"/>
            <w:vAlign w:val="bottom"/>
            <w:tcBorders>
              <w:top w:val="single" w:sz="8" w:color="CCFFCC"/>
            </w:tcBorders>
            <w:shd w:val="clear" w:color="auto" w:fill="CCFFCC"/>
          </w:tcPr>
          <w:p>
            <w:pPr>
              <w:spacing w:after="0"/>
              <w:rPr>
                <w:sz w:val="12"/>
                <w:szCs w:val="12"/>
                <w:color w:val="auto"/>
              </w:rPr>
            </w:pPr>
          </w:p>
        </w:tc>
        <w:tc>
          <w:tcPr>
            <w:tcW w:w="1020" w:type="dxa"/>
            <w:vAlign w:val="bottom"/>
            <w:tcBorders>
              <w:top w:val="single" w:sz="8" w:color="auto"/>
            </w:tcBorders>
            <w:shd w:val="clear" w:color="auto" w:fill="CCFFCC"/>
          </w:tcPr>
          <w:p>
            <w:pPr>
              <w:spacing w:after="0"/>
              <w:rPr>
                <w:sz w:val="12"/>
                <w:szCs w:val="12"/>
                <w:color w:val="auto"/>
              </w:rPr>
            </w:pPr>
          </w:p>
        </w:tc>
        <w:tc>
          <w:tcPr>
            <w:tcW w:w="260" w:type="dxa"/>
            <w:vAlign w:val="bottom"/>
            <w:tcBorders>
              <w:top w:val="single" w:sz="8" w:color="CCFFCC"/>
            </w:tcBorders>
            <w:shd w:val="clear" w:color="auto" w:fill="CCFFCC"/>
          </w:tcPr>
          <w:p>
            <w:pPr>
              <w:spacing w:after="0"/>
              <w:rPr>
                <w:sz w:val="12"/>
                <w:szCs w:val="12"/>
                <w:color w:val="auto"/>
              </w:rPr>
            </w:pPr>
          </w:p>
        </w:tc>
        <w:tc>
          <w:tcPr>
            <w:tcW w:w="280" w:type="dxa"/>
            <w:vAlign w:val="bottom"/>
            <w:tcBorders>
              <w:top w:val="single" w:sz="8" w:color="auto"/>
            </w:tcBorders>
            <w:shd w:val="clear" w:color="auto" w:fill="CCFFCC"/>
          </w:tcPr>
          <w:p>
            <w:pPr>
              <w:spacing w:after="0"/>
              <w:rPr>
                <w:sz w:val="12"/>
                <w:szCs w:val="12"/>
                <w:color w:val="auto"/>
              </w:rPr>
            </w:pPr>
          </w:p>
        </w:tc>
        <w:tc>
          <w:tcPr>
            <w:tcW w:w="740" w:type="dxa"/>
            <w:vAlign w:val="bottom"/>
            <w:tcBorders>
              <w:top w:val="single" w:sz="8" w:color="auto"/>
            </w:tcBorders>
            <w:shd w:val="clear" w:color="auto" w:fill="CCFFCC"/>
          </w:tcPr>
          <w:p>
            <w:pPr>
              <w:spacing w:after="0"/>
              <w:rPr>
                <w:sz w:val="12"/>
                <w:szCs w:val="12"/>
                <w:color w:val="auto"/>
              </w:rPr>
            </w:pPr>
          </w:p>
        </w:tc>
        <w:tc>
          <w:tcPr>
            <w:tcW w:w="140" w:type="dxa"/>
            <w:vAlign w:val="bottom"/>
            <w:tcBorders>
              <w:top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line="149" w:lineRule="exact"/>
              <w:rPr>
                <w:sz w:val="20"/>
                <w:szCs w:val="20"/>
                <w:color w:val="auto"/>
              </w:rPr>
            </w:pPr>
            <w:r>
              <w:rPr>
                <w:rFonts w:ascii="Arial" w:cs="Arial" w:eastAsia="Arial" w:hAnsi="Arial"/>
                <w:sz w:val="14"/>
                <w:szCs w:val="14"/>
                <w:b w:val="1"/>
                <w:bCs w:val="1"/>
                <w:color w:val="auto"/>
              </w:rPr>
              <w:t>Cash and due from banks</w:t>
            </w: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Non-interest bearing</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985,101</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1,072,798</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1,137,385</w:t>
            </w:r>
          </w:p>
        </w:tc>
        <w:tc>
          <w:tcPr>
            <w:tcW w:w="12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-8.2%</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ind w:left="160"/>
              <w:spacing w:after="0" w:line="149" w:lineRule="exact"/>
              <w:rPr>
                <w:sz w:val="20"/>
                <w:szCs w:val="20"/>
                <w:color w:val="auto"/>
              </w:rPr>
            </w:pPr>
            <w:r>
              <w:rPr>
                <w:rFonts w:ascii="Arial" w:cs="Arial" w:eastAsia="Arial" w:hAnsi="Arial"/>
                <w:sz w:val="14"/>
                <w:szCs w:val="14"/>
                <w:color w:val="auto"/>
              </w:rPr>
              <w:t>Interest bearing</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6,770,828</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5,651,765</w:t>
            </w: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4,498,359</w:t>
            </w: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19.8%</w:t>
            </w:r>
          </w:p>
        </w:tc>
        <w:tc>
          <w:tcPr>
            <w:tcW w:w="280" w:type="dxa"/>
            <w:vAlign w:val="bottom"/>
          </w:tcPr>
          <w:p>
            <w:pPr>
              <w:spacing w:after="0"/>
              <w:rPr>
                <w:sz w:val="12"/>
                <w:szCs w:val="12"/>
                <w:color w:val="auto"/>
              </w:rPr>
            </w:pP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ind w:left="320"/>
              <w:spacing w:after="0" w:line="149" w:lineRule="exact"/>
              <w:rPr>
                <w:sz w:val="20"/>
                <w:szCs w:val="20"/>
                <w:color w:val="auto"/>
              </w:rPr>
            </w:pPr>
            <w:r>
              <w:rPr>
                <w:rFonts w:ascii="Arial" w:cs="Arial" w:eastAsia="Arial" w:hAnsi="Arial"/>
                <w:sz w:val="14"/>
                <w:szCs w:val="14"/>
                <w:b w:val="1"/>
                <w:bCs w:val="1"/>
                <w:color w:val="auto"/>
              </w:rPr>
              <w:t>Total cash and due from banks</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7,755,929</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6,724,563</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5,635,745</w:t>
            </w:r>
          </w:p>
        </w:tc>
        <w:tc>
          <w:tcPr>
            <w:tcW w:w="12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15.3%</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37.6%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Marketable securities, net</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272,512</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248,343</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75,611</w:t>
            </w:r>
          </w:p>
        </w:tc>
        <w:tc>
          <w:tcPr>
            <w:tcW w:w="12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9.7%</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260.4%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Loans</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21,476,520</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20,287,468</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17,442,766</w:t>
            </w:r>
          </w:p>
        </w:tc>
        <w:tc>
          <w:tcPr>
            <w:tcW w:w="12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5.9%</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ind w:left="160"/>
              <w:spacing w:after="0" w:line="149" w:lineRule="exact"/>
              <w:rPr>
                <w:sz w:val="20"/>
                <w:szCs w:val="20"/>
                <w:color w:val="auto"/>
              </w:rPr>
            </w:pPr>
            <w:r>
              <w:rPr>
                <w:rFonts w:ascii="Arial" w:cs="Arial" w:eastAsia="Arial" w:hAnsi="Arial"/>
                <w:sz w:val="14"/>
                <w:szCs w:val="14"/>
                <w:color w:val="auto"/>
              </w:rPr>
              <w:t>Current</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21,104,158</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19,936,980</w:t>
            </w: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17,183,620</w:t>
            </w: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5.9%</w:t>
            </w:r>
          </w:p>
        </w:tc>
        <w:tc>
          <w:tcPr>
            <w:tcW w:w="280" w:type="dxa"/>
            <w:vAlign w:val="bottom"/>
          </w:tcPr>
          <w:p>
            <w:pPr>
              <w:spacing w:after="0"/>
              <w:rPr>
                <w:sz w:val="12"/>
                <w:szCs w:val="12"/>
                <w:color w:val="auto"/>
              </w:rPr>
            </w:pP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Past due</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372,362</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350,488</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259,146</w:t>
            </w:r>
          </w:p>
        </w:tc>
        <w:tc>
          <w:tcPr>
            <w:tcW w:w="12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6.2%</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43.7%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ind w:left="160"/>
              <w:spacing w:after="0" w:line="149" w:lineRule="exact"/>
              <w:rPr>
                <w:sz w:val="20"/>
                <w:szCs w:val="20"/>
                <w:color w:val="auto"/>
              </w:rPr>
            </w:pPr>
            <w:r>
              <w:rPr>
                <w:rFonts w:ascii="Arial" w:cs="Arial" w:eastAsia="Arial" w:hAnsi="Arial"/>
                <w:sz w:val="14"/>
                <w:szCs w:val="14"/>
                <w:color w:val="auto"/>
              </w:rPr>
              <w:t>Less - net provisions for possible loan losses</w:t>
            </w:r>
          </w:p>
        </w:tc>
        <w:tc>
          <w:tcPr>
            <w:tcW w:w="12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(699,022)</w:t>
            </w:r>
          </w:p>
        </w:tc>
        <w:tc>
          <w:tcPr>
            <w:tcW w:w="12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(670,582)</w:t>
            </w:r>
          </w:p>
        </w:tc>
        <w:tc>
          <w:tcPr>
            <w:tcW w:w="12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(519,708)</w:t>
            </w: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4.2%</w:t>
            </w:r>
          </w:p>
        </w:tc>
        <w:tc>
          <w:tcPr>
            <w:tcW w:w="280" w:type="dxa"/>
            <w:vAlign w:val="bottom"/>
          </w:tcPr>
          <w:p>
            <w:pPr>
              <w:spacing w:after="0"/>
              <w:rPr>
                <w:sz w:val="12"/>
                <w:szCs w:val="12"/>
                <w:color w:val="auto"/>
              </w:rPr>
            </w:pP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Loans, net</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20,777,499</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19,616,886</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16,923,058</w:t>
            </w:r>
          </w:p>
        </w:tc>
        <w:tc>
          <w:tcPr>
            <w:tcW w:w="12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5.9%</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22.8%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Investments securities available for sale</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7,700,915</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7,123,087</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5,981,935</w:t>
            </w:r>
          </w:p>
        </w:tc>
        <w:tc>
          <w:tcPr>
            <w:tcW w:w="12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8.1%</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line="149" w:lineRule="exact"/>
              <w:rPr>
                <w:sz w:val="20"/>
                <w:szCs w:val="20"/>
                <w:color w:val="auto"/>
              </w:rPr>
            </w:pPr>
            <w:r>
              <w:rPr>
                <w:rFonts w:ascii="Arial" w:cs="Arial" w:eastAsia="Arial" w:hAnsi="Arial"/>
                <w:sz w:val="14"/>
                <w:szCs w:val="14"/>
                <w:b w:val="1"/>
                <w:bCs w:val="1"/>
                <w:color w:val="auto"/>
              </w:rPr>
              <w:t>Reinsurance assets</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167,460</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145,834</w:t>
            </w: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151,080</w:t>
            </w:r>
          </w:p>
        </w:tc>
        <w:tc>
          <w:tcPr>
            <w:tcW w:w="12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14.8%</w:t>
            </w:r>
          </w:p>
        </w:tc>
        <w:tc>
          <w:tcPr>
            <w:tcW w:w="2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Premiums and other policyholder receivables</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183,983</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176,394</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170,743</w:t>
            </w:r>
          </w:p>
        </w:tc>
        <w:tc>
          <w:tcPr>
            <w:tcW w:w="12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4.3%</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line="149" w:lineRule="exact"/>
              <w:rPr>
                <w:sz w:val="20"/>
                <w:szCs w:val="20"/>
                <w:color w:val="auto"/>
              </w:rPr>
            </w:pPr>
            <w:r>
              <w:rPr>
                <w:rFonts w:ascii="Arial" w:cs="Arial" w:eastAsia="Arial" w:hAnsi="Arial"/>
                <w:sz w:val="14"/>
                <w:szCs w:val="14"/>
                <w:b w:val="1"/>
                <w:bCs w:val="1"/>
                <w:color w:val="auto"/>
              </w:rPr>
              <w:t>Property, plant and equipment, net</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563,856</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511,376</w:t>
            </w: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443,097</w:t>
            </w:r>
          </w:p>
        </w:tc>
        <w:tc>
          <w:tcPr>
            <w:tcW w:w="12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10.3%</w:t>
            </w:r>
          </w:p>
        </w:tc>
        <w:tc>
          <w:tcPr>
            <w:tcW w:w="2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Due from customers on acceptances</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100,768</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49,390</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61,695</w:t>
            </w:r>
          </w:p>
        </w:tc>
        <w:tc>
          <w:tcPr>
            <w:tcW w:w="12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104.0%</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63.3%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line="149" w:lineRule="exact"/>
              <w:rPr>
                <w:sz w:val="20"/>
                <w:szCs w:val="20"/>
                <w:color w:val="auto"/>
              </w:rPr>
            </w:pPr>
            <w:r>
              <w:rPr>
                <w:rFonts w:ascii="Arial" w:cs="Arial" w:eastAsia="Arial" w:hAnsi="Arial"/>
                <w:sz w:val="14"/>
                <w:szCs w:val="14"/>
                <w:b w:val="1"/>
                <w:bCs w:val="1"/>
                <w:color w:val="auto"/>
              </w:rPr>
              <w:t>Other assets</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3,623,710</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3,104,895</w:t>
            </w: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1,473,242</w:t>
            </w:r>
          </w:p>
        </w:tc>
        <w:tc>
          <w:tcPr>
            <w:tcW w:w="12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16.7%</w:t>
            </w:r>
          </w:p>
        </w:tc>
        <w:tc>
          <w:tcPr>
            <w:tcW w:w="2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146.0%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88"/>
              </w:rPr>
              <w:t>Total assets</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41,146,632</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37,700,768</w:t>
            </w: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30,916,206</w:t>
            </w:r>
          </w:p>
        </w:tc>
        <w:tc>
          <w:tcPr>
            <w:tcW w:w="12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9.1%</w:t>
            </w:r>
          </w:p>
        </w:tc>
        <w:tc>
          <w:tcPr>
            <w:tcW w:w="2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33.1%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rPr>
              <w:t>LIABILITIES AND NET SHAREHOLDERS' EQUITY</w:t>
            </w: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Deposits and Obligations</w:t>
            </w:r>
          </w:p>
        </w:tc>
        <w:tc>
          <w:tcPr>
            <w:tcW w:w="10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ind w:left="160"/>
              <w:spacing w:after="0" w:line="149" w:lineRule="exact"/>
              <w:rPr>
                <w:sz w:val="20"/>
                <w:szCs w:val="20"/>
                <w:color w:val="auto"/>
              </w:rPr>
            </w:pPr>
            <w:r>
              <w:rPr>
                <w:rFonts w:ascii="Arial" w:cs="Arial" w:eastAsia="Arial" w:hAnsi="Arial"/>
                <w:sz w:val="14"/>
                <w:szCs w:val="14"/>
                <w:color w:val="auto"/>
              </w:rPr>
              <w:t>Non-interest bearing</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6,634,744</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5,945,915</w:t>
            </w: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5,389,868</w:t>
            </w: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11.6%</w:t>
            </w:r>
          </w:p>
        </w:tc>
        <w:tc>
          <w:tcPr>
            <w:tcW w:w="280" w:type="dxa"/>
            <w:vAlign w:val="bottom"/>
          </w:tcPr>
          <w:p>
            <w:pPr>
              <w:spacing w:after="0"/>
              <w:rPr>
                <w:sz w:val="12"/>
                <w:szCs w:val="12"/>
                <w:color w:val="auto"/>
              </w:rPr>
            </w:pP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Interest bearing</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17,416,036</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16,101,538</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13,597,866</w:t>
            </w:r>
          </w:p>
        </w:tc>
        <w:tc>
          <w:tcPr>
            <w:tcW w:w="12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8.2%</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Total deposits and Obligations</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24,050,779</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22,047,452</w:t>
            </w: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18,987,734</w:t>
            </w:r>
          </w:p>
        </w:tc>
        <w:tc>
          <w:tcPr>
            <w:tcW w:w="12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9.1%</w:t>
            </w:r>
          </w:p>
        </w:tc>
        <w:tc>
          <w:tcPr>
            <w:tcW w:w="2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26.7%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26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60" w:type="dxa"/>
            <w:vAlign w:val="bottom"/>
          </w:tcPr>
          <w:p>
            <w:pPr>
              <w:spacing w:after="0" w:line="149" w:lineRule="exact"/>
              <w:rPr>
                <w:sz w:val="20"/>
                <w:szCs w:val="20"/>
                <w:color w:val="auto"/>
              </w:rPr>
            </w:pPr>
            <w:r>
              <w:rPr>
                <w:rFonts w:ascii="Arial" w:cs="Arial" w:eastAsia="Arial" w:hAnsi="Arial"/>
                <w:sz w:val="14"/>
                <w:szCs w:val="14"/>
                <w:b w:val="1"/>
                <w:bCs w:val="1"/>
                <w:color w:val="auto"/>
              </w:rPr>
              <w:t>Due to banks and correspondents</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3,490,043</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2,833,022</w:t>
            </w: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2,067,283</w:t>
            </w:r>
          </w:p>
        </w:tc>
        <w:tc>
          <w:tcPr>
            <w:tcW w:w="12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23.2%</w:t>
            </w:r>
          </w:p>
        </w:tc>
        <w:tc>
          <w:tcPr>
            <w:tcW w:w="2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68.8%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Acceptances outstanding</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100,768</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49,390</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61,695</w:t>
            </w:r>
          </w:p>
        </w:tc>
        <w:tc>
          <w:tcPr>
            <w:tcW w:w="12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104.0%</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63.3%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line="149" w:lineRule="exact"/>
              <w:rPr>
                <w:sz w:val="20"/>
                <w:szCs w:val="20"/>
                <w:color w:val="auto"/>
              </w:rPr>
            </w:pPr>
            <w:r>
              <w:rPr>
                <w:rFonts w:ascii="Arial" w:cs="Arial" w:eastAsia="Arial" w:hAnsi="Arial"/>
                <w:sz w:val="14"/>
                <w:szCs w:val="14"/>
                <w:b w:val="1"/>
                <w:bCs w:val="1"/>
                <w:color w:val="auto"/>
              </w:rPr>
              <w:t>Reserves for property and casualty claims</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1,373,350</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1,330,631</w:t>
            </w: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1,157,491</w:t>
            </w:r>
          </w:p>
        </w:tc>
        <w:tc>
          <w:tcPr>
            <w:tcW w:w="12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3.2%</w:t>
            </w:r>
          </w:p>
        </w:tc>
        <w:tc>
          <w:tcPr>
            <w:tcW w:w="2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Reserve for unearned premiums</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241,649</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201,342</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220,807</w:t>
            </w:r>
          </w:p>
        </w:tc>
        <w:tc>
          <w:tcPr>
            <w:tcW w:w="12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20.0%</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line="149" w:lineRule="exact"/>
              <w:rPr>
                <w:sz w:val="20"/>
                <w:szCs w:val="20"/>
                <w:color w:val="auto"/>
              </w:rPr>
            </w:pPr>
            <w:r>
              <w:rPr>
                <w:rFonts w:ascii="Arial" w:cs="Arial" w:eastAsia="Arial" w:hAnsi="Arial"/>
                <w:sz w:val="14"/>
                <w:szCs w:val="14"/>
                <w:b w:val="1"/>
                <w:bCs w:val="1"/>
                <w:color w:val="auto"/>
              </w:rPr>
              <w:t>Reinsurance payable</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68,536</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65,184</w:t>
            </w: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75,366</w:t>
            </w:r>
          </w:p>
        </w:tc>
        <w:tc>
          <w:tcPr>
            <w:tcW w:w="12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5.1%</w:t>
            </w:r>
          </w:p>
        </w:tc>
        <w:tc>
          <w:tcPr>
            <w:tcW w:w="2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Bonds and subordinated debt</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4,815,843</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4,680,730</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3,962,306</w:t>
            </w:r>
          </w:p>
        </w:tc>
        <w:tc>
          <w:tcPr>
            <w:tcW w:w="12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2.9%</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line="149" w:lineRule="exact"/>
              <w:rPr>
                <w:sz w:val="20"/>
                <w:szCs w:val="20"/>
                <w:color w:val="auto"/>
              </w:rPr>
            </w:pPr>
            <w:r>
              <w:rPr>
                <w:rFonts w:ascii="Arial" w:cs="Arial" w:eastAsia="Arial" w:hAnsi="Arial"/>
                <w:sz w:val="14"/>
                <w:szCs w:val="14"/>
                <w:b w:val="1"/>
                <w:bCs w:val="1"/>
                <w:color w:val="auto"/>
              </w:rPr>
              <w:t>Other liabilities</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2,621,386</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2,357,338</w:t>
            </w: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940,941</w:t>
            </w:r>
          </w:p>
        </w:tc>
        <w:tc>
          <w:tcPr>
            <w:tcW w:w="12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11.2%</w:t>
            </w:r>
          </w:p>
        </w:tc>
        <w:tc>
          <w:tcPr>
            <w:tcW w:w="2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178.6%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Minority interest</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216,311</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128,024</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66,841</w:t>
            </w:r>
          </w:p>
        </w:tc>
        <w:tc>
          <w:tcPr>
            <w:tcW w:w="12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69.0%</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223.6%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4"/>
              </w:rPr>
              <w:t>Total liabilities</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36,978,665</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33,693,114</w:t>
            </w: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27,540,464</w:t>
            </w:r>
          </w:p>
        </w:tc>
        <w:tc>
          <w:tcPr>
            <w:tcW w:w="12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9.8%</w:t>
            </w:r>
          </w:p>
        </w:tc>
        <w:tc>
          <w:tcPr>
            <w:tcW w:w="2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34.3%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26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60" w:type="dxa"/>
            <w:vAlign w:val="bottom"/>
          </w:tcPr>
          <w:p>
            <w:pPr>
              <w:spacing w:after="0" w:line="149" w:lineRule="exact"/>
              <w:rPr>
                <w:sz w:val="20"/>
                <w:szCs w:val="20"/>
                <w:color w:val="auto"/>
              </w:rPr>
            </w:pPr>
            <w:r>
              <w:rPr>
                <w:rFonts w:ascii="Arial" w:cs="Arial" w:eastAsia="Arial" w:hAnsi="Arial"/>
                <w:sz w:val="14"/>
                <w:szCs w:val="14"/>
                <w:color w:val="auto"/>
              </w:rPr>
              <w:t>Capital stock</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471,912</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471,912</w:t>
            </w: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471,912</w:t>
            </w: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0.0%</w:t>
            </w:r>
          </w:p>
        </w:tc>
        <w:tc>
          <w:tcPr>
            <w:tcW w:w="280" w:type="dxa"/>
            <w:vAlign w:val="bottom"/>
          </w:tcPr>
          <w:p>
            <w:pPr>
              <w:spacing w:after="0"/>
              <w:rPr>
                <w:sz w:val="12"/>
                <w:szCs w:val="12"/>
                <w:color w:val="auto"/>
              </w:rPr>
            </w:pP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Treasury stock</w:t>
            </w:r>
          </w:p>
        </w:tc>
        <w:tc>
          <w:tcPr>
            <w:tcW w:w="126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(74,630)</w:t>
            </w:r>
          </w:p>
        </w:tc>
        <w:tc>
          <w:tcPr>
            <w:tcW w:w="12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(74,630)</w:t>
            </w:r>
          </w:p>
        </w:tc>
        <w:tc>
          <w:tcPr>
            <w:tcW w:w="12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(74,877)</w:t>
            </w:r>
          </w:p>
        </w:tc>
        <w:tc>
          <w:tcPr>
            <w:tcW w:w="12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0.0%</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line="149" w:lineRule="exact"/>
              <w:rPr>
                <w:sz w:val="20"/>
                <w:szCs w:val="20"/>
                <w:color w:val="auto"/>
              </w:rPr>
            </w:pPr>
            <w:r>
              <w:rPr>
                <w:rFonts w:ascii="Arial" w:cs="Arial" w:eastAsia="Arial" w:hAnsi="Arial"/>
                <w:sz w:val="14"/>
                <w:szCs w:val="14"/>
                <w:color w:val="auto"/>
              </w:rPr>
              <w:t>Capital surplus</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107,883</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107,883</w:t>
            </w: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111,145</w:t>
            </w: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0.0%</w:t>
            </w:r>
          </w:p>
        </w:tc>
        <w:tc>
          <w:tcPr>
            <w:tcW w:w="280" w:type="dxa"/>
            <w:vAlign w:val="bottom"/>
          </w:tcPr>
          <w:p>
            <w:pPr>
              <w:spacing w:after="0"/>
              <w:rPr>
                <w:sz w:val="12"/>
                <w:szCs w:val="12"/>
                <w:color w:val="auto"/>
              </w:rPr>
            </w:pP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Reserves</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2,306,561</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2,302,187</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1,792,921</w:t>
            </w:r>
          </w:p>
        </w:tc>
        <w:tc>
          <w:tcPr>
            <w:tcW w:w="12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0.2%</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line="149" w:lineRule="exact"/>
              <w:rPr>
                <w:sz w:val="20"/>
                <w:szCs w:val="20"/>
                <w:color w:val="auto"/>
              </w:rPr>
            </w:pPr>
            <w:r>
              <w:rPr>
                <w:rFonts w:ascii="Arial" w:cs="Arial" w:eastAsia="Arial" w:hAnsi="Arial"/>
                <w:sz w:val="14"/>
                <w:szCs w:val="14"/>
                <w:color w:val="auto"/>
              </w:rPr>
              <w:t>Unrealized gains</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515,495</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559,633</w:t>
            </w: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340,168</w:t>
            </w: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-7.9%</w:t>
            </w:r>
          </w:p>
        </w:tc>
        <w:tc>
          <w:tcPr>
            <w:tcW w:w="280" w:type="dxa"/>
            <w:vAlign w:val="bottom"/>
          </w:tcPr>
          <w:p>
            <w:pPr>
              <w:spacing w:after="0"/>
              <w:rPr>
                <w:sz w:val="12"/>
                <w:szCs w:val="12"/>
                <w:color w:val="auto"/>
              </w:rPr>
            </w:pP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Retained earnings</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840,748</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640,671</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734,474</w:t>
            </w:r>
          </w:p>
        </w:tc>
        <w:tc>
          <w:tcPr>
            <w:tcW w:w="12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31.2%</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2"/>
              </w:rPr>
              <w:t>Net shareholders' equity</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4,167,968</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4,007,654</w:t>
            </w: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3,375,742</w:t>
            </w:r>
          </w:p>
        </w:tc>
        <w:tc>
          <w:tcPr>
            <w:tcW w:w="12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4.0%</w:t>
            </w:r>
          </w:p>
        </w:tc>
        <w:tc>
          <w:tcPr>
            <w:tcW w:w="2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2"/>
              </w:rPr>
              <w:t>Total liabilities and net shareholders' equity</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41,146,632</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37,700,768</w:t>
            </w: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30,916,206</w:t>
            </w:r>
          </w:p>
        </w:tc>
        <w:tc>
          <w:tcPr>
            <w:tcW w:w="12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9.1%</w:t>
            </w:r>
          </w:p>
        </w:tc>
        <w:tc>
          <w:tcPr>
            <w:tcW w:w="2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33.1%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26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260" w:type="dxa"/>
            <w:vAlign w:val="bottom"/>
          </w:tcPr>
          <w:p>
            <w:pPr>
              <w:spacing w:after="0"/>
              <w:rPr>
                <w:sz w:val="20"/>
                <w:szCs w:val="20"/>
                <w:color w:val="auto"/>
              </w:rPr>
            </w:pPr>
            <w:r>
              <w:rPr>
                <w:rFonts w:ascii="Arial" w:cs="Arial" w:eastAsia="Arial" w:hAnsi="Arial"/>
                <w:sz w:val="14"/>
                <w:szCs w:val="14"/>
                <w:color w:val="auto"/>
              </w:rPr>
              <w:t>Contingent credits</w:t>
            </w:r>
          </w:p>
        </w:tc>
        <w:tc>
          <w:tcPr>
            <w:tcW w:w="1040" w:type="dxa"/>
            <w:vAlign w:val="bottom"/>
          </w:tcPr>
          <w:p>
            <w:pPr>
              <w:jc w:val="right"/>
              <w:spacing w:after="0"/>
              <w:rPr>
                <w:sz w:val="20"/>
                <w:szCs w:val="20"/>
                <w:color w:val="auto"/>
              </w:rPr>
            </w:pPr>
            <w:r>
              <w:rPr>
                <w:rFonts w:ascii="Arial" w:cs="Arial" w:eastAsia="Arial" w:hAnsi="Arial"/>
                <w:sz w:val="14"/>
                <w:szCs w:val="14"/>
                <w:color w:val="auto"/>
              </w:rPr>
              <w:t>14,866,535</w:t>
            </w:r>
          </w:p>
        </w:tc>
        <w:tc>
          <w:tcPr>
            <w:tcW w:w="22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15,565,860</w:t>
            </w: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11,372,939</w:t>
            </w: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-4.5%</w:t>
            </w:r>
          </w:p>
        </w:tc>
        <w:tc>
          <w:tcPr>
            <w:tcW w:w="280" w:type="dxa"/>
            <w:vAlign w:val="bottom"/>
          </w:tcPr>
          <w:p>
            <w:pPr>
              <w:spacing w:after="0"/>
              <w:rPr>
                <w:sz w:val="14"/>
                <w:szCs w:val="1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4"/>
                <w:szCs w:val="14"/>
                <w:color w:val="auto"/>
              </w:rPr>
              <w:t>30.7%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9" w:name="page50"/>
    <w:bookmarkEnd w:id="49"/>
    <w:p>
      <w:pPr>
        <w:spacing w:after="0" w:line="1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6254750</wp:posOffset>
            </wp:positionH>
            <wp:positionV relativeFrom="page">
              <wp:posOffset>568960</wp:posOffset>
            </wp:positionV>
            <wp:extent cx="1149350" cy="3175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CREDICORP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INCOME STATEMENT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thousands, IFRS)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Quarter</w:t>
            </w: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3"/>
          </w:tcPr>
          <w:p>
            <w:pPr>
              <w:ind w:left="600"/>
              <w:spacing w:after="0"/>
              <w:rPr>
                <w:sz w:val="20"/>
                <w:szCs w:val="20"/>
                <w:color w:val="auto"/>
              </w:rPr>
            </w:pPr>
            <w:r>
              <w:rPr>
                <w:rFonts w:ascii="Arial" w:cs="Arial" w:eastAsia="Arial" w:hAnsi="Arial"/>
                <w:sz w:val="13"/>
                <w:szCs w:val="13"/>
                <w:b w:val="1"/>
                <w:bCs w:val="1"/>
                <w:color w:val="auto"/>
                <w:w w:val="98"/>
              </w:rPr>
              <w:t>Change %</w:t>
            </w: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3"/>
          </w:tcPr>
          <w:p>
            <w:pPr>
              <w:ind w:left="600"/>
              <w:spacing w:after="0"/>
              <w:rPr>
                <w:sz w:val="20"/>
                <w:szCs w:val="20"/>
                <w:color w:val="auto"/>
              </w:rPr>
            </w:pPr>
            <w:r>
              <w:rPr>
                <w:rFonts w:ascii="Arial" w:cs="Arial" w:eastAsia="Arial" w:hAnsi="Arial"/>
                <w:sz w:val="13"/>
                <w:szCs w:val="13"/>
                <w:b w:val="1"/>
                <w:bCs w:val="1"/>
                <w:color w:val="auto"/>
                <w:w w:val="82"/>
              </w:rPr>
              <w:t>Year ended</w:t>
            </w: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Change %</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4Q12</w:t>
            </w:r>
          </w:p>
        </w:tc>
        <w:tc>
          <w:tcPr>
            <w:tcW w:w="106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3Q12</w:t>
            </w:r>
          </w:p>
        </w:tc>
        <w:tc>
          <w:tcPr>
            <w:tcW w:w="102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4Q11</w:t>
            </w:r>
          </w:p>
        </w:tc>
        <w:tc>
          <w:tcPr>
            <w:tcW w:w="1240" w:type="dxa"/>
            <w:vAlign w:val="bottom"/>
            <w:gridSpan w:val="3"/>
          </w:tcPr>
          <w:p>
            <w:pPr>
              <w:ind w:left="260"/>
              <w:spacing w:after="0"/>
              <w:rPr>
                <w:sz w:val="20"/>
                <w:szCs w:val="20"/>
                <w:color w:val="auto"/>
              </w:rPr>
            </w:pPr>
            <w:r>
              <w:rPr>
                <w:rFonts w:ascii="Arial" w:cs="Arial" w:eastAsia="Arial" w:hAnsi="Arial"/>
                <w:sz w:val="13"/>
                <w:szCs w:val="13"/>
                <w:b w:val="1"/>
                <w:bCs w:val="1"/>
                <w:color w:val="auto"/>
              </w:rPr>
              <w:t>QoQ</w:t>
            </w:r>
          </w:p>
        </w:tc>
        <w:tc>
          <w:tcPr>
            <w:tcW w:w="80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YoY</w:t>
            </w:r>
          </w:p>
        </w:tc>
        <w:tc>
          <w:tcPr>
            <w:tcW w:w="1200" w:type="dxa"/>
            <w:vAlign w:val="bottom"/>
            <w:gridSpan w:val="3"/>
          </w:tcPr>
          <w:p>
            <w:pPr>
              <w:ind w:left="220"/>
              <w:spacing w:after="0"/>
              <w:rPr>
                <w:sz w:val="20"/>
                <w:szCs w:val="20"/>
                <w:color w:val="auto"/>
              </w:rPr>
            </w:pPr>
            <w:r>
              <w:rPr>
                <w:rFonts w:ascii="Arial" w:cs="Arial" w:eastAsia="Arial" w:hAnsi="Arial"/>
                <w:sz w:val="13"/>
                <w:szCs w:val="13"/>
                <w:b w:val="1"/>
                <w:bCs w:val="1"/>
                <w:color w:val="auto"/>
              </w:rPr>
              <w:t>Dec 12</w:t>
            </w:r>
          </w:p>
        </w:tc>
        <w:tc>
          <w:tcPr>
            <w:tcW w:w="80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w w:val="85"/>
              </w:rPr>
              <w:t>Dec 11</w:t>
            </w:r>
          </w:p>
        </w:tc>
        <w:tc>
          <w:tcPr>
            <w:tcW w:w="92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YoY</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32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32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Interest income and expense</w:t>
            </w:r>
          </w:p>
        </w:tc>
        <w:tc>
          <w:tcPr>
            <w:tcW w:w="8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tcPr>
          <w:p>
            <w:pPr>
              <w:ind w:left="160"/>
              <w:spacing w:after="0" w:line="135" w:lineRule="exact"/>
              <w:rPr>
                <w:sz w:val="20"/>
                <w:szCs w:val="20"/>
                <w:color w:val="auto"/>
              </w:rPr>
            </w:pPr>
            <w:r>
              <w:rPr>
                <w:rFonts w:ascii="Arial" w:cs="Arial" w:eastAsia="Arial" w:hAnsi="Arial"/>
                <w:sz w:val="13"/>
                <w:szCs w:val="13"/>
                <w:color w:val="auto"/>
              </w:rPr>
              <w:t>Interest and dividend income</w:t>
            </w: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627,540</w:t>
            </w:r>
          </w:p>
        </w:tc>
        <w:tc>
          <w:tcPr>
            <w:tcW w:w="10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598,480</w:t>
            </w:r>
          </w:p>
        </w:tc>
        <w:tc>
          <w:tcPr>
            <w:tcW w:w="10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499,769</w:t>
            </w:r>
          </w:p>
        </w:tc>
        <w:tc>
          <w:tcPr>
            <w:tcW w:w="10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4.9%</w:t>
            </w:r>
          </w:p>
        </w:tc>
        <w:tc>
          <w:tcPr>
            <w:tcW w:w="220" w:type="dxa"/>
            <w:vAlign w:val="bottom"/>
          </w:tcPr>
          <w:p>
            <w:pPr>
              <w:spacing w:after="0"/>
              <w:rPr>
                <w:sz w:val="11"/>
                <w:szCs w:val="11"/>
                <w:color w:val="auto"/>
              </w:rPr>
            </w:pP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25.6%</w:t>
            </w: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2,310,464</w:t>
            </w:r>
          </w:p>
        </w:tc>
        <w:tc>
          <w:tcPr>
            <w:tcW w:w="20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w w:val="96"/>
              </w:rPr>
              <w:t>1,837,897</w:t>
            </w:r>
          </w:p>
        </w:tc>
        <w:tc>
          <w:tcPr>
            <w:tcW w:w="9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25.7%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Interest expense</w:t>
            </w:r>
          </w:p>
        </w:tc>
        <w:tc>
          <w:tcPr>
            <w:tcW w:w="104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(196,804)</w:t>
            </w:r>
          </w:p>
        </w:tc>
        <w:tc>
          <w:tcPr>
            <w:tcW w:w="10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(183,277)</w:t>
            </w:r>
          </w:p>
        </w:tc>
        <w:tc>
          <w:tcPr>
            <w:tcW w:w="102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(144,478)</w:t>
            </w:r>
          </w:p>
        </w:tc>
        <w:tc>
          <w:tcPr>
            <w:tcW w:w="10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7.4%</w:t>
            </w:r>
          </w:p>
        </w:tc>
        <w:tc>
          <w:tcPr>
            <w:tcW w:w="22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36.2%</w:t>
            </w:r>
          </w:p>
        </w:tc>
        <w:tc>
          <w:tcPr>
            <w:tcW w:w="10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(698,338)</w:t>
            </w:r>
          </w:p>
        </w:tc>
        <w:tc>
          <w:tcPr>
            <w:tcW w:w="20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(531,600)</w:t>
            </w:r>
          </w:p>
        </w:tc>
        <w:tc>
          <w:tcPr>
            <w:tcW w:w="92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31.37%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tcPr>
          <w:p>
            <w:pPr>
              <w:ind w:left="160"/>
              <w:spacing w:after="0" w:line="135" w:lineRule="exact"/>
              <w:rPr>
                <w:sz w:val="20"/>
                <w:szCs w:val="20"/>
                <w:color w:val="auto"/>
              </w:rPr>
            </w:pPr>
            <w:r>
              <w:rPr>
                <w:rFonts w:ascii="Arial" w:cs="Arial" w:eastAsia="Arial" w:hAnsi="Arial"/>
                <w:sz w:val="13"/>
                <w:szCs w:val="13"/>
                <w:b w:val="1"/>
                <w:bCs w:val="1"/>
                <w:color w:val="auto"/>
              </w:rPr>
              <w:t>Net interest income</w:t>
            </w: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430,736</w:t>
            </w:r>
          </w:p>
        </w:tc>
        <w:tc>
          <w:tcPr>
            <w:tcW w:w="106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415,203</w:t>
            </w:r>
          </w:p>
        </w:tc>
        <w:tc>
          <w:tcPr>
            <w:tcW w:w="102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355,290</w:t>
            </w:r>
          </w:p>
        </w:tc>
        <w:tc>
          <w:tcPr>
            <w:tcW w:w="102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3.7%</w:t>
            </w:r>
          </w:p>
        </w:tc>
        <w:tc>
          <w:tcPr>
            <w:tcW w:w="22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21.2%</w:t>
            </w: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1,612,126</w:t>
            </w:r>
          </w:p>
        </w:tc>
        <w:tc>
          <w:tcPr>
            <w:tcW w:w="20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w w:val="96"/>
              </w:rPr>
              <w:t>1,306,297</w:t>
            </w:r>
          </w:p>
        </w:tc>
        <w:tc>
          <w:tcPr>
            <w:tcW w:w="92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23.4%</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32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320" w:type="dxa"/>
            <w:vAlign w:val="bottom"/>
          </w:tcPr>
          <w:p>
            <w:pPr>
              <w:spacing w:after="0" w:line="135" w:lineRule="exact"/>
              <w:rPr>
                <w:sz w:val="20"/>
                <w:szCs w:val="20"/>
                <w:color w:val="auto"/>
              </w:rPr>
            </w:pPr>
            <w:r>
              <w:rPr>
                <w:rFonts w:ascii="Arial" w:cs="Arial" w:eastAsia="Arial" w:hAnsi="Arial"/>
                <w:sz w:val="13"/>
                <w:szCs w:val="13"/>
                <w:b w:val="1"/>
                <w:bCs w:val="1"/>
                <w:color w:val="auto"/>
              </w:rPr>
              <w:t>Net provisions for loan losses</w:t>
            </w:r>
          </w:p>
        </w:tc>
        <w:tc>
          <w:tcPr>
            <w:tcW w:w="104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auto"/>
              </w:rPr>
              <w:t>(102,964)</w:t>
            </w:r>
          </w:p>
        </w:tc>
        <w:tc>
          <w:tcPr>
            <w:tcW w:w="106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auto"/>
              </w:rPr>
              <w:t>(94,389)</w:t>
            </w:r>
          </w:p>
        </w:tc>
        <w:tc>
          <w:tcPr>
            <w:tcW w:w="1020" w:type="dxa"/>
            <w:vAlign w:val="bottom"/>
            <w:gridSpan w:val="2"/>
          </w:tcPr>
          <w:p>
            <w:pPr>
              <w:jc w:val="right"/>
              <w:ind w:right="180"/>
              <w:spacing w:after="0" w:line="135" w:lineRule="exact"/>
              <w:rPr>
                <w:sz w:val="20"/>
                <w:szCs w:val="20"/>
                <w:color w:val="auto"/>
              </w:rPr>
            </w:pPr>
            <w:r>
              <w:rPr>
                <w:rFonts w:ascii="Arial" w:cs="Arial" w:eastAsia="Arial" w:hAnsi="Arial"/>
                <w:sz w:val="13"/>
                <w:szCs w:val="13"/>
                <w:b w:val="1"/>
                <w:bCs w:val="1"/>
                <w:color w:val="auto"/>
              </w:rPr>
              <w:t>(70,447)</w:t>
            </w:r>
          </w:p>
        </w:tc>
        <w:tc>
          <w:tcPr>
            <w:tcW w:w="102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9.1%</w:t>
            </w:r>
          </w:p>
        </w:tc>
        <w:tc>
          <w:tcPr>
            <w:tcW w:w="22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46.2%</w:t>
            </w:r>
          </w:p>
        </w:tc>
        <w:tc>
          <w:tcPr>
            <w:tcW w:w="1000" w:type="dxa"/>
            <w:vAlign w:val="bottom"/>
            <w:gridSpan w:val="2"/>
          </w:tcPr>
          <w:p>
            <w:pPr>
              <w:jc w:val="right"/>
              <w:ind w:right="180"/>
              <w:spacing w:after="0" w:line="135" w:lineRule="exact"/>
              <w:rPr>
                <w:sz w:val="20"/>
                <w:szCs w:val="20"/>
                <w:color w:val="auto"/>
              </w:rPr>
            </w:pPr>
            <w:r>
              <w:rPr>
                <w:rFonts w:ascii="Arial" w:cs="Arial" w:eastAsia="Arial" w:hAnsi="Arial"/>
                <w:sz w:val="13"/>
                <w:szCs w:val="13"/>
                <w:b w:val="1"/>
                <w:bCs w:val="1"/>
                <w:color w:val="auto"/>
              </w:rPr>
              <w:t>(377,841)</w:t>
            </w:r>
          </w:p>
        </w:tc>
        <w:tc>
          <w:tcPr>
            <w:tcW w:w="20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b w:val="1"/>
                <w:bCs w:val="1"/>
                <w:color w:val="auto"/>
              </w:rPr>
              <w:t>(214,898)</w:t>
            </w:r>
          </w:p>
        </w:tc>
        <w:tc>
          <w:tcPr>
            <w:tcW w:w="92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75.8%</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32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320" w:type="dxa"/>
            <w:vAlign w:val="bottom"/>
          </w:tcPr>
          <w:p>
            <w:pPr>
              <w:spacing w:after="0" w:line="135" w:lineRule="exact"/>
              <w:rPr>
                <w:sz w:val="20"/>
                <w:szCs w:val="20"/>
                <w:color w:val="auto"/>
              </w:rPr>
            </w:pPr>
            <w:r>
              <w:rPr>
                <w:rFonts w:ascii="Arial" w:cs="Arial" w:eastAsia="Arial" w:hAnsi="Arial"/>
                <w:sz w:val="13"/>
                <w:szCs w:val="13"/>
                <w:b w:val="1"/>
                <w:bCs w:val="1"/>
                <w:color w:val="auto"/>
              </w:rPr>
              <w:t>Non financial income</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Fee income</w:t>
            </w:r>
          </w:p>
        </w:tc>
        <w:tc>
          <w:tcPr>
            <w:tcW w:w="10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204,111</w:t>
            </w:r>
          </w:p>
        </w:tc>
        <w:tc>
          <w:tcPr>
            <w:tcW w:w="106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193,547</w:t>
            </w:r>
          </w:p>
        </w:tc>
        <w:tc>
          <w:tcPr>
            <w:tcW w:w="10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161,653</w:t>
            </w:r>
          </w:p>
        </w:tc>
        <w:tc>
          <w:tcPr>
            <w:tcW w:w="10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5.5%</w:t>
            </w:r>
          </w:p>
        </w:tc>
        <w:tc>
          <w:tcPr>
            <w:tcW w:w="22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26.3%</w:t>
            </w:r>
          </w:p>
        </w:tc>
        <w:tc>
          <w:tcPr>
            <w:tcW w:w="10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737,421</w:t>
            </w:r>
          </w:p>
        </w:tc>
        <w:tc>
          <w:tcPr>
            <w:tcW w:w="20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607,843</w:t>
            </w:r>
          </w:p>
        </w:tc>
        <w:tc>
          <w:tcPr>
            <w:tcW w:w="92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21.3%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tcPr>
          <w:p>
            <w:pPr>
              <w:ind w:left="160"/>
              <w:spacing w:after="0" w:line="135" w:lineRule="exact"/>
              <w:rPr>
                <w:sz w:val="20"/>
                <w:szCs w:val="20"/>
                <w:color w:val="auto"/>
              </w:rPr>
            </w:pPr>
            <w:r>
              <w:rPr>
                <w:rFonts w:ascii="Arial" w:cs="Arial" w:eastAsia="Arial" w:hAnsi="Arial"/>
                <w:sz w:val="13"/>
                <w:szCs w:val="13"/>
                <w:color w:val="auto"/>
              </w:rPr>
              <w:t>Net gain on foreign exchange transactions</w:t>
            </w: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49,628</w:t>
            </w:r>
          </w:p>
        </w:tc>
        <w:tc>
          <w:tcPr>
            <w:tcW w:w="10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44,864</w:t>
            </w:r>
          </w:p>
        </w:tc>
        <w:tc>
          <w:tcPr>
            <w:tcW w:w="10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36,730</w:t>
            </w:r>
          </w:p>
        </w:tc>
        <w:tc>
          <w:tcPr>
            <w:tcW w:w="10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10.6%</w:t>
            </w:r>
          </w:p>
        </w:tc>
        <w:tc>
          <w:tcPr>
            <w:tcW w:w="220" w:type="dxa"/>
            <w:vAlign w:val="bottom"/>
          </w:tcPr>
          <w:p>
            <w:pPr>
              <w:spacing w:after="0"/>
              <w:rPr>
                <w:sz w:val="11"/>
                <w:szCs w:val="11"/>
                <w:color w:val="auto"/>
              </w:rPr>
            </w:pP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35.1%</w:t>
            </w: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177,472</w:t>
            </w:r>
          </w:p>
        </w:tc>
        <w:tc>
          <w:tcPr>
            <w:tcW w:w="20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138,492</w:t>
            </w:r>
          </w:p>
        </w:tc>
        <w:tc>
          <w:tcPr>
            <w:tcW w:w="9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28.1%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Net gain on sales of securities</w:t>
            </w:r>
          </w:p>
        </w:tc>
        <w:tc>
          <w:tcPr>
            <w:tcW w:w="10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34,727</w:t>
            </w:r>
          </w:p>
        </w:tc>
        <w:tc>
          <w:tcPr>
            <w:tcW w:w="106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32,007</w:t>
            </w:r>
          </w:p>
        </w:tc>
        <w:tc>
          <w:tcPr>
            <w:tcW w:w="10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16,526</w:t>
            </w:r>
          </w:p>
        </w:tc>
        <w:tc>
          <w:tcPr>
            <w:tcW w:w="10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8.5%</w:t>
            </w:r>
          </w:p>
        </w:tc>
        <w:tc>
          <w:tcPr>
            <w:tcW w:w="22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110.1%</w:t>
            </w:r>
          </w:p>
        </w:tc>
        <w:tc>
          <w:tcPr>
            <w:tcW w:w="10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112,580</w:t>
            </w:r>
          </w:p>
        </w:tc>
        <w:tc>
          <w:tcPr>
            <w:tcW w:w="20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54,744</w:t>
            </w:r>
          </w:p>
        </w:tc>
        <w:tc>
          <w:tcPr>
            <w:tcW w:w="92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105.6%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tcPr>
          <w:p>
            <w:pPr>
              <w:ind w:left="160"/>
              <w:spacing w:after="0" w:line="135" w:lineRule="exact"/>
              <w:rPr>
                <w:sz w:val="20"/>
                <w:szCs w:val="20"/>
                <w:color w:val="auto"/>
              </w:rPr>
            </w:pPr>
            <w:r>
              <w:rPr>
                <w:rFonts w:ascii="Arial" w:cs="Arial" w:eastAsia="Arial" w:hAnsi="Arial"/>
                <w:sz w:val="13"/>
                <w:szCs w:val="13"/>
                <w:color w:val="auto"/>
              </w:rPr>
              <w:t>Other</w:t>
            </w: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2,109</w:t>
            </w:r>
          </w:p>
        </w:tc>
        <w:tc>
          <w:tcPr>
            <w:tcW w:w="10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5,218</w:t>
            </w:r>
          </w:p>
        </w:tc>
        <w:tc>
          <w:tcPr>
            <w:tcW w:w="10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8,690</w:t>
            </w:r>
          </w:p>
        </w:tc>
        <w:tc>
          <w:tcPr>
            <w:tcW w:w="10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-59.6%</w:t>
            </w:r>
          </w:p>
        </w:tc>
        <w:tc>
          <w:tcPr>
            <w:tcW w:w="220" w:type="dxa"/>
            <w:vAlign w:val="bottom"/>
          </w:tcPr>
          <w:p>
            <w:pPr>
              <w:spacing w:after="0"/>
              <w:rPr>
                <w:sz w:val="11"/>
                <w:szCs w:val="11"/>
                <w:color w:val="auto"/>
              </w:rPr>
            </w:pP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-75.7%</w:t>
            </w: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27,315</w:t>
            </w:r>
          </w:p>
        </w:tc>
        <w:tc>
          <w:tcPr>
            <w:tcW w:w="20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25,312</w:t>
            </w:r>
          </w:p>
        </w:tc>
        <w:tc>
          <w:tcPr>
            <w:tcW w:w="9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7.9%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b w:val="1"/>
                <w:bCs w:val="1"/>
                <w:color w:val="auto"/>
              </w:rPr>
              <w:t>Total non financial income, net</w:t>
            </w:r>
          </w:p>
        </w:tc>
        <w:tc>
          <w:tcPr>
            <w:tcW w:w="10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290,576</w:t>
            </w:r>
          </w:p>
        </w:tc>
        <w:tc>
          <w:tcPr>
            <w:tcW w:w="106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275,636</w:t>
            </w:r>
          </w:p>
        </w:tc>
        <w:tc>
          <w:tcPr>
            <w:tcW w:w="10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223,600</w:t>
            </w:r>
          </w:p>
        </w:tc>
        <w:tc>
          <w:tcPr>
            <w:tcW w:w="10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5.4%</w:t>
            </w:r>
          </w:p>
        </w:tc>
        <w:tc>
          <w:tcPr>
            <w:tcW w:w="22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30.0%</w:t>
            </w:r>
          </w:p>
        </w:tc>
        <w:tc>
          <w:tcPr>
            <w:tcW w:w="10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1,054,788</w:t>
            </w:r>
          </w:p>
        </w:tc>
        <w:tc>
          <w:tcPr>
            <w:tcW w:w="20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826,391</w:t>
            </w:r>
          </w:p>
        </w:tc>
        <w:tc>
          <w:tcPr>
            <w:tcW w:w="92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27.6%</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32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Insurance premiums and claims</w:t>
            </w:r>
          </w:p>
        </w:tc>
        <w:tc>
          <w:tcPr>
            <w:tcW w:w="8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tcPr>
          <w:p>
            <w:pPr>
              <w:ind w:left="160"/>
              <w:spacing w:after="0" w:line="135" w:lineRule="exact"/>
              <w:rPr>
                <w:sz w:val="20"/>
                <w:szCs w:val="20"/>
                <w:color w:val="auto"/>
              </w:rPr>
            </w:pPr>
            <w:r>
              <w:rPr>
                <w:rFonts w:ascii="Arial" w:cs="Arial" w:eastAsia="Arial" w:hAnsi="Arial"/>
                <w:sz w:val="13"/>
                <w:szCs w:val="13"/>
                <w:color w:val="auto"/>
              </w:rPr>
              <w:t>Net premiums earned</w:t>
            </w: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190,782</w:t>
            </w:r>
          </w:p>
        </w:tc>
        <w:tc>
          <w:tcPr>
            <w:tcW w:w="10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182,995</w:t>
            </w:r>
          </w:p>
        </w:tc>
        <w:tc>
          <w:tcPr>
            <w:tcW w:w="10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149,219</w:t>
            </w:r>
          </w:p>
        </w:tc>
        <w:tc>
          <w:tcPr>
            <w:tcW w:w="10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4.3%</w:t>
            </w:r>
          </w:p>
        </w:tc>
        <w:tc>
          <w:tcPr>
            <w:tcW w:w="220" w:type="dxa"/>
            <w:vAlign w:val="bottom"/>
          </w:tcPr>
          <w:p>
            <w:pPr>
              <w:spacing w:after="0"/>
              <w:rPr>
                <w:sz w:val="11"/>
                <w:szCs w:val="11"/>
                <w:color w:val="auto"/>
              </w:rPr>
            </w:pP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27.9%</w:t>
            </w: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704,205</w:t>
            </w:r>
          </w:p>
        </w:tc>
        <w:tc>
          <w:tcPr>
            <w:tcW w:w="20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574,423</w:t>
            </w:r>
          </w:p>
        </w:tc>
        <w:tc>
          <w:tcPr>
            <w:tcW w:w="9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22.6%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Net claims incurred</w:t>
            </w:r>
          </w:p>
        </w:tc>
        <w:tc>
          <w:tcPr>
            <w:tcW w:w="104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(18,312)</w:t>
            </w:r>
          </w:p>
        </w:tc>
        <w:tc>
          <w:tcPr>
            <w:tcW w:w="10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(17,553)</w:t>
            </w:r>
          </w:p>
        </w:tc>
        <w:tc>
          <w:tcPr>
            <w:tcW w:w="102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(16,421)</w:t>
            </w:r>
          </w:p>
        </w:tc>
        <w:tc>
          <w:tcPr>
            <w:tcW w:w="10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4.3%</w:t>
            </w:r>
          </w:p>
        </w:tc>
        <w:tc>
          <w:tcPr>
            <w:tcW w:w="22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11.5%</w:t>
            </w:r>
          </w:p>
        </w:tc>
        <w:tc>
          <w:tcPr>
            <w:tcW w:w="10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(85,744)</w:t>
            </w:r>
          </w:p>
        </w:tc>
        <w:tc>
          <w:tcPr>
            <w:tcW w:w="20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(70,712)</w:t>
            </w:r>
          </w:p>
        </w:tc>
        <w:tc>
          <w:tcPr>
            <w:tcW w:w="92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21.3%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tcPr>
          <w:p>
            <w:pPr>
              <w:ind w:left="160"/>
              <w:spacing w:after="0" w:line="135" w:lineRule="exact"/>
              <w:rPr>
                <w:sz w:val="20"/>
                <w:szCs w:val="20"/>
                <w:color w:val="auto"/>
              </w:rPr>
            </w:pPr>
            <w:r>
              <w:rPr>
                <w:rFonts w:ascii="Arial" w:cs="Arial" w:eastAsia="Arial" w:hAnsi="Arial"/>
                <w:sz w:val="13"/>
                <w:szCs w:val="13"/>
                <w:color w:val="auto"/>
              </w:rPr>
              <w:t>Increase in cost for life and health policies</w:t>
            </w:r>
          </w:p>
        </w:tc>
        <w:tc>
          <w:tcPr>
            <w:tcW w:w="10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(96,508)</w:t>
            </w:r>
          </w:p>
        </w:tc>
        <w:tc>
          <w:tcPr>
            <w:tcW w:w="10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(93,034)</w:t>
            </w:r>
          </w:p>
        </w:tc>
        <w:tc>
          <w:tcPr>
            <w:tcW w:w="10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(88,383)</w:t>
            </w:r>
          </w:p>
        </w:tc>
        <w:tc>
          <w:tcPr>
            <w:tcW w:w="10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3.7%</w:t>
            </w:r>
          </w:p>
        </w:tc>
        <w:tc>
          <w:tcPr>
            <w:tcW w:w="220" w:type="dxa"/>
            <w:vAlign w:val="bottom"/>
          </w:tcPr>
          <w:p>
            <w:pPr>
              <w:spacing w:after="0"/>
              <w:rPr>
                <w:sz w:val="11"/>
                <w:szCs w:val="11"/>
                <w:color w:val="auto"/>
              </w:rPr>
            </w:pP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9.2%</w:t>
            </w:r>
          </w:p>
        </w:tc>
        <w:tc>
          <w:tcPr>
            <w:tcW w:w="10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(370,116)</w:t>
            </w:r>
          </w:p>
        </w:tc>
        <w:tc>
          <w:tcPr>
            <w:tcW w:w="20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(307,047)</w:t>
            </w:r>
          </w:p>
        </w:tc>
        <w:tc>
          <w:tcPr>
            <w:tcW w:w="9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20.5%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Net technical commissions and Expenses (1)</w:t>
            </w:r>
          </w:p>
        </w:tc>
        <w:tc>
          <w:tcPr>
            <w:tcW w:w="104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(15,701)</w:t>
            </w:r>
          </w:p>
        </w:tc>
        <w:tc>
          <w:tcPr>
            <w:tcW w:w="10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(25,690)</w:t>
            </w:r>
          </w:p>
        </w:tc>
        <w:tc>
          <w:tcPr>
            <w:tcW w:w="102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(18,213)</w:t>
            </w:r>
          </w:p>
        </w:tc>
        <w:tc>
          <w:tcPr>
            <w:tcW w:w="10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-38.9%</w:t>
            </w:r>
          </w:p>
        </w:tc>
        <w:tc>
          <w:tcPr>
            <w:tcW w:w="22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-13.8%</w:t>
            </w:r>
          </w:p>
        </w:tc>
        <w:tc>
          <w:tcPr>
            <w:tcW w:w="10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(96,111)</w:t>
            </w:r>
          </w:p>
        </w:tc>
        <w:tc>
          <w:tcPr>
            <w:tcW w:w="20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(78,140)</w:t>
            </w:r>
          </w:p>
        </w:tc>
        <w:tc>
          <w:tcPr>
            <w:tcW w:w="92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23.0%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tcPr>
          <w:p>
            <w:pPr>
              <w:ind w:left="160"/>
              <w:spacing w:after="0" w:line="135" w:lineRule="exact"/>
              <w:rPr>
                <w:sz w:val="20"/>
                <w:szCs w:val="20"/>
                <w:color w:val="auto"/>
              </w:rPr>
            </w:pPr>
            <w:r>
              <w:rPr>
                <w:rFonts w:ascii="Arial" w:cs="Arial" w:eastAsia="Arial" w:hAnsi="Arial"/>
                <w:sz w:val="13"/>
                <w:szCs w:val="13"/>
                <w:color w:val="auto"/>
              </w:rPr>
              <w:t>Total Insurance services technical result</w:t>
            </w: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60,261</w:t>
            </w:r>
          </w:p>
        </w:tc>
        <w:tc>
          <w:tcPr>
            <w:tcW w:w="10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46,718</w:t>
            </w:r>
          </w:p>
        </w:tc>
        <w:tc>
          <w:tcPr>
            <w:tcW w:w="10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26,201</w:t>
            </w:r>
          </w:p>
        </w:tc>
        <w:tc>
          <w:tcPr>
            <w:tcW w:w="10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29.0%</w:t>
            </w:r>
          </w:p>
        </w:tc>
        <w:tc>
          <w:tcPr>
            <w:tcW w:w="220" w:type="dxa"/>
            <w:vAlign w:val="bottom"/>
          </w:tcPr>
          <w:p>
            <w:pPr>
              <w:spacing w:after="0"/>
              <w:rPr>
                <w:sz w:val="11"/>
                <w:szCs w:val="11"/>
                <w:color w:val="auto"/>
              </w:rPr>
            </w:pP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130.0%</w:t>
            </w: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152,233</w:t>
            </w:r>
          </w:p>
        </w:tc>
        <w:tc>
          <w:tcPr>
            <w:tcW w:w="20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118,525</w:t>
            </w:r>
          </w:p>
        </w:tc>
        <w:tc>
          <w:tcPr>
            <w:tcW w:w="9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28.4%</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32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320" w:type="dxa"/>
            <w:vAlign w:val="bottom"/>
          </w:tcPr>
          <w:p>
            <w:pPr>
              <w:spacing w:after="0" w:line="135" w:lineRule="exact"/>
              <w:rPr>
                <w:sz w:val="20"/>
                <w:szCs w:val="20"/>
                <w:color w:val="auto"/>
              </w:rPr>
            </w:pPr>
            <w:r>
              <w:rPr>
                <w:rFonts w:ascii="Arial" w:cs="Arial" w:eastAsia="Arial" w:hAnsi="Arial"/>
                <w:sz w:val="13"/>
                <w:szCs w:val="13"/>
                <w:b w:val="1"/>
                <w:bCs w:val="1"/>
                <w:color w:val="auto"/>
              </w:rPr>
              <w:t>Medical Services Technical Result (2)</w:t>
            </w:r>
          </w:p>
        </w:tc>
        <w:tc>
          <w:tcPr>
            <w:tcW w:w="104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auto"/>
              </w:rPr>
              <w:t>(1,829)</w:t>
            </w:r>
          </w:p>
        </w:tc>
        <w:tc>
          <w:tcPr>
            <w:tcW w:w="106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auto"/>
              </w:rPr>
              <w:t>(3,894)</w:t>
            </w:r>
          </w:p>
        </w:tc>
        <w:tc>
          <w:tcPr>
            <w:tcW w:w="102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1,344</w:t>
            </w:r>
          </w:p>
        </w:tc>
        <w:tc>
          <w:tcPr>
            <w:tcW w:w="102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-53.0%</w:t>
            </w:r>
          </w:p>
        </w:tc>
        <w:tc>
          <w:tcPr>
            <w:tcW w:w="22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-236.1%</w:t>
            </w:r>
          </w:p>
        </w:tc>
        <w:tc>
          <w:tcPr>
            <w:tcW w:w="1000" w:type="dxa"/>
            <w:vAlign w:val="bottom"/>
            <w:gridSpan w:val="2"/>
          </w:tcPr>
          <w:p>
            <w:pPr>
              <w:jc w:val="right"/>
              <w:ind w:right="180"/>
              <w:spacing w:after="0" w:line="135" w:lineRule="exact"/>
              <w:rPr>
                <w:sz w:val="20"/>
                <w:szCs w:val="20"/>
                <w:color w:val="auto"/>
              </w:rPr>
            </w:pPr>
            <w:r>
              <w:rPr>
                <w:rFonts w:ascii="Arial" w:cs="Arial" w:eastAsia="Arial" w:hAnsi="Arial"/>
                <w:sz w:val="13"/>
                <w:szCs w:val="13"/>
                <w:b w:val="1"/>
                <w:bCs w:val="1"/>
                <w:color w:val="auto"/>
              </w:rPr>
              <w:t>(2,134)</w:t>
            </w:r>
          </w:p>
        </w:tc>
        <w:tc>
          <w:tcPr>
            <w:tcW w:w="20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1,250</w:t>
            </w:r>
          </w:p>
        </w:tc>
        <w:tc>
          <w:tcPr>
            <w:tcW w:w="92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-270.7%</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32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320" w:type="dxa"/>
            <w:vAlign w:val="bottom"/>
          </w:tcPr>
          <w:p>
            <w:pPr>
              <w:spacing w:after="0" w:line="135" w:lineRule="exact"/>
              <w:rPr>
                <w:sz w:val="20"/>
                <w:szCs w:val="20"/>
                <w:color w:val="auto"/>
              </w:rPr>
            </w:pPr>
            <w:r>
              <w:rPr>
                <w:rFonts w:ascii="Arial" w:cs="Arial" w:eastAsia="Arial" w:hAnsi="Arial"/>
                <w:sz w:val="13"/>
                <w:szCs w:val="13"/>
                <w:b w:val="1"/>
                <w:bCs w:val="1"/>
                <w:color w:val="auto"/>
              </w:rPr>
              <w:t>Operating expenses</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Salaries and employees benefits</w:t>
            </w:r>
          </w:p>
        </w:tc>
        <w:tc>
          <w:tcPr>
            <w:tcW w:w="104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(222,089)</w:t>
            </w:r>
          </w:p>
        </w:tc>
        <w:tc>
          <w:tcPr>
            <w:tcW w:w="10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(195,891)</w:t>
            </w:r>
          </w:p>
        </w:tc>
        <w:tc>
          <w:tcPr>
            <w:tcW w:w="102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(165,319)</w:t>
            </w:r>
          </w:p>
        </w:tc>
        <w:tc>
          <w:tcPr>
            <w:tcW w:w="10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13.4%</w:t>
            </w:r>
          </w:p>
        </w:tc>
        <w:tc>
          <w:tcPr>
            <w:tcW w:w="22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34.3%</w:t>
            </w:r>
          </w:p>
        </w:tc>
        <w:tc>
          <w:tcPr>
            <w:tcW w:w="10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(759,128)</w:t>
            </w:r>
          </w:p>
        </w:tc>
        <w:tc>
          <w:tcPr>
            <w:tcW w:w="20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(588,691)</w:t>
            </w:r>
          </w:p>
        </w:tc>
        <w:tc>
          <w:tcPr>
            <w:tcW w:w="92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29.0%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tcPr>
          <w:p>
            <w:pPr>
              <w:ind w:left="160"/>
              <w:spacing w:after="0" w:line="135" w:lineRule="exact"/>
              <w:rPr>
                <w:sz w:val="20"/>
                <w:szCs w:val="20"/>
                <w:color w:val="auto"/>
              </w:rPr>
            </w:pPr>
            <w:r>
              <w:rPr>
                <w:rFonts w:ascii="Arial" w:cs="Arial" w:eastAsia="Arial" w:hAnsi="Arial"/>
                <w:sz w:val="13"/>
                <w:szCs w:val="13"/>
                <w:color w:val="auto"/>
              </w:rPr>
              <w:t>Administrative, general and tax expenses</w:t>
            </w:r>
          </w:p>
        </w:tc>
        <w:tc>
          <w:tcPr>
            <w:tcW w:w="10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(169,655)</w:t>
            </w:r>
          </w:p>
        </w:tc>
        <w:tc>
          <w:tcPr>
            <w:tcW w:w="10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(139,336)</w:t>
            </w:r>
          </w:p>
        </w:tc>
        <w:tc>
          <w:tcPr>
            <w:tcW w:w="10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(122,704)</w:t>
            </w:r>
          </w:p>
        </w:tc>
        <w:tc>
          <w:tcPr>
            <w:tcW w:w="10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21.8%</w:t>
            </w:r>
          </w:p>
        </w:tc>
        <w:tc>
          <w:tcPr>
            <w:tcW w:w="220" w:type="dxa"/>
            <w:vAlign w:val="bottom"/>
          </w:tcPr>
          <w:p>
            <w:pPr>
              <w:spacing w:after="0"/>
              <w:rPr>
                <w:sz w:val="11"/>
                <w:szCs w:val="11"/>
                <w:color w:val="auto"/>
              </w:rPr>
            </w:pP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38.3%</w:t>
            </w:r>
          </w:p>
        </w:tc>
        <w:tc>
          <w:tcPr>
            <w:tcW w:w="10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(536,727)</w:t>
            </w:r>
          </w:p>
        </w:tc>
        <w:tc>
          <w:tcPr>
            <w:tcW w:w="20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(406,194)</w:t>
            </w:r>
          </w:p>
        </w:tc>
        <w:tc>
          <w:tcPr>
            <w:tcW w:w="9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32.1%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Depreciation and amortization</w:t>
            </w:r>
          </w:p>
        </w:tc>
        <w:tc>
          <w:tcPr>
            <w:tcW w:w="104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(30,879)</w:t>
            </w:r>
          </w:p>
        </w:tc>
        <w:tc>
          <w:tcPr>
            <w:tcW w:w="10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(27,500)</w:t>
            </w:r>
          </w:p>
        </w:tc>
        <w:tc>
          <w:tcPr>
            <w:tcW w:w="102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(27,924)</w:t>
            </w:r>
          </w:p>
        </w:tc>
        <w:tc>
          <w:tcPr>
            <w:tcW w:w="10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12.3%</w:t>
            </w:r>
          </w:p>
        </w:tc>
        <w:tc>
          <w:tcPr>
            <w:tcW w:w="22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10.6%</w:t>
            </w:r>
          </w:p>
        </w:tc>
        <w:tc>
          <w:tcPr>
            <w:tcW w:w="10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(114,591)</w:t>
            </w:r>
          </w:p>
        </w:tc>
        <w:tc>
          <w:tcPr>
            <w:tcW w:w="20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(98,957)</w:t>
            </w:r>
          </w:p>
        </w:tc>
        <w:tc>
          <w:tcPr>
            <w:tcW w:w="92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15.8%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tcPr>
          <w:p>
            <w:pPr>
              <w:ind w:left="160"/>
              <w:spacing w:after="0" w:line="135" w:lineRule="exact"/>
              <w:rPr>
                <w:sz w:val="20"/>
                <w:szCs w:val="20"/>
                <w:color w:val="auto"/>
              </w:rPr>
            </w:pPr>
            <w:r>
              <w:rPr>
                <w:rFonts w:ascii="Arial" w:cs="Arial" w:eastAsia="Arial" w:hAnsi="Arial"/>
                <w:sz w:val="13"/>
                <w:szCs w:val="13"/>
                <w:color w:val="auto"/>
              </w:rPr>
              <w:t>Other</w:t>
            </w:r>
          </w:p>
        </w:tc>
        <w:tc>
          <w:tcPr>
            <w:tcW w:w="10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(15,842)</w:t>
            </w:r>
          </w:p>
        </w:tc>
        <w:tc>
          <w:tcPr>
            <w:tcW w:w="10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(5,089)</w:t>
            </w:r>
          </w:p>
        </w:tc>
        <w:tc>
          <w:tcPr>
            <w:tcW w:w="10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(10,995)</w:t>
            </w:r>
          </w:p>
        </w:tc>
        <w:tc>
          <w:tcPr>
            <w:tcW w:w="10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211.3%</w:t>
            </w:r>
          </w:p>
        </w:tc>
        <w:tc>
          <w:tcPr>
            <w:tcW w:w="220" w:type="dxa"/>
            <w:vAlign w:val="bottom"/>
          </w:tcPr>
          <w:p>
            <w:pPr>
              <w:spacing w:after="0"/>
              <w:rPr>
                <w:sz w:val="11"/>
                <w:szCs w:val="11"/>
                <w:color w:val="auto"/>
              </w:rPr>
            </w:pP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44.1%</w:t>
            </w:r>
          </w:p>
        </w:tc>
        <w:tc>
          <w:tcPr>
            <w:tcW w:w="10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(43,995)</w:t>
            </w:r>
          </w:p>
        </w:tc>
        <w:tc>
          <w:tcPr>
            <w:tcW w:w="20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(47,306)</w:t>
            </w:r>
          </w:p>
        </w:tc>
        <w:tc>
          <w:tcPr>
            <w:tcW w:w="9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-7.0%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b w:val="1"/>
                <w:bCs w:val="1"/>
                <w:color w:val="auto"/>
              </w:rPr>
              <w:t>Total operating expenses</w:t>
            </w:r>
          </w:p>
        </w:tc>
        <w:tc>
          <w:tcPr>
            <w:tcW w:w="104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b w:val="1"/>
                <w:bCs w:val="1"/>
                <w:color w:val="auto"/>
              </w:rPr>
              <w:t>(438,465)</w:t>
            </w:r>
          </w:p>
        </w:tc>
        <w:tc>
          <w:tcPr>
            <w:tcW w:w="10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b w:val="1"/>
                <w:bCs w:val="1"/>
                <w:color w:val="auto"/>
              </w:rPr>
              <w:t>(367,816)</w:t>
            </w:r>
          </w:p>
        </w:tc>
        <w:tc>
          <w:tcPr>
            <w:tcW w:w="102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b w:val="1"/>
                <w:bCs w:val="1"/>
                <w:color w:val="auto"/>
              </w:rPr>
              <w:t>(326,942)</w:t>
            </w:r>
          </w:p>
        </w:tc>
        <w:tc>
          <w:tcPr>
            <w:tcW w:w="10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19.2%</w:t>
            </w:r>
          </w:p>
        </w:tc>
        <w:tc>
          <w:tcPr>
            <w:tcW w:w="22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34.1%</w:t>
            </w:r>
          </w:p>
        </w:tc>
        <w:tc>
          <w:tcPr>
            <w:tcW w:w="10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b w:val="1"/>
                <w:bCs w:val="1"/>
                <w:color w:val="auto"/>
              </w:rPr>
              <w:t>(1,454,441)</w:t>
            </w:r>
          </w:p>
        </w:tc>
        <w:tc>
          <w:tcPr>
            <w:tcW w:w="20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b w:val="1"/>
                <w:bCs w:val="1"/>
                <w:color w:val="auto"/>
                <w:w w:val="90"/>
              </w:rPr>
              <w:t>(1,141,148)</w:t>
            </w:r>
          </w:p>
        </w:tc>
        <w:tc>
          <w:tcPr>
            <w:tcW w:w="92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27.5%</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32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Operating income (3)</w:t>
            </w:r>
          </w:p>
        </w:tc>
        <w:tc>
          <w:tcPr>
            <w:tcW w:w="10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238,315</w:t>
            </w:r>
          </w:p>
        </w:tc>
        <w:tc>
          <w:tcPr>
            <w:tcW w:w="106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271,458</w:t>
            </w:r>
          </w:p>
        </w:tc>
        <w:tc>
          <w:tcPr>
            <w:tcW w:w="10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209,046</w:t>
            </w:r>
          </w:p>
        </w:tc>
        <w:tc>
          <w:tcPr>
            <w:tcW w:w="10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-12.2%</w:t>
            </w:r>
          </w:p>
        </w:tc>
        <w:tc>
          <w:tcPr>
            <w:tcW w:w="22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14.0%</w:t>
            </w:r>
          </w:p>
        </w:tc>
        <w:tc>
          <w:tcPr>
            <w:tcW w:w="10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984,732</w:t>
            </w:r>
          </w:p>
        </w:tc>
        <w:tc>
          <w:tcPr>
            <w:tcW w:w="20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896,416</w:t>
            </w:r>
          </w:p>
        </w:tc>
        <w:tc>
          <w:tcPr>
            <w:tcW w:w="92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9.9%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tcPr>
          <w:p>
            <w:pPr>
              <w:ind w:left="160"/>
              <w:spacing w:after="0" w:line="135" w:lineRule="exact"/>
              <w:rPr>
                <w:sz w:val="20"/>
                <w:szCs w:val="20"/>
                <w:color w:val="auto"/>
              </w:rPr>
            </w:pPr>
            <w:r>
              <w:rPr>
                <w:rFonts w:ascii="Arial" w:cs="Arial" w:eastAsia="Arial" w:hAnsi="Arial"/>
                <w:sz w:val="13"/>
                <w:szCs w:val="13"/>
                <w:color w:val="auto"/>
              </w:rPr>
              <w:t>Translation result</w:t>
            </w: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30,475</w:t>
            </w:r>
          </w:p>
        </w:tc>
        <w:tc>
          <w:tcPr>
            <w:tcW w:w="10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33,105</w:t>
            </w:r>
          </w:p>
        </w:tc>
        <w:tc>
          <w:tcPr>
            <w:tcW w:w="10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31,433</w:t>
            </w:r>
          </w:p>
        </w:tc>
        <w:tc>
          <w:tcPr>
            <w:tcW w:w="10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-7.9%</w:t>
            </w:r>
          </w:p>
        </w:tc>
        <w:tc>
          <w:tcPr>
            <w:tcW w:w="220" w:type="dxa"/>
            <w:vAlign w:val="bottom"/>
          </w:tcPr>
          <w:p>
            <w:pPr>
              <w:spacing w:after="0"/>
              <w:rPr>
                <w:sz w:val="11"/>
                <w:szCs w:val="11"/>
                <w:color w:val="auto"/>
              </w:rPr>
            </w:pP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-3.0%</w:t>
            </w: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75,079</w:t>
            </w:r>
          </w:p>
        </w:tc>
        <w:tc>
          <w:tcPr>
            <w:tcW w:w="20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37,881</w:t>
            </w:r>
          </w:p>
        </w:tc>
        <w:tc>
          <w:tcPr>
            <w:tcW w:w="9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98.2%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Income taxes</w:t>
            </w:r>
          </w:p>
        </w:tc>
        <w:tc>
          <w:tcPr>
            <w:tcW w:w="104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(61,585)</w:t>
            </w:r>
          </w:p>
        </w:tc>
        <w:tc>
          <w:tcPr>
            <w:tcW w:w="10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(71,351)</w:t>
            </w:r>
          </w:p>
        </w:tc>
        <w:tc>
          <w:tcPr>
            <w:tcW w:w="102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(48,021)</w:t>
            </w:r>
          </w:p>
        </w:tc>
        <w:tc>
          <w:tcPr>
            <w:tcW w:w="10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-13.7%</w:t>
            </w:r>
          </w:p>
        </w:tc>
        <w:tc>
          <w:tcPr>
            <w:tcW w:w="22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28.2%</w:t>
            </w:r>
          </w:p>
        </w:tc>
        <w:tc>
          <w:tcPr>
            <w:tcW w:w="10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(251,583)</w:t>
            </w:r>
          </w:p>
        </w:tc>
        <w:tc>
          <w:tcPr>
            <w:tcW w:w="20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(210,508)</w:t>
            </w:r>
          </w:p>
        </w:tc>
        <w:tc>
          <w:tcPr>
            <w:tcW w:w="92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19.5%</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32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Net income</w:t>
            </w:r>
          </w:p>
        </w:tc>
        <w:tc>
          <w:tcPr>
            <w:tcW w:w="10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207,204</w:t>
            </w:r>
          </w:p>
        </w:tc>
        <w:tc>
          <w:tcPr>
            <w:tcW w:w="106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233,212</w:t>
            </w:r>
          </w:p>
        </w:tc>
        <w:tc>
          <w:tcPr>
            <w:tcW w:w="10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192,458</w:t>
            </w:r>
          </w:p>
        </w:tc>
        <w:tc>
          <w:tcPr>
            <w:tcW w:w="10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-11.2%</w:t>
            </w:r>
          </w:p>
        </w:tc>
        <w:tc>
          <w:tcPr>
            <w:tcW w:w="22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7.7%</w:t>
            </w:r>
          </w:p>
        </w:tc>
        <w:tc>
          <w:tcPr>
            <w:tcW w:w="10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808,228</w:t>
            </w:r>
          </w:p>
        </w:tc>
        <w:tc>
          <w:tcPr>
            <w:tcW w:w="20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723,790</w:t>
            </w:r>
          </w:p>
        </w:tc>
        <w:tc>
          <w:tcPr>
            <w:tcW w:w="92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11.7%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tcPr>
          <w:p>
            <w:pPr>
              <w:spacing w:after="0" w:line="135" w:lineRule="exact"/>
              <w:rPr>
                <w:sz w:val="20"/>
                <w:szCs w:val="20"/>
                <w:color w:val="auto"/>
              </w:rPr>
            </w:pPr>
            <w:r>
              <w:rPr>
                <w:rFonts w:ascii="Arial" w:cs="Arial" w:eastAsia="Arial" w:hAnsi="Arial"/>
                <w:sz w:val="13"/>
                <w:szCs w:val="13"/>
                <w:color w:val="auto"/>
              </w:rPr>
              <w:t>Minority interest</w:t>
            </w: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7,016</w:t>
            </w:r>
          </w:p>
        </w:tc>
        <w:tc>
          <w:tcPr>
            <w:tcW w:w="10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5,681</w:t>
            </w:r>
          </w:p>
        </w:tc>
        <w:tc>
          <w:tcPr>
            <w:tcW w:w="10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3,277</w:t>
            </w:r>
          </w:p>
        </w:tc>
        <w:tc>
          <w:tcPr>
            <w:tcW w:w="10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23.5%</w:t>
            </w:r>
          </w:p>
        </w:tc>
        <w:tc>
          <w:tcPr>
            <w:tcW w:w="220" w:type="dxa"/>
            <w:vAlign w:val="bottom"/>
          </w:tcPr>
          <w:p>
            <w:pPr>
              <w:spacing w:after="0"/>
              <w:rPr>
                <w:sz w:val="11"/>
                <w:szCs w:val="11"/>
                <w:color w:val="auto"/>
              </w:rPr>
            </w:pP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114.1%</w:t>
            </w: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19,449</w:t>
            </w:r>
          </w:p>
        </w:tc>
        <w:tc>
          <w:tcPr>
            <w:tcW w:w="20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14,518</w:t>
            </w:r>
          </w:p>
        </w:tc>
        <w:tc>
          <w:tcPr>
            <w:tcW w:w="9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34.0%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FFCC"/>
          </w:tcPr>
          <w:p>
            <w:pPr>
              <w:spacing w:after="0"/>
              <w:rPr>
                <w:sz w:val="20"/>
                <w:szCs w:val="20"/>
                <w:color w:val="auto"/>
              </w:rPr>
            </w:pPr>
            <w:r>
              <w:rPr>
                <w:rFonts w:ascii="Arial" w:cs="Arial" w:eastAsia="Arial" w:hAnsi="Arial"/>
                <w:sz w:val="13"/>
                <w:szCs w:val="13"/>
                <w:b w:val="1"/>
                <w:bCs w:val="1"/>
                <w:color w:val="auto"/>
              </w:rPr>
              <w:t>Net income attributed to Credicorp</w:t>
            </w:r>
          </w:p>
        </w:tc>
        <w:tc>
          <w:tcPr>
            <w:tcW w:w="1040" w:type="dxa"/>
            <w:vAlign w:val="bottom"/>
            <w:gridSpan w:val="2"/>
            <w:shd w:val="clear" w:color="auto" w:fill="CCFFCC"/>
          </w:tcPr>
          <w:p>
            <w:pPr>
              <w:jc w:val="right"/>
              <w:ind w:right="240"/>
              <w:spacing w:after="0"/>
              <w:rPr>
                <w:sz w:val="20"/>
                <w:szCs w:val="20"/>
                <w:color w:val="auto"/>
              </w:rPr>
            </w:pPr>
            <w:r>
              <w:rPr>
                <w:rFonts w:ascii="Arial" w:cs="Arial" w:eastAsia="Arial" w:hAnsi="Arial"/>
                <w:sz w:val="13"/>
                <w:szCs w:val="13"/>
                <w:b w:val="1"/>
                <w:bCs w:val="1"/>
                <w:color w:val="auto"/>
              </w:rPr>
              <w:t>200,189</w:t>
            </w:r>
          </w:p>
        </w:tc>
        <w:tc>
          <w:tcPr>
            <w:tcW w:w="1060" w:type="dxa"/>
            <w:vAlign w:val="bottom"/>
            <w:gridSpan w:val="2"/>
            <w:shd w:val="clear" w:color="auto" w:fill="CCFFCC"/>
          </w:tcPr>
          <w:p>
            <w:pPr>
              <w:jc w:val="right"/>
              <w:ind w:right="240"/>
              <w:spacing w:after="0"/>
              <w:rPr>
                <w:sz w:val="20"/>
                <w:szCs w:val="20"/>
                <w:color w:val="auto"/>
              </w:rPr>
            </w:pPr>
            <w:r>
              <w:rPr>
                <w:rFonts w:ascii="Arial" w:cs="Arial" w:eastAsia="Arial" w:hAnsi="Arial"/>
                <w:sz w:val="13"/>
                <w:szCs w:val="13"/>
                <w:b w:val="1"/>
                <w:bCs w:val="1"/>
                <w:color w:val="auto"/>
              </w:rPr>
              <w:t>227,531</w:t>
            </w: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b w:val="1"/>
                <w:bCs w:val="1"/>
                <w:color w:val="auto"/>
              </w:rPr>
              <w:t>189,180</w:t>
            </w: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b w:val="1"/>
                <w:bCs w:val="1"/>
                <w:color w:val="auto"/>
              </w:rPr>
              <w:t>-12.0%</w:t>
            </w:r>
          </w:p>
        </w:tc>
        <w:tc>
          <w:tcPr>
            <w:tcW w:w="22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b w:val="1"/>
                <w:bCs w:val="1"/>
                <w:color w:val="auto"/>
              </w:rPr>
              <w:t>5.8%</w:t>
            </w: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b w:val="1"/>
                <w:bCs w:val="1"/>
                <w:color w:val="auto"/>
              </w:rPr>
              <w:t>788,779</w:t>
            </w:r>
          </w:p>
        </w:tc>
        <w:tc>
          <w:tcPr>
            <w:tcW w:w="20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b w:val="1"/>
                <w:bCs w:val="1"/>
                <w:color w:val="auto"/>
              </w:rPr>
              <w:t>709,272</w:t>
            </w:r>
          </w:p>
        </w:tc>
        <w:tc>
          <w:tcPr>
            <w:tcW w:w="920" w:type="dxa"/>
            <w:vAlign w:val="bottom"/>
            <w:gridSpan w:val="2"/>
            <w:shd w:val="clear" w:color="auto" w:fill="CCFFCC"/>
          </w:tcPr>
          <w:p>
            <w:pPr>
              <w:jc w:val="right"/>
              <w:spacing w:after="0"/>
              <w:rPr>
                <w:sz w:val="20"/>
                <w:szCs w:val="20"/>
                <w:color w:val="auto"/>
              </w:rPr>
            </w:pPr>
            <w:r>
              <w:rPr>
                <w:rFonts w:ascii="Arial" w:cs="Arial" w:eastAsia="Arial" w:hAnsi="Arial"/>
                <w:sz w:val="13"/>
                <w:szCs w:val="13"/>
                <w:b w:val="1"/>
                <w:bCs w:val="1"/>
                <w:color w:val="auto"/>
              </w:rPr>
              <w:t>11.2%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60" w:hanging="252"/>
        <w:spacing w:after="0"/>
        <w:tabs>
          <w:tab w:leader="none" w:pos="260" w:val="left"/>
        </w:tabs>
        <w:numPr>
          <w:ilvl w:val="0"/>
          <w:numId w:val="32"/>
        </w:numPr>
        <w:rPr>
          <w:rFonts w:ascii="Arial" w:cs="Arial" w:eastAsia="Arial" w:hAnsi="Arial"/>
          <w:sz w:val="17"/>
          <w:szCs w:val="17"/>
          <w:i w:val="1"/>
          <w:iCs w:val="1"/>
          <w:color w:val="auto"/>
        </w:rPr>
      </w:pPr>
      <w:r>
        <w:rPr>
          <w:rFonts w:ascii="Arial" w:cs="Arial" w:eastAsia="Arial" w:hAnsi="Arial"/>
          <w:sz w:val="17"/>
          <w:szCs w:val="17"/>
          <w:i w:val="1"/>
          <w:iCs w:val="1"/>
          <w:color w:val="auto"/>
        </w:rPr>
        <w:t>For 3Q11, Other non financial income has been reclassified and now excludes: a) Medical services technical result and b) Underwriting income.</w:t>
      </w:r>
    </w:p>
    <w:p>
      <w:pPr>
        <w:spacing w:after="0" w:line="20" w:lineRule="exact"/>
        <w:rPr>
          <w:rFonts w:ascii="Arial" w:cs="Arial" w:eastAsia="Arial" w:hAnsi="Arial"/>
          <w:sz w:val="17"/>
          <w:szCs w:val="17"/>
          <w:i w:val="1"/>
          <w:iCs w:val="1"/>
          <w:color w:val="auto"/>
        </w:rPr>
      </w:pPr>
    </w:p>
    <w:p>
      <w:pPr>
        <w:ind w:left="260" w:hanging="252"/>
        <w:spacing w:after="0"/>
        <w:tabs>
          <w:tab w:leader="none" w:pos="260" w:val="left"/>
        </w:tabs>
        <w:numPr>
          <w:ilvl w:val="0"/>
          <w:numId w:val="32"/>
        </w:numPr>
        <w:rPr>
          <w:rFonts w:ascii="Arial" w:cs="Arial" w:eastAsia="Arial" w:hAnsi="Arial"/>
          <w:sz w:val="17"/>
          <w:szCs w:val="17"/>
          <w:i w:val="1"/>
          <w:iCs w:val="1"/>
          <w:color w:val="auto"/>
        </w:rPr>
      </w:pPr>
      <w:r>
        <w:rPr>
          <w:rFonts w:ascii="Arial" w:cs="Arial" w:eastAsia="Arial" w:hAnsi="Arial"/>
          <w:sz w:val="17"/>
          <w:szCs w:val="17"/>
          <w:i w:val="1"/>
          <w:iCs w:val="1"/>
          <w:color w:val="auto"/>
        </w:rPr>
        <w:t>This item was used to be included in Other operating expenses until 1Q12. It refers to Commisions over insurance and reinsurance premiums.</w:t>
      </w:r>
    </w:p>
    <w:p>
      <w:pPr>
        <w:spacing w:after="0" w:line="20" w:lineRule="exact"/>
        <w:rPr>
          <w:rFonts w:ascii="Arial" w:cs="Arial" w:eastAsia="Arial" w:hAnsi="Arial"/>
          <w:sz w:val="17"/>
          <w:szCs w:val="17"/>
          <w:i w:val="1"/>
          <w:iCs w:val="1"/>
          <w:color w:val="auto"/>
        </w:rPr>
      </w:pPr>
    </w:p>
    <w:p>
      <w:pPr>
        <w:ind w:right="380" w:firstLine="8"/>
        <w:spacing w:after="0" w:line="250" w:lineRule="auto"/>
        <w:tabs>
          <w:tab w:leader="none" w:pos="255"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Gross margin from clinics: income from medical care minus operating expenses related to medical services. This item was reported under Other non-financial income until 1Q12.</w:t>
      </w:r>
    </w:p>
    <w:p>
      <w:pPr>
        <w:ind w:right="400" w:firstLine="8"/>
        <w:spacing w:after="0" w:line="250" w:lineRule="auto"/>
        <w:tabs>
          <w:tab w:leader="none" w:pos="255"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Other operating expenses now excludes Net technical commisions and expenses but includes the underwriting income that was used to be included in Other non-financial income until 1Q12.</w:t>
      </w:r>
    </w:p>
    <w:p>
      <w:pPr>
        <w:ind w:left="260" w:hanging="252"/>
        <w:spacing w:after="0"/>
        <w:tabs>
          <w:tab w:leader="none" w:pos="260"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Income before translation results and income taxes.</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0" w:name="page51"/>
    <w:bookmarkEnd w:id="50"/>
    <w:p>
      <w:pPr>
        <w:spacing w:after="0" w:line="1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6254750</wp:posOffset>
            </wp:positionH>
            <wp:positionV relativeFrom="page">
              <wp:posOffset>568960</wp:posOffset>
            </wp:positionV>
            <wp:extent cx="1149350" cy="3175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r>
    </w:p>
    <w:p>
      <w:pPr>
        <w:ind w:left="4080"/>
        <w:spacing w:after="0"/>
        <w:rPr>
          <w:sz w:val="20"/>
          <w:szCs w:val="20"/>
          <w:color w:val="auto"/>
        </w:rPr>
      </w:pPr>
      <w:r>
        <w:rPr>
          <w:rFonts w:ascii="Arial" w:cs="Arial" w:eastAsia="Arial" w:hAnsi="Arial"/>
          <w:sz w:val="18"/>
          <w:szCs w:val="18"/>
          <w:b w:val="1"/>
          <w:bCs w:val="1"/>
          <w:color w:val="auto"/>
        </w:rPr>
        <w:t>CREDICORP LTD. AND SUBSIDIARIES</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SELECTED FINANCIAL INDICATORS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Quarter</w:t>
            </w: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40" w:type="dxa"/>
            <w:vAlign w:val="bottom"/>
            <w:gridSpan w:val="4"/>
          </w:tcPr>
          <w:p>
            <w:pPr>
              <w:jc w:val="right"/>
              <w:ind w:right="76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4Q12</w:t>
            </w:r>
          </w:p>
        </w:tc>
        <w:tc>
          <w:tcPr>
            <w:tcW w:w="11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3Q12</w:t>
            </w:r>
          </w:p>
        </w:tc>
        <w:tc>
          <w:tcPr>
            <w:tcW w:w="11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4Q11</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Dec 12</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Dec 11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4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Profitability</w:t>
            </w:r>
          </w:p>
        </w:tc>
        <w:tc>
          <w:tcPr>
            <w:tcW w:w="9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Net income per common share (US$ per share)(1)</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2.51</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2.85</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2.37</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9.89</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Net interest margin on interest earning assets (2)</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5.01%</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5.19%</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5.23%</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5.09%</w:t>
            </w: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Return on average total assets (2)(3)</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Return on average shareholders' equity (2)(3)</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19.6%</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23.7%</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23.4%</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21.1%</w:t>
            </w: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No. of outstanding shares (millions)(4)</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79.76</w:t>
            </w:r>
          </w:p>
        </w:tc>
        <w:tc>
          <w:tcPr>
            <w:tcW w:w="920" w:type="dxa"/>
            <w:vAlign w:val="bottom"/>
          </w:tcPr>
          <w:p>
            <w:pPr>
              <w:jc w:val="right"/>
              <w:spacing w:after="0"/>
              <w:rPr>
                <w:sz w:val="20"/>
                <w:szCs w:val="20"/>
                <w:color w:val="auto"/>
              </w:rPr>
            </w:pPr>
            <w:r>
              <w:rPr>
                <w:rFonts w:ascii="Arial" w:cs="Arial" w:eastAsia="Arial" w:hAnsi="Arial"/>
                <w:sz w:val="18"/>
                <w:szCs w:val="18"/>
                <w:color w:val="auto"/>
              </w:rPr>
              <w:t>79.76</w:t>
            </w: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79.76</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79.76</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79.76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b w:val="1"/>
                <w:bCs w:val="1"/>
                <w:color w:val="auto"/>
              </w:rPr>
              <w:t>Quality of loan portfolio</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PDL ratio</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1.73%</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1.73%</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1.49%</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1.73%</w:t>
            </w: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320"/>
              <w:spacing w:after="0"/>
              <w:rPr>
                <w:sz w:val="20"/>
                <w:szCs w:val="20"/>
                <w:color w:val="auto"/>
              </w:rPr>
            </w:pPr>
            <w:r>
              <w:rPr>
                <w:rFonts w:ascii="Arial" w:cs="Arial" w:eastAsia="Arial" w:hAnsi="Arial"/>
                <w:sz w:val="18"/>
                <w:szCs w:val="18"/>
                <w:color w:val="auto"/>
              </w:rPr>
              <w:t>NPL ratio</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2.39%</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2.39%</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2.03%</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2.39%</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Coverage of PDLs</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187.7%</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191.3%</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200.5%</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187.7%</w:t>
            </w: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320"/>
              <w:spacing w:after="0"/>
              <w:rPr>
                <w:sz w:val="20"/>
                <w:szCs w:val="20"/>
                <w:color w:val="auto"/>
              </w:rPr>
            </w:pPr>
            <w:r>
              <w:rPr>
                <w:rFonts w:ascii="Arial" w:cs="Arial" w:eastAsia="Arial" w:hAnsi="Arial"/>
                <w:sz w:val="18"/>
                <w:szCs w:val="18"/>
                <w:color w:val="auto"/>
              </w:rPr>
              <w:t>Coverage of NPLs</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136.0%</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138.6%</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146.6%</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136.0%</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Reserves for loan losses / Total loans</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3.25%</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3.31%</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2.98%</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3.25%</w:t>
            </w: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Operating efficiency</w:t>
            </w:r>
          </w:p>
        </w:tc>
        <w:tc>
          <w:tcPr>
            <w:tcW w:w="9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Oper. expenses as a percent. of total income (5)</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48.3%</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43.4%</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44.9%</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43.7%</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Oper. expenses as a percent. of av. tot. assets(2)(3)(5)</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4.3%</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4.0%</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4.2%</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3.9%</w:t>
            </w: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Average balances (millions of US$) (3)</w:t>
            </w:r>
          </w:p>
        </w:tc>
        <w:tc>
          <w:tcPr>
            <w:tcW w:w="9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Interest earning assets</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34,404</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32,030</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27,192</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31,706</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26,328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Total assets</w:t>
            </w:r>
          </w:p>
        </w:tc>
        <w:tc>
          <w:tcPr>
            <w:tcW w:w="11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39,424</w:t>
            </w:r>
          </w:p>
        </w:tc>
        <w:tc>
          <w:tcPr>
            <w:tcW w:w="11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36,390</w:t>
            </w:r>
          </w:p>
        </w:tc>
        <w:tc>
          <w:tcPr>
            <w:tcW w:w="11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30,286</w:t>
            </w:r>
          </w:p>
        </w:tc>
        <w:tc>
          <w:tcPr>
            <w:tcW w:w="11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35,801</w:t>
            </w: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29,596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Net shareholder's equity</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4,088</w:t>
            </w:r>
          </w:p>
        </w:tc>
        <w:tc>
          <w:tcPr>
            <w:tcW w:w="920" w:type="dxa"/>
            <w:vAlign w:val="bottom"/>
          </w:tcPr>
          <w:p>
            <w:pPr>
              <w:jc w:val="right"/>
              <w:spacing w:after="0"/>
              <w:rPr>
                <w:sz w:val="20"/>
                <w:szCs w:val="20"/>
                <w:color w:val="auto"/>
              </w:rPr>
            </w:pPr>
            <w:r>
              <w:rPr>
                <w:rFonts w:ascii="Arial" w:cs="Arial" w:eastAsia="Arial" w:hAnsi="Arial"/>
                <w:sz w:val="18"/>
                <w:szCs w:val="18"/>
                <w:color w:val="auto"/>
              </w:rPr>
              <w:t>3,841</w:t>
            </w: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3,234</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3,744</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3,022</w:t>
            </w: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33"/>
        </w:numPr>
        <w:rPr>
          <w:rFonts w:ascii="Arial" w:cs="Arial" w:eastAsia="Arial" w:hAnsi="Arial"/>
          <w:sz w:val="18"/>
          <w:szCs w:val="18"/>
          <w:i w:val="1"/>
          <w:iCs w:val="1"/>
          <w:color w:val="auto"/>
        </w:rPr>
      </w:pPr>
      <w:r>
        <w:rPr>
          <w:rFonts w:ascii="Arial" w:cs="Arial" w:eastAsia="Arial" w:hAnsi="Arial"/>
          <w:sz w:val="18"/>
          <w:szCs w:val="18"/>
          <w:i w:val="1"/>
          <w:iCs w:val="1"/>
          <w:color w:val="auto"/>
        </w:rPr>
        <w:t>Based on Net Income attributed to BAP. Number of shares outstanding of 79.8 million in all periods.</w:t>
      </w:r>
    </w:p>
    <w:p>
      <w:pPr>
        <w:spacing w:after="0" w:line="7" w:lineRule="exact"/>
        <w:rPr>
          <w:rFonts w:ascii="Arial" w:cs="Arial" w:eastAsia="Arial" w:hAnsi="Arial"/>
          <w:sz w:val="18"/>
          <w:szCs w:val="18"/>
          <w:i w:val="1"/>
          <w:iCs w:val="1"/>
          <w:color w:val="auto"/>
        </w:rPr>
      </w:pPr>
    </w:p>
    <w:p>
      <w:pPr>
        <w:ind w:left="260" w:hanging="252"/>
        <w:spacing w:after="0"/>
        <w:tabs>
          <w:tab w:leader="none" w:pos="260" w:val="left"/>
        </w:tabs>
        <w:numPr>
          <w:ilvl w:val="0"/>
          <w:numId w:val="33"/>
        </w:numPr>
        <w:rPr>
          <w:rFonts w:ascii="Arial" w:cs="Arial" w:eastAsia="Arial" w:hAnsi="Arial"/>
          <w:sz w:val="18"/>
          <w:szCs w:val="18"/>
          <w:i w:val="1"/>
          <w:iCs w:val="1"/>
          <w:color w:val="auto"/>
        </w:rPr>
      </w:pPr>
      <w:r>
        <w:rPr>
          <w:rFonts w:ascii="Arial" w:cs="Arial" w:eastAsia="Arial" w:hAnsi="Arial"/>
          <w:sz w:val="18"/>
          <w:szCs w:val="18"/>
          <w:i w:val="1"/>
          <w:iCs w:val="1"/>
          <w:color w:val="auto"/>
        </w:rPr>
        <w:t>Ratios are annualized.</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33"/>
        </w:numPr>
        <w:rPr>
          <w:rFonts w:ascii="Arial" w:cs="Arial" w:eastAsia="Arial" w:hAnsi="Arial"/>
          <w:sz w:val="18"/>
          <w:szCs w:val="18"/>
          <w:i w:val="1"/>
          <w:iCs w:val="1"/>
          <w:color w:val="auto"/>
        </w:rPr>
      </w:pPr>
      <w:r>
        <w:rPr>
          <w:rFonts w:ascii="Arial" w:cs="Arial" w:eastAsia="Arial" w:hAnsi="Arial"/>
          <w:sz w:val="18"/>
          <w:szCs w:val="18"/>
          <w:i w:val="1"/>
          <w:iCs w:val="1"/>
          <w:color w:val="auto"/>
        </w:rPr>
        <w:t>Averages are determined as the average of period-beginning and period-ending balances.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33"/>
        </w:numPr>
        <w:rPr>
          <w:rFonts w:ascii="Arial" w:cs="Arial" w:eastAsia="Arial" w:hAnsi="Arial"/>
          <w:sz w:val="18"/>
          <w:szCs w:val="18"/>
          <w:i w:val="1"/>
          <w:iCs w:val="1"/>
          <w:color w:val="auto"/>
        </w:rPr>
      </w:pPr>
      <w:r>
        <w:rPr>
          <w:rFonts w:ascii="Arial" w:cs="Arial" w:eastAsia="Arial" w:hAnsi="Arial"/>
          <w:sz w:val="18"/>
          <w:szCs w:val="18"/>
          <w:i w:val="1"/>
          <w:iCs w:val="1"/>
          <w:color w:val="auto"/>
        </w:rPr>
        <w:t>Net of treasury shares. The total number of shares was of 94.38 million.</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33"/>
        </w:numPr>
        <w:rPr>
          <w:rFonts w:ascii="Arial" w:cs="Arial" w:eastAsia="Arial" w:hAnsi="Arial"/>
          <w:sz w:val="18"/>
          <w:szCs w:val="18"/>
          <w:i w:val="1"/>
          <w:iCs w:val="1"/>
          <w:color w:val="auto"/>
        </w:rPr>
      </w:pPr>
      <w:r>
        <w:rPr>
          <w:rFonts w:ascii="Arial" w:cs="Arial" w:eastAsia="Arial" w:hAnsi="Arial"/>
          <w:sz w:val="18"/>
          <w:szCs w:val="18"/>
          <w:i w:val="1"/>
          <w:iCs w:val="1"/>
          <w:color w:val="auto"/>
        </w:rPr>
        <w:t>Total income includes net interest income, fee income, net gain on foreign exchange transactions and net premiums earned.</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1" w:name="page52"/>
    <w:bookmarkEnd w:id="51"/>
    <w:p>
      <w:pPr>
        <w:spacing w:after="0" w:line="1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6254750</wp:posOffset>
            </wp:positionH>
            <wp:positionV relativeFrom="page">
              <wp:posOffset>568960</wp:posOffset>
            </wp:positionV>
            <wp:extent cx="1149350" cy="3175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thousands, IFRS)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As of</w:t>
            </w: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3"/>
          </w:tcPr>
          <w:p>
            <w:pPr>
              <w:ind w:left="820"/>
              <w:spacing w:after="0"/>
              <w:rPr>
                <w:sz w:val="20"/>
                <w:szCs w:val="20"/>
                <w:color w:val="auto"/>
              </w:rPr>
            </w:pPr>
            <w:r>
              <w:rPr>
                <w:rFonts w:ascii="Arial" w:cs="Arial" w:eastAsia="Arial" w:hAnsi="Arial"/>
                <w:sz w:val="14"/>
                <w:szCs w:val="14"/>
                <w:b w:val="1"/>
                <w:bCs w:val="1"/>
                <w:color w:val="auto"/>
              </w:rPr>
              <w:t>Change %</w:t>
            </w: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Dec 12</w:t>
            </w:r>
          </w:p>
        </w:tc>
        <w:tc>
          <w:tcPr>
            <w:tcW w:w="12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Sep 12</w:t>
            </w:r>
          </w:p>
        </w:tc>
        <w:tc>
          <w:tcPr>
            <w:tcW w:w="12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Dec 11</w:t>
            </w:r>
          </w:p>
        </w:tc>
        <w:tc>
          <w:tcPr>
            <w:tcW w:w="1560" w:type="dxa"/>
            <w:vAlign w:val="bottom"/>
            <w:gridSpan w:val="3"/>
          </w:tcPr>
          <w:p>
            <w:pPr>
              <w:ind w:left="360"/>
              <w:spacing w:after="0"/>
              <w:rPr>
                <w:sz w:val="20"/>
                <w:szCs w:val="20"/>
                <w:color w:val="auto"/>
              </w:rPr>
            </w:pPr>
            <w:r>
              <w:rPr>
                <w:rFonts w:ascii="Arial" w:cs="Arial" w:eastAsia="Arial" w:hAnsi="Arial"/>
                <w:sz w:val="14"/>
                <w:szCs w:val="14"/>
                <w:b w:val="1"/>
                <w:bCs w:val="1"/>
                <w:color w:val="auto"/>
              </w:rPr>
              <w:t>QoQ</w:t>
            </w:r>
          </w:p>
        </w:tc>
        <w:tc>
          <w:tcPr>
            <w:tcW w:w="8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YoY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tcBorders>
              <w:top w:val="single" w:sz="8" w:color="CCFFCC"/>
            </w:tcBorders>
            <w:shd w:val="clear" w:color="auto" w:fill="CCFFCC"/>
          </w:tcPr>
          <w:p>
            <w:pPr>
              <w:jc w:val="center"/>
              <w:ind w:right="68"/>
              <w:spacing w:after="0" w:line="142" w:lineRule="exact"/>
              <w:rPr>
                <w:sz w:val="20"/>
                <w:szCs w:val="20"/>
                <w:color w:val="auto"/>
              </w:rPr>
            </w:pPr>
            <w:r>
              <w:rPr>
                <w:rFonts w:ascii="Arial" w:cs="Arial" w:eastAsia="Arial" w:hAnsi="Arial"/>
                <w:sz w:val="14"/>
                <w:szCs w:val="14"/>
                <w:b w:val="1"/>
                <w:bCs w:val="1"/>
                <w:color w:val="auto"/>
                <w:w w:val="92"/>
              </w:rPr>
              <w:t>ASSETS</w:t>
            </w:r>
          </w:p>
        </w:tc>
        <w:tc>
          <w:tcPr>
            <w:tcW w:w="1040" w:type="dxa"/>
            <w:vAlign w:val="bottom"/>
            <w:tcBorders>
              <w:top w:val="single" w:sz="8" w:color="auto"/>
            </w:tcBorders>
            <w:shd w:val="clear" w:color="auto" w:fill="CCFFCC"/>
          </w:tcPr>
          <w:p>
            <w:pPr>
              <w:spacing w:after="0"/>
              <w:rPr>
                <w:sz w:val="12"/>
                <w:szCs w:val="12"/>
                <w:color w:val="auto"/>
              </w:rPr>
            </w:pPr>
          </w:p>
        </w:tc>
        <w:tc>
          <w:tcPr>
            <w:tcW w:w="220" w:type="dxa"/>
            <w:vAlign w:val="bottom"/>
            <w:tcBorders>
              <w:top w:val="single" w:sz="8" w:color="CCFFCC"/>
            </w:tcBorders>
            <w:shd w:val="clear" w:color="auto" w:fill="CCFFCC"/>
          </w:tcPr>
          <w:p>
            <w:pPr>
              <w:spacing w:after="0"/>
              <w:rPr>
                <w:sz w:val="12"/>
                <w:szCs w:val="12"/>
                <w:color w:val="auto"/>
              </w:rPr>
            </w:pPr>
          </w:p>
        </w:tc>
        <w:tc>
          <w:tcPr>
            <w:tcW w:w="1000" w:type="dxa"/>
            <w:vAlign w:val="bottom"/>
            <w:tcBorders>
              <w:top w:val="single" w:sz="8" w:color="auto"/>
            </w:tcBorders>
            <w:shd w:val="clear" w:color="auto" w:fill="CCFFCC"/>
          </w:tcPr>
          <w:p>
            <w:pPr>
              <w:spacing w:after="0"/>
              <w:rPr>
                <w:sz w:val="12"/>
                <w:szCs w:val="12"/>
                <w:color w:val="auto"/>
              </w:rPr>
            </w:pPr>
          </w:p>
        </w:tc>
        <w:tc>
          <w:tcPr>
            <w:tcW w:w="220" w:type="dxa"/>
            <w:vAlign w:val="bottom"/>
            <w:tcBorders>
              <w:top w:val="single" w:sz="8" w:color="CCFFCC"/>
            </w:tcBorders>
            <w:shd w:val="clear" w:color="auto" w:fill="CCFFCC"/>
          </w:tcPr>
          <w:p>
            <w:pPr>
              <w:spacing w:after="0"/>
              <w:rPr>
                <w:sz w:val="12"/>
                <w:szCs w:val="12"/>
                <w:color w:val="auto"/>
              </w:rPr>
            </w:pPr>
          </w:p>
        </w:tc>
        <w:tc>
          <w:tcPr>
            <w:tcW w:w="1020" w:type="dxa"/>
            <w:vAlign w:val="bottom"/>
            <w:tcBorders>
              <w:top w:val="single" w:sz="8" w:color="auto"/>
            </w:tcBorders>
            <w:shd w:val="clear" w:color="auto" w:fill="CCFFCC"/>
          </w:tcPr>
          <w:p>
            <w:pPr>
              <w:spacing w:after="0"/>
              <w:rPr>
                <w:sz w:val="12"/>
                <w:szCs w:val="12"/>
                <w:color w:val="auto"/>
              </w:rPr>
            </w:pPr>
          </w:p>
        </w:tc>
        <w:tc>
          <w:tcPr>
            <w:tcW w:w="200" w:type="dxa"/>
            <w:vAlign w:val="bottom"/>
            <w:tcBorders>
              <w:top w:val="single" w:sz="8" w:color="CCFFCC"/>
            </w:tcBorders>
            <w:shd w:val="clear" w:color="auto" w:fill="CCFFCC"/>
          </w:tcPr>
          <w:p>
            <w:pPr>
              <w:spacing w:after="0"/>
              <w:rPr>
                <w:sz w:val="12"/>
                <w:szCs w:val="12"/>
                <w:color w:val="auto"/>
              </w:rPr>
            </w:pPr>
          </w:p>
        </w:tc>
        <w:tc>
          <w:tcPr>
            <w:tcW w:w="1020" w:type="dxa"/>
            <w:vAlign w:val="bottom"/>
            <w:tcBorders>
              <w:top w:val="single" w:sz="8" w:color="auto"/>
            </w:tcBorders>
            <w:shd w:val="clear" w:color="auto" w:fill="CCFFCC"/>
          </w:tcPr>
          <w:p>
            <w:pPr>
              <w:spacing w:after="0"/>
              <w:rPr>
                <w:sz w:val="12"/>
                <w:szCs w:val="12"/>
                <w:color w:val="auto"/>
              </w:rPr>
            </w:pPr>
          </w:p>
        </w:tc>
        <w:tc>
          <w:tcPr>
            <w:tcW w:w="260" w:type="dxa"/>
            <w:vAlign w:val="bottom"/>
            <w:tcBorders>
              <w:top w:val="single" w:sz="8" w:color="CCFFCC"/>
            </w:tcBorders>
            <w:shd w:val="clear" w:color="auto" w:fill="CCFFCC"/>
          </w:tcPr>
          <w:p>
            <w:pPr>
              <w:spacing w:after="0"/>
              <w:rPr>
                <w:sz w:val="12"/>
                <w:szCs w:val="12"/>
                <w:color w:val="auto"/>
              </w:rPr>
            </w:pPr>
          </w:p>
        </w:tc>
        <w:tc>
          <w:tcPr>
            <w:tcW w:w="280" w:type="dxa"/>
            <w:vAlign w:val="bottom"/>
            <w:tcBorders>
              <w:top w:val="single" w:sz="8" w:color="auto"/>
            </w:tcBorders>
            <w:shd w:val="clear" w:color="auto" w:fill="CCFFCC"/>
          </w:tcPr>
          <w:p>
            <w:pPr>
              <w:spacing w:after="0"/>
              <w:rPr>
                <w:sz w:val="12"/>
                <w:szCs w:val="12"/>
                <w:color w:val="auto"/>
              </w:rPr>
            </w:pPr>
          </w:p>
        </w:tc>
        <w:tc>
          <w:tcPr>
            <w:tcW w:w="740" w:type="dxa"/>
            <w:vAlign w:val="bottom"/>
            <w:tcBorders>
              <w:top w:val="single" w:sz="8" w:color="auto"/>
            </w:tcBorders>
            <w:shd w:val="clear" w:color="auto" w:fill="CCFFCC"/>
          </w:tcPr>
          <w:p>
            <w:pPr>
              <w:spacing w:after="0"/>
              <w:rPr>
                <w:sz w:val="12"/>
                <w:szCs w:val="12"/>
                <w:color w:val="auto"/>
              </w:rPr>
            </w:pPr>
          </w:p>
        </w:tc>
        <w:tc>
          <w:tcPr>
            <w:tcW w:w="140" w:type="dxa"/>
            <w:vAlign w:val="bottom"/>
            <w:tcBorders>
              <w:top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Cash and due from banks</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7,635,137</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6,558,340</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5,526,116</w:t>
            </w:r>
          </w:p>
        </w:tc>
        <w:tc>
          <w:tcPr>
            <w:tcW w:w="12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16.4%</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38.2%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ind w:left="160"/>
              <w:spacing w:after="0" w:line="149" w:lineRule="exact"/>
              <w:rPr>
                <w:sz w:val="20"/>
                <w:szCs w:val="20"/>
                <w:color w:val="auto"/>
              </w:rPr>
            </w:pPr>
            <w:r>
              <w:rPr>
                <w:rFonts w:ascii="Arial" w:cs="Arial" w:eastAsia="Arial" w:hAnsi="Arial"/>
                <w:sz w:val="14"/>
                <w:szCs w:val="14"/>
                <w:color w:val="auto"/>
              </w:rPr>
              <w:t>Cash and BCRP</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7,106,421</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6,108,951</w:t>
            </w: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4,867,387</w:t>
            </w: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16.3%</w:t>
            </w:r>
          </w:p>
        </w:tc>
        <w:tc>
          <w:tcPr>
            <w:tcW w:w="280" w:type="dxa"/>
            <w:vAlign w:val="bottom"/>
          </w:tcPr>
          <w:p>
            <w:pPr>
              <w:spacing w:after="0"/>
              <w:rPr>
                <w:sz w:val="12"/>
                <w:szCs w:val="12"/>
                <w:color w:val="auto"/>
              </w:rPr>
            </w:pP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Deposits in other Banks</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507,347</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438,606</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650,896</w:t>
            </w:r>
          </w:p>
        </w:tc>
        <w:tc>
          <w:tcPr>
            <w:tcW w:w="12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15.7%</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ind w:left="160"/>
              <w:spacing w:after="0" w:line="149" w:lineRule="exact"/>
              <w:rPr>
                <w:sz w:val="20"/>
                <w:szCs w:val="20"/>
                <w:color w:val="auto"/>
              </w:rPr>
            </w:pPr>
            <w:r>
              <w:rPr>
                <w:rFonts w:ascii="Arial" w:cs="Arial" w:eastAsia="Arial" w:hAnsi="Arial"/>
                <w:sz w:val="14"/>
                <w:szCs w:val="14"/>
                <w:color w:val="auto"/>
              </w:rPr>
              <w:t>Interbanks</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17,441</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7,270</w:t>
            </w: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5,786</w:t>
            </w: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139.9%</w:t>
            </w:r>
          </w:p>
        </w:tc>
        <w:tc>
          <w:tcPr>
            <w:tcW w:w="280" w:type="dxa"/>
            <w:vAlign w:val="bottom"/>
          </w:tcPr>
          <w:p>
            <w:pPr>
              <w:spacing w:after="0"/>
              <w:rPr>
                <w:sz w:val="12"/>
                <w:szCs w:val="12"/>
                <w:color w:val="auto"/>
              </w:rPr>
            </w:pP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Accrued interest on cash and due from banks</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3,928</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3,513</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2,047</w:t>
            </w:r>
          </w:p>
        </w:tc>
        <w:tc>
          <w:tcPr>
            <w:tcW w:w="12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11.8%</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91.9%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Marketable securities, net</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119,500</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144,566</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75,611</w:t>
            </w:r>
          </w:p>
        </w:tc>
        <w:tc>
          <w:tcPr>
            <w:tcW w:w="12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-17.3%</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58.0%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Loans</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20,754,941</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19,672,680</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16,934,911</w:t>
            </w:r>
          </w:p>
        </w:tc>
        <w:tc>
          <w:tcPr>
            <w:tcW w:w="12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5.5%</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ind w:left="160"/>
              <w:spacing w:after="0" w:line="149" w:lineRule="exact"/>
              <w:rPr>
                <w:sz w:val="20"/>
                <w:szCs w:val="20"/>
                <w:color w:val="auto"/>
              </w:rPr>
            </w:pPr>
            <w:r>
              <w:rPr>
                <w:rFonts w:ascii="Arial" w:cs="Arial" w:eastAsia="Arial" w:hAnsi="Arial"/>
                <w:sz w:val="14"/>
                <w:szCs w:val="14"/>
                <w:color w:val="auto"/>
              </w:rPr>
              <w:t>Current</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20,384,603</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19,322,859</w:t>
            </w: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16,676,479</w:t>
            </w: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5.5%</w:t>
            </w:r>
          </w:p>
        </w:tc>
        <w:tc>
          <w:tcPr>
            <w:tcW w:w="280" w:type="dxa"/>
            <w:vAlign w:val="bottom"/>
          </w:tcPr>
          <w:p>
            <w:pPr>
              <w:spacing w:after="0"/>
              <w:rPr>
                <w:sz w:val="12"/>
                <w:szCs w:val="12"/>
                <w:color w:val="auto"/>
              </w:rPr>
            </w:pP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Past Due</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370,338</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349,821</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258,432</w:t>
            </w:r>
          </w:p>
        </w:tc>
        <w:tc>
          <w:tcPr>
            <w:tcW w:w="12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5.9%</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43.3%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ind w:left="160"/>
              <w:spacing w:after="0" w:line="149" w:lineRule="exact"/>
              <w:rPr>
                <w:sz w:val="20"/>
                <w:szCs w:val="20"/>
                <w:color w:val="auto"/>
              </w:rPr>
            </w:pPr>
            <w:r>
              <w:rPr>
                <w:rFonts w:ascii="Arial" w:cs="Arial" w:eastAsia="Arial" w:hAnsi="Arial"/>
                <w:sz w:val="14"/>
                <w:szCs w:val="14"/>
                <w:color w:val="auto"/>
              </w:rPr>
              <w:t>Less - net provisions for possible loan losses</w:t>
            </w:r>
          </w:p>
        </w:tc>
        <w:tc>
          <w:tcPr>
            <w:tcW w:w="12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(698,395)</w:t>
            </w:r>
          </w:p>
        </w:tc>
        <w:tc>
          <w:tcPr>
            <w:tcW w:w="12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(669,756)</w:t>
            </w:r>
          </w:p>
        </w:tc>
        <w:tc>
          <w:tcPr>
            <w:tcW w:w="12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(518,882)</w:t>
            </w: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4.3%</w:t>
            </w:r>
          </w:p>
        </w:tc>
        <w:tc>
          <w:tcPr>
            <w:tcW w:w="280" w:type="dxa"/>
            <w:vAlign w:val="bottom"/>
          </w:tcPr>
          <w:p>
            <w:pPr>
              <w:spacing w:after="0"/>
              <w:rPr>
                <w:sz w:val="12"/>
                <w:szCs w:val="12"/>
                <w:color w:val="auto"/>
              </w:rPr>
            </w:pP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Loans, net</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20,056,546</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19,002,924</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16,416,029</w:t>
            </w:r>
          </w:p>
        </w:tc>
        <w:tc>
          <w:tcPr>
            <w:tcW w:w="12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5.5%</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22.2%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Investment securities available for sale</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4,719,668</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4,313,659</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3,476,430</w:t>
            </w:r>
          </w:p>
        </w:tc>
        <w:tc>
          <w:tcPr>
            <w:tcW w:w="12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9.4%</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35.8%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line="149" w:lineRule="exact"/>
              <w:rPr>
                <w:sz w:val="20"/>
                <w:szCs w:val="20"/>
                <w:color w:val="auto"/>
              </w:rPr>
            </w:pPr>
            <w:r>
              <w:rPr>
                <w:rFonts w:ascii="Arial" w:cs="Arial" w:eastAsia="Arial" w:hAnsi="Arial"/>
                <w:sz w:val="14"/>
                <w:szCs w:val="14"/>
                <w:b w:val="1"/>
                <w:bCs w:val="1"/>
                <w:color w:val="auto"/>
              </w:rPr>
              <w:t>Property, plant and equipment, net</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394,578</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375,549</w:t>
            </w: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359,092</w:t>
            </w:r>
          </w:p>
        </w:tc>
        <w:tc>
          <w:tcPr>
            <w:tcW w:w="12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5.1%</w:t>
            </w:r>
          </w:p>
        </w:tc>
        <w:tc>
          <w:tcPr>
            <w:tcW w:w="2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Due from customers acceptances</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100,768</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49,390</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61,695</w:t>
            </w:r>
          </w:p>
        </w:tc>
        <w:tc>
          <w:tcPr>
            <w:tcW w:w="12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104.0%</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63.3%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line="149" w:lineRule="exact"/>
              <w:rPr>
                <w:sz w:val="20"/>
                <w:szCs w:val="20"/>
                <w:color w:val="auto"/>
              </w:rPr>
            </w:pPr>
            <w:r>
              <w:rPr>
                <w:rFonts w:ascii="Arial" w:cs="Arial" w:eastAsia="Arial" w:hAnsi="Arial"/>
                <w:sz w:val="14"/>
                <w:szCs w:val="14"/>
                <w:b w:val="1"/>
                <w:bCs w:val="1"/>
                <w:color w:val="auto"/>
              </w:rPr>
              <w:t>Other assets</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2,766,699</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2,654,682</w:t>
            </w: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1,061,517</w:t>
            </w:r>
          </w:p>
        </w:tc>
        <w:tc>
          <w:tcPr>
            <w:tcW w:w="12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4.2%</w:t>
            </w:r>
          </w:p>
        </w:tc>
        <w:tc>
          <w:tcPr>
            <w:tcW w:w="2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160.6%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88"/>
              </w:rPr>
              <w:t>Total assets</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35,792,896</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33,099,110</w:t>
            </w: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26,976,490</w:t>
            </w:r>
          </w:p>
        </w:tc>
        <w:tc>
          <w:tcPr>
            <w:tcW w:w="12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8.1%</w:t>
            </w:r>
          </w:p>
        </w:tc>
        <w:tc>
          <w:tcPr>
            <w:tcW w:w="2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32.7%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rPr>
              <w:t>LIABILITIES AND NET SHAREHOLDERS' EQUITY</w:t>
            </w: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26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60" w:type="dxa"/>
            <w:vAlign w:val="bottom"/>
          </w:tcPr>
          <w:p>
            <w:pPr>
              <w:spacing w:after="0" w:line="149" w:lineRule="exact"/>
              <w:rPr>
                <w:sz w:val="20"/>
                <w:szCs w:val="20"/>
                <w:color w:val="auto"/>
              </w:rPr>
            </w:pPr>
            <w:r>
              <w:rPr>
                <w:rFonts w:ascii="Arial" w:cs="Arial" w:eastAsia="Arial" w:hAnsi="Arial"/>
                <w:sz w:val="14"/>
                <w:szCs w:val="14"/>
                <w:b w:val="1"/>
                <w:bCs w:val="1"/>
                <w:color w:val="auto"/>
              </w:rPr>
              <w:t>Deposits and obligations</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22,838,086</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20,804,889</w:t>
            </w: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17,835,960</w:t>
            </w:r>
          </w:p>
        </w:tc>
        <w:tc>
          <w:tcPr>
            <w:tcW w:w="12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9.8%</w:t>
            </w:r>
          </w:p>
        </w:tc>
        <w:tc>
          <w:tcPr>
            <w:tcW w:w="2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Demand deposits</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7,585,455</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6,949,414</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6,533,494</w:t>
            </w:r>
          </w:p>
        </w:tc>
        <w:tc>
          <w:tcPr>
            <w:tcW w:w="12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9.2%</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ind w:left="160"/>
              <w:spacing w:after="0" w:line="149" w:lineRule="exact"/>
              <w:rPr>
                <w:sz w:val="20"/>
                <w:szCs w:val="20"/>
                <w:color w:val="auto"/>
              </w:rPr>
            </w:pPr>
            <w:r>
              <w:rPr>
                <w:rFonts w:ascii="Arial" w:cs="Arial" w:eastAsia="Arial" w:hAnsi="Arial"/>
                <w:sz w:val="14"/>
                <w:szCs w:val="14"/>
                <w:color w:val="auto"/>
              </w:rPr>
              <w:t>Saving deposits</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6,084,550</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5,635,303</w:t>
            </w: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5,096,442</w:t>
            </w: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8.0%</w:t>
            </w:r>
          </w:p>
        </w:tc>
        <w:tc>
          <w:tcPr>
            <w:tcW w:w="280" w:type="dxa"/>
            <w:vAlign w:val="bottom"/>
          </w:tcPr>
          <w:p>
            <w:pPr>
              <w:spacing w:after="0"/>
              <w:rPr>
                <w:sz w:val="12"/>
                <w:szCs w:val="12"/>
                <w:color w:val="auto"/>
              </w:rPr>
            </w:pP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Time deposits</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6,872,223</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6,260,989</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4,396,676</w:t>
            </w:r>
          </w:p>
        </w:tc>
        <w:tc>
          <w:tcPr>
            <w:tcW w:w="12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9.8%</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56.3%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ind w:left="160"/>
              <w:spacing w:after="0" w:line="149" w:lineRule="exact"/>
              <w:rPr>
                <w:sz w:val="20"/>
                <w:szCs w:val="20"/>
                <w:color w:val="auto"/>
              </w:rPr>
            </w:pPr>
            <w:r>
              <w:rPr>
                <w:rFonts w:ascii="Arial" w:cs="Arial" w:eastAsia="Arial" w:hAnsi="Arial"/>
                <w:sz w:val="14"/>
                <w:szCs w:val="14"/>
                <w:color w:val="auto"/>
              </w:rPr>
              <w:t>Severance indemnity deposits (CTS)</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2,232,492</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1,904,804</w:t>
            </w: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1,757,125</w:t>
            </w: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17.2%</w:t>
            </w:r>
          </w:p>
        </w:tc>
        <w:tc>
          <w:tcPr>
            <w:tcW w:w="280" w:type="dxa"/>
            <w:vAlign w:val="bottom"/>
          </w:tcPr>
          <w:p>
            <w:pPr>
              <w:spacing w:after="0"/>
              <w:rPr>
                <w:sz w:val="12"/>
                <w:szCs w:val="12"/>
                <w:color w:val="auto"/>
              </w:rPr>
            </w:pP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Interest payable</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63,366</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54,379</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52,223</w:t>
            </w:r>
          </w:p>
        </w:tc>
        <w:tc>
          <w:tcPr>
            <w:tcW w:w="12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16.5%</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21.3%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Due to banks and correspondents</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4,406,225</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4,025,530</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2,966,524</w:t>
            </w:r>
          </w:p>
        </w:tc>
        <w:tc>
          <w:tcPr>
            <w:tcW w:w="12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9.5%</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48.5%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line="149" w:lineRule="exact"/>
              <w:rPr>
                <w:sz w:val="20"/>
                <w:szCs w:val="20"/>
                <w:color w:val="auto"/>
              </w:rPr>
            </w:pPr>
            <w:r>
              <w:rPr>
                <w:rFonts w:ascii="Arial" w:cs="Arial" w:eastAsia="Arial" w:hAnsi="Arial"/>
                <w:sz w:val="14"/>
                <w:szCs w:val="14"/>
                <w:b w:val="1"/>
                <w:bCs w:val="1"/>
                <w:color w:val="auto"/>
              </w:rPr>
              <w:t>Bonds and subordinated debt</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3,684,908</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3,507,149</w:t>
            </w: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3,114,960</w:t>
            </w:r>
          </w:p>
        </w:tc>
        <w:tc>
          <w:tcPr>
            <w:tcW w:w="12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5.1%</w:t>
            </w:r>
          </w:p>
        </w:tc>
        <w:tc>
          <w:tcPr>
            <w:tcW w:w="2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Acceptances outstanding</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100,768</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49,390</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61,695</w:t>
            </w:r>
          </w:p>
        </w:tc>
        <w:tc>
          <w:tcPr>
            <w:tcW w:w="12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104.0%</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63.3%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line="149" w:lineRule="exact"/>
              <w:rPr>
                <w:sz w:val="20"/>
                <w:szCs w:val="20"/>
                <w:color w:val="auto"/>
              </w:rPr>
            </w:pPr>
            <w:r>
              <w:rPr>
                <w:rFonts w:ascii="Arial" w:cs="Arial" w:eastAsia="Arial" w:hAnsi="Arial"/>
                <w:sz w:val="14"/>
                <w:szCs w:val="14"/>
                <w:b w:val="1"/>
                <w:bCs w:val="1"/>
                <w:color w:val="auto"/>
              </w:rPr>
              <w:t>Other liabilities</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1,913,975</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2,022,041</w:t>
            </w: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651,228</w:t>
            </w:r>
          </w:p>
        </w:tc>
        <w:tc>
          <w:tcPr>
            <w:tcW w:w="12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-5.3%</w:t>
            </w:r>
          </w:p>
        </w:tc>
        <w:tc>
          <w:tcPr>
            <w:tcW w:w="2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193.9%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4"/>
              </w:rPr>
              <w:t>Total liabilities</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32,943,962</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30,408,999</w:t>
            </w: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24,630,367</w:t>
            </w:r>
          </w:p>
        </w:tc>
        <w:tc>
          <w:tcPr>
            <w:tcW w:w="12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8.3%</w:t>
            </w:r>
          </w:p>
        </w:tc>
        <w:tc>
          <w:tcPr>
            <w:tcW w:w="2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33.8%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26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60" w:type="dxa"/>
            <w:vAlign w:val="bottom"/>
          </w:tcPr>
          <w:p>
            <w:pPr>
              <w:spacing w:after="0" w:line="149" w:lineRule="exact"/>
              <w:rPr>
                <w:sz w:val="20"/>
                <w:szCs w:val="20"/>
                <w:color w:val="auto"/>
              </w:rPr>
            </w:pPr>
            <w:r>
              <w:rPr>
                <w:rFonts w:ascii="Arial" w:cs="Arial" w:eastAsia="Arial" w:hAnsi="Arial"/>
                <w:sz w:val="14"/>
                <w:szCs w:val="14"/>
                <w:b w:val="1"/>
                <w:bCs w:val="1"/>
                <w:color w:val="auto"/>
              </w:rPr>
              <w:t>Net shareholders' equity</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2,775,351</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2,644,881</w:t>
            </w: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2,341,409</w:t>
            </w:r>
          </w:p>
        </w:tc>
        <w:tc>
          <w:tcPr>
            <w:tcW w:w="12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4.9%</w:t>
            </w:r>
          </w:p>
        </w:tc>
        <w:tc>
          <w:tcPr>
            <w:tcW w:w="2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Capital stock</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986,697</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1,019,491</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783,213</w:t>
            </w:r>
          </w:p>
        </w:tc>
        <w:tc>
          <w:tcPr>
            <w:tcW w:w="12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-3.2%</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ind w:left="160"/>
              <w:spacing w:after="0" w:line="149" w:lineRule="exact"/>
              <w:rPr>
                <w:sz w:val="20"/>
                <w:szCs w:val="20"/>
                <w:color w:val="auto"/>
              </w:rPr>
            </w:pPr>
            <w:r>
              <w:rPr>
                <w:rFonts w:ascii="Arial" w:cs="Arial" w:eastAsia="Arial" w:hAnsi="Arial"/>
                <w:sz w:val="14"/>
                <w:szCs w:val="14"/>
                <w:color w:val="auto"/>
              </w:rPr>
              <w:t>Reserves</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700,491</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711,685</w:t>
            </w: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628,987</w:t>
            </w: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w:t>
            </w:r>
          </w:p>
        </w:tc>
        <w:tc>
          <w:tcPr>
            <w:tcW w:w="280" w:type="dxa"/>
            <w:vAlign w:val="bottom"/>
          </w:tcPr>
          <w:p>
            <w:pPr>
              <w:spacing w:after="0"/>
              <w:rPr>
                <w:sz w:val="12"/>
                <w:szCs w:val="12"/>
                <w:color w:val="auto"/>
              </w:rPr>
            </w:pP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Unrealized Gains and Losses</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152,209</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148,707</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114,760</w:t>
            </w:r>
          </w:p>
        </w:tc>
        <w:tc>
          <w:tcPr>
            <w:tcW w:w="12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2.4%</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32.6%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ind w:left="160"/>
              <w:spacing w:after="0" w:line="149" w:lineRule="exact"/>
              <w:rPr>
                <w:sz w:val="20"/>
                <w:szCs w:val="20"/>
                <w:color w:val="auto"/>
              </w:rPr>
            </w:pPr>
            <w:r>
              <w:rPr>
                <w:rFonts w:ascii="Arial" w:cs="Arial" w:eastAsia="Arial" w:hAnsi="Arial"/>
                <w:sz w:val="14"/>
                <w:szCs w:val="14"/>
                <w:color w:val="auto"/>
              </w:rPr>
              <w:t>Retained Earnings</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274,596</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274,596</w:t>
            </w: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236,738</w:t>
            </w: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0.0%</w:t>
            </w:r>
          </w:p>
        </w:tc>
        <w:tc>
          <w:tcPr>
            <w:tcW w:w="280" w:type="dxa"/>
            <w:vAlign w:val="bottom"/>
          </w:tcPr>
          <w:p>
            <w:pPr>
              <w:spacing w:after="0"/>
              <w:rPr>
                <w:sz w:val="12"/>
                <w:szCs w:val="12"/>
                <w:color w:val="auto"/>
              </w:rPr>
            </w:pP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Income for the year</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661,358</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490,402</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577,711</w:t>
            </w:r>
          </w:p>
        </w:tc>
        <w:tc>
          <w:tcPr>
            <w:tcW w:w="12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34.9%</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Minority interest</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73,583</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45,230</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4,714</w:t>
            </w:r>
          </w:p>
        </w:tc>
        <w:tc>
          <w:tcPr>
            <w:tcW w:w="12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62.7%</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1460.9%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jc w:val="center"/>
              <w:ind w:right="68"/>
              <w:spacing w:after="0" w:line="149" w:lineRule="exact"/>
              <w:rPr>
                <w:sz w:val="20"/>
                <w:szCs w:val="20"/>
                <w:color w:val="auto"/>
              </w:rPr>
            </w:pPr>
            <w:r>
              <w:rPr>
                <w:rFonts w:ascii="Arial" w:cs="Arial" w:eastAsia="Arial" w:hAnsi="Arial"/>
                <w:sz w:val="14"/>
                <w:szCs w:val="14"/>
                <w:b w:val="1"/>
                <w:bCs w:val="1"/>
                <w:color w:val="auto"/>
                <w:w w:val="92"/>
              </w:rPr>
              <w:t>Total liabilities and net shareholders' equity</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35,792,896</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33,099,110</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26,976,490</w:t>
            </w:r>
          </w:p>
        </w:tc>
        <w:tc>
          <w:tcPr>
            <w:tcW w:w="12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8.1%</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32.7%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260" w:type="dxa"/>
            <w:vAlign w:val="bottom"/>
            <w:shd w:val="clear" w:color="auto" w:fill="CCFFCC"/>
          </w:tcPr>
          <w:p>
            <w:pPr>
              <w:spacing w:after="0"/>
              <w:rPr>
                <w:sz w:val="20"/>
                <w:szCs w:val="20"/>
                <w:color w:val="auto"/>
              </w:rPr>
            </w:pPr>
            <w:r>
              <w:rPr>
                <w:rFonts w:ascii="Arial" w:cs="Arial" w:eastAsia="Arial" w:hAnsi="Arial"/>
                <w:sz w:val="14"/>
                <w:szCs w:val="14"/>
                <w:color w:val="auto"/>
              </w:rPr>
              <w:t>Off-balance sheet</w:t>
            </w:r>
          </w:p>
        </w:tc>
        <w:tc>
          <w:tcPr>
            <w:tcW w:w="10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14,792,727</w:t>
            </w:r>
          </w:p>
        </w:tc>
        <w:tc>
          <w:tcPr>
            <w:tcW w:w="220" w:type="dxa"/>
            <w:vAlign w:val="bottom"/>
            <w:shd w:val="clear" w:color="auto" w:fill="CCFFCC"/>
          </w:tcPr>
          <w:p>
            <w:pPr>
              <w:spacing w:after="0"/>
              <w:rPr>
                <w:sz w:val="14"/>
                <w:szCs w:val="14"/>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15,152,350</w:t>
            </w: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11,277,002</w:t>
            </w:r>
          </w:p>
        </w:tc>
        <w:tc>
          <w:tcPr>
            <w:tcW w:w="128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-2.4%</w:t>
            </w:r>
          </w:p>
        </w:tc>
        <w:tc>
          <w:tcPr>
            <w:tcW w:w="280" w:type="dxa"/>
            <w:vAlign w:val="bottom"/>
            <w:shd w:val="clear" w:color="auto" w:fill="CCFFCC"/>
          </w:tcPr>
          <w:p>
            <w:pPr>
              <w:spacing w:after="0"/>
              <w:rPr>
                <w:sz w:val="14"/>
                <w:szCs w:val="14"/>
                <w:color w:val="auto"/>
              </w:rPr>
            </w:pPr>
          </w:p>
        </w:tc>
        <w:tc>
          <w:tcPr>
            <w:tcW w:w="88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31.2%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2" w:name="page53"/>
    <w:bookmarkEnd w:id="52"/>
    <w:p>
      <w:pPr>
        <w:spacing w:after="0" w:line="1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6254750</wp:posOffset>
            </wp:positionH>
            <wp:positionV relativeFrom="page">
              <wp:posOffset>568960</wp:posOffset>
            </wp:positionV>
            <wp:extent cx="1149350" cy="3175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INCOME STATEMENT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thousands, IFRS)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Quarter</w:t>
            </w: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gridSpan w:val="3"/>
          </w:tcPr>
          <w:p>
            <w:pPr>
              <w:ind w:left="500"/>
              <w:spacing w:after="0"/>
              <w:rPr>
                <w:sz w:val="20"/>
                <w:szCs w:val="20"/>
                <w:color w:val="auto"/>
              </w:rPr>
            </w:pPr>
            <w:r>
              <w:rPr>
                <w:rFonts w:ascii="Arial" w:cs="Arial" w:eastAsia="Arial" w:hAnsi="Arial"/>
                <w:sz w:val="13"/>
                <w:szCs w:val="13"/>
                <w:b w:val="1"/>
                <w:bCs w:val="1"/>
                <w:color w:val="auto"/>
                <w:w w:val="92"/>
              </w:rPr>
              <w:t>Change %</w:t>
            </w: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80" w:type="dxa"/>
            <w:vAlign w:val="bottom"/>
            <w:gridSpan w:val="4"/>
          </w:tcPr>
          <w:p>
            <w:pPr>
              <w:jc w:val="right"/>
              <w:ind w:right="700"/>
              <w:spacing w:after="0"/>
              <w:rPr>
                <w:sz w:val="20"/>
                <w:szCs w:val="20"/>
                <w:color w:val="auto"/>
              </w:rPr>
            </w:pPr>
            <w:r>
              <w:rPr>
                <w:rFonts w:ascii="Arial" w:cs="Arial" w:eastAsia="Arial" w:hAnsi="Arial"/>
                <w:sz w:val="13"/>
                <w:szCs w:val="13"/>
                <w:b w:val="1"/>
                <w:bCs w:val="1"/>
                <w:color w:val="auto"/>
              </w:rPr>
              <w:t>Year ended</w:t>
            </w:r>
          </w:p>
        </w:tc>
        <w:tc>
          <w:tcPr>
            <w:tcW w:w="94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Change %</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4Q12</w:t>
            </w:r>
          </w:p>
        </w:tc>
        <w:tc>
          <w:tcPr>
            <w:tcW w:w="88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3Q12</w:t>
            </w:r>
          </w:p>
        </w:tc>
        <w:tc>
          <w:tcPr>
            <w:tcW w:w="90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4Q11</w:t>
            </w:r>
          </w:p>
        </w:tc>
        <w:tc>
          <w:tcPr>
            <w:tcW w:w="1100" w:type="dxa"/>
            <w:vAlign w:val="bottom"/>
            <w:gridSpan w:val="3"/>
          </w:tcPr>
          <w:p>
            <w:pPr>
              <w:ind w:left="200"/>
              <w:spacing w:after="0"/>
              <w:rPr>
                <w:sz w:val="20"/>
                <w:szCs w:val="20"/>
                <w:color w:val="auto"/>
              </w:rPr>
            </w:pPr>
            <w:r>
              <w:rPr>
                <w:rFonts w:ascii="Arial" w:cs="Arial" w:eastAsia="Arial" w:hAnsi="Arial"/>
                <w:sz w:val="13"/>
                <w:szCs w:val="13"/>
                <w:b w:val="1"/>
                <w:bCs w:val="1"/>
                <w:color w:val="auto"/>
              </w:rPr>
              <w:t>QoQ</w:t>
            </w:r>
          </w:p>
        </w:tc>
        <w:tc>
          <w:tcPr>
            <w:tcW w:w="74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w w:val="94"/>
              </w:rPr>
              <w:t>YoY</w:t>
            </w:r>
          </w:p>
        </w:tc>
        <w:tc>
          <w:tcPr>
            <w:tcW w:w="88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Dec 12</w:t>
            </w:r>
          </w:p>
        </w:tc>
        <w:tc>
          <w:tcPr>
            <w:tcW w:w="90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Dec 11</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w w:val="82"/>
              </w:rPr>
              <w:t>Dec 12 / Dec 11</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416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16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Interest income and expense</w:t>
            </w:r>
          </w:p>
        </w:tc>
        <w:tc>
          <w:tcPr>
            <w:tcW w:w="6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48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60" w:type="dxa"/>
            <w:vAlign w:val="bottom"/>
          </w:tcPr>
          <w:p>
            <w:pPr>
              <w:ind w:left="160"/>
              <w:spacing w:after="0" w:line="135" w:lineRule="exact"/>
              <w:rPr>
                <w:sz w:val="20"/>
                <w:szCs w:val="20"/>
                <w:color w:val="auto"/>
              </w:rPr>
            </w:pPr>
            <w:r>
              <w:rPr>
                <w:rFonts w:ascii="Arial" w:cs="Arial" w:eastAsia="Arial" w:hAnsi="Arial"/>
                <w:sz w:val="13"/>
                <w:szCs w:val="13"/>
                <w:color w:val="auto"/>
              </w:rPr>
              <w:t>Interest and dividend income</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580,566</w:t>
            </w:r>
          </w:p>
        </w:tc>
        <w:tc>
          <w:tcPr>
            <w:tcW w:w="22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558,570</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462,115</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3.9%</w:t>
            </w:r>
          </w:p>
        </w:tc>
        <w:tc>
          <w:tcPr>
            <w:tcW w:w="180" w:type="dxa"/>
            <w:vAlign w:val="bottom"/>
          </w:tcPr>
          <w:p>
            <w:pPr>
              <w:spacing w:after="0"/>
              <w:rPr>
                <w:sz w:val="11"/>
                <w:szCs w:val="11"/>
                <w:color w:val="auto"/>
              </w:rPr>
            </w:pP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25.6%</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2,138,765</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1,702,110</w:t>
            </w:r>
          </w:p>
        </w:tc>
        <w:tc>
          <w:tcPr>
            <w:tcW w:w="9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25.7%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6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Interest expense</w:t>
            </w:r>
          </w:p>
        </w:tc>
        <w:tc>
          <w:tcPr>
            <w:tcW w:w="9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(186,147)</w:t>
            </w:r>
          </w:p>
        </w:tc>
        <w:tc>
          <w:tcPr>
            <w:tcW w:w="88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(176,144)</w:t>
            </w:r>
          </w:p>
        </w:tc>
        <w:tc>
          <w:tcPr>
            <w:tcW w:w="9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(138,722)</w:t>
            </w:r>
          </w:p>
        </w:tc>
        <w:tc>
          <w:tcPr>
            <w:tcW w:w="9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5.7%</w:t>
            </w:r>
          </w:p>
        </w:tc>
        <w:tc>
          <w:tcPr>
            <w:tcW w:w="18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34.2%</w:t>
            </w:r>
          </w:p>
        </w:tc>
        <w:tc>
          <w:tcPr>
            <w:tcW w:w="88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(665,126)</w:t>
            </w:r>
          </w:p>
        </w:tc>
        <w:tc>
          <w:tcPr>
            <w:tcW w:w="9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(518,422)</w:t>
            </w:r>
          </w:p>
        </w:tc>
        <w:tc>
          <w:tcPr>
            <w:tcW w:w="94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28.3%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60" w:type="dxa"/>
            <w:vAlign w:val="bottom"/>
          </w:tcPr>
          <w:p>
            <w:pPr>
              <w:ind w:left="160"/>
              <w:spacing w:after="0" w:line="135" w:lineRule="exact"/>
              <w:rPr>
                <w:sz w:val="20"/>
                <w:szCs w:val="20"/>
                <w:color w:val="auto"/>
              </w:rPr>
            </w:pPr>
            <w:r>
              <w:rPr>
                <w:rFonts w:ascii="Arial" w:cs="Arial" w:eastAsia="Arial" w:hAnsi="Arial"/>
                <w:sz w:val="13"/>
                <w:szCs w:val="13"/>
                <w:b w:val="1"/>
                <w:bCs w:val="1"/>
                <w:color w:val="auto"/>
              </w:rPr>
              <w:t>Net interest and dividend income</w:t>
            </w:r>
          </w:p>
        </w:tc>
        <w:tc>
          <w:tcPr>
            <w:tcW w:w="6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394,419</w:t>
            </w:r>
          </w:p>
        </w:tc>
        <w:tc>
          <w:tcPr>
            <w:tcW w:w="22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382,426</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323,393</w:t>
            </w:r>
          </w:p>
        </w:tc>
        <w:tc>
          <w:tcPr>
            <w:tcW w:w="92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3.1%</w:t>
            </w:r>
          </w:p>
        </w:tc>
        <w:tc>
          <w:tcPr>
            <w:tcW w:w="18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22.0%</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1,473,639</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1,183,688</w:t>
            </w:r>
          </w:p>
        </w:tc>
        <w:tc>
          <w:tcPr>
            <w:tcW w:w="94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24.5%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6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Net provision for loan losses</w:t>
            </w:r>
          </w:p>
        </w:tc>
        <w:tc>
          <w:tcPr>
            <w:tcW w:w="9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b w:val="1"/>
                <w:bCs w:val="1"/>
                <w:color w:val="auto"/>
              </w:rPr>
              <w:t>(103,083)</w:t>
            </w:r>
          </w:p>
        </w:tc>
        <w:tc>
          <w:tcPr>
            <w:tcW w:w="88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b w:val="1"/>
                <w:bCs w:val="1"/>
                <w:color w:val="auto"/>
              </w:rPr>
              <w:t>(94,604)</w:t>
            </w:r>
          </w:p>
        </w:tc>
        <w:tc>
          <w:tcPr>
            <w:tcW w:w="9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b w:val="1"/>
                <w:bCs w:val="1"/>
                <w:color w:val="auto"/>
              </w:rPr>
              <w:t>(70,490)</w:t>
            </w:r>
          </w:p>
        </w:tc>
        <w:tc>
          <w:tcPr>
            <w:tcW w:w="9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9.0%</w:t>
            </w:r>
          </w:p>
        </w:tc>
        <w:tc>
          <w:tcPr>
            <w:tcW w:w="18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46.2%</w:t>
            </w:r>
          </w:p>
        </w:tc>
        <w:tc>
          <w:tcPr>
            <w:tcW w:w="88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b w:val="1"/>
                <w:bCs w:val="1"/>
                <w:color w:val="auto"/>
              </w:rPr>
              <w:t>(378,620)</w:t>
            </w:r>
          </w:p>
        </w:tc>
        <w:tc>
          <w:tcPr>
            <w:tcW w:w="9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b w:val="1"/>
                <w:bCs w:val="1"/>
                <w:color w:val="auto"/>
              </w:rPr>
              <w:t>(215,513)</w:t>
            </w:r>
          </w:p>
        </w:tc>
        <w:tc>
          <w:tcPr>
            <w:tcW w:w="94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75.7%</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16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Non financial income</w:t>
            </w:r>
          </w:p>
        </w:tc>
        <w:tc>
          <w:tcPr>
            <w:tcW w:w="6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48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60" w:type="dxa"/>
            <w:vAlign w:val="bottom"/>
          </w:tcPr>
          <w:p>
            <w:pPr>
              <w:ind w:left="160"/>
              <w:spacing w:after="0" w:line="135" w:lineRule="exact"/>
              <w:rPr>
                <w:sz w:val="20"/>
                <w:szCs w:val="20"/>
                <w:color w:val="auto"/>
              </w:rPr>
            </w:pPr>
            <w:r>
              <w:rPr>
                <w:rFonts w:ascii="Arial" w:cs="Arial" w:eastAsia="Arial" w:hAnsi="Arial"/>
                <w:sz w:val="13"/>
                <w:szCs w:val="13"/>
                <w:color w:val="auto"/>
              </w:rPr>
              <w:t>Banking services commissions</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150,940</w:t>
            </w:r>
          </w:p>
        </w:tc>
        <w:tc>
          <w:tcPr>
            <w:tcW w:w="22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172,626</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140,896</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-12.6%</w:t>
            </w:r>
          </w:p>
        </w:tc>
        <w:tc>
          <w:tcPr>
            <w:tcW w:w="180" w:type="dxa"/>
            <w:vAlign w:val="bottom"/>
          </w:tcPr>
          <w:p>
            <w:pPr>
              <w:spacing w:after="0"/>
              <w:rPr>
                <w:sz w:val="11"/>
                <w:szCs w:val="11"/>
                <w:color w:val="auto"/>
              </w:rPr>
            </w:pP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7.1%</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617,149</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527,637</w:t>
            </w:r>
          </w:p>
        </w:tc>
        <w:tc>
          <w:tcPr>
            <w:tcW w:w="9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17.0%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6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Net gain on foreign exchange transactions</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49,178</w:t>
            </w:r>
          </w:p>
        </w:tc>
        <w:tc>
          <w:tcPr>
            <w:tcW w:w="8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44,948</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37,021</w:t>
            </w:r>
          </w:p>
        </w:tc>
        <w:tc>
          <w:tcPr>
            <w:tcW w:w="9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9.4%</w:t>
            </w:r>
          </w:p>
        </w:tc>
        <w:tc>
          <w:tcPr>
            <w:tcW w:w="18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32.8%</w:t>
            </w:r>
          </w:p>
        </w:tc>
        <w:tc>
          <w:tcPr>
            <w:tcW w:w="8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177,106</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138,912</w:t>
            </w:r>
          </w:p>
        </w:tc>
        <w:tc>
          <w:tcPr>
            <w:tcW w:w="94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27.5%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60" w:type="dxa"/>
            <w:vAlign w:val="bottom"/>
          </w:tcPr>
          <w:p>
            <w:pPr>
              <w:ind w:left="160"/>
              <w:spacing w:after="0" w:line="135" w:lineRule="exact"/>
              <w:rPr>
                <w:sz w:val="20"/>
                <w:szCs w:val="20"/>
                <w:color w:val="auto"/>
              </w:rPr>
            </w:pPr>
            <w:r>
              <w:rPr>
                <w:rFonts w:ascii="Arial" w:cs="Arial" w:eastAsia="Arial" w:hAnsi="Arial"/>
                <w:sz w:val="13"/>
                <w:szCs w:val="13"/>
                <w:color w:val="auto"/>
              </w:rPr>
              <w:t>Net gain on sales of securities</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36,078</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28,315</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13,066</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27.4%</w:t>
            </w:r>
          </w:p>
        </w:tc>
        <w:tc>
          <w:tcPr>
            <w:tcW w:w="180" w:type="dxa"/>
            <w:vAlign w:val="bottom"/>
          </w:tcPr>
          <w:p>
            <w:pPr>
              <w:spacing w:after="0"/>
              <w:rPr>
                <w:sz w:val="11"/>
                <w:szCs w:val="11"/>
                <w:color w:val="auto"/>
              </w:rPr>
            </w:pP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176.1%</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88,981</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22,984</w:t>
            </w:r>
          </w:p>
        </w:tc>
        <w:tc>
          <w:tcPr>
            <w:tcW w:w="9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287.1%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6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Other</w:t>
            </w:r>
          </w:p>
        </w:tc>
        <w:tc>
          <w:tcPr>
            <w:tcW w:w="6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5,949</w:t>
            </w:r>
          </w:p>
        </w:tc>
        <w:tc>
          <w:tcPr>
            <w:tcW w:w="220" w:type="dxa"/>
            <w:vAlign w:val="bottom"/>
            <w:shd w:val="clear" w:color="auto" w:fill="CCFFCC"/>
          </w:tcPr>
          <w:p>
            <w:pPr>
              <w:spacing w:after="0"/>
              <w:rPr>
                <w:sz w:val="11"/>
                <w:szCs w:val="11"/>
                <w:color w:val="auto"/>
              </w:rPr>
            </w:pPr>
          </w:p>
        </w:tc>
        <w:tc>
          <w:tcPr>
            <w:tcW w:w="8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2,102</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6,627</w:t>
            </w:r>
          </w:p>
        </w:tc>
        <w:tc>
          <w:tcPr>
            <w:tcW w:w="9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183.0%</w:t>
            </w:r>
          </w:p>
        </w:tc>
        <w:tc>
          <w:tcPr>
            <w:tcW w:w="18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-10.2%</w:t>
            </w:r>
          </w:p>
        </w:tc>
        <w:tc>
          <w:tcPr>
            <w:tcW w:w="8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23,318</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19,001</w:t>
            </w:r>
          </w:p>
        </w:tc>
        <w:tc>
          <w:tcPr>
            <w:tcW w:w="94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22.7%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60" w:type="dxa"/>
            <w:vAlign w:val="bottom"/>
          </w:tcPr>
          <w:p>
            <w:pPr>
              <w:ind w:left="320"/>
              <w:spacing w:after="0" w:line="135" w:lineRule="exact"/>
              <w:rPr>
                <w:sz w:val="20"/>
                <w:szCs w:val="20"/>
                <w:color w:val="auto"/>
              </w:rPr>
            </w:pPr>
            <w:r>
              <w:rPr>
                <w:rFonts w:ascii="Arial" w:cs="Arial" w:eastAsia="Arial" w:hAnsi="Arial"/>
                <w:sz w:val="13"/>
                <w:szCs w:val="13"/>
                <w:b w:val="1"/>
                <w:bCs w:val="1"/>
                <w:color w:val="auto"/>
              </w:rPr>
              <w:t>Total non financial income,net</w:t>
            </w:r>
          </w:p>
        </w:tc>
        <w:tc>
          <w:tcPr>
            <w:tcW w:w="6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242,145</w:t>
            </w:r>
          </w:p>
        </w:tc>
        <w:tc>
          <w:tcPr>
            <w:tcW w:w="22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247,991</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197,610</w:t>
            </w:r>
          </w:p>
        </w:tc>
        <w:tc>
          <w:tcPr>
            <w:tcW w:w="92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-2.4%</w:t>
            </w:r>
          </w:p>
        </w:tc>
        <w:tc>
          <w:tcPr>
            <w:tcW w:w="18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22.5%</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906,554</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708,534</w:t>
            </w:r>
          </w:p>
        </w:tc>
        <w:tc>
          <w:tcPr>
            <w:tcW w:w="94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27.9%</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16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48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160" w:type="dxa"/>
            <w:vAlign w:val="bottom"/>
          </w:tcPr>
          <w:p>
            <w:pPr>
              <w:spacing w:after="0" w:line="135" w:lineRule="exact"/>
              <w:rPr>
                <w:sz w:val="20"/>
                <w:szCs w:val="20"/>
                <w:color w:val="auto"/>
              </w:rPr>
            </w:pPr>
            <w:r>
              <w:rPr>
                <w:rFonts w:ascii="Arial" w:cs="Arial" w:eastAsia="Arial" w:hAnsi="Arial"/>
                <w:sz w:val="13"/>
                <w:szCs w:val="13"/>
                <w:b w:val="1"/>
                <w:bCs w:val="1"/>
                <w:color w:val="auto"/>
              </w:rPr>
              <w:t>Operating expenses</w:t>
            </w: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60" w:type="dxa"/>
            <w:vAlign w:val="bottom"/>
            <w:shd w:val="clear" w:color="auto" w:fill="CCFFCC"/>
          </w:tcPr>
          <w:p>
            <w:pPr>
              <w:ind w:left="320"/>
              <w:spacing w:after="0" w:line="135" w:lineRule="exact"/>
              <w:rPr>
                <w:sz w:val="20"/>
                <w:szCs w:val="20"/>
                <w:color w:val="auto"/>
              </w:rPr>
            </w:pPr>
            <w:r>
              <w:rPr>
                <w:rFonts w:ascii="Arial" w:cs="Arial" w:eastAsia="Arial" w:hAnsi="Arial"/>
                <w:sz w:val="13"/>
                <w:szCs w:val="13"/>
                <w:color w:val="auto"/>
              </w:rPr>
              <w:t>Salaries and employees benefits</w:t>
            </w:r>
          </w:p>
        </w:tc>
        <w:tc>
          <w:tcPr>
            <w:tcW w:w="9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(171,307)</w:t>
            </w:r>
          </w:p>
        </w:tc>
        <w:tc>
          <w:tcPr>
            <w:tcW w:w="88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(164,073)</w:t>
            </w:r>
          </w:p>
        </w:tc>
        <w:tc>
          <w:tcPr>
            <w:tcW w:w="9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(137,715)</w:t>
            </w:r>
          </w:p>
        </w:tc>
        <w:tc>
          <w:tcPr>
            <w:tcW w:w="9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4.4%</w:t>
            </w:r>
          </w:p>
        </w:tc>
        <w:tc>
          <w:tcPr>
            <w:tcW w:w="18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24.4%</w:t>
            </w:r>
          </w:p>
        </w:tc>
        <w:tc>
          <w:tcPr>
            <w:tcW w:w="88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(622,193)</w:t>
            </w:r>
          </w:p>
        </w:tc>
        <w:tc>
          <w:tcPr>
            <w:tcW w:w="9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(495,099)</w:t>
            </w:r>
          </w:p>
        </w:tc>
        <w:tc>
          <w:tcPr>
            <w:tcW w:w="94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25.7%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60" w:type="dxa"/>
            <w:vAlign w:val="bottom"/>
          </w:tcPr>
          <w:p>
            <w:pPr>
              <w:ind w:left="320"/>
              <w:spacing w:after="0" w:line="135" w:lineRule="exact"/>
              <w:rPr>
                <w:sz w:val="20"/>
                <w:szCs w:val="20"/>
                <w:color w:val="auto"/>
              </w:rPr>
            </w:pPr>
            <w:r>
              <w:rPr>
                <w:rFonts w:ascii="Arial" w:cs="Arial" w:eastAsia="Arial" w:hAnsi="Arial"/>
                <w:sz w:val="13"/>
                <w:szCs w:val="13"/>
                <w:color w:val="auto"/>
              </w:rPr>
              <w:t>Administrative expenses</w:t>
            </w: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(135,347)</w:t>
            </w: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(116,974)</w:t>
            </w: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(100,721)</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15.7%</w:t>
            </w:r>
          </w:p>
        </w:tc>
        <w:tc>
          <w:tcPr>
            <w:tcW w:w="180" w:type="dxa"/>
            <w:vAlign w:val="bottom"/>
          </w:tcPr>
          <w:p>
            <w:pPr>
              <w:spacing w:after="0"/>
              <w:rPr>
                <w:sz w:val="11"/>
                <w:szCs w:val="11"/>
                <w:color w:val="auto"/>
              </w:rPr>
            </w:pP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34.4%</w:t>
            </w: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(440,243)</w:t>
            </w: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(337,228)</w:t>
            </w:r>
          </w:p>
        </w:tc>
        <w:tc>
          <w:tcPr>
            <w:tcW w:w="9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30.5%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60" w:type="dxa"/>
            <w:vAlign w:val="bottom"/>
            <w:shd w:val="clear" w:color="auto" w:fill="CCFFCC"/>
          </w:tcPr>
          <w:p>
            <w:pPr>
              <w:ind w:left="320"/>
              <w:spacing w:after="0" w:line="135" w:lineRule="exact"/>
              <w:rPr>
                <w:sz w:val="20"/>
                <w:szCs w:val="20"/>
                <w:color w:val="auto"/>
              </w:rPr>
            </w:pPr>
            <w:r>
              <w:rPr>
                <w:rFonts w:ascii="Arial" w:cs="Arial" w:eastAsia="Arial" w:hAnsi="Arial"/>
                <w:sz w:val="13"/>
                <w:szCs w:val="13"/>
                <w:color w:val="auto"/>
              </w:rPr>
              <w:t>Depreciation and amortization</w:t>
            </w:r>
          </w:p>
        </w:tc>
        <w:tc>
          <w:tcPr>
            <w:tcW w:w="9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(24,577)</w:t>
            </w:r>
          </w:p>
        </w:tc>
        <w:tc>
          <w:tcPr>
            <w:tcW w:w="88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(22,376)</w:t>
            </w:r>
          </w:p>
        </w:tc>
        <w:tc>
          <w:tcPr>
            <w:tcW w:w="9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(23,411)</w:t>
            </w:r>
          </w:p>
        </w:tc>
        <w:tc>
          <w:tcPr>
            <w:tcW w:w="9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9.8%</w:t>
            </w:r>
          </w:p>
        </w:tc>
        <w:tc>
          <w:tcPr>
            <w:tcW w:w="18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5.0%</w:t>
            </w:r>
          </w:p>
        </w:tc>
        <w:tc>
          <w:tcPr>
            <w:tcW w:w="88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(93,721)</w:t>
            </w:r>
          </w:p>
        </w:tc>
        <w:tc>
          <w:tcPr>
            <w:tcW w:w="9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(81,820)</w:t>
            </w:r>
          </w:p>
        </w:tc>
        <w:tc>
          <w:tcPr>
            <w:tcW w:w="94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14.5%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60" w:type="dxa"/>
            <w:vAlign w:val="bottom"/>
          </w:tcPr>
          <w:p>
            <w:pPr>
              <w:ind w:left="320"/>
              <w:spacing w:after="0" w:line="135" w:lineRule="exact"/>
              <w:rPr>
                <w:sz w:val="20"/>
                <w:szCs w:val="20"/>
                <w:color w:val="auto"/>
              </w:rPr>
            </w:pPr>
            <w:r>
              <w:rPr>
                <w:rFonts w:ascii="Arial" w:cs="Arial" w:eastAsia="Arial" w:hAnsi="Arial"/>
                <w:sz w:val="13"/>
                <w:szCs w:val="13"/>
                <w:color w:val="auto"/>
              </w:rPr>
              <w:t>Other</w:t>
            </w: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(12,330)</w:t>
            </w: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(10,020)</w:t>
            </w: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(7,756)</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23.1%</w:t>
            </w:r>
          </w:p>
        </w:tc>
        <w:tc>
          <w:tcPr>
            <w:tcW w:w="180" w:type="dxa"/>
            <w:vAlign w:val="bottom"/>
          </w:tcPr>
          <w:p>
            <w:pPr>
              <w:spacing w:after="0"/>
              <w:rPr>
                <w:sz w:val="11"/>
                <w:szCs w:val="11"/>
                <w:color w:val="auto"/>
              </w:rPr>
            </w:pP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59.0%</w:t>
            </w: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(40,439)</w:t>
            </w: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(38,011)</w:t>
            </w:r>
          </w:p>
        </w:tc>
        <w:tc>
          <w:tcPr>
            <w:tcW w:w="9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6.4%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60" w:type="dxa"/>
            <w:vAlign w:val="bottom"/>
            <w:shd w:val="clear" w:color="auto" w:fill="CCFFCC"/>
          </w:tcPr>
          <w:p>
            <w:pPr>
              <w:ind w:left="320"/>
              <w:spacing w:after="0" w:line="135" w:lineRule="exact"/>
              <w:rPr>
                <w:sz w:val="20"/>
                <w:szCs w:val="20"/>
                <w:color w:val="auto"/>
              </w:rPr>
            </w:pPr>
            <w:r>
              <w:rPr>
                <w:rFonts w:ascii="Arial" w:cs="Arial" w:eastAsia="Arial" w:hAnsi="Arial"/>
                <w:sz w:val="13"/>
                <w:szCs w:val="13"/>
                <w:b w:val="1"/>
                <w:bCs w:val="1"/>
                <w:color w:val="auto"/>
              </w:rPr>
              <w:t>Total operating expenses</w:t>
            </w:r>
          </w:p>
        </w:tc>
        <w:tc>
          <w:tcPr>
            <w:tcW w:w="9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b w:val="1"/>
                <w:bCs w:val="1"/>
                <w:color w:val="auto"/>
              </w:rPr>
              <w:t>(343,561)</w:t>
            </w:r>
          </w:p>
        </w:tc>
        <w:tc>
          <w:tcPr>
            <w:tcW w:w="88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b w:val="1"/>
                <w:bCs w:val="1"/>
                <w:color w:val="auto"/>
              </w:rPr>
              <w:t>(313,443)</w:t>
            </w:r>
          </w:p>
        </w:tc>
        <w:tc>
          <w:tcPr>
            <w:tcW w:w="9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b w:val="1"/>
                <w:bCs w:val="1"/>
                <w:color w:val="auto"/>
              </w:rPr>
              <w:t>(269,603)</w:t>
            </w:r>
          </w:p>
        </w:tc>
        <w:tc>
          <w:tcPr>
            <w:tcW w:w="9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9.6%</w:t>
            </w:r>
          </w:p>
        </w:tc>
        <w:tc>
          <w:tcPr>
            <w:tcW w:w="18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27.4%</w:t>
            </w:r>
          </w:p>
        </w:tc>
        <w:tc>
          <w:tcPr>
            <w:tcW w:w="88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b w:val="1"/>
                <w:bCs w:val="1"/>
                <w:color w:val="auto"/>
              </w:rPr>
              <w:t>(1,196,596)</w:t>
            </w:r>
          </w:p>
        </w:tc>
        <w:tc>
          <w:tcPr>
            <w:tcW w:w="9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b w:val="1"/>
                <w:bCs w:val="1"/>
                <w:color w:val="auto"/>
              </w:rPr>
              <w:t>(952,158)</w:t>
            </w:r>
          </w:p>
        </w:tc>
        <w:tc>
          <w:tcPr>
            <w:tcW w:w="94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25.7%</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16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Operating Income (1)</w:t>
            </w:r>
          </w:p>
        </w:tc>
        <w:tc>
          <w:tcPr>
            <w:tcW w:w="6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189,920</w:t>
            </w:r>
          </w:p>
        </w:tc>
        <w:tc>
          <w:tcPr>
            <w:tcW w:w="220" w:type="dxa"/>
            <w:vAlign w:val="bottom"/>
            <w:shd w:val="clear" w:color="auto" w:fill="CCFFCC"/>
          </w:tcPr>
          <w:p>
            <w:pPr>
              <w:spacing w:after="0"/>
              <w:rPr>
                <w:sz w:val="11"/>
                <w:szCs w:val="11"/>
                <w:color w:val="auto"/>
              </w:rPr>
            </w:pPr>
          </w:p>
        </w:tc>
        <w:tc>
          <w:tcPr>
            <w:tcW w:w="8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222,370</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180,910</w:t>
            </w:r>
          </w:p>
        </w:tc>
        <w:tc>
          <w:tcPr>
            <w:tcW w:w="9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-14.6%</w:t>
            </w:r>
          </w:p>
        </w:tc>
        <w:tc>
          <w:tcPr>
            <w:tcW w:w="18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5.0%</w:t>
            </w:r>
          </w:p>
        </w:tc>
        <w:tc>
          <w:tcPr>
            <w:tcW w:w="8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804,977</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724,551</w:t>
            </w:r>
          </w:p>
        </w:tc>
        <w:tc>
          <w:tcPr>
            <w:tcW w:w="94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11.1%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60" w:type="dxa"/>
            <w:vAlign w:val="bottom"/>
          </w:tcPr>
          <w:p>
            <w:pPr>
              <w:ind w:left="320"/>
              <w:spacing w:after="0" w:line="135" w:lineRule="exact"/>
              <w:rPr>
                <w:sz w:val="20"/>
                <w:szCs w:val="20"/>
                <w:color w:val="auto"/>
              </w:rPr>
            </w:pPr>
            <w:r>
              <w:rPr>
                <w:rFonts w:ascii="Arial" w:cs="Arial" w:eastAsia="Arial" w:hAnsi="Arial"/>
                <w:sz w:val="13"/>
                <w:szCs w:val="13"/>
                <w:color w:val="auto"/>
              </w:rPr>
              <w:t>Translation result</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26,132</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27,799</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27,498</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-6.0%</w:t>
            </w:r>
          </w:p>
        </w:tc>
        <w:tc>
          <w:tcPr>
            <w:tcW w:w="180" w:type="dxa"/>
            <w:vAlign w:val="bottom"/>
          </w:tcPr>
          <w:p>
            <w:pPr>
              <w:spacing w:after="0"/>
              <w:rPr>
                <w:sz w:val="11"/>
                <w:szCs w:val="11"/>
                <w:color w:val="auto"/>
              </w:rPr>
            </w:pP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-5.0%</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62,283</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34,459</w:t>
            </w:r>
          </w:p>
        </w:tc>
        <w:tc>
          <w:tcPr>
            <w:tcW w:w="9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80.7%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60" w:type="dxa"/>
            <w:vAlign w:val="bottom"/>
            <w:shd w:val="clear" w:color="auto" w:fill="CCFFCC"/>
          </w:tcPr>
          <w:p>
            <w:pPr>
              <w:ind w:left="320"/>
              <w:spacing w:after="0" w:line="135" w:lineRule="exact"/>
              <w:rPr>
                <w:sz w:val="20"/>
                <w:szCs w:val="20"/>
                <w:color w:val="auto"/>
              </w:rPr>
            </w:pPr>
            <w:r>
              <w:rPr>
                <w:rFonts w:ascii="Arial" w:cs="Arial" w:eastAsia="Arial" w:hAnsi="Arial"/>
                <w:sz w:val="13"/>
                <w:szCs w:val="13"/>
                <w:color w:val="auto"/>
              </w:rPr>
              <w:t>Workers' profit sharing</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0.0%</w:t>
            </w:r>
          </w:p>
        </w:tc>
        <w:tc>
          <w:tcPr>
            <w:tcW w:w="18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0.0%</w:t>
            </w:r>
          </w:p>
        </w:tc>
        <w:tc>
          <w:tcPr>
            <w:tcW w:w="8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60" w:type="dxa"/>
            <w:vAlign w:val="bottom"/>
          </w:tcPr>
          <w:p>
            <w:pPr>
              <w:ind w:left="320"/>
              <w:spacing w:after="0" w:line="135" w:lineRule="exact"/>
              <w:rPr>
                <w:sz w:val="20"/>
                <w:szCs w:val="20"/>
                <w:color w:val="auto"/>
              </w:rPr>
            </w:pPr>
            <w:r>
              <w:rPr>
                <w:rFonts w:ascii="Arial" w:cs="Arial" w:eastAsia="Arial" w:hAnsi="Arial"/>
                <w:sz w:val="13"/>
                <w:szCs w:val="13"/>
                <w:color w:val="auto"/>
              </w:rPr>
              <w:t>Income taxes</w:t>
            </w: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(44,102)</w:t>
            </w: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(55,980)</w:t>
            </w: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(43,151)</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-21.2%</w:t>
            </w:r>
          </w:p>
        </w:tc>
        <w:tc>
          <w:tcPr>
            <w:tcW w:w="180" w:type="dxa"/>
            <w:vAlign w:val="bottom"/>
          </w:tcPr>
          <w:p>
            <w:pPr>
              <w:spacing w:after="0"/>
              <w:rPr>
                <w:sz w:val="11"/>
                <w:szCs w:val="11"/>
                <w:color w:val="auto"/>
              </w:rPr>
            </w:pP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2.2%</w:t>
            </w: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(202,701)</w:t>
            </w: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(180,333)</w:t>
            </w:r>
          </w:p>
        </w:tc>
        <w:tc>
          <w:tcPr>
            <w:tcW w:w="9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12.4%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60" w:type="dxa"/>
            <w:vAlign w:val="bottom"/>
            <w:shd w:val="clear" w:color="auto" w:fill="CCFFCC"/>
          </w:tcPr>
          <w:p>
            <w:pPr>
              <w:ind w:left="320"/>
              <w:spacing w:after="0" w:line="135" w:lineRule="exact"/>
              <w:rPr>
                <w:sz w:val="20"/>
                <w:szCs w:val="20"/>
                <w:color w:val="auto"/>
              </w:rPr>
            </w:pPr>
            <w:r>
              <w:rPr>
                <w:rFonts w:ascii="Arial" w:cs="Arial" w:eastAsia="Arial" w:hAnsi="Arial"/>
                <w:sz w:val="13"/>
                <w:szCs w:val="13"/>
                <w:color w:val="auto"/>
              </w:rPr>
              <w:t>Minority interest</w:t>
            </w:r>
          </w:p>
        </w:tc>
        <w:tc>
          <w:tcPr>
            <w:tcW w:w="9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(994)</w:t>
            </w:r>
          </w:p>
        </w:tc>
        <w:tc>
          <w:tcPr>
            <w:tcW w:w="88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(2,141)</w:t>
            </w:r>
          </w:p>
        </w:tc>
        <w:tc>
          <w:tcPr>
            <w:tcW w:w="9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(474)</w:t>
            </w:r>
          </w:p>
        </w:tc>
        <w:tc>
          <w:tcPr>
            <w:tcW w:w="9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-53.6%</w:t>
            </w:r>
          </w:p>
        </w:tc>
        <w:tc>
          <w:tcPr>
            <w:tcW w:w="18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109.7%</w:t>
            </w:r>
          </w:p>
        </w:tc>
        <w:tc>
          <w:tcPr>
            <w:tcW w:w="88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(3,201)</w:t>
            </w:r>
          </w:p>
        </w:tc>
        <w:tc>
          <w:tcPr>
            <w:tcW w:w="9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(965)</w:t>
            </w:r>
          </w:p>
        </w:tc>
        <w:tc>
          <w:tcPr>
            <w:tcW w:w="94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231.7%</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160" w:type="dxa"/>
            <w:vAlign w:val="bottom"/>
          </w:tcPr>
          <w:p>
            <w:pPr>
              <w:spacing w:after="0"/>
              <w:rPr>
                <w:sz w:val="20"/>
                <w:szCs w:val="20"/>
                <w:color w:val="auto"/>
              </w:rPr>
            </w:pPr>
            <w:r>
              <w:rPr>
                <w:rFonts w:ascii="Arial" w:cs="Arial" w:eastAsia="Arial" w:hAnsi="Arial"/>
                <w:sz w:val="13"/>
                <w:szCs w:val="13"/>
                <w:b w:val="1"/>
                <w:bCs w:val="1"/>
                <w:color w:val="auto"/>
              </w:rPr>
              <w:t>Net income</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170,956</w:t>
            </w:r>
          </w:p>
        </w:tc>
        <w:tc>
          <w:tcPr>
            <w:tcW w:w="22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192,048</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164,783</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-11.0%</w:t>
            </w:r>
          </w:p>
        </w:tc>
        <w:tc>
          <w:tcPr>
            <w:tcW w:w="18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3.7%</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661,358</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577,712</w:t>
            </w:r>
          </w:p>
        </w:tc>
        <w:tc>
          <w:tcPr>
            <w:tcW w:w="940" w:type="dxa"/>
            <w:vAlign w:val="bottom"/>
            <w:gridSpan w:val="2"/>
          </w:tcPr>
          <w:p>
            <w:pPr>
              <w:jc w:val="right"/>
              <w:spacing w:after="0"/>
              <w:rPr>
                <w:sz w:val="20"/>
                <w:szCs w:val="20"/>
                <w:color w:val="auto"/>
              </w:rPr>
            </w:pPr>
            <w:r>
              <w:rPr>
                <w:rFonts w:ascii="Arial" w:cs="Arial" w:eastAsia="Arial" w:hAnsi="Arial"/>
                <w:sz w:val="13"/>
                <w:szCs w:val="13"/>
                <w:b w:val="1"/>
                <w:bCs w:val="1"/>
                <w:color w:val="auto"/>
              </w:rPr>
              <w:t>14.5%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2654935</wp:posOffset>
            </wp:positionH>
            <wp:positionV relativeFrom="paragraph">
              <wp:posOffset>-8890</wp:posOffset>
            </wp:positionV>
            <wp:extent cx="451104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51104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(1) Income before translation results and income taxes.</w:t>
      </w: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3" w:name="page54"/>
    <w:bookmarkEnd w:id="53"/>
    <w:p>
      <w:pPr>
        <w:spacing w:after="0" w:line="1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6254750</wp:posOffset>
            </wp:positionH>
            <wp:positionV relativeFrom="page">
              <wp:posOffset>568960</wp:posOffset>
            </wp:positionV>
            <wp:extent cx="1149350" cy="3175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INDICATORS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Quarter</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3"/>
          </w:tcPr>
          <w:p>
            <w:pPr>
              <w:ind w:left="780"/>
              <w:spacing w:after="0"/>
              <w:rPr>
                <w:sz w:val="20"/>
                <w:szCs w:val="20"/>
                <w:color w:val="auto"/>
              </w:rPr>
            </w:pPr>
            <w:r>
              <w:rPr>
                <w:rFonts w:ascii="Arial" w:cs="Arial" w:eastAsia="Arial" w:hAnsi="Arial"/>
                <w:sz w:val="14"/>
                <w:szCs w:val="14"/>
                <w:b w:val="1"/>
                <w:bCs w:val="1"/>
                <w:color w:val="auto"/>
                <w:w w:val="95"/>
              </w:rPr>
              <w:t>Year ended</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4Q12</w:t>
            </w:r>
          </w:p>
        </w:tc>
        <w:tc>
          <w:tcPr>
            <w:tcW w:w="12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3Q12</w:t>
            </w:r>
          </w:p>
        </w:tc>
        <w:tc>
          <w:tcPr>
            <w:tcW w:w="12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4Q11</w:t>
            </w:r>
          </w:p>
        </w:tc>
        <w:tc>
          <w:tcPr>
            <w:tcW w:w="1520" w:type="dxa"/>
            <w:vAlign w:val="bottom"/>
            <w:gridSpan w:val="3"/>
          </w:tcPr>
          <w:p>
            <w:pPr>
              <w:ind w:left="300"/>
              <w:spacing w:after="0"/>
              <w:rPr>
                <w:sz w:val="20"/>
                <w:szCs w:val="20"/>
                <w:color w:val="auto"/>
              </w:rPr>
            </w:pPr>
            <w:r>
              <w:rPr>
                <w:rFonts w:ascii="Arial" w:cs="Arial" w:eastAsia="Arial" w:hAnsi="Arial"/>
                <w:sz w:val="14"/>
                <w:szCs w:val="14"/>
                <w:b w:val="1"/>
                <w:bCs w:val="1"/>
                <w:color w:val="auto"/>
              </w:rPr>
              <w:t>Dec 12</w:t>
            </w: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2"/>
              </w:rPr>
              <w:t>Dec 11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26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Profitability</w:t>
            </w:r>
          </w:p>
        </w:tc>
        <w:tc>
          <w:tcPr>
            <w:tcW w:w="104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ind w:left="160"/>
              <w:spacing w:after="0" w:line="149" w:lineRule="exact"/>
              <w:rPr>
                <w:sz w:val="20"/>
                <w:szCs w:val="20"/>
                <w:color w:val="auto"/>
              </w:rPr>
            </w:pPr>
            <w:r>
              <w:rPr>
                <w:rFonts w:ascii="Arial" w:cs="Arial" w:eastAsia="Arial" w:hAnsi="Arial"/>
                <w:sz w:val="14"/>
                <w:szCs w:val="14"/>
                <w:color w:val="auto"/>
              </w:rPr>
              <w:t>Net income per common share (US$ per share)(1)</w:t>
            </w:r>
          </w:p>
        </w:tc>
        <w:tc>
          <w:tcPr>
            <w:tcW w:w="12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0.055</w:t>
            </w:r>
          </w:p>
        </w:tc>
        <w:tc>
          <w:tcPr>
            <w:tcW w:w="12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0.062</w:t>
            </w:r>
          </w:p>
        </w:tc>
        <w:tc>
          <w:tcPr>
            <w:tcW w:w="12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0.053</w:t>
            </w:r>
          </w:p>
        </w:tc>
        <w:tc>
          <w:tcPr>
            <w:tcW w:w="12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0.213</w:t>
            </w:r>
          </w:p>
        </w:tc>
        <w:tc>
          <w:tcPr>
            <w:tcW w:w="28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0.186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Net interest margin on interest earning assets (2)</w:t>
            </w:r>
          </w:p>
        </w:tc>
        <w:tc>
          <w:tcPr>
            <w:tcW w:w="12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5.13%</w:t>
            </w:r>
          </w:p>
        </w:tc>
        <w:tc>
          <w:tcPr>
            <w:tcW w:w="12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5.36%</w:t>
            </w:r>
          </w:p>
        </w:tc>
        <w:tc>
          <w:tcPr>
            <w:tcW w:w="12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5.31%</w:t>
            </w:r>
          </w:p>
        </w:tc>
        <w:tc>
          <w:tcPr>
            <w:tcW w:w="12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5.20%</w:t>
            </w:r>
          </w:p>
        </w:tc>
        <w:tc>
          <w:tcPr>
            <w:tcW w:w="28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4.92%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ind w:left="160"/>
              <w:spacing w:after="0" w:line="149" w:lineRule="exact"/>
              <w:rPr>
                <w:sz w:val="20"/>
                <w:szCs w:val="20"/>
                <w:color w:val="auto"/>
              </w:rPr>
            </w:pPr>
            <w:r>
              <w:rPr>
                <w:rFonts w:ascii="Arial" w:cs="Arial" w:eastAsia="Arial" w:hAnsi="Arial"/>
                <w:sz w:val="14"/>
                <w:szCs w:val="14"/>
                <w:color w:val="auto"/>
              </w:rPr>
              <w:t>Return on average total assets (2)(3)</w:t>
            </w:r>
          </w:p>
        </w:tc>
        <w:tc>
          <w:tcPr>
            <w:tcW w:w="1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2.5%</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w:t>
            </w:r>
          </w:p>
        </w:tc>
        <w:tc>
          <w:tcPr>
            <w:tcW w:w="28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Return on average shareholders' equity (2)(3)</w:t>
            </w:r>
          </w:p>
        </w:tc>
        <w:tc>
          <w:tcPr>
            <w:tcW w:w="12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25.2%</w:t>
            </w:r>
          </w:p>
        </w:tc>
        <w:tc>
          <w:tcPr>
            <w:tcW w:w="12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30.2%</w:t>
            </w:r>
          </w:p>
        </w:tc>
        <w:tc>
          <w:tcPr>
            <w:tcW w:w="12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29.4%</w:t>
            </w:r>
          </w:p>
        </w:tc>
        <w:tc>
          <w:tcPr>
            <w:tcW w:w="12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26.4%</w:t>
            </w:r>
          </w:p>
        </w:tc>
        <w:tc>
          <w:tcPr>
            <w:tcW w:w="28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ind w:left="160"/>
              <w:spacing w:after="0" w:line="149" w:lineRule="exact"/>
              <w:rPr>
                <w:sz w:val="20"/>
                <w:szCs w:val="20"/>
                <w:color w:val="auto"/>
              </w:rPr>
            </w:pPr>
            <w:r>
              <w:rPr>
                <w:rFonts w:ascii="Arial" w:cs="Arial" w:eastAsia="Arial" w:hAnsi="Arial"/>
                <w:sz w:val="14"/>
                <w:szCs w:val="14"/>
                <w:color w:val="auto"/>
              </w:rPr>
              <w:t>No. of outstanding shares (millions)</w:t>
            </w:r>
          </w:p>
        </w:tc>
        <w:tc>
          <w:tcPr>
            <w:tcW w:w="12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3,102.90</w:t>
            </w:r>
          </w:p>
        </w:tc>
        <w:tc>
          <w:tcPr>
            <w:tcW w:w="12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3,102.90</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3,102.90</w:t>
            </w:r>
          </w:p>
        </w:tc>
        <w:tc>
          <w:tcPr>
            <w:tcW w:w="220" w:type="dxa"/>
            <w:vAlign w:val="bottom"/>
          </w:tcPr>
          <w:p>
            <w:pPr>
              <w:spacing w:after="0"/>
              <w:rPr>
                <w:sz w:val="12"/>
                <w:szCs w:val="12"/>
                <w:color w:val="auto"/>
              </w:rPr>
            </w:pPr>
          </w:p>
        </w:tc>
        <w:tc>
          <w:tcPr>
            <w:tcW w:w="12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3,102.90</w:t>
            </w:r>
          </w:p>
        </w:tc>
        <w:tc>
          <w:tcPr>
            <w:tcW w:w="2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3,102.90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26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60" w:type="dxa"/>
            <w:vAlign w:val="bottom"/>
          </w:tcPr>
          <w:p>
            <w:pPr>
              <w:spacing w:after="0" w:line="149" w:lineRule="exact"/>
              <w:rPr>
                <w:sz w:val="20"/>
                <w:szCs w:val="20"/>
                <w:color w:val="auto"/>
              </w:rPr>
            </w:pPr>
            <w:r>
              <w:rPr>
                <w:rFonts w:ascii="Arial" w:cs="Arial" w:eastAsia="Arial" w:hAnsi="Arial"/>
                <w:sz w:val="14"/>
                <w:szCs w:val="14"/>
                <w:b w:val="1"/>
                <w:bCs w:val="1"/>
                <w:color w:val="auto"/>
              </w:rPr>
              <w:t>Quality of loan portfolio</w:t>
            </w: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PDL ratio</w:t>
            </w:r>
          </w:p>
        </w:tc>
        <w:tc>
          <w:tcPr>
            <w:tcW w:w="12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1.78%</w:t>
            </w:r>
          </w:p>
        </w:tc>
        <w:tc>
          <w:tcPr>
            <w:tcW w:w="12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1.78%</w:t>
            </w:r>
          </w:p>
        </w:tc>
        <w:tc>
          <w:tcPr>
            <w:tcW w:w="12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1.53%</w:t>
            </w:r>
          </w:p>
        </w:tc>
        <w:tc>
          <w:tcPr>
            <w:tcW w:w="12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1.78%</w:t>
            </w:r>
          </w:p>
        </w:tc>
        <w:tc>
          <w:tcPr>
            <w:tcW w:w="28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ind w:left="160"/>
              <w:spacing w:after="0" w:line="149" w:lineRule="exact"/>
              <w:rPr>
                <w:sz w:val="20"/>
                <w:szCs w:val="20"/>
                <w:color w:val="auto"/>
              </w:rPr>
            </w:pPr>
            <w:r>
              <w:rPr>
                <w:rFonts w:ascii="Arial" w:cs="Arial" w:eastAsia="Arial" w:hAnsi="Arial"/>
                <w:sz w:val="14"/>
                <w:szCs w:val="14"/>
                <w:color w:val="auto"/>
              </w:rPr>
              <w:t>NPL ratio</w:t>
            </w:r>
          </w:p>
        </w:tc>
        <w:tc>
          <w:tcPr>
            <w:tcW w:w="1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2.47%</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2.46%</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2.09%</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2.47%</w:t>
            </w:r>
          </w:p>
        </w:tc>
        <w:tc>
          <w:tcPr>
            <w:tcW w:w="28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Coverage of PDLs</w:t>
            </w:r>
          </w:p>
        </w:tc>
        <w:tc>
          <w:tcPr>
            <w:tcW w:w="12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188.6%</w:t>
            </w:r>
          </w:p>
        </w:tc>
        <w:tc>
          <w:tcPr>
            <w:tcW w:w="12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191.5%</w:t>
            </w:r>
          </w:p>
        </w:tc>
        <w:tc>
          <w:tcPr>
            <w:tcW w:w="12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200.8%</w:t>
            </w:r>
          </w:p>
        </w:tc>
        <w:tc>
          <w:tcPr>
            <w:tcW w:w="12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188.6%</w:t>
            </w:r>
          </w:p>
        </w:tc>
        <w:tc>
          <w:tcPr>
            <w:tcW w:w="28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200.8%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ind w:left="160"/>
              <w:spacing w:after="0" w:line="149" w:lineRule="exact"/>
              <w:rPr>
                <w:sz w:val="20"/>
                <w:szCs w:val="20"/>
                <w:color w:val="auto"/>
              </w:rPr>
            </w:pPr>
            <w:r>
              <w:rPr>
                <w:rFonts w:ascii="Arial" w:cs="Arial" w:eastAsia="Arial" w:hAnsi="Arial"/>
                <w:sz w:val="14"/>
                <w:szCs w:val="14"/>
                <w:color w:val="auto"/>
              </w:rPr>
              <w:t>Coverage of NPLs</w:t>
            </w:r>
          </w:p>
        </w:tc>
        <w:tc>
          <w:tcPr>
            <w:tcW w:w="1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136.4%</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138.6%</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146.7%</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136.4%</w:t>
            </w:r>
          </w:p>
        </w:tc>
        <w:tc>
          <w:tcPr>
            <w:tcW w:w="28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Reserves for loan losses as a percentage of total loans</w:t>
            </w:r>
          </w:p>
        </w:tc>
        <w:tc>
          <w:tcPr>
            <w:tcW w:w="12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3.4%</w:t>
            </w:r>
          </w:p>
        </w:tc>
        <w:tc>
          <w:tcPr>
            <w:tcW w:w="12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3.4%</w:t>
            </w:r>
          </w:p>
        </w:tc>
        <w:tc>
          <w:tcPr>
            <w:tcW w:w="12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3.1%</w:t>
            </w:r>
          </w:p>
        </w:tc>
        <w:tc>
          <w:tcPr>
            <w:tcW w:w="12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3.4%</w:t>
            </w:r>
          </w:p>
        </w:tc>
        <w:tc>
          <w:tcPr>
            <w:tcW w:w="28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Operating efficiency</w:t>
            </w:r>
          </w:p>
        </w:tc>
        <w:tc>
          <w:tcPr>
            <w:tcW w:w="104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ind w:left="160"/>
              <w:spacing w:after="0" w:line="149" w:lineRule="exact"/>
              <w:rPr>
                <w:sz w:val="20"/>
                <w:szCs w:val="20"/>
                <w:color w:val="auto"/>
              </w:rPr>
            </w:pPr>
            <w:r>
              <w:rPr>
                <w:rFonts w:ascii="Arial" w:cs="Arial" w:eastAsia="Arial" w:hAnsi="Arial"/>
                <w:sz w:val="14"/>
                <w:szCs w:val="14"/>
                <w:color w:val="auto"/>
              </w:rPr>
              <w:t>Oper. expenses as a percent. of total income (4)</w:t>
            </w:r>
          </w:p>
        </w:tc>
        <w:tc>
          <w:tcPr>
            <w:tcW w:w="1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55.7%</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50.6%</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52.2%</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51.0%</w:t>
            </w:r>
          </w:p>
        </w:tc>
        <w:tc>
          <w:tcPr>
            <w:tcW w:w="28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Oper. expenses as a percent. of av. tot. assets(2)(3)(4)</w:t>
            </w:r>
          </w:p>
        </w:tc>
        <w:tc>
          <w:tcPr>
            <w:tcW w:w="12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3.9%</w:t>
            </w:r>
          </w:p>
        </w:tc>
        <w:tc>
          <w:tcPr>
            <w:tcW w:w="12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3.8%</w:t>
            </w:r>
          </w:p>
        </w:tc>
        <w:tc>
          <w:tcPr>
            <w:tcW w:w="12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4.0%</w:t>
            </w:r>
          </w:p>
        </w:tc>
        <w:tc>
          <w:tcPr>
            <w:tcW w:w="12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3.6%</w:t>
            </w:r>
          </w:p>
        </w:tc>
        <w:tc>
          <w:tcPr>
            <w:tcW w:w="28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Capital adequacy</w:t>
            </w:r>
          </w:p>
        </w:tc>
        <w:tc>
          <w:tcPr>
            <w:tcW w:w="104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ind w:left="160"/>
              <w:spacing w:after="0" w:line="149" w:lineRule="exact"/>
              <w:rPr>
                <w:sz w:val="20"/>
                <w:szCs w:val="20"/>
                <w:color w:val="auto"/>
              </w:rPr>
            </w:pPr>
            <w:r>
              <w:rPr>
                <w:rFonts w:ascii="Arial" w:cs="Arial" w:eastAsia="Arial" w:hAnsi="Arial"/>
                <w:sz w:val="14"/>
                <w:szCs w:val="14"/>
                <w:color w:val="auto"/>
              </w:rPr>
              <w:t>Total Regulatory Capital (US$ million)</w:t>
            </w:r>
          </w:p>
        </w:tc>
        <w:tc>
          <w:tcPr>
            <w:tcW w:w="12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3,502,107.6</w:t>
            </w:r>
          </w:p>
        </w:tc>
        <w:tc>
          <w:tcPr>
            <w:tcW w:w="12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3,201,534.5</w:t>
            </w:r>
          </w:p>
        </w:tc>
        <w:tc>
          <w:tcPr>
            <w:tcW w:w="12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2,671,197.6</w:t>
            </w:r>
          </w:p>
        </w:tc>
        <w:tc>
          <w:tcPr>
            <w:tcW w:w="12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3,502,107.6</w:t>
            </w:r>
          </w:p>
        </w:tc>
        <w:tc>
          <w:tcPr>
            <w:tcW w:w="28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7"/>
              </w:rPr>
              <w:t>2,671,197.6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Tier I capital</w:t>
            </w:r>
          </w:p>
        </w:tc>
        <w:tc>
          <w:tcPr>
            <w:tcW w:w="12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2,405,254.7</w:t>
            </w:r>
          </w:p>
        </w:tc>
        <w:tc>
          <w:tcPr>
            <w:tcW w:w="12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2,193,631.6</w:t>
            </w:r>
          </w:p>
        </w:tc>
        <w:tc>
          <w:tcPr>
            <w:tcW w:w="12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1,906,509.0</w:t>
            </w:r>
          </w:p>
        </w:tc>
        <w:tc>
          <w:tcPr>
            <w:tcW w:w="12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2,405,254.7</w:t>
            </w:r>
          </w:p>
        </w:tc>
        <w:tc>
          <w:tcPr>
            <w:tcW w:w="28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w w:val="97"/>
              </w:rPr>
              <w:t>1,906,509.0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ind w:left="160"/>
              <w:spacing w:after="0" w:line="149" w:lineRule="exact"/>
              <w:rPr>
                <w:sz w:val="20"/>
                <w:szCs w:val="20"/>
                <w:color w:val="auto"/>
              </w:rPr>
            </w:pPr>
            <w:r>
              <w:rPr>
                <w:rFonts w:ascii="Arial" w:cs="Arial" w:eastAsia="Arial" w:hAnsi="Arial"/>
                <w:sz w:val="14"/>
                <w:szCs w:val="14"/>
                <w:color w:val="auto"/>
              </w:rPr>
              <w:t>BIS ratio (5)</w:t>
            </w:r>
          </w:p>
        </w:tc>
        <w:tc>
          <w:tcPr>
            <w:tcW w:w="1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14.7%</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14.1%</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14.5%</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14.7%</w:t>
            </w:r>
          </w:p>
        </w:tc>
        <w:tc>
          <w:tcPr>
            <w:tcW w:w="28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26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60" w:type="dxa"/>
            <w:vAlign w:val="bottom"/>
          </w:tcPr>
          <w:p>
            <w:pPr>
              <w:spacing w:after="0" w:line="149" w:lineRule="exact"/>
              <w:rPr>
                <w:sz w:val="20"/>
                <w:szCs w:val="20"/>
                <w:color w:val="auto"/>
              </w:rPr>
            </w:pPr>
            <w:r>
              <w:rPr>
                <w:rFonts w:ascii="Arial" w:cs="Arial" w:eastAsia="Arial" w:hAnsi="Arial"/>
                <w:sz w:val="14"/>
                <w:szCs w:val="14"/>
                <w:b w:val="1"/>
                <w:bCs w:val="1"/>
                <w:color w:val="auto"/>
              </w:rPr>
              <w:t>Average balances (US$ million) (3)</w:t>
            </w: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Interest earning assets</w:t>
            </w:r>
          </w:p>
        </w:tc>
        <w:tc>
          <w:tcPr>
            <w:tcW w:w="12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30,780.3</w:t>
            </w:r>
          </w:p>
        </w:tc>
        <w:tc>
          <w:tcPr>
            <w:tcW w:w="12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28,517.2</w:t>
            </w:r>
          </w:p>
        </w:tc>
        <w:tc>
          <w:tcPr>
            <w:tcW w:w="10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24,347.4</w:t>
            </w:r>
          </w:p>
        </w:tc>
        <w:tc>
          <w:tcPr>
            <w:tcW w:w="220" w:type="dxa"/>
            <w:vAlign w:val="bottom"/>
            <w:shd w:val="clear" w:color="auto" w:fill="CCFFCC"/>
          </w:tcPr>
          <w:p>
            <w:pPr>
              <w:spacing w:after="0"/>
              <w:rPr>
                <w:sz w:val="12"/>
                <w:szCs w:val="12"/>
                <w:color w:val="auto"/>
              </w:rPr>
            </w:pPr>
          </w:p>
        </w:tc>
        <w:tc>
          <w:tcPr>
            <w:tcW w:w="12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27,517.9</w:t>
            </w:r>
          </w:p>
        </w:tc>
        <w:tc>
          <w:tcPr>
            <w:tcW w:w="280" w:type="dxa"/>
            <w:vAlign w:val="bottom"/>
            <w:shd w:val="clear" w:color="auto" w:fill="CCFFCC"/>
          </w:tcPr>
          <w:p>
            <w:pPr>
              <w:spacing w:after="0"/>
              <w:rPr>
                <w:sz w:val="12"/>
                <w:szCs w:val="12"/>
                <w:color w:val="auto"/>
              </w:rPr>
            </w:pPr>
          </w:p>
        </w:tc>
        <w:tc>
          <w:tcPr>
            <w:tcW w:w="7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23,751.2</w:t>
            </w: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ind w:left="160"/>
              <w:spacing w:after="0" w:line="149" w:lineRule="exact"/>
              <w:rPr>
                <w:sz w:val="20"/>
                <w:szCs w:val="20"/>
                <w:color w:val="auto"/>
              </w:rPr>
            </w:pPr>
            <w:r>
              <w:rPr>
                <w:rFonts w:ascii="Arial" w:cs="Arial" w:eastAsia="Arial" w:hAnsi="Arial"/>
                <w:sz w:val="14"/>
                <w:szCs w:val="14"/>
                <w:color w:val="auto"/>
              </w:rPr>
              <w:t>Total Assets</w:t>
            </w:r>
          </w:p>
        </w:tc>
        <w:tc>
          <w:tcPr>
            <w:tcW w:w="12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34,446.0</w:t>
            </w:r>
          </w:p>
        </w:tc>
        <w:tc>
          <w:tcPr>
            <w:tcW w:w="12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31,890.2</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26,543.7</w:t>
            </w:r>
          </w:p>
        </w:tc>
        <w:tc>
          <w:tcPr>
            <w:tcW w:w="220" w:type="dxa"/>
            <w:vAlign w:val="bottom"/>
          </w:tcPr>
          <w:p>
            <w:pPr>
              <w:spacing w:after="0"/>
              <w:rPr>
                <w:sz w:val="12"/>
                <w:szCs w:val="12"/>
                <w:color w:val="auto"/>
              </w:rPr>
            </w:pPr>
          </w:p>
        </w:tc>
        <w:tc>
          <w:tcPr>
            <w:tcW w:w="12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31,303.2</w:t>
            </w:r>
          </w:p>
        </w:tc>
        <w:tc>
          <w:tcPr>
            <w:tcW w:w="2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26,197.7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60" w:type="dxa"/>
            <w:vAlign w:val="bottom"/>
            <w:shd w:val="clear" w:color="auto" w:fill="CCFFCC"/>
          </w:tcPr>
          <w:p>
            <w:pPr>
              <w:ind w:left="160"/>
              <w:spacing w:after="0"/>
              <w:rPr>
                <w:sz w:val="20"/>
                <w:szCs w:val="20"/>
                <w:color w:val="auto"/>
              </w:rPr>
            </w:pPr>
            <w:r>
              <w:rPr>
                <w:rFonts w:ascii="Arial" w:cs="Arial" w:eastAsia="Arial" w:hAnsi="Arial"/>
                <w:sz w:val="14"/>
                <w:szCs w:val="14"/>
                <w:color w:val="auto"/>
              </w:rPr>
              <w:t>Net shareholders' equity</w:t>
            </w: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2,710.1</w:t>
            </w:r>
          </w:p>
        </w:tc>
        <w:tc>
          <w:tcPr>
            <w:tcW w:w="240" w:type="dxa"/>
            <w:vAlign w:val="bottom"/>
            <w:shd w:val="clear" w:color="auto" w:fill="CCFFCC"/>
          </w:tcPr>
          <w:p>
            <w:pPr>
              <w:spacing w:after="0"/>
              <w:rPr>
                <w:sz w:val="14"/>
                <w:szCs w:val="14"/>
                <w:color w:val="auto"/>
              </w:rPr>
            </w:pPr>
          </w:p>
        </w:tc>
        <w:tc>
          <w:tcPr>
            <w:tcW w:w="10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2,542.8</w:t>
            </w:r>
          </w:p>
        </w:tc>
        <w:tc>
          <w:tcPr>
            <w:tcW w:w="220" w:type="dxa"/>
            <w:vAlign w:val="bottom"/>
            <w:shd w:val="clear" w:color="auto" w:fill="CCFFCC"/>
          </w:tcPr>
          <w:p>
            <w:pPr>
              <w:spacing w:after="0"/>
              <w:rPr>
                <w:sz w:val="14"/>
                <w:szCs w:val="14"/>
                <w:color w:val="auto"/>
              </w:rPr>
            </w:pPr>
          </w:p>
        </w:tc>
        <w:tc>
          <w:tcPr>
            <w:tcW w:w="10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2,245.3</w:t>
            </w:r>
          </w:p>
        </w:tc>
        <w:tc>
          <w:tcPr>
            <w:tcW w:w="220" w:type="dxa"/>
            <w:vAlign w:val="bottom"/>
            <w:shd w:val="clear" w:color="auto" w:fill="CCFFCC"/>
          </w:tcPr>
          <w:p>
            <w:pPr>
              <w:spacing w:after="0"/>
              <w:rPr>
                <w:sz w:val="14"/>
                <w:szCs w:val="14"/>
                <w:color w:val="auto"/>
              </w:rPr>
            </w:pPr>
          </w:p>
        </w:tc>
        <w:tc>
          <w:tcPr>
            <w:tcW w:w="10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2,507.9</w:t>
            </w:r>
          </w:p>
        </w:tc>
        <w:tc>
          <w:tcPr>
            <w:tcW w:w="220" w:type="dxa"/>
            <w:vAlign w:val="bottom"/>
            <w:shd w:val="clear" w:color="auto" w:fill="CCFFCC"/>
          </w:tcPr>
          <w:p>
            <w:pPr>
              <w:spacing w:after="0"/>
              <w:rPr>
                <w:sz w:val="14"/>
                <w:szCs w:val="14"/>
                <w:color w:val="auto"/>
              </w:rPr>
            </w:pPr>
          </w:p>
        </w:tc>
        <w:tc>
          <w:tcPr>
            <w:tcW w:w="280" w:type="dxa"/>
            <w:vAlign w:val="bottom"/>
            <w:tcBorders>
              <w:bottom w:val="single" w:sz="8" w:color="auto"/>
            </w:tcBorders>
            <w:shd w:val="clear" w:color="auto" w:fill="CCFFCC"/>
          </w:tcPr>
          <w:p>
            <w:pPr>
              <w:spacing w:after="0"/>
              <w:rPr>
                <w:sz w:val="14"/>
                <w:szCs w:val="14"/>
                <w:color w:val="auto"/>
              </w:rPr>
            </w:pPr>
          </w:p>
        </w:tc>
        <w:tc>
          <w:tcPr>
            <w:tcW w:w="7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2,092.2</w:t>
            </w:r>
          </w:p>
        </w:tc>
        <w:tc>
          <w:tcPr>
            <w:tcW w:w="1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34"/>
        </w:numPr>
        <w:rPr>
          <w:rFonts w:ascii="Arial" w:cs="Arial" w:eastAsia="Arial" w:hAnsi="Arial"/>
          <w:sz w:val="17"/>
          <w:szCs w:val="17"/>
          <w:i w:val="1"/>
          <w:iCs w:val="1"/>
          <w:color w:val="auto"/>
        </w:rPr>
      </w:pPr>
      <w:r>
        <w:rPr>
          <w:rFonts w:ascii="Arial" w:cs="Arial" w:eastAsia="Arial" w:hAnsi="Arial"/>
          <w:sz w:val="17"/>
          <w:szCs w:val="17"/>
          <w:i w:val="1"/>
          <w:iCs w:val="1"/>
          <w:color w:val="auto"/>
        </w:rPr>
        <w:t>Shares outstanding of 3,103 million is used for all periods since shares have been issued only for capitalization of profits and inflation adjustment.</w:t>
      </w:r>
    </w:p>
    <w:p>
      <w:pPr>
        <w:spacing w:after="0" w:line="20" w:lineRule="exact"/>
        <w:rPr>
          <w:rFonts w:ascii="Arial" w:cs="Arial" w:eastAsia="Arial" w:hAnsi="Arial"/>
          <w:sz w:val="17"/>
          <w:szCs w:val="17"/>
          <w:i w:val="1"/>
          <w:iCs w:val="1"/>
          <w:color w:val="auto"/>
        </w:rPr>
      </w:pPr>
    </w:p>
    <w:p>
      <w:pPr>
        <w:ind w:left="260" w:hanging="252"/>
        <w:spacing w:after="0"/>
        <w:tabs>
          <w:tab w:leader="none" w:pos="260" w:val="left"/>
        </w:tabs>
        <w:numPr>
          <w:ilvl w:val="0"/>
          <w:numId w:val="34"/>
        </w:numPr>
        <w:rPr>
          <w:rFonts w:ascii="Arial" w:cs="Arial" w:eastAsia="Arial" w:hAnsi="Arial"/>
          <w:sz w:val="18"/>
          <w:szCs w:val="18"/>
          <w:i w:val="1"/>
          <w:iCs w:val="1"/>
          <w:color w:val="auto"/>
        </w:rPr>
      </w:pPr>
      <w:r>
        <w:rPr>
          <w:rFonts w:ascii="Arial" w:cs="Arial" w:eastAsia="Arial" w:hAnsi="Arial"/>
          <w:sz w:val="18"/>
          <w:szCs w:val="18"/>
          <w:i w:val="1"/>
          <w:iCs w:val="1"/>
          <w:color w:val="auto"/>
        </w:rPr>
        <w:t>Ratios are annualized.</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34"/>
        </w:numPr>
        <w:rPr>
          <w:rFonts w:ascii="Arial" w:cs="Arial" w:eastAsia="Arial" w:hAnsi="Arial"/>
          <w:sz w:val="18"/>
          <w:szCs w:val="18"/>
          <w:i w:val="1"/>
          <w:iCs w:val="1"/>
          <w:color w:val="auto"/>
        </w:rPr>
      </w:pPr>
      <w:r>
        <w:rPr>
          <w:rFonts w:ascii="Arial" w:cs="Arial" w:eastAsia="Arial" w:hAnsi="Arial"/>
          <w:sz w:val="18"/>
          <w:szCs w:val="18"/>
          <w:i w:val="1"/>
          <w:iCs w:val="1"/>
          <w:color w:val="auto"/>
        </w:rPr>
        <w:t>Averages are determined as the average of period-beginning and period-ending balances.</w:t>
      </w:r>
    </w:p>
    <w:p>
      <w:pPr>
        <w:spacing w:after="0" w:line="9" w:lineRule="exact"/>
        <w:rPr>
          <w:rFonts w:ascii="Arial" w:cs="Arial" w:eastAsia="Arial" w:hAnsi="Arial"/>
          <w:sz w:val="18"/>
          <w:szCs w:val="18"/>
          <w:i w:val="1"/>
          <w:iCs w:val="1"/>
          <w:color w:val="auto"/>
        </w:rPr>
      </w:pPr>
    </w:p>
    <w:p>
      <w:pPr>
        <w:ind w:right="340" w:firstLine="8"/>
        <w:spacing w:after="0" w:line="250" w:lineRule="auto"/>
        <w:tabs>
          <w:tab w:leader="none" w:pos="255" w:val="left"/>
        </w:tabs>
        <w:numPr>
          <w:ilvl w:val="0"/>
          <w:numId w:val="34"/>
        </w:numPr>
        <w:rPr>
          <w:rFonts w:ascii="Arial" w:cs="Arial" w:eastAsia="Arial" w:hAnsi="Arial"/>
          <w:sz w:val="18"/>
          <w:szCs w:val="18"/>
          <w:i w:val="1"/>
          <w:iCs w:val="1"/>
          <w:color w:val="auto"/>
        </w:rPr>
      </w:pPr>
      <w:r>
        <w:rPr>
          <w:rFonts w:ascii="Arial" w:cs="Arial" w:eastAsia="Arial" w:hAnsi="Arial"/>
          <w:sz w:val="18"/>
          <w:szCs w:val="18"/>
          <w:i w:val="1"/>
          <w:iCs w:val="1"/>
          <w:color w:val="auto"/>
        </w:rPr>
        <w:t>Total income includes net interest income, fee income and net gain on foreign exchange transactions. Operating expense includes personnel expenses, administrative expenses and depreciation and amortization.</w:t>
      </w:r>
    </w:p>
    <w:p>
      <w:pPr>
        <w:ind w:left="260" w:hanging="252"/>
        <w:spacing w:after="0"/>
        <w:tabs>
          <w:tab w:leader="none" w:pos="260" w:val="left"/>
        </w:tabs>
        <w:numPr>
          <w:ilvl w:val="0"/>
          <w:numId w:val="34"/>
        </w:numPr>
        <w:rPr>
          <w:rFonts w:ascii="Arial" w:cs="Arial" w:eastAsia="Arial" w:hAnsi="Arial"/>
          <w:sz w:val="18"/>
          <w:szCs w:val="18"/>
          <w:i w:val="1"/>
          <w:iCs w:val="1"/>
          <w:color w:val="auto"/>
        </w:rPr>
      </w:pPr>
      <w:r>
        <w:rPr>
          <w:rFonts w:ascii="Arial" w:cs="Arial" w:eastAsia="Arial" w:hAnsi="Arial"/>
          <w:sz w:val="18"/>
          <w:szCs w:val="18"/>
          <w:i w:val="1"/>
          <w:iCs w:val="1"/>
          <w:color w:val="auto"/>
        </w:rPr>
        <w:t>Regulatory Capital / risk-weighted assets. Risk weighted assets include market risk and operation risk.</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4" w:name="page55"/>
    <w:bookmarkEnd w:id="54"/>
    <w:p>
      <w:pPr>
        <w:spacing w:after="0" w:line="1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6254750</wp:posOffset>
            </wp:positionH>
            <wp:positionV relativeFrom="page">
              <wp:posOffset>568960</wp:posOffset>
            </wp:positionV>
            <wp:extent cx="1149350" cy="3175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EL PACIFICO - PERUANO SUIZA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thousand)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3"/>
                <w:szCs w:val="13"/>
                <w:b w:val="1"/>
                <w:bCs w:val="1"/>
                <w:color w:val="auto"/>
                <w:w w:val="87"/>
              </w:rPr>
              <w:t>Three months ended</w:t>
            </w: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3"/>
          </w:tcPr>
          <w:p>
            <w:pPr>
              <w:ind w:left="520"/>
              <w:spacing w:after="0"/>
              <w:rPr>
                <w:sz w:val="20"/>
                <w:szCs w:val="20"/>
                <w:color w:val="auto"/>
              </w:rPr>
            </w:pPr>
            <w:r>
              <w:rPr>
                <w:rFonts w:ascii="Arial" w:cs="Arial" w:eastAsia="Arial" w:hAnsi="Arial"/>
                <w:sz w:val="13"/>
                <w:szCs w:val="13"/>
                <w:b w:val="1"/>
                <w:bCs w:val="1"/>
                <w:color w:val="auto"/>
                <w:w w:val="92"/>
              </w:rPr>
              <w:t>Change %</w:t>
            </w: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40" w:type="dxa"/>
            <w:vAlign w:val="bottom"/>
            <w:gridSpan w:val="4"/>
          </w:tcPr>
          <w:p>
            <w:pPr>
              <w:jc w:val="right"/>
              <w:ind w:right="740"/>
              <w:spacing w:after="0"/>
              <w:rPr>
                <w:sz w:val="20"/>
                <w:szCs w:val="20"/>
                <w:color w:val="auto"/>
              </w:rPr>
            </w:pPr>
            <w:r>
              <w:rPr>
                <w:rFonts w:ascii="Arial" w:cs="Arial" w:eastAsia="Arial" w:hAnsi="Arial"/>
                <w:sz w:val="13"/>
                <w:szCs w:val="13"/>
                <w:b w:val="1"/>
                <w:bCs w:val="1"/>
                <w:color w:val="auto"/>
              </w:rPr>
              <w:t>Year ended</w:t>
            </w:r>
          </w:p>
        </w:tc>
        <w:tc>
          <w:tcPr>
            <w:tcW w:w="94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Change %</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920" w:type="dxa"/>
            <w:vAlign w:val="bottom"/>
            <w:gridSpan w:val="2"/>
          </w:tcPr>
          <w:p>
            <w:pPr>
              <w:jc w:val="right"/>
              <w:ind w:right="377"/>
              <w:spacing w:after="0"/>
              <w:rPr>
                <w:sz w:val="20"/>
                <w:szCs w:val="20"/>
                <w:color w:val="auto"/>
              </w:rPr>
            </w:pPr>
            <w:r>
              <w:rPr>
                <w:rFonts w:ascii="Arial" w:cs="Arial" w:eastAsia="Arial" w:hAnsi="Arial"/>
                <w:sz w:val="13"/>
                <w:szCs w:val="13"/>
                <w:b w:val="1"/>
                <w:bCs w:val="1"/>
                <w:color w:val="auto"/>
              </w:rPr>
              <w:t>4Q12</w:t>
            </w:r>
          </w:p>
        </w:tc>
        <w:tc>
          <w:tcPr>
            <w:tcW w:w="92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3Q12</w:t>
            </w:r>
          </w:p>
        </w:tc>
        <w:tc>
          <w:tcPr>
            <w:tcW w:w="92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4Q11</w:t>
            </w:r>
          </w:p>
        </w:tc>
        <w:tc>
          <w:tcPr>
            <w:tcW w:w="1120" w:type="dxa"/>
            <w:vAlign w:val="bottom"/>
            <w:gridSpan w:val="3"/>
          </w:tcPr>
          <w:p>
            <w:pPr>
              <w:ind w:left="200"/>
              <w:spacing w:after="0"/>
              <w:rPr>
                <w:sz w:val="20"/>
                <w:szCs w:val="20"/>
                <w:color w:val="auto"/>
              </w:rPr>
            </w:pPr>
            <w:r>
              <w:rPr>
                <w:rFonts w:ascii="Arial" w:cs="Arial" w:eastAsia="Arial" w:hAnsi="Arial"/>
                <w:sz w:val="13"/>
                <w:szCs w:val="13"/>
                <w:b w:val="1"/>
                <w:bCs w:val="1"/>
                <w:color w:val="auto"/>
              </w:rPr>
              <w:t>QoQ</w:t>
            </w:r>
          </w:p>
        </w:tc>
        <w:tc>
          <w:tcPr>
            <w:tcW w:w="72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w w:val="94"/>
              </w:rPr>
              <w:t>YoY</w:t>
            </w:r>
          </w:p>
        </w:tc>
        <w:tc>
          <w:tcPr>
            <w:tcW w:w="92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Dec 12</w:t>
            </w:r>
          </w:p>
        </w:tc>
        <w:tc>
          <w:tcPr>
            <w:tcW w:w="92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Dec 11</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w w:val="82"/>
              </w:rPr>
              <w:t>Dec 12 / Dec 11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20" w:type="dxa"/>
            <w:vAlign w:val="bottom"/>
            <w:tcBorders>
              <w:top w:val="single" w:sz="8" w:color="CCFFCC"/>
            </w:tcBorders>
            <w:shd w:val="clear" w:color="auto" w:fill="CCFFCC"/>
          </w:tcPr>
          <w:p>
            <w:pPr>
              <w:jc w:val="center"/>
              <w:ind w:right="57"/>
              <w:spacing w:after="0" w:line="129" w:lineRule="exact"/>
              <w:rPr>
                <w:sz w:val="20"/>
                <w:szCs w:val="20"/>
                <w:color w:val="auto"/>
              </w:rPr>
            </w:pPr>
            <w:r>
              <w:rPr>
                <w:rFonts w:ascii="Arial" w:cs="Arial" w:eastAsia="Arial" w:hAnsi="Arial"/>
                <w:sz w:val="13"/>
                <w:szCs w:val="13"/>
                <w:b w:val="1"/>
                <w:bCs w:val="1"/>
                <w:color w:val="auto"/>
                <w:w w:val="80"/>
              </w:rPr>
              <w:t>Results</w:t>
            </w:r>
          </w:p>
        </w:tc>
        <w:tc>
          <w:tcPr>
            <w:tcW w:w="680" w:type="dxa"/>
            <w:vAlign w:val="bottom"/>
            <w:tcBorders>
              <w:top w:val="single" w:sz="8" w:color="auto"/>
            </w:tcBorders>
            <w:shd w:val="clear" w:color="auto" w:fill="CCFFCC"/>
          </w:tcPr>
          <w:p>
            <w:pPr>
              <w:spacing w:after="0"/>
              <w:rPr>
                <w:sz w:val="11"/>
                <w:szCs w:val="11"/>
                <w:color w:val="auto"/>
              </w:rPr>
            </w:pPr>
          </w:p>
        </w:tc>
        <w:tc>
          <w:tcPr>
            <w:tcW w:w="240" w:type="dxa"/>
            <w:vAlign w:val="bottom"/>
            <w:tcBorders>
              <w:top w:val="single" w:sz="8" w:color="CCFFCC"/>
            </w:tcBorders>
            <w:shd w:val="clear" w:color="auto" w:fill="CCFFCC"/>
          </w:tcPr>
          <w:p>
            <w:pPr>
              <w:spacing w:after="0"/>
              <w:rPr>
                <w:sz w:val="11"/>
                <w:szCs w:val="11"/>
                <w:color w:val="auto"/>
              </w:rPr>
            </w:pPr>
          </w:p>
        </w:tc>
        <w:tc>
          <w:tcPr>
            <w:tcW w:w="680" w:type="dxa"/>
            <w:vAlign w:val="bottom"/>
            <w:tcBorders>
              <w:top w:val="single" w:sz="8" w:color="auto"/>
            </w:tcBorders>
            <w:shd w:val="clear" w:color="auto" w:fill="CCFFCC"/>
          </w:tcPr>
          <w:p>
            <w:pPr>
              <w:spacing w:after="0"/>
              <w:rPr>
                <w:sz w:val="11"/>
                <w:szCs w:val="11"/>
                <w:color w:val="auto"/>
              </w:rPr>
            </w:pPr>
          </w:p>
        </w:tc>
        <w:tc>
          <w:tcPr>
            <w:tcW w:w="240" w:type="dxa"/>
            <w:vAlign w:val="bottom"/>
            <w:tcBorders>
              <w:top w:val="single" w:sz="8" w:color="CCFFCC"/>
            </w:tcBorders>
            <w:shd w:val="clear" w:color="auto" w:fill="CCFFCC"/>
          </w:tcPr>
          <w:p>
            <w:pPr>
              <w:spacing w:after="0"/>
              <w:rPr>
                <w:sz w:val="11"/>
                <w:szCs w:val="11"/>
                <w:color w:val="auto"/>
              </w:rPr>
            </w:pPr>
          </w:p>
        </w:tc>
        <w:tc>
          <w:tcPr>
            <w:tcW w:w="680" w:type="dxa"/>
            <w:vAlign w:val="bottom"/>
            <w:tcBorders>
              <w:top w:val="single" w:sz="8" w:color="auto"/>
            </w:tcBorders>
            <w:shd w:val="clear" w:color="auto" w:fill="CCFFCC"/>
          </w:tcPr>
          <w:p>
            <w:pPr>
              <w:spacing w:after="0"/>
              <w:rPr>
                <w:sz w:val="11"/>
                <w:szCs w:val="11"/>
                <w:color w:val="auto"/>
              </w:rPr>
            </w:pPr>
          </w:p>
        </w:tc>
        <w:tc>
          <w:tcPr>
            <w:tcW w:w="240" w:type="dxa"/>
            <w:vAlign w:val="bottom"/>
            <w:tcBorders>
              <w:top w:val="single" w:sz="8" w:color="CCFFCC"/>
            </w:tcBorders>
            <w:shd w:val="clear" w:color="auto" w:fill="CCFFCC"/>
          </w:tcPr>
          <w:p>
            <w:pPr>
              <w:spacing w:after="0"/>
              <w:rPr>
                <w:sz w:val="11"/>
                <w:szCs w:val="11"/>
                <w:color w:val="auto"/>
              </w:rPr>
            </w:pPr>
          </w:p>
        </w:tc>
        <w:tc>
          <w:tcPr>
            <w:tcW w:w="680" w:type="dxa"/>
            <w:vAlign w:val="bottom"/>
            <w:tcBorders>
              <w:top w:val="single" w:sz="8" w:color="auto"/>
            </w:tcBorders>
            <w:shd w:val="clear" w:color="auto" w:fill="CCFFCC"/>
          </w:tcPr>
          <w:p>
            <w:pPr>
              <w:spacing w:after="0"/>
              <w:rPr>
                <w:sz w:val="11"/>
                <w:szCs w:val="11"/>
                <w:color w:val="auto"/>
              </w:rPr>
            </w:pPr>
          </w:p>
        </w:tc>
        <w:tc>
          <w:tcPr>
            <w:tcW w:w="240" w:type="dxa"/>
            <w:vAlign w:val="bottom"/>
            <w:tcBorders>
              <w:top w:val="single" w:sz="8" w:color="CCFFCC"/>
            </w:tcBorders>
            <w:shd w:val="clear" w:color="auto" w:fill="CCFFCC"/>
          </w:tcPr>
          <w:p>
            <w:pPr>
              <w:spacing w:after="0"/>
              <w:rPr>
                <w:sz w:val="11"/>
                <w:szCs w:val="11"/>
                <w:color w:val="auto"/>
              </w:rPr>
            </w:pPr>
          </w:p>
        </w:tc>
        <w:tc>
          <w:tcPr>
            <w:tcW w:w="200" w:type="dxa"/>
            <w:vAlign w:val="bottom"/>
            <w:tcBorders>
              <w:top w:val="single" w:sz="8" w:color="auto"/>
            </w:tcBorders>
            <w:shd w:val="clear" w:color="auto" w:fill="CCFFCC"/>
          </w:tcPr>
          <w:p>
            <w:pPr>
              <w:spacing w:after="0"/>
              <w:rPr>
                <w:sz w:val="11"/>
                <w:szCs w:val="11"/>
                <w:color w:val="auto"/>
              </w:rPr>
            </w:pPr>
          </w:p>
        </w:tc>
        <w:tc>
          <w:tcPr>
            <w:tcW w:w="480" w:type="dxa"/>
            <w:vAlign w:val="bottom"/>
            <w:tcBorders>
              <w:top w:val="single" w:sz="8" w:color="auto"/>
            </w:tcBorders>
            <w:shd w:val="clear" w:color="auto" w:fill="CCFFCC"/>
          </w:tcPr>
          <w:p>
            <w:pPr>
              <w:spacing w:after="0"/>
              <w:rPr>
                <w:sz w:val="11"/>
                <w:szCs w:val="11"/>
                <w:color w:val="auto"/>
              </w:rPr>
            </w:pPr>
          </w:p>
        </w:tc>
        <w:tc>
          <w:tcPr>
            <w:tcW w:w="240" w:type="dxa"/>
            <w:vAlign w:val="bottom"/>
            <w:tcBorders>
              <w:top w:val="single" w:sz="8" w:color="CCFFCC"/>
            </w:tcBorders>
            <w:shd w:val="clear" w:color="auto" w:fill="CCFFCC"/>
          </w:tcPr>
          <w:p>
            <w:pPr>
              <w:spacing w:after="0"/>
              <w:rPr>
                <w:sz w:val="11"/>
                <w:szCs w:val="11"/>
                <w:color w:val="auto"/>
              </w:rPr>
            </w:pPr>
          </w:p>
        </w:tc>
        <w:tc>
          <w:tcPr>
            <w:tcW w:w="680" w:type="dxa"/>
            <w:vAlign w:val="bottom"/>
            <w:tcBorders>
              <w:top w:val="single" w:sz="8" w:color="auto"/>
            </w:tcBorders>
            <w:shd w:val="clear" w:color="auto" w:fill="CCFFCC"/>
          </w:tcPr>
          <w:p>
            <w:pPr>
              <w:spacing w:after="0"/>
              <w:rPr>
                <w:sz w:val="11"/>
                <w:szCs w:val="11"/>
                <w:color w:val="auto"/>
              </w:rPr>
            </w:pPr>
          </w:p>
        </w:tc>
        <w:tc>
          <w:tcPr>
            <w:tcW w:w="240" w:type="dxa"/>
            <w:vAlign w:val="bottom"/>
            <w:tcBorders>
              <w:top w:val="single" w:sz="8" w:color="CCFFCC"/>
            </w:tcBorders>
            <w:shd w:val="clear" w:color="auto" w:fill="CCFFCC"/>
          </w:tcPr>
          <w:p>
            <w:pPr>
              <w:spacing w:after="0"/>
              <w:rPr>
                <w:sz w:val="11"/>
                <w:szCs w:val="11"/>
                <w:color w:val="auto"/>
              </w:rPr>
            </w:pPr>
          </w:p>
        </w:tc>
        <w:tc>
          <w:tcPr>
            <w:tcW w:w="680" w:type="dxa"/>
            <w:vAlign w:val="bottom"/>
            <w:tcBorders>
              <w:top w:val="single" w:sz="8" w:color="auto"/>
            </w:tcBorders>
            <w:shd w:val="clear" w:color="auto" w:fill="CCFFCC"/>
          </w:tcPr>
          <w:p>
            <w:pPr>
              <w:spacing w:after="0"/>
              <w:rPr>
                <w:sz w:val="11"/>
                <w:szCs w:val="11"/>
                <w:color w:val="auto"/>
              </w:rPr>
            </w:pPr>
          </w:p>
        </w:tc>
        <w:tc>
          <w:tcPr>
            <w:tcW w:w="240" w:type="dxa"/>
            <w:vAlign w:val="bottom"/>
            <w:tcBorders>
              <w:top w:val="single" w:sz="8" w:color="CCFFCC"/>
            </w:tcBorders>
            <w:shd w:val="clear" w:color="auto" w:fill="CCFFCC"/>
          </w:tcPr>
          <w:p>
            <w:pPr>
              <w:spacing w:after="0"/>
              <w:rPr>
                <w:sz w:val="11"/>
                <w:szCs w:val="11"/>
                <w:color w:val="auto"/>
              </w:rPr>
            </w:pPr>
          </w:p>
        </w:tc>
        <w:tc>
          <w:tcPr>
            <w:tcW w:w="800" w:type="dxa"/>
            <w:vAlign w:val="bottom"/>
            <w:tcBorders>
              <w:top w:val="single" w:sz="8" w:color="auto"/>
            </w:tcBorders>
            <w:shd w:val="clear" w:color="auto" w:fill="CCFFCC"/>
          </w:tcPr>
          <w:p>
            <w:pPr>
              <w:spacing w:after="0"/>
              <w:rPr>
                <w:sz w:val="11"/>
                <w:szCs w:val="11"/>
                <w:color w:val="auto"/>
              </w:rPr>
            </w:pPr>
          </w:p>
        </w:tc>
        <w:tc>
          <w:tcPr>
            <w:tcW w:w="140" w:type="dxa"/>
            <w:vAlign w:val="bottom"/>
            <w:tcBorders>
              <w:top w:val="single" w:sz="8" w:color="CCFFCC"/>
            </w:tcBorders>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20" w:type="dxa"/>
            <w:vAlign w:val="bottom"/>
          </w:tcPr>
          <w:p>
            <w:pPr>
              <w:ind w:left="160"/>
              <w:spacing w:after="0" w:line="135" w:lineRule="exact"/>
              <w:rPr>
                <w:sz w:val="20"/>
                <w:szCs w:val="20"/>
                <w:color w:val="auto"/>
              </w:rPr>
            </w:pPr>
            <w:r>
              <w:rPr>
                <w:rFonts w:ascii="Arial" w:cs="Arial" w:eastAsia="Arial" w:hAnsi="Arial"/>
                <w:sz w:val="13"/>
                <w:szCs w:val="13"/>
                <w:color w:val="auto"/>
              </w:rPr>
              <w:t>Written premiums</w:t>
            </w:r>
          </w:p>
        </w:tc>
        <w:tc>
          <w:tcPr>
            <w:tcW w:w="920" w:type="dxa"/>
            <w:vAlign w:val="bottom"/>
            <w:gridSpan w:val="2"/>
          </w:tcPr>
          <w:p>
            <w:pPr>
              <w:jc w:val="right"/>
              <w:ind w:right="177"/>
              <w:spacing w:after="0" w:line="135" w:lineRule="exact"/>
              <w:rPr>
                <w:sz w:val="20"/>
                <w:szCs w:val="20"/>
                <w:color w:val="auto"/>
              </w:rPr>
            </w:pPr>
            <w:r>
              <w:rPr>
                <w:rFonts w:ascii="Arial" w:cs="Arial" w:eastAsia="Arial" w:hAnsi="Arial"/>
                <w:sz w:val="13"/>
                <w:szCs w:val="13"/>
                <w:color w:val="auto"/>
              </w:rPr>
              <w:t>299,125</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261,727</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257,327</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14.3%</w:t>
            </w:r>
          </w:p>
        </w:tc>
        <w:tc>
          <w:tcPr>
            <w:tcW w:w="200" w:type="dxa"/>
            <w:vAlign w:val="bottom"/>
          </w:tcPr>
          <w:p>
            <w:pPr>
              <w:spacing w:after="0"/>
              <w:rPr>
                <w:sz w:val="11"/>
                <w:szCs w:val="11"/>
                <w:color w:val="auto"/>
              </w:rPr>
            </w:pPr>
          </w:p>
        </w:tc>
        <w:tc>
          <w:tcPr>
            <w:tcW w:w="7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16.2%</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1,019,902</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872,462</w:t>
            </w:r>
          </w:p>
        </w:tc>
        <w:tc>
          <w:tcPr>
            <w:tcW w:w="9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16.9%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2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Ceded Premiums</w:t>
            </w:r>
          </w:p>
        </w:tc>
        <w:tc>
          <w:tcPr>
            <w:tcW w:w="920" w:type="dxa"/>
            <w:vAlign w:val="bottom"/>
            <w:gridSpan w:val="2"/>
            <w:shd w:val="clear" w:color="auto" w:fill="CCFFCC"/>
          </w:tcPr>
          <w:p>
            <w:pPr>
              <w:jc w:val="right"/>
              <w:ind w:right="177"/>
              <w:spacing w:after="0" w:line="135" w:lineRule="exact"/>
              <w:rPr>
                <w:sz w:val="20"/>
                <w:szCs w:val="20"/>
                <w:color w:val="auto"/>
              </w:rPr>
            </w:pPr>
            <w:r>
              <w:rPr>
                <w:rFonts w:ascii="Arial" w:cs="Arial" w:eastAsia="Arial" w:hAnsi="Arial"/>
                <w:sz w:val="13"/>
                <w:szCs w:val="13"/>
                <w:color w:val="auto"/>
              </w:rPr>
              <w:t>66,062</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38,015</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64,464</w:t>
            </w:r>
          </w:p>
        </w:tc>
        <w:tc>
          <w:tcPr>
            <w:tcW w:w="9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73.8%</w:t>
            </w:r>
          </w:p>
        </w:tc>
        <w:tc>
          <w:tcPr>
            <w:tcW w:w="20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2.5%</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153,194</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142,492</w:t>
            </w:r>
          </w:p>
        </w:tc>
        <w:tc>
          <w:tcPr>
            <w:tcW w:w="94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7.5%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20" w:type="dxa"/>
            <w:vAlign w:val="bottom"/>
          </w:tcPr>
          <w:p>
            <w:pPr>
              <w:ind w:left="160"/>
              <w:spacing w:after="0" w:line="135" w:lineRule="exact"/>
              <w:rPr>
                <w:sz w:val="20"/>
                <w:szCs w:val="20"/>
                <w:color w:val="auto"/>
              </w:rPr>
            </w:pPr>
            <w:r>
              <w:rPr>
                <w:rFonts w:ascii="Arial" w:cs="Arial" w:eastAsia="Arial" w:hAnsi="Arial"/>
                <w:sz w:val="13"/>
                <w:szCs w:val="13"/>
                <w:color w:val="auto"/>
              </w:rPr>
              <w:t>Unearned premium reserves (1)*</w:t>
            </w:r>
          </w:p>
        </w:tc>
        <w:tc>
          <w:tcPr>
            <w:tcW w:w="920" w:type="dxa"/>
            <w:vAlign w:val="bottom"/>
            <w:gridSpan w:val="2"/>
          </w:tcPr>
          <w:p>
            <w:pPr>
              <w:jc w:val="right"/>
              <w:ind w:right="177"/>
              <w:spacing w:after="0" w:line="135" w:lineRule="exact"/>
              <w:rPr>
                <w:sz w:val="20"/>
                <w:szCs w:val="20"/>
                <w:color w:val="auto"/>
              </w:rPr>
            </w:pPr>
            <w:r>
              <w:rPr>
                <w:rFonts w:ascii="Arial" w:cs="Arial" w:eastAsia="Arial" w:hAnsi="Arial"/>
                <w:sz w:val="13"/>
                <w:szCs w:val="13"/>
                <w:color w:val="auto"/>
              </w:rPr>
              <w:t>38,681</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35,346</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36,056</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9.4%</w:t>
            </w:r>
          </w:p>
        </w:tc>
        <w:tc>
          <w:tcPr>
            <w:tcW w:w="200" w:type="dxa"/>
            <w:vAlign w:val="bottom"/>
          </w:tcPr>
          <w:p>
            <w:pPr>
              <w:spacing w:after="0"/>
              <w:rPr>
                <w:sz w:val="11"/>
                <w:szCs w:val="11"/>
                <w:color w:val="auto"/>
              </w:rPr>
            </w:pPr>
          </w:p>
        </w:tc>
        <w:tc>
          <w:tcPr>
            <w:tcW w:w="7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7.3%</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143,325</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141,773</w:t>
            </w:r>
          </w:p>
        </w:tc>
        <w:tc>
          <w:tcPr>
            <w:tcW w:w="9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2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Net earned premiums</w:t>
            </w:r>
          </w:p>
        </w:tc>
        <w:tc>
          <w:tcPr>
            <w:tcW w:w="920" w:type="dxa"/>
            <w:vAlign w:val="bottom"/>
            <w:gridSpan w:val="2"/>
            <w:shd w:val="clear" w:color="auto" w:fill="CCFFCC"/>
          </w:tcPr>
          <w:p>
            <w:pPr>
              <w:jc w:val="right"/>
              <w:ind w:right="177"/>
              <w:spacing w:after="0" w:line="135" w:lineRule="exact"/>
              <w:rPr>
                <w:sz w:val="20"/>
                <w:szCs w:val="20"/>
                <w:color w:val="auto"/>
              </w:rPr>
            </w:pPr>
            <w:r>
              <w:rPr>
                <w:rFonts w:ascii="Arial" w:cs="Arial" w:eastAsia="Arial" w:hAnsi="Arial"/>
                <w:sz w:val="13"/>
                <w:szCs w:val="13"/>
                <w:b w:val="1"/>
                <w:bCs w:val="1"/>
                <w:color w:val="auto"/>
              </w:rPr>
              <w:t>194,382</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188,366</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156,807</w:t>
            </w:r>
          </w:p>
        </w:tc>
        <w:tc>
          <w:tcPr>
            <w:tcW w:w="9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3.2%</w:t>
            </w:r>
          </w:p>
        </w:tc>
        <w:tc>
          <w:tcPr>
            <w:tcW w:w="20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24.0%</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723,382</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588,196</w:t>
            </w:r>
          </w:p>
        </w:tc>
        <w:tc>
          <w:tcPr>
            <w:tcW w:w="94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23.0%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20" w:type="dxa"/>
            <w:vAlign w:val="bottom"/>
          </w:tcPr>
          <w:p>
            <w:pPr>
              <w:ind w:left="160"/>
              <w:spacing w:after="0" w:line="135" w:lineRule="exact"/>
              <w:rPr>
                <w:sz w:val="20"/>
                <w:szCs w:val="20"/>
                <w:color w:val="auto"/>
              </w:rPr>
            </w:pPr>
            <w:r>
              <w:rPr>
                <w:rFonts w:ascii="Arial" w:cs="Arial" w:eastAsia="Arial" w:hAnsi="Arial"/>
                <w:sz w:val="13"/>
                <w:szCs w:val="13"/>
                <w:color w:val="auto"/>
              </w:rPr>
              <w:t>Direct claims *</w:t>
            </w:r>
          </w:p>
        </w:tc>
        <w:tc>
          <w:tcPr>
            <w:tcW w:w="920" w:type="dxa"/>
            <w:vAlign w:val="bottom"/>
            <w:gridSpan w:val="2"/>
          </w:tcPr>
          <w:p>
            <w:pPr>
              <w:jc w:val="right"/>
              <w:ind w:right="177"/>
              <w:spacing w:after="0" w:line="135" w:lineRule="exact"/>
              <w:rPr>
                <w:sz w:val="20"/>
                <w:szCs w:val="20"/>
                <w:color w:val="auto"/>
              </w:rPr>
            </w:pPr>
            <w:r>
              <w:rPr>
                <w:rFonts w:ascii="Arial" w:cs="Arial" w:eastAsia="Arial" w:hAnsi="Arial"/>
                <w:sz w:val="13"/>
                <w:szCs w:val="13"/>
                <w:color w:val="auto"/>
              </w:rPr>
              <w:t>120,940</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117,311</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114,750</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3.1%</w:t>
            </w:r>
          </w:p>
        </w:tc>
        <w:tc>
          <w:tcPr>
            <w:tcW w:w="200" w:type="dxa"/>
            <w:vAlign w:val="bottom"/>
          </w:tcPr>
          <w:p>
            <w:pPr>
              <w:spacing w:after="0"/>
              <w:rPr>
                <w:sz w:val="11"/>
                <w:szCs w:val="11"/>
                <w:color w:val="auto"/>
              </w:rPr>
            </w:pPr>
          </w:p>
        </w:tc>
        <w:tc>
          <w:tcPr>
            <w:tcW w:w="7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5.4%</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516,250</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406,246</w:t>
            </w:r>
          </w:p>
        </w:tc>
        <w:tc>
          <w:tcPr>
            <w:tcW w:w="9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27.1%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2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Reinsurance ceded</w:t>
            </w:r>
          </w:p>
        </w:tc>
        <w:tc>
          <w:tcPr>
            <w:tcW w:w="920" w:type="dxa"/>
            <w:vAlign w:val="bottom"/>
            <w:gridSpan w:val="2"/>
            <w:shd w:val="clear" w:color="auto" w:fill="CCFFCC"/>
          </w:tcPr>
          <w:p>
            <w:pPr>
              <w:jc w:val="right"/>
              <w:ind w:right="177"/>
              <w:spacing w:after="0" w:line="135" w:lineRule="exact"/>
              <w:rPr>
                <w:sz w:val="20"/>
                <w:szCs w:val="20"/>
                <w:color w:val="auto"/>
              </w:rPr>
            </w:pPr>
            <w:r>
              <w:rPr>
                <w:rFonts w:ascii="Arial" w:cs="Arial" w:eastAsia="Arial" w:hAnsi="Arial"/>
                <w:sz w:val="13"/>
                <w:szCs w:val="13"/>
                <w:color w:val="auto"/>
              </w:rPr>
              <w:t>6,120</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6,723</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9,945</w:t>
            </w:r>
          </w:p>
        </w:tc>
        <w:tc>
          <w:tcPr>
            <w:tcW w:w="9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-9.0%</w:t>
            </w:r>
          </w:p>
        </w:tc>
        <w:tc>
          <w:tcPr>
            <w:tcW w:w="20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-38.5%</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60,390</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28,487</w:t>
            </w:r>
          </w:p>
        </w:tc>
        <w:tc>
          <w:tcPr>
            <w:tcW w:w="94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112.0%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20" w:type="dxa"/>
            <w:vAlign w:val="bottom"/>
          </w:tcPr>
          <w:p>
            <w:pPr>
              <w:spacing w:after="0" w:line="135" w:lineRule="exact"/>
              <w:rPr>
                <w:sz w:val="20"/>
                <w:szCs w:val="20"/>
                <w:color w:val="auto"/>
              </w:rPr>
            </w:pPr>
            <w:r>
              <w:rPr>
                <w:rFonts w:ascii="Arial" w:cs="Arial" w:eastAsia="Arial" w:hAnsi="Arial"/>
                <w:sz w:val="13"/>
                <w:szCs w:val="13"/>
                <w:b w:val="1"/>
                <w:bCs w:val="1"/>
                <w:color w:val="auto"/>
              </w:rPr>
              <w:t>Net claims</w:t>
            </w:r>
          </w:p>
        </w:tc>
        <w:tc>
          <w:tcPr>
            <w:tcW w:w="920" w:type="dxa"/>
            <w:vAlign w:val="bottom"/>
            <w:gridSpan w:val="2"/>
          </w:tcPr>
          <w:p>
            <w:pPr>
              <w:jc w:val="right"/>
              <w:ind w:right="177"/>
              <w:spacing w:after="0" w:line="135" w:lineRule="exact"/>
              <w:rPr>
                <w:sz w:val="20"/>
                <w:szCs w:val="20"/>
                <w:color w:val="auto"/>
              </w:rPr>
            </w:pPr>
            <w:r>
              <w:rPr>
                <w:rFonts w:ascii="Arial" w:cs="Arial" w:eastAsia="Arial" w:hAnsi="Arial"/>
                <w:sz w:val="13"/>
                <w:szCs w:val="13"/>
                <w:b w:val="1"/>
                <w:bCs w:val="1"/>
                <w:color w:val="auto"/>
              </w:rPr>
              <w:t>114,820</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110,588</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104,805</w:t>
            </w:r>
          </w:p>
        </w:tc>
        <w:tc>
          <w:tcPr>
            <w:tcW w:w="92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3.8%</w:t>
            </w:r>
          </w:p>
        </w:tc>
        <w:tc>
          <w:tcPr>
            <w:tcW w:w="200" w:type="dxa"/>
            <w:vAlign w:val="bottom"/>
          </w:tcPr>
          <w:p>
            <w:pPr>
              <w:spacing w:after="0"/>
              <w:rPr>
                <w:sz w:val="11"/>
                <w:szCs w:val="11"/>
                <w:color w:val="auto"/>
              </w:rPr>
            </w:pPr>
          </w:p>
        </w:tc>
        <w:tc>
          <w:tcPr>
            <w:tcW w:w="72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9.6%</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455,860</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377,759</w:t>
            </w:r>
          </w:p>
        </w:tc>
        <w:tc>
          <w:tcPr>
            <w:tcW w:w="94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20.7%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2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Paid commissions *</w:t>
            </w:r>
          </w:p>
        </w:tc>
        <w:tc>
          <w:tcPr>
            <w:tcW w:w="920" w:type="dxa"/>
            <w:vAlign w:val="bottom"/>
            <w:gridSpan w:val="2"/>
            <w:shd w:val="clear" w:color="auto" w:fill="CCFFCC"/>
          </w:tcPr>
          <w:p>
            <w:pPr>
              <w:jc w:val="right"/>
              <w:ind w:right="177"/>
              <w:spacing w:after="0" w:line="135" w:lineRule="exact"/>
              <w:rPr>
                <w:sz w:val="20"/>
                <w:szCs w:val="20"/>
                <w:color w:val="auto"/>
              </w:rPr>
            </w:pPr>
            <w:r>
              <w:rPr>
                <w:rFonts w:ascii="Arial" w:cs="Arial" w:eastAsia="Arial" w:hAnsi="Arial"/>
                <w:sz w:val="13"/>
                <w:szCs w:val="13"/>
                <w:color w:val="auto"/>
              </w:rPr>
              <w:t>36,070</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33,139</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28,593</w:t>
            </w:r>
          </w:p>
        </w:tc>
        <w:tc>
          <w:tcPr>
            <w:tcW w:w="9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8.8%</w:t>
            </w:r>
          </w:p>
        </w:tc>
        <w:tc>
          <w:tcPr>
            <w:tcW w:w="20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26.1%</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131,539</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109,619</w:t>
            </w:r>
          </w:p>
        </w:tc>
        <w:tc>
          <w:tcPr>
            <w:tcW w:w="94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20.0%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20" w:type="dxa"/>
            <w:vAlign w:val="bottom"/>
          </w:tcPr>
          <w:p>
            <w:pPr>
              <w:ind w:left="160"/>
              <w:spacing w:after="0" w:line="135" w:lineRule="exact"/>
              <w:rPr>
                <w:sz w:val="20"/>
                <w:szCs w:val="20"/>
                <w:color w:val="auto"/>
              </w:rPr>
            </w:pPr>
            <w:r>
              <w:rPr>
                <w:rFonts w:ascii="Arial" w:cs="Arial" w:eastAsia="Arial" w:hAnsi="Arial"/>
                <w:sz w:val="13"/>
                <w:szCs w:val="13"/>
                <w:color w:val="auto"/>
              </w:rPr>
              <w:t>Commissions received</w:t>
            </w:r>
          </w:p>
        </w:tc>
        <w:tc>
          <w:tcPr>
            <w:tcW w:w="920" w:type="dxa"/>
            <w:vAlign w:val="bottom"/>
            <w:gridSpan w:val="2"/>
          </w:tcPr>
          <w:p>
            <w:pPr>
              <w:jc w:val="right"/>
              <w:ind w:right="177"/>
              <w:spacing w:after="0" w:line="135" w:lineRule="exact"/>
              <w:rPr>
                <w:sz w:val="20"/>
                <w:szCs w:val="20"/>
                <w:color w:val="auto"/>
              </w:rPr>
            </w:pPr>
            <w:r>
              <w:rPr>
                <w:rFonts w:ascii="Arial" w:cs="Arial" w:eastAsia="Arial" w:hAnsi="Arial"/>
                <w:sz w:val="13"/>
                <w:szCs w:val="13"/>
                <w:color w:val="auto"/>
              </w:rPr>
              <w:t>4,358</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2,957</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4,546</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47.4%</w:t>
            </w:r>
          </w:p>
        </w:tc>
        <w:tc>
          <w:tcPr>
            <w:tcW w:w="200" w:type="dxa"/>
            <w:vAlign w:val="bottom"/>
          </w:tcPr>
          <w:p>
            <w:pPr>
              <w:spacing w:after="0"/>
              <w:rPr>
                <w:sz w:val="11"/>
                <w:szCs w:val="11"/>
                <w:color w:val="auto"/>
              </w:rPr>
            </w:pPr>
          </w:p>
        </w:tc>
        <w:tc>
          <w:tcPr>
            <w:tcW w:w="7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-4.1%</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12,116</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12,953</w:t>
            </w:r>
          </w:p>
        </w:tc>
        <w:tc>
          <w:tcPr>
            <w:tcW w:w="9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-6.5%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2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Net commissions</w:t>
            </w:r>
          </w:p>
        </w:tc>
        <w:tc>
          <w:tcPr>
            <w:tcW w:w="920" w:type="dxa"/>
            <w:vAlign w:val="bottom"/>
            <w:gridSpan w:val="2"/>
            <w:shd w:val="clear" w:color="auto" w:fill="CCFFCC"/>
          </w:tcPr>
          <w:p>
            <w:pPr>
              <w:jc w:val="right"/>
              <w:ind w:right="177"/>
              <w:spacing w:after="0" w:line="135" w:lineRule="exact"/>
              <w:rPr>
                <w:sz w:val="20"/>
                <w:szCs w:val="20"/>
                <w:color w:val="auto"/>
              </w:rPr>
            </w:pPr>
            <w:r>
              <w:rPr>
                <w:rFonts w:ascii="Arial" w:cs="Arial" w:eastAsia="Arial" w:hAnsi="Arial"/>
                <w:sz w:val="13"/>
                <w:szCs w:val="13"/>
                <w:b w:val="1"/>
                <w:bCs w:val="1"/>
                <w:color w:val="auto"/>
              </w:rPr>
              <w:t>31,711</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30,182</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24,047</w:t>
            </w:r>
          </w:p>
        </w:tc>
        <w:tc>
          <w:tcPr>
            <w:tcW w:w="9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5.1%</w:t>
            </w:r>
          </w:p>
        </w:tc>
        <w:tc>
          <w:tcPr>
            <w:tcW w:w="20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31.9%</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119,423</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96,666</w:t>
            </w:r>
          </w:p>
        </w:tc>
        <w:tc>
          <w:tcPr>
            <w:tcW w:w="94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23.5%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20" w:type="dxa"/>
            <w:vAlign w:val="bottom"/>
          </w:tcPr>
          <w:p>
            <w:pPr>
              <w:spacing w:after="0" w:line="135" w:lineRule="exact"/>
              <w:rPr>
                <w:sz w:val="20"/>
                <w:szCs w:val="20"/>
                <w:color w:val="auto"/>
              </w:rPr>
            </w:pPr>
            <w:r>
              <w:rPr>
                <w:rFonts w:ascii="Arial" w:cs="Arial" w:eastAsia="Arial" w:hAnsi="Arial"/>
                <w:sz w:val="13"/>
                <w:szCs w:val="13"/>
                <w:color w:val="auto"/>
              </w:rPr>
              <w:t>Underwriting expenses *</w:t>
            </w:r>
          </w:p>
        </w:tc>
        <w:tc>
          <w:tcPr>
            <w:tcW w:w="920" w:type="dxa"/>
            <w:vAlign w:val="bottom"/>
            <w:gridSpan w:val="2"/>
          </w:tcPr>
          <w:p>
            <w:pPr>
              <w:jc w:val="right"/>
              <w:ind w:right="177"/>
              <w:spacing w:after="0" w:line="135" w:lineRule="exact"/>
              <w:rPr>
                <w:sz w:val="20"/>
                <w:szCs w:val="20"/>
                <w:color w:val="auto"/>
              </w:rPr>
            </w:pPr>
            <w:r>
              <w:rPr>
                <w:rFonts w:ascii="Arial" w:cs="Arial" w:eastAsia="Arial" w:hAnsi="Arial"/>
                <w:sz w:val="13"/>
                <w:szCs w:val="13"/>
                <w:color w:val="auto"/>
              </w:rPr>
              <w:t>10,842</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12,498</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10,946</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-13.3%</w:t>
            </w:r>
          </w:p>
        </w:tc>
        <w:tc>
          <w:tcPr>
            <w:tcW w:w="200" w:type="dxa"/>
            <w:vAlign w:val="bottom"/>
          </w:tcPr>
          <w:p>
            <w:pPr>
              <w:spacing w:after="0"/>
              <w:rPr>
                <w:sz w:val="11"/>
                <w:szCs w:val="11"/>
                <w:color w:val="auto"/>
              </w:rPr>
            </w:pPr>
          </w:p>
        </w:tc>
        <w:tc>
          <w:tcPr>
            <w:tcW w:w="7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-1.0%</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44,707</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42,665</w:t>
            </w:r>
          </w:p>
        </w:tc>
        <w:tc>
          <w:tcPr>
            <w:tcW w:w="9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4.8%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2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Underwriting income</w:t>
            </w:r>
          </w:p>
        </w:tc>
        <w:tc>
          <w:tcPr>
            <w:tcW w:w="920" w:type="dxa"/>
            <w:vAlign w:val="bottom"/>
            <w:gridSpan w:val="2"/>
            <w:shd w:val="clear" w:color="auto" w:fill="CCFFCC"/>
          </w:tcPr>
          <w:p>
            <w:pPr>
              <w:jc w:val="right"/>
              <w:ind w:right="177"/>
              <w:spacing w:after="0" w:line="135" w:lineRule="exact"/>
              <w:rPr>
                <w:sz w:val="20"/>
                <w:szCs w:val="20"/>
                <w:color w:val="auto"/>
              </w:rPr>
            </w:pPr>
            <w:r>
              <w:rPr>
                <w:rFonts w:ascii="Arial" w:cs="Arial" w:eastAsia="Arial" w:hAnsi="Arial"/>
                <w:sz w:val="13"/>
                <w:szCs w:val="13"/>
                <w:color w:val="auto"/>
              </w:rPr>
              <w:t>5,915</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3,411</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4,004</w:t>
            </w:r>
          </w:p>
        </w:tc>
        <w:tc>
          <w:tcPr>
            <w:tcW w:w="9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73.4%</w:t>
            </w:r>
          </w:p>
        </w:tc>
        <w:tc>
          <w:tcPr>
            <w:tcW w:w="20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47.7%</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15,426</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13,678</w:t>
            </w:r>
          </w:p>
        </w:tc>
        <w:tc>
          <w:tcPr>
            <w:tcW w:w="94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12.8%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20" w:type="dxa"/>
            <w:vAlign w:val="bottom"/>
          </w:tcPr>
          <w:p>
            <w:pPr>
              <w:spacing w:after="0" w:line="135" w:lineRule="exact"/>
              <w:rPr>
                <w:sz w:val="20"/>
                <w:szCs w:val="20"/>
                <w:color w:val="auto"/>
              </w:rPr>
            </w:pPr>
            <w:r>
              <w:rPr>
                <w:rFonts w:ascii="Arial" w:cs="Arial" w:eastAsia="Arial" w:hAnsi="Arial"/>
                <w:sz w:val="13"/>
                <w:szCs w:val="13"/>
                <w:b w:val="1"/>
                <w:bCs w:val="1"/>
                <w:color w:val="auto"/>
              </w:rPr>
              <w:t>Net underwriting expenses</w:t>
            </w:r>
          </w:p>
        </w:tc>
        <w:tc>
          <w:tcPr>
            <w:tcW w:w="920" w:type="dxa"/>
            <w:vAlign w:val="bottom"/>
            <w:gridSpan w:val="2"/>
          </w:tcPr>
          <w:p>
            <w:pPr>
              <w:jc w:val="right"/>
              <w:ind w:right="177"/>
              <w:spacing w:after="0" w:line="135" w:lineRule="exact"/>
              <w:rPr>
                <w:sz w:val="20"/>
                <w:szCs w:val="20"/>
                <w:color w:val="auto"/>
              </w:rPr>
            </w:pPr>
            <w:r>
              <w:rPr>
                <w:rFonts w:ascii="Arial" w:cs="Arial" w:eastAsia="Arial" w:hAnsi="Arial"/>
                <w:sz w:val="13"/>
                <w:szCs w:val="13"/>
                <w:b w:val="1"/>
                <w:bCs w:val="1"/>
                <w:color w:val="auto"/>
              </w:rPr>
              <w:t>4,927</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9,088</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6,943</w:t>
            </w:r>
          </w:p>
        </w:tc>
        <w:tc>
          <w:tcPr>
            <w:tcW w:w="92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-45.8%</w:t>
            </w:r>
          </w:p>
        </w:tc>
        <w:tc>
          <w:tcPr>
            <w:tcW w:w="200" w:type="dxa"/>
            <w:vAlign w:val="bottom"/>
          </w:tcPr>
          <w:p>
            <w:pPr>
              <w:spacing w:after="0"/>
              <w:rPr>
                <w:sz w:val="11"/>
                <w:szCs w:val="11"/>
                <w:color w:val="auto"/>
              </w:rPr>
            </w:pPr>
          </w:p>
        </w:tc>
        <w:tc>
          <w:tcPr>
            <w:tcW w:w="72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-29.0%</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29,281</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28,987</w:t>
            </w:r>
          </w:p>
        </w:tc>
        <w:tc>
          <w:tcPr>
            <w:tcW w:w="94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1.0%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2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Underwriting result before Medical Services</w:t>
            </w:r>
          </w:p>
        </w:tc>
        <w:tc>
          <w:tcPr>
            <w:tcW w:w="920" w:type="dxa"/>
            <w:vAlign w:val="bottom"/>
            <w:gridSpan w:val="2"/>
            <w:shd w:val="clear" w:color="auto" w:fill="CCFFCC"/>
          </w:tcPr>
          <w:p>
            <w:pPr>
              <w:jc w:val="right"/>
              <w:ind w:right="177"/>
              <w:spacing w:after="0" w:line="135" w:lineRule="exact"/>
              <w:rPr>
                <w:sz w:val="20"/>
                <w:szCs w:val="20"/>
                <w:color w:val="auto"/>
              </w:rPr>
            </w:pPr>
            <w:r>
              <w:rPr>
                <w:rFonts w:ascii="Arial" w:cs="Arial" w:eastAsia="Arial" w:hAnsi="Arial"/>
                <w:sz w:val="13"/>
                <w:szCs w:val="13"/>
                <w:b w:val="1"/>
                <w:bCs w:val="1"/>
                <w:color w:val="auto"/>
              </w:rPr>
              <w:t>42,923</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38,509</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21,012</w:t>
            </w:r>
          </w:p>
        </w:tc>
        <w:tc>
          <w:tcPr>
            <w:tcW w:w="9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11.5%</w:t>
            </w:r>
          </w:p>
        </w:tc>
        <w:tc>
          <w:tcPr>
            <w:tcW w:w="20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104.3%</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118,818</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84,783</w:t>
            </w:r>
          </w:p>
        </w:tc>
        <w:tc>
          <w:tcPr>
            <w:tcW w:w="94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40.1%</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0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02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Medical Services Underwriting result (2)</w:t>
            </w:r>
          </w:p>
        </w:tc>
        <w:tc>
          <w:tcPr>
            <w:tcW w:w="920" w:type="dxa"/>
            <w:vAlign w:val="bottom"/>
            <w:gridSpan w:val="2"/>
            <w:shd w:val="clear" w:color="auto" w:fill="CCFFCC"/>
          </w:tcPr>
          <w:p>
            <w:pPr>
              <w:jc w:val="right"/>
              <w:ind w:right="137"/>
              <w:spacing w:after="0" w:line="135" w:lineRule="exact"/>
              <w:rPr>
                <w:sz w:val="20"/>
                <w:szCs w:val="20"/>
                <w:color w:val="auto"/>
              </w:rPr>
            </w:pPr>
            <w:r>
              <w:rPr>
                <w:rFonts w:ascii="Arial" w:cs="Arial" w:eastAsia="Arial" w:hAnsi="Arial"/>
                <w:sz w:val="13"/>
                <w:szCs w:val="13"/>
                <w:b w:val="1"/>
                <w:bCs w:val="1"/>
                <w:color w:val="auto"/>
              </w:rPr>
              <w:t>(1,829)</w:t>
            </w:r>
          </w:p>
        </w:tc>
        <w:tc>
          <w:tcPr>
            <w:tcW w:w="92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b w:val="1"/>
                <w:bCs w:val="1"/>
                <w:color w:val="auto"/>
              </w:rPr>
              <w:t>(3,894)</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1,183</w:t>
            </w:r>
          </w:p>
        </w:tc>
        <w:tc>
          <w:tcPr>
            <w:tcW w:w="9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53.0%</w:t>
            </w:r>
          </w:p>
        </w:tc>
        <w:tc>
          <w:tcPr>
            <w:tcW w:w="20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-254.6%</w:t>
            </w:r>
          </w:p>
        </w:tc>
        <w:tc>
          <w:tcPr>
            <w:tcW w:w="92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b w:val="1"/>
                <w:bCs w:val="1"/>
                <w:color w:val="auto"/>
              </w:rPr>
              <w:t>(2,134)</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1,250</w:t>
            </w:r>
          </w:p>
        </w:tc>
        <w:tc>
          <w:tcPr>
            <w:tcW w:w="94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-270.7%</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0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02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Total Underwriting result</w:t>
            </w:r>
          </w:p>
        </w:tc>
        <w:tc>
          <w:tcPr>
            <w:tcW w:w="920" w:type="dxa"/>
            <w:vAlign w:val="bottom"/>
            <w:gridSpan w:val="2"/>
            <w:shd w:val="clear" w:color="auto" w:fill="CCFFCC"/>
          </w:tcPr>
          <w:p>
            <w:pPr>
              <w:jc w:val="right"/>
              <w:ind w:right="177"/>
              <w:spacing w:after="0" w:line="135" w:lineRule="exact"/>
              <w:rPr>
                <w:sz w:val="20"/>
                <w:szCs w:val="20"/>
                <w:color w:val="auto"/>
              </w:rPr>
            </w:pPr>
            <w:r>
              <w:rPr>
                <w:rFonts w:ascii="Arial" w:cs="Arial" w:eastAsia="Arial" w:hAnsi="Arial"/>
                <w:sz w:val="13"/>
                <w:szCs w:val="13"/>
                <w:b w:val="1"/>
                <w:bCs w:val="1"/>
                <w:color w:val="auto"/>
              </w:rPr>
              <w:t>41,095</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34,615</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22,195</w:t>
            </w:r>
          </w:p>
        </w:tc>
        <w:tc>
          <w:tcPr>
            <w:tcW w:w="9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18.7%</w:t>
            </w:r>
          </w:p>
        </w:tc>
        <w:tc>
          <w:tcPr>
            <w:tcW w:w="20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85.1%</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116,684</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86,033</w:t>
            </w:r>
          </w:p>
        </w:tc>
        <w:tc>
          <w:tcPr>
            <w:tcW w:w="94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35.6%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2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Financial income (1)*</w:t>
            </w:r>
          </w:p>
        </w:tc>
        <w:tc>
          <w:tcPr>
            <w:tcW w:w="920" w:type="dxa"/>
            <w:vAlign w:val="bottom"/>
            <w:gridSpan w:val="2"/>
            <w:shd w:val="clear" w:color="auto" w:fill="CCFFCC"/>
          </w:tcPr>
          <w:p>
            <w:pPr>
              <w:jc w:val="right"/>
              <w:ind w:right="177"/>
              <w:spacing w:after="0" w:line="135" w:lineRule="exact"/>
              <w:rPr>
                <w:sz w:val="20"/>
                <w:szCs w:val="20"/>
                <w:color w:val="auto"/>
              </w:rPr>
            </w:pPr>
            <w:r>
              <w:rPr>
                <w:rFonts w:ascii="Arial" w:cs="Arial" w:eastAsia="Arial" w:hAnsi="Arial"/>
                <w:sz w:val="13"/>
                <w:szCs w:val="13"/>
                <w:color w:val="auto"/>
              </w:rPr>
              <w:t>23,096</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21,501</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21,007</w:t>
            </w:r>
          </w:p>
        </w:tc>
        <w:tc>
          <w:tcPr>
            <w:tcW w:w="9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7.4%</w:t>
            </w:r>
          </w:p>
        </w:tc>
        <w:tc>
          <w:tcPr>
            <w:tcW w:w="20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9.9%</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90,609</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84,267</w:t>
            </w:r>
          </w:p>
        </w:tc>
        <w:tc>
          <w:tcPr>
            <w:tcW w:w="94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7.5%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20" w:type="dxa"/>
            <w:vAlign w:val="bottom"/>
          </w:tcPr>
          <w:p>
            <w:pPr>
              <w:ind w:left="160"/>
              <w:spacing w:after="0" w:line="135" w:lineRule="exact"/>
              <w:rPr>
                <w:sz w:val="20"/>
                <w:szCs w:val="20"/>
                <w:color w:val="auto"/>
              </w:rPr>
            </w:pPr>
            <w:r>
              <w:rPr>
                <w:rFonts w:ascii="Arial" w:cs="Arial" w:eastAsia="Arial" w:hAnsi="Arial"/>
                <w:sz w:val="13"/>
                <w:szCs w:val="13"/>
                <w:color w:val="auto"/>
              </w:rPr>
              <w:t>Gains on sale of securities (1)*</w:t>
            </w:r>
          </w:p>
        </w:tc>
        <w:tc>
          <w:tcPr>
            <w:tcW w:w="920" w:type="dxa"/>
            <w:vAlign w:val="bottom"/>
            <w:gridSpan w:val="2"/>
          </w:tcPr>
          <w:p>
            <w:pPr>
              <w:jc w:val="right"/>
              <w:ind w:right="177"/>
              <w:spacing w:after="0" w:line="135" w:lineRule="exact"/>
              <w:rPr>
                <w:sz w:val="20"/>
                <w:szCs w:val="20"/>
                <w:color w:val="auto"/>
              </w:rPr>
            </w:pPr>
            <w:r>
              <w:rPr>
                <w:rFonts w:ascii="Arial" w:cs="Arial" w:eastAsia="Arial" w:hAnsi="Arial"/>
                <w:sz w:val="13"/>
                <w:szCs w:val="13"/>
                <w:color w:val="auto"/>
              </w:rPr>
              <w:t>5,431</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8,135</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1,673</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-33.2%</w:t>
            </w:r>
          </w:p>
        </w:tc>
        <w:tc>
          <w:tcPr>
            <w:tcW w:w="200" w:type="dxa"/>
            <w:vAlign w:val="bottom"/>
          </w:tcPr>
          <w:p>
            <w:pPr>
              <w:spacing w:after="0"/>
              <w:rPr>
                <w:sz w:val="11"/>
                <w:szCs w:val="11"/>
                <w:color w:val="auto"/>
              </w:rPr>
            </w:pPr>
          </w:p>
        </w:tc>
        <w:tc>
          <w:tcPr>
            <w:tcW w:w="7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224.6%</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31,003</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15,764</w:t>
            </w:r>
          </w:p>
        </w:tc>
        <w:tc>
          <w:tcPr>
            <w:tcW w:w="9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96.7%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2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Net property and rental income</w:t>
            </w:r>
          </w:p>
        </w:tc>
        <w:tc>
          <w:tcPr>
            <w:tcW w:w="920" w:type="dxa"/>
            <w:vAlign w:val="bottom"/>
            <w:gridSpan w:val="2"/>
            <w:shd w:val="clear" w:color="auto" w:fill="CCFFCC"/>
          </w:tcPr>
          <w:p>
            <w:pPr>
              <w:jc w:val="right"/>
              <w:ind w:right="177"/>
              <w:spacing w:after="0" w:line="135" w:lineRule="exact"/>
              <w:rPr>
                <w:sz w:val="20"/>
                <w:szCs w:val="20"/>
                <w:color w:val="auto"/>
              </w:rPr>
            </w:pPr>
            <w:r>
              <w:rPr>
                <w:rFonts w:ascii="Arial" w:cs="Arial" w:eastAsia="Arial" w:hAnsi="Arial"/>
                <w:sz w:val="13"/>
                <w:szCs w:val="13"/>
                <w:color w:val="auto"/>
              </w:rPr>
              <w:t>1,913</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1,432</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1,956</w:t>
            </w:r>
          </w:p>
        </w:tc>
        <w:tc>
          <w:tcPr>
            <w:tcW w:w="9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33.6%</w:t>
            </w:r>
          </w:p>
        </w:tc>
        <w:tc>
          <w:tcPr>
            <w:tcW w:w="20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-2.2%</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6,645</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5,671</w:t>
            </w:r>
          </w:p>
        </w:tc>
        <w:tc>
          <w:tcPr>
            <w:tcW w:w="94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17.2%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20" w:type="dxa"/>
            <w:vAlign w:val="bottom"/>
          </w:tcPr>
          <w:p>
            <w:pPr>
              <w:ind w:left="160"/>
              <w:spacing w:after="0" w:line="135" w:lineRule="exact"/>
              <w:rPr>
                <w:sz w:val="20"/>
                <w:szCs w:val="20"/>
                <w:color w:val="auto"/>
              </w:rPr>
            </w:pPr>
            <w:r>
              <w:rPr>
                <w:rFonts w:ascii="Arial" w:cs="Arial" w:eastAsia="Arial" w:hAnsi="Arial"/>
                <w:sz w:val="13"/>
                <w:szCs w:val="13"/>
                <w:color w:val="auto"/>
              </w:rPr>
              <w:t>(-) Financial expenses *</w:t>
            </w:r>
          </w:p>
        </w:tc>
        <w:tc>
          <w:tcPr>
            <w:tcW w:w="920" w:type="dxa"/>
            <w:vAlign w:val="bottom"/>
            <w:gridSpan w:val="2"/>
          </w:tcPr>
          <w:p>
            <w:pPr>
              <w:jc w:val="right"/>
              <w:ind w:right="177"/>
              <w:spacing w:after="0" w:line="135" w:lineRule="exact"/>
              <w:rPr>
                <w:sz w:val="20"/>
                <w:szCs w:val="20"/>
                <w:color w:val="auto"/>
              </w:rPr>
            </w:pPr>
            <w:r>
              <w:rPr>
                <w:rFonts w:ascii="Arial" w:cs="Arial" w:eastAsia="Arial" w:hAnsi="Arial"/>
                <w:sz w:val="13"/>
                <w:szCs w:val="13"/>
                <w:color w:val="auto"/>
              </w:rPr>
              <w:t>1,924</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1,567</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1,119</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22.8%</w:t>
            </w:r>
          </w:p>
        </w:tc>
        <w:tc>
          <w:tcPr>
            <w:tcW w:w="200" w:type="dxa"/>
            <w:vAlign w:val="bottom"/>
          </w:tcPr>
          <w:p>
            <w:pPr>
              <w:spacing w:after="0"/>
              <w:rPr>
                <w:sz w:val="11"/>
                <w:szCs w:val="11"/>
                <w:color w:val="auto"/>
              </w:rPr>
            </w:pPr>
          </w:p>
        </w:tc>
        <w:tc>
          <w:tcPr>
            <w:tcW w:w="7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71.9%</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7,008</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2,259</w:t>
            </w:r>
          </w:p>
        </w:tc>
        <w:tc>
          <w:tcPr>
            <w:tcW w:w="9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210.2%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2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Financial income, net</w:t>
            </w:r>
          </w:p>
        </w:tc>
        <w:tc>
          <w:tcPr>
            <w:tcW w:w="920" w:type="dxa"/>
            <w:vAlign w:val="bottom"/>
            <w:gridSpan w:val="2"/>
            <w:shd w:val="clear" w:color="auto" w:fill="CCFFCC"/>
          </w:tcPr>
          <w:p>
            <w:pPr>
              <w:jc w:val="right"/>
              <w:ind w:right="177"/>
              <w:spacing w:after="0" w:line="135" w:lineRule="exact"/>
              <w:rPr>
                <w:sz w:val="20"/>
                <w:szCs w:val="20"/>
                <w:color w:val="auto"/>
              </w:rPr>
            </w:pPr>
            <w:r>
              <w:rPr>
                <w:rFonts w:ascii="Arial" w:cs="Arial" w:eastAsia="Arial" w:hAnsi="Arial"/>
                <w:sz w:val="13"/>
                <w:szCs w:val="13"/>
                <w:b w:val="1"/>
                <w:bCs w:val="1"/>
                <w:color w:val="auto"/>
              </w:rPr>
              <w:t>28,516</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29,500</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23,517</w:t>
            </w:r>
          </w:p>
        </w:tc>
        <w:tc>
          <w:tcPr>
            <w:tcW w:w="9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-3.3%</w:t>
            </w:r>
          </w:p>
        </w:tc>
        <w:tc>
          <w:tcPr>
            <w:tcW w:w="20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21.3%</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121,250</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103,443</w:t>
            </w:r>
          </w:p>
        </w:tc>
        <w:tc>
          <w:tcPr>
            <w:tcW w:w="94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17.2%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2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Salaries and benefits *</w:t>
            </w:r>
          </w:p>
        </w:tc>
        <w:tc>
          <w:tcPr>
            <w:tcW w:w="920" w:type="dxa"/>
            <w:vAlign w:val="bottom"/>
            <w:gridSpan w:val="2"/>
            <w:shd w:val="clear" w:color="auto" w:fill="CCFFCC"/>
          </w:tcPr>
          <w:p>
            <w:pPr>
              <w:jc w:val="right"/>
              <w:ind w:right="177"/>
              <w:spacing w:after="0" w:line="135" w:lineRule="exact"/>
              <w:rPr>
                <w:sz w:val="20"/>
                <w:szCs w:val="20"/>
                <w:color w:val="auto"/>
              </w:rPr>
            </w:pPr>
            <w:r>
              <w:rPr>
                <w:rFonts w:ascii="Arial" w:cs="Arial" w:eastAsia="Arial" w:hAnsi="Arial"/>
                <w:sz w:val="13"/>
                <w:szCs w:val="13"/>
                <w:color w:val="auto"/>
              </w:rPr>
              <w:t>28,656</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23,282</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18,618</w:t>
            </w:r>
          </w:p>
        </w:tc>
        <w:tc>
          <w:tcPr>
            <w:tcW w:w="9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23.1%</w:t>
            </w:r>
          </w:p>
        </w:tc>
        <w:tc>
          <w:tcPr>
            <w:tcW w:w="20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53.9%</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92,430</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62,648</w:t>
            </w:r>
          </w:p>
        </w:tc>
        <w:tc>
          <w:tcPr>
            <w:tcW w:w="94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47.5%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20" w:type="dxa"/>
            <w:vAlign w:val="bottom"/>
          </w:tcPr>
          <w:p>
            <w:pPr>
              <w:ind w:left="160"/>
              <w:spacing w:after="0" w:line="135" w:lineRule="exact"/>
              <w:rPr>
                <w:sz w:val="20"/>
                <w:szCs w:val="20"/>
                <w:color w:val="auto"/>
              </w:rPr>
            </w:pPr>
            <w:r>
              <w:rPr>
                <w:rFonts w:ascii="Arial" w:cs="Arial" w:eastAsia="Arial" w:hAnsi="Arial"/>
                <w:sz w:val="13"/>
                <w:szCs w:val="13"/>
                <w:color w:val="auto"/>
              </w:rPr>
              <w:t>Administrative expenses *</w:t>
            </w:r>
          </w:p>
        </w:tc>
        <w:tc>
          <w:tcPr>
            <w:tcW w:w="920" w:type="dxa"/>
            <w:vAlign w:val="bottom"/>
            <w:gridSpan w:val="2"/>
          </w:tcPr>
          <w:p>
            <w:pPr>
              <w:jc w:val="right"/>
              <w:ind w:right="177"/>
              <w:spacing w:after="0" w:line="135" w:lineRule="exact"/>
              <w:rPr>
                <w:sz w:val="20"/>
                <w:szCs w:val="20"/>
                <w:color w:val="auto"/>
              </w:rPr>
            </w:pPr>
            <w:r>
              <w:rPr>
                <w:rFonts w:ascii="Arial" w:cs="Arial" w:eastAsia="Arial" w:hAnsi="Arial"/>
                <w:sz w:val="13"/>
                <w:szCs w:val="13"/>
                <w:color w:val="auto"/>
              </w:rPr>
              <w:t>24,620</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21,056</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17,934</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16.9%</w:t>
            </w:r>
          </w:p>
        </w:tc>
        <w:tc>
          <w:tcPr>
            <w:tcW w:w="200" w:type="dxa"/>
            <w:vAlign w:val="bottom"/>
          </w:tcPr>
          <w:p>
            <w:pPr>
              <w:spacing w:after="0"/>
              <w:rPr>
                <w:sz w:val="11"/>
                <w:szCs w:val="11"/>
                <w:color w:val="auto"/>
              </w:rPr>
            </w:pPr>
          </w:p>
        </w:tc>
        <w:tc>
          <w:tcPr>
            <w:tcW w:w="7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37.3%</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82,362</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58,530</w:t>
            </w:r>
          </w:p>
        </w:tc>
        <w:tc>
          <w:tcPr>
            <w:tcW w:w="94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40.7%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20" w:type="dxa"/>
            <w:vAlign w:val="bottom"/>
            <w:shd w:val="clear" w:color="auto" w:fill="CCFFCC"/>
          </w:tcPr>
          <w:p>
            <w:pPr>
              <w:ind w:left="320"/>
              <w:spacing w:after="0" w:line="135" w:lineRule="exact"/>
              <w:rPr>
                <w:sz w:val="20"/>
                <w:szCs w:val="20"/>
                <w:color w:val="auto"/>
              </w:rPr>
            </w:pPr>
            <w:r>
              <w:rPr>
                <w:rFonts w:ascii="Arial" w:cs="Arial" w:eastAsia="Arial" w:hAnsi="Arial"/>
                <w:sz w:val="13"/>
                <w:szCs w:val="13"/>
                <w:color w:val="auto"/>
              </w:rPr>
              <w:t>Third party services</w:t>
            </w:r>
          </w:p>
        </w:tc>
        <w:tc>
          <w:tcPr>
            <w:tcW w:w="920" w:type="dxa"/>
            <w:vAlign w:val="bottom"/>
            <w:gridSpan w:val="2"/>
            <w:shd w:val="clear" w:color="auto" w:fill="CCFFCC"/>
          </w:tcPr>
          <w:p>
            <w:pPr>
              <w:jc w:val="right"/>
              <w:ind w:right="177"/>
              <w:spacing w:after="0" w:line="135" w:lineRule="exact"/>
              <w:rPr>
                <w:sz w:val="20"/>
                <w:szCs w:val="20"/>
                <w:color w:val="auto"/>
              </w:rPr>
            </w:pPr>
            <w:r>
              <w:rPr>
                <w:rFonts w:ascii="Arial" w:cs="Arial" w:eastAsia="Arial" w:hAnsi="Arial"/>
                <w:sz w:val="13"/>
                <w:szCs w:val="13"/>
                <w:color w:val="auto"/>
              </w:rPr>
              <w:t>12,517</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10,665</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7,450</w:t>
            </w:r>
          </w:p>
        </w:tc>
        <w:tc>
          <w:tcPr>
            <w:tcW w:w="9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17.4%</w:t>
            </w:r>
          </w:p>
        </w:tc>
        <w:tc>
          <w:tcPr>
            <w:tcW w:w="20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68.0%</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41,341</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27,192</w:t>
            </w:r>
          </w:p>
        </w:tc>
        <w:tc>
          <w:tcPr>
            <w:tcW w:w="94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52.0%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20" w:type="dxa"/>
            <w:vAlign w:val="bottom"/>
          </w:tcPr>
          <w:p>
            <w:pPr>
              <w:ind w:left="320"/>
              <w:spacing w:after="0" w:line="135" w:lineRule="exact"/>
              <w:rPr>
                <w:sz w:val="20"/>
                <w:szCs w:val="20"/>
                <w:color w:val="auto"/>
              </w:rPr>
            </w:pPr>
            <w:r>
              <w:rPr>
                <w:rFonts w:ascii="Arial" w:cs="Arial" w:eastAsia="Arial" w:hAnsi="Arial"/>
                <w:sz w:val="13"/>
                <w:szCs w:val="13"/>
                <w:color w:val="auto"/>
              </w:rPr>
              <w:t>Management expenses</w:t>
            </w:r>
          </w:p>
        </w:tc>
        <w:tc>
          <w:tcPr>
            <w:tcW w:w="920" w:type="dxa"/>
            <w:vAlign w:val="bottom"/>
            <w:gridSpan w:val="2"/>
          </w:tcPr>
          <w:p>
            <w:pPr>
              <w:jc w:val="right"/>
              <w:ind w:right="177"/>
              <w:spacing w:after="0" w:line="135" w:lineRule="exact"/>
              <w:rPr>
                <w:sz w:val="20"/>
                <w:szCs w:val="20"/>
                <w:color w:val="auto"/>
              </w:rPr>
            </w:pPr>
            <w:r>
              <w:rPr>
                <w:rFonts w:ascii="Arial" w:cs="Arial" w:eastAsia="Arial" w:hAnsi="Arial"/>
                <w:sz w:val="13"/>
                <w:szCs w:val="13"/>
                <w:color w:val="auto"/>
              </w:rPr>
              <w:t>4,986</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4,152</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4,456</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20.1%</w:t>
            </w:r>
          </w:p>
        </w:tc>
        <w:tc>
          <w:tcPr>
            <w:tcW w:w="200" w:type="dxa"/>
            <w:vAlign w:val="bottom"/>
          </w:tcPr>
          <w:p>
            <w:pPr>
              <w:spacing w:after="0"/>
              <w:rPr>
                <w:sz w:val="11"/>
                <w:szCs w:val="11"/>
                <w:color w:val="auto"/>
              </w:rPr>
            </w:pPr>
          </w:p>
        </w:tc>
        <w:tc>
          <w:tcPr>
            <w:tcW w:w="7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11.9%</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16,086</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12,678</w:t>
            </w:r>
          </w:p>
        </w:tc>
        <w:tc>
          <w:tcPr>
            <w:tcW w:w="9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26.9%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20" w:type="dxa"/>
            <w:vAlign w:val="bottom"/>
            <w:shd w:val="clear" w:color="auto" w:fill="CCFFCC"/>
          </w:tcPr>
          <w:p>
            <w:pPr>
              <w:ind w:left="320"/>
              <w:spacing w:after="0" w:line="135" w:lineRule="exact"/>
              <w:rPr>
                <w:sz w:val="20"/>
                <w:szCs w:val="20"/>
                <w:color w:val="auto"/>
              </w:rPr>
            </w:pPr>
            <w:r>
              <w:rPr>
                <w:rFonts w:ascii="Arial" w:cs="Arial" w:eastAsia="Arial" w:hAnsi="Arial"/>
                <w:sz w:val="13"/>
                <w:szCs w:val="13"/>
                <w:color w:val="auto"/>
              </w:rPr>
              <w:t>Provisions</w:t>
            </w:r>
          </w:p>
        </w:tc>
        <w:tc>
          <w:tcPr>
            <w:tcW w:w="920" w:type="dxa"/>
            <w:vAlign w:val="bottom"/>
            <w:gridSpan w:val="2"/>
            <w:shd w:val="clear" w:color="auto" w:fill="CCFFCC"/>
          </w:tcPr>
          <w:p>
            <w:pPr>
              <w:jc w:val="right"/>
              <w:ind w:right="177"/>
              <w:spacing w:after="0" w:line="135" w:lineRule="exact"/>
              <w:rPr>
                <w:sz w:val="20"/>
                <w:szCs w:val="20"/>
                <w:color w:val="auto"/>
              </w:rPr>
            </w:pPr>
            <w:r>
              <w:rPr>
                <w:rFonts w:ascii="Arial" w:cs="Arial" w:eastAsia="Arial" w:hAnsi="Arial"/>
                <w:sz w:val="13"/>
                <w:szCs w:val="13"/>
                <w:color w:val="auto"/>
              </w:rPr>
              <w:t>3,608</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3,181</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2,457</w:t>
            </w:r>
          </w:p>
        </w:tc>
        <w:tc>
          <w:tcPr>
            <w:tcW w:w="9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13.4%</w:t>
            </w:r>
          </w:p>
        </w:tc>
        <w:tc>
          <w:tcPr>
            <w:tcW w:w="20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46.8%</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12,431</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8,076</w:t>
            </w:r>
          </w:p>
        </w:tc>
        <w:tc>
          <w:tcPr>
            <w:tcW w:w="94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53.9%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20" w:type="dxa"/>
            <w:vAlign w:val="bottom"/>
          </w:tcPr>
          <w:p>
            <w:pPr>
              <w:ind w:left="320"/>
              <w:spacing w:after="0" w:line="135" w:lineRule="exact"/>
              <w:rPr>
                <w:sz w:val="20"/>
                <w:szCs w:val="20"/>
                <w:color w:val="auto"/>
              </w:rPr>
            </w:pPr>
            <w:r>
              <w:rPr>
                <w:rFonts w:ascii="Arial" w:cs="Arial" w:eastAsia="Arial" w:hAnsi="Arial"/>
                <w:sz w:val="13"/>
                <w:szCs w:val="13"/>
                <w:color w:val="auto"/>
              </w:rPr>
              <w:t>Taxes</w:t>
            </w:r>
          </w:p>
        </w:tc>
        <w:tc>
          <w:tcPr>
            <w:tcW w:w="920" w:type="dxa"/>
            <w:vAlign w:val="bottom"/>
            <w:gridSpan w:val="2"/>
          </w:tcPr>
          <w:p>
            <w:pPr>
              <w:jc w:val="right"/>
              <w:ind w:right="177"/>
              <w:spacing w:after="0" w:line="135" w:lineRule="exact"/>
              <w:rPr>
                <w:sz w:val="20"/>
                <w:szCs w:val="20"/>
                <w:color w:val="auto"/>
              </w:rPr>
            </w:pPr>
            <w:r>
              <w:rPr>
                <w:rFonts w:ascii="Arial" w:cs="Arial" w:eastAsia="Arial" w:hAnsi="Arial"/>
                <w:sz w:val="13"/>
                <w:szCs w:val="13"/>
                <w:color w:val="auto"/>
              </w:rPr>
              <w:t>1,925</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1,952</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1,568</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-1.4%</w:t>
            </w:r>
          </w:p>
        </w:tc>
        <w:tc>
          <w:tcPr>
            <w:tcW w:w="200" w:type="dxa"/>
            <w:vAlign w:val="bottom"/>
          </w:tcPr>
          <w:p>
            <w:pPr>
              <w:spacing w:after="0"/>
              <w:rPr>
                <w:sz w:val="11"/>
                <w:szCs w:val="11"/>
                <w:color w:val="auto"/>
              </w:rPr>
            </w:pPr>
          </w:p>
        </w:tc>
        <w:tc>
          <w:tcPr>
            <w:tcW w:w="7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22.8%</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7,342</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5,980</w:t>
            </w:r>
          </w:p>
        </w:tc>
        <w:tc>
          <w:tcPr>
            <w:tcW w:w="9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22.8%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20" w:type="dxa"/>
            <w:vAlign w:val="bottom"/>
            <w:shd w:val="clear" w:color="auto" w:fill="CCFFCC"/>
          </w:tcPr>
          <w:p>
            <w:pPr>
              <w:ind w:left="320"/>
              <w:spacing w:after="0" w:line="135" w:lineRule="exact"/>
              <w:rPr>
                <w:sz w:val="20"/>
                <w:szCs w:val="20"/>
                <w:color w:val="auto"/>
              </w:rPr>
            </w:pPr>
            <w:r>
              <w:rPr>
                <w:rFonts w:ascii="Arial" w:cs="Arial" w:eastAsia="Arial" w:hAnsi="Arial"/>
                <w:sz w:val="13"/>
                <w:szCs w:val="13"/>
                <w:color w:val="auto"/>
              </w:rPr>
              <w:t>Other expenses *</w:t>
            </w:r>
          </w:p>
        </w:tc>
        <w:tc>
          <w:tcPr>
            <w:tcW w:w="920" w:type="dxa"/>
            <w:vAlign w:val="bottom"/>
            <w:gridSpan w:val="2"/>
            <w:shd w:val="clear" w:color="auto" w:fill="CCFFCC"/>
          </w:tcPr>
          <w:p>
            <w:pPr>
              <w:jc w:val="right"/>
              <w:ind w:right="177"/>
              <w:spacing w:after="0" w:line="135" w:lineRule="exact"/>
              <w:rPr>
                <w:sz w:val="20"/>
                <w:szCs w:val="20"/>
                <w:color w:val="auto"/>
              </w:rPr>
            </w:pPr>
            <w:r>
              <w:rPr>
                <w:rFonts w:ascii="Arial" w:cs="Arial" w:eastAsia="Arial" w:hAnsi="Arial"/>
                <w:sz w:val="13"/>
                <w:szCs w:val="13"/>
                <w:color w:val="auto"/>
              </w:rPr>
              <w:t>1,585</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1,106</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2,003</w:t>
            </w:r>
          </w:p>
        </w:tc>
        <w:tc>
          <w:tcPr>
            <w:tcW w:w="9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43.3%</w:t>
            </w:r>
          </w:p>
        </w:tc>
        <w:tc>
          <w:tcPr>
            <w:tcW w:w="20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-20.9%</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5,162</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4,604</w:t>
            </w:r>
          </w:p>
        </w:tc>
        <w:tc>
          <w:tcPr>
            <w:tcW w:w="94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12.1%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20" w:type="dxa"/>
            <w:vAlign w:val="bottom"/>
          </w:tcPr>
          <w:p>
            <w:pPr>
              <w:spacing w:after="0" w:line="135" w:lineRule="exact"/>
              <w:rPr>
                <w:sz w:val="20"/>
                <w:szCs w:val="20"/>
                <w:color w:val="auto"/>
              </w:rPr>
            </w:pPr>
            <w:r>
              <w:rPr>
                <w:rFonts w:ascii="Arial" w:cs="Arial" w:eastAsia="Arial" w:hAnsi="Arial"/>
                <w:sz w:val="13"/>
                <w:szCs w:val="13"/>
                <w:b w:val="1"/>
                <w:bCs w:val="1"/>
                <w:color w:val="auto"/>
              </w:rPr>
              <w:t>Opertating expenses</w:t>
            </w:r>
          </w:p>
        </w:tc>
        <w:tc>
          <w:tcPr>
            <w:tcW w:w="920" w:type="dxa"/>
            <w:vAlign w:val="bottom"/>
            <w:gridSpan w:val="2"/>
          </w:tcPr>
          <w:p>
            <w:pPr>
              <w:jc w:val="right"/>
              <w:ind w:right="177"/>
              <w:spacing w:after="0" w:line="135" w:lineRule="exact"/>
              <w:rPr>
                <w:sz w:val="20"/>
                <w:szCs w:val="20"/>
                <w:color w:val="auto"/>
              </w:rPr>
            </w:pPr>
            <w:r>
              <w:rPr>
                <w:rFonts w:ascii="Arial" w:cs="Arial" w:eastAsia="Arial" w:hAnsi="Arial"/>
                <w:sz w:val="13"/>
                <w:szCs w:val="13"/>
                <w:b w:val="1"/>
                <w:bCs w:val="1"/>
                <w:color w:val="auto"/>
              </w:rPr>
              <w:t>53,276</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44,338</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36,553</w:t>
            </w:r>
          </w:p>
        </w:tc>
        <w:tc>
          <w:tcPr>
            <w:tcW w:w="92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20.2%</w:t>
            </w:r>
          </w:p>
        </w:tc>
        <w:tc>
          <w:tcPr>
            <w:tcW w:w="200" w:type="dxa"/>
            <w:vAlign w:val="bottom"/>
          </w:tcPr>
          <w:p>
            <w:pPr>
              <w:spacing w:after="0"/>
              <w:rPr>
                <w:sz w:val="11"/>
                <w:szCs w:val="11"/>
                <w:color w:val="auto"/>
              </w:rPr>
            </w:pPr>
          </w:p>
        </w:tc>
        <w:tc>
          <w:tcPr>
            <w:tcW w:w="72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45.8%</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174,792</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121,178</w:t>
            </w:r>
          </w:p>
        </w:tc>
        <w:tc>
          <w:tcPr>
            <w:tcW w:w="94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44.2%</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02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4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020" w:type="dxa"/>
            <w:vAlign w:val="bottom"/>
          </w:tcPr>
          <w:p>
            <w:pPr>
              <w:spacing w:after="0" w:line="135" w:lineRule="exact"/>
              <w:rPr>
                <w:sz w:val="20"/>
                <w:szCs w:val="20"/>
                <w:color w:val="auto"/>
              </w:rPr>
            </w:pPr>
            <w:r>
              <w:rPr>
                <w:rFonts w:ascii="Arial" w:cs="Arial" w:eastAsia="Arial" w:hAnsi="Arial"/>
                <w:sz w:val="13"/>
                <w:szCs w:val="13"/>
                <w:color w:val="auto"/>
              </w:rPr>
              <w:t>Other income *</w:t>
            </w:r>
          </w:p>
        </w:tc>
        <w:tc>
          <w:tcPr>
            <w:tcW w:w="920" w:type="dxa"/>
            <w:vAlign w:val="bottom"/>
            <w:gridSpan w:val="2"/>
          </w:tcPr>
          <w:p>
            <w:pPr>
              <w:jc w:val="right"/>
              <w:ind w:right="177"/>
              <w:spacing w:after="0" w:line="135" w:lineRule="exact"/>
              <w:rPr>
                <w:sz w:val="20"/>
                <w:szCs w:val="20"/>
                <w:color w:val="auto"/>
              </w:rPr>
            </w:pPr>
            <w:r>
              <w:rPr>
                <w:rFonts w:ascii="Arial" w:cs="Arial" w:eastAsia="Arial" w:hAnsi="Arial"/>
                <w:sz w:val="13"/>
                <w:szCs w:val="13"/>
                <w:color w:val="auto"/>
              </w:rPr>
              <w:t>620</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1,985</w:t>
            </w:r>
          </w:p>
        </w:tc>
        <w:tc>
          <w:tcPr>
            <w:tcW w:w="9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(505)</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-68.8%</w:t>
            </w:r>
          </w:p>
        </w:tc>
        <w:tc>
          <w:tcPr>
            <w:tcW w:w="200" w:type="dxa"/>
            <w:vAlign w:val="bottom"/>
          </w:tcPr>
          <w:p>
            <w:pPr>
              <w:spacing w:after="0"/>
              <w:rPr>
                <w:sz w:val="11"/>
                <w:szCs w:val="11"/>
                <w:color w:val="auto"/>
              </w:rPr>
            </w:pPr>
          </w:p>
        </w:tc>
        <w:tc>
          <w:tcPr>
            <w:tcW w:w="7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222.8%</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4,343</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265</w:t>
            </w:r>
          </w:p>
        </w:tc>
        <w:tc>
          <w:tcPr>
            <w:tcW w:w="9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1541.0%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2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Traslations results</w:t>
            </w:r>
          </w:p>
        </w:tc>
        <w:tc>
          <w:tcPr>
            <w:tcW w:w="920" w:type="dxa"/>
            <w:vAlign w:val="bottom"/>
            <w:gridSpan w:val="2"/>
            <w:shd w:val="clear" w:color="auto" w:fill="CCFFCC"/>
          </w:tcPr>
          <w:p>
            <w:pPr>
              <w:jc w:val="right"/>
              <w:ind w:right="177"/>
              <w:spacing w:after="0" w:line="135" w:lineRule="exact"/>
              <w:rPr>
                <w:sz w:val="20"/>
                <w:szCs w:val="20"/>
                <w:color w:val="auto"/>
              </w:rPr>
            </w:pPr>
            <w:r>
              <w:rPr>
                <w:rFonts w:ascii="Arial" w:cs="Arial" w:eastAsia="Arial" w:hAnsi="Arial"/>
                <w:sz w:val="13"/>
                <w:szCs w:val="13"/>
                <w:color w:val="auto"/>
              </w:rPr>
              <w:t>3,132</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3,548</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3,931</w:t>
            </w:r>
          </w:p>
        </w:tc>
        <w:tc>
          <w:tcPr>
            <w:tcW w:w="9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-11.7%</w:t>
            </w:r>
          </w:p>
        </w:tc>
        <w:tc>
          <w:tcPr>
            <w:tcW w:w="20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-20.3%</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8,408</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6,110</w:t>
            </w:r>
          </w:p>
        </w:tc>
        <w:tc>
          <w:tcPr>
            <w:tcW w:w="94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37.6%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20" w:type="dxa"/>
            <w:vAlign w:val="bottom"/>
          </w:tcPr>
          <w:p>
            <w:pPr>
              <w:spacing w:after="0" w:line="135" w:lineRule="exact"/>
              <w:rPr>
                <w:sz w:val="20"/>
                <w:szCs w:val="20"/>
                <w:color w:val="auto"/>
              </w:rPr>
            </w:pPr>
            <w:r>
              <w:rPr>
                <w:rFonts w:ascii="Arial" w:cs="Arial" w:eastAsia="Arial" w:hAnsi="Arial"/>
                <w:sz w:val="13"/>
                <w:szCs w:val="13"/>
                <w:color w:val="auto"/>
              </w:rPr>
              <w:t>Income tax</w:t>
            </w:r>
          </w:p>
        </w:tc>
        <w:tc>
          <w:tcPr>
            <w:tcW w:w="920" w:type="dxa"/>
            <w:vAlign w:val="bottom"/>
            <w:gridSpan w:val="2"/>
          </w:tcPr>
          <w:p>
            <w:pPr>
              <w:jc w:val="right"/>
              <w:ind w:right="177"/>
              <w:spacing w:after="0" w:line="135" w:lineRule="exact"/>
              <w:rPr>
                <w:sz w:val="20"/>
                <w:szCs w:val="20"/>
                <w:color w:val="auto"/>
              </w:rPr>
            </w:pPr>
            <w:r>
              <w:rPr>
                <w:rFonts w:ascii="Arial" w:cs="Arial" w:eastAsia="Arial" w:hAnsi="Arial"/>
                <w:sz w:val="13"/>
                <w:szCs w:val="13"/>
                <w:color w:val="auto"/>
              </w:rPr>
              <w:t>3,145</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4,250</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921</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-26.0%</w:t>
            </w:r>
          </w:p>
        </w:tc>
        <w:tc>
          <w:tcPr>
            <w:tcW w:w="200" w:type="dxa"/>
            <w:vAlign w:val="bottom"/>
          </w:tcPr>
          <w:p>
            <w:pPr>
              <w:spacing w:after="0"/>
              <w:rPr>
                <w:sz w:val="11"/>
                <w:szCs w:val="11"/>
                <w:color w:val="auto"/>
              </w:rPr>
            </w:pPr>
          </w:p>
        </w:tc>
        <w:tc>
          <w:tcPr>
            <w:tcW w:w="7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241.3%</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8,815</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7,820</w:t>
            </w:r>
          </w:p>
        </w:tc>
        <w:tc>
          <w:tcPr>
            <w:tcW w:w="9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12.7%</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02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4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020" w:type="dxa"/>
            <w:vAlign w:val="bottom"/>
          </w:tcPr>
          <w:p>
            <w:pPr>
              <w:spacing w:after="0" w:line="135" w:lineRule="exact"/>
              <w:rPr>
                <w:sz w:val="20"/>
                <w:szCs w:val="20"/>
                <w:color w:val="auto"/>
              </w:rPr>
            </w:pPr>
            <w:r>
              <w:rPr>
                <w:rFonts w:ascii="Arial" w:cs="Arial" w:eastAsia="Arial" w:hAnsi="Arial"/>
                <w:sz w:val="13"/>
                <w:szCs w:val="13"/>
                <w:b w:val="1"/>
                <w:bCs w:val="1"/>
                <w:color w:val="auto"/>
              </w:rPr>
              <w:t>Income before minority interest</w:t>
            </w:r>
          </w:p>
        </w:tc>
        <w:tc>
          <w:tcPr>
            <w:tcW w:w="920" w:type="dxa"/>
            <w:vAlign w:val="bottom"/>
            <w:gridSpan w:val="2"/>
          </w:tcPr>
          <w:p>
            <w:pPr>
              <w:jc w:val="right"/>
              <w:ind w:right="177"/>
              <w:spacing w:after="0" w:line="135" w:lineRule="exact"/>
              <w:rPr>
                <w:sz w:val="20"/>
                <w:szCs w:val="20"/>
                <w:color w:val="auto"/>
              </w:rPr>
            </w:pPr>
            <w:r>
              <w:rPr>
                <w:rFonts w:ascii="Arial" w:cs="Arial" w:eastAsia="Arial" w:hAnsi="Arial"/>
                <w:sz w:val="13"/>
                <w:szCs w:val="13"/>
                <w:b w:val="1"/>
                <w:bCs w:val="1"/>
                <w:color w:val="auto"/>
              </w:rPr>
              <w:t>16,942</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21,060</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11,664</w:t>
            </w:r>
          </w:p>
        </w:tc>
        <w:tc>
          <w:tcPr>
            <w:tcW w:w="92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-19.6%</w:t>
            </w:r>
          </w:p>
        </w:tc>
        <w:tc>
          <w:tcPr>
            <w:tcW w:w="200" w:type="dxa"/>
            <w:vAlign w:val="bottom"/>
          </w:tcPr>
          <w:p>
            <w:pPr>
              <w:spacing w:after="0"/>
              <w:rPr>
                <w:sz w:val="11"/>
                <w:szCs w:val="11"/>
                <w:color w:val="auto"/>
              </w:rPr>
            </w:pPr>
          </w:p>
        </w:tc>
        <w:tc>
          <w:tcPr>
            <w:tcW w:w="72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45.2%</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67,079</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66,853</w:t>
            </w:r>
          </w:p>
        </w:tc>
        <w:tc>
          <w:tcPr>
            <w:tcW w:w="94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0.3%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2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Minority interest</w:t>
            </w:r>
          </w:p>
        </w:tc>
        <w:tc>
          <w:tcPr>
            <w:tcW w:w="920" w:type="dxa"/>
            <w:vAlign w:val="bottom"/>
            <w:gridSpan w:val="2"/>
            <w:shd w:val="clear" w:color="auto" w:fill="CCFFCC"/>
          </w:tcPr>
          <w:p>
            <w:pPr>
              <w:jc w:val="right"/>
              <w:ind w:right="177"/>
              <w:spacing w:after="0" w:line="135" w:lineRule="exact"/>
              <w:rPr>
                <w:sz w:val="20"/>
                <w:szCs w:val="20"/>
                <w:color w:val="auto"/>
              </w:rPr>
            </w:pPr>
            <w:r>
              <w:rPr>
                <w:rFonts w:ascii="Arial" w:cs="Arial" w:eastAsia="Arial" w:hAnsi="Arial"/>
                <w:sz w:val="13"/>
                <w:szCs w:val="13"/>
                <w:color w:val="auto"/>
              </w:rPr>
              <w:t>2,101</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2,099</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774</w:t>
            </w:r>
          </w:p>
        </w:tc>
        <w:tc>
          <w:tcPr>
            <w:tcW w:w="9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0.1%</w:t>
            </w:r>
          </w:p>
        </w:tc>
        <w:tc>
          <w:tcPr>
            <w:tcW w:w="20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171.6%</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8,097</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9,691</w:t>
            </w:r>
          </w:p>
        </w:tc>
        <w:tc>
          <w:tcPr>
            <w:tcW w:w="94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-16.4%</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0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02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Net income</w:t>
            </w:r>
          </w:p>
        </w:tc>
        <w:tc>
          <w:tcPr>
            <w:tcW w:w="920" w:type="dxa"/>
            <w:vAlign w:val="bottom"/>
            <w:gridSpan w:val="2"/>
            <w:shd w:val="clear" w:color="auto" w:fill="CCFFCC"/>
          </w:tcPr>
          <w:p>
            <w:pPr>
              <w:jc w:val="right"/>
              <w:ind w:right="177"/>
              <w:spacing w:after="0" w:line="135" w:lineRule="exact"/>
              <w:rPr>
                <w:sz w:val="20"/>
                <w:szCs w:val="20"/>
                <w:color w:val="auto"/>
              </w:rPr>
            </w:pPr>
            <w:r>
              <w:rPr>
                <w:rFonts w:ascii="Arial" w:cs="Arial" w:eastAsia="Arial" w:hAnsi="Arial"/>
                <w:sz w:val="13"/>
                <w:szCs w:val="13"/>
                <w:b w:val="1"/>
                <w:bCs w:val="1"/>
                <w:color w:val="auto"/>
              </w:rPr>
              <w:t>14,840</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18,960</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10,891</w:t>
            </w:r>
          </w:p>
        </w:tc>
        <w:tc>
          <w:tcPr>
            <w:tcW w:w="9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-21.7%</w:t>
            </w:r>
          </w:p>
        </w:tc>
        <w:tc>
          <w:tcPr>
            <w:tcW w:w="20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36.3%</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58,982</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57,162</w:t>
            </w:r>
          </w:p>
        </w:tc>
        <w:tc>
          <w:tcPr>
            <w:tcW w:w="94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3.2%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20" w:type="dxa"/>
            <w:vAlign w:val="bottom"/>
            <w:shd w:val="clear" w:color="auto" w:fill="CCFFCC"/>
          </w:tcPr>
          <w:p>
            <w:pPr>
              <w:jc w:val="center"/>
              <w:ind w:right="57"/>
              <w:spacing w:after="0" w:line="135" w:lineRule="exact"/>
              <w:rPr>
                <w:sz w:val="20"/>
                <w:szCs w:val="20"/>
                <w:color w:val="auto"/>
              </w:rPr>
            </w:pPr>
            <w:r>
              <w:rPr>
                <w:rFonts w:ascii="Arial" w:cs="Arial" w:eastAsia="Arial" w:hAnsi="Arial"/>
                <w:sz w:val="13"/>
                <w:szCs w:val="13"/>
                <w:b w:val="1"/>
                <w:bCs w:val="1"/>
                <w:color w:val="auto"/>
                <w:w w:val="87"/>
              </w:rPr>
              <w:t>Balance (end of period)</w:t>
            </w:r>
          </w:p>
        </w:tc>
        <w:tc>
          <w:tcPr>
            <w:tcW w:w="6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4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20" w:type="dxa"/>
            <w:vAlign w:val="bottom"/>
          </w:tcPr>
          <w:p>
            <w:pPr>
              <w:spacing w:after="0" w:line="135" w:lineRule="exact"/>
              <w:rPr>
                <w:sz w:val="20"/>
                <w:szCs w:val="20"/>
                <w:color w:val="auto"/>
              </w:rPr>
            </w:pPr>
            <w:r>
              <w:rPr>
                <w:rFonts w:ascii="Arial" w:cs="Arial" w:eastAsia="Arial" w:hAnsi="Arial"/>
                <w:sz w:val="13"/>
                <w:szCs w:val="13"/>
                <w:color w:val="auto"/>
              </w:rPr>
              <w:t>Total assets</w:t>
            </w:r>
          </w:p>
        </w:tc>
        <w:tc>
          <w:tcPr>
            <w:tcW w:w="920" w:type="dxa"/>
            <w:vAlign w:val="bottom"/>
            <w:gridSpan w:val="2"/>
          </w:tcPr>
          <w:p>
            <w:pPr>
              <w:jc w:val="right"/>
              <w:ind w:right="177"/>
              <w:spacing w:after="0" w:line="135" w:lineRule="exact"/>
              <w:rPr>
                <w:sz w:val="20"/>
                <w:szCs w:val="20"/>
                <w:color w:val="auto"/>
              </w:rPr>
            </w:pPr>
            <w:r>
              <w:rPr>
                <w:rFonts w:ascii="Arial" w:cs="Arial" w:eastAsia="Arial" w:hAnsi="Arial"/>
                <w:sz w:val="13"/>
                <w:szCs w:val="13"/>
                <w:color w:val="auto"/>
              </w:rPr>
              <w:t>2,678,717</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2,518,019</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2,150,128</w:t>
            </w:r>
          </w:p>
        </w:tc>
        <w:tc>
          <w:tcPr>
            <w:tcW w:w="24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6.4%</w:t>
            </w:r>
          </w:p>
        </w:tc>
        <w:tc>
          <w:tcPr>
            <w:tcW w:w="200" w:type="dxa"/>
            <w:vAlign w:val="bottom"/>
          </w:tcPr>
          <w:p>
            <w:pPr>
              <w:spacing w:after="0"/>
              <w:rPr>
                <w:sz w:val="11"/>
                <w:szCs w:val="11"/>
                <w:color w:val="auto"/>
              </w:rPr>
            </w:pPr>
          </w:p>
        </w:tc>
        <w:tc>
          <w:tcPr>
            <w:tcW w:w="7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24.6%</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2,678,717</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2,150,128</w:t>
            </w:r>
          </w:p>
        </w:tc>
        <w:tc>
          <w:tcPr>
            <w:tcW w:w="9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24.6%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2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Invesment on securities and real state (2)</w:t>
            </w:r>
          </w:p>
        </w:tc>
        <w:tc>
          <w:tcPr>
            <w:tcW w:w="920" w:type="dxa"/>
            <w:vAlign w:val="bottom"/>
            <w:gridSpan w:val="2"/>
            <w:shd w:val="clear" w:color="auto" w:fill="CCFFCC"/>
          </w:tcPr>
          <w:p>
            <w:pPr>
              <w:jc w:val="right"/>
              <w:ind w:right="177"/>
              <w:spacing w:after="0" w:line="135" w:lineRule="exact"/>
              <w:rPr>
                <w:sz w:val="20"/>
                <w:szCs w:val="20"/>
                <w:color w:val="auto"/>
              </w:rPr>
            </w:pPr>
            <w:r>
              <w:rPr>
                <w:rFonts w:ascii="Arial" w:cs="Arial" w:eastAsia="Arial" w:hAnsi="Arial"/>
                <w:sz w:val="13"/>
                <w:szCs w:val="13"/>
                <w:color w:val="auto"/>
              </w:rPr>
              <w:t>1,782,381</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1,653,662</w:t>
            </w:r>
          </w:p>
        </w:tc>
        <w:tc>
          <w:tcPr>
            <w:tcW w:w="6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1,429,300</w:t>
            </w:r>
          </w:p>
        </w:tc>
        <w:tc>
          <w:tcPr>
            <w:tcW w:w="240" w:type="dxa"/>
            <w:vAlign w:val="bottom"/>
            <w:shd w:val="clear" w:color="auto" w:fill="CCFFCC"/>
          </w:tcPr>
          <w:p>
            <w:pPr>
              <w:spacing w:after="0"/>
              <w:rPr>
                <w:sz w:val="11"/>
                <w:szCs w:val="11"/>
                <w:color w:val="auto"/>
              </w:rPr>
            </w:pPr>
          </w:p>
        </w:tc>
        <w:tc>
          <w:tcPr>
            <w:tcW w:w="9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7.8%</w:t>
            </w:r>
          </w:p>
        </w:tc>
        <w:tc>
          <w:tcPr>
            <w:tcW w:w="20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24.7%</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1,782,381</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1,429,300</w:t>
            </w:r>
          </w:p>
        </w:tc>
        <w:tc>
          <w:tcPr>
            <w:tcW w:w="94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24.7%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20" w:type="dxa"/>
            <w:vAlign w:val="bottom"/>
          </w:tcPr>
          <w:p>
            <w:pPr>
              <w:spacing w:after="0" w:line="135" w:lineRule="exact"/>
              <w:rPr>
                <w:sz w:val="20"/>
                <w:szCs w:val="20"/>
                <w:color w:val="auto"/>
              </w:rPr>
            </w:pPr>
            <w:r>
              <w:rPr>
                <w:rFonts w:ascii="Arial" w:cs="Arial" w:eastAsia="Arial" w:hAnsi="Arial"/>
                <w:sz w:val="13"/>
                <w:szCs w:val="13"/>
                <w:color w:val="auto"/>
              </w:rPr>
              <w:t>Technical reserves</w:t>
            </w:r>
          </w:p>
        </w:tc>
        <w:tc>
          <w:tcPr>
            <w:tcW w:w="920" w:type="dxa"/>
            <w:vAlign w:val="bottom"/>
            <w:gridSpan w:val="2"/>
          </w:tcPr>
          <w:p>
            <w:pPr>
              <w:jc w:val="right"/>
              <w:ind w:right="177"/>
              <w:spacing w:after="0" w:line="135" w:lineRule="exact"/>
              <w:rPr>
                <w:sz w:val="20"/>
                <w:szCs w:val="20"/>
                <w:color w:val="auto"/>
              </w:rPr>
            </w:pPr>
            <w:r>
              <w:rPr>
                <w:rFonts w:ascii="Arial" w:cs="Arial" w:eastAsia="Arial" w:hAnsi="Arial"/>
                <w:sz w:val="13"/>
                <w:szCs w:val="13"/>
                <w:color w:val="auto"/>
              </w:rPr>
              <w:t>1,616,229</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1,532,319</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1,372,353</w:t>
            </w:r>
          </w:p>
        </w:tc>
        <w:tc>
          <w:tcPr>
            <w:tcW w:w="24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5.5%</w:t>
            </w:r>
          </w:p>
        </w:tc>
        <w:tc>
          <w:tcPr>
            <w:tcW w:w="200" w:type="dxa"/>
            <w:vAlign w:val="bottom"/>
          </w:tcPr>
          <w:p>
            <w:pPr>
              <w:spacing w:after="0"/>
              <w:rPr>
                <w:sz w:val="11"/>
                <w:szCs w:val="11"/>
                <w:color w:val="auto"/>
              </w:rPr>
            </w:pPr>
          </w:p>
        </w:tc>
        <w:tc>
          <w:tcPr>
            <w:tcW w:w="7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17.8%</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1,616,229</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1,372,353</w:t>
            </w:r>
          </w:p>
        </w:tc>
        <w:tc>
          <w:tcPr>
            <w:tcW w:w="9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17.8%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2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Net equity</w:t>
            </w:r>
          </w:p>
        </w:tc>
        <w:tc>
          <w:tcPr>
            <w:tcW w:w="920" w:type="dxa"/>
            <w:vAlign w:val="bottom"/>
            <w:gridSpan w:val="2"/>
            <w:shd w:val="clear" w:color="auto" w:fill="CCFFCC"/>
          </w:tcPr>
          <w:p>
            <w:pPr>
              <w:jc w:val="right"/>
              <w:ind w:right="177"/>
              <w:spacing w:after="0" w:line="135" w:lineRule="exact"/>
              <w:rPr>
                <w:sz w:val="20"/>
                <w:szCs w:val="20"/>
                <w:color w:val="auto"/>
              </w:rPr>
            </w:pPr>
            <w:r>
              <w:rPr>
                <w:rFonts w:ascii="Arial" w:cs="Arial" w:eastAsia="Arial" w:hAnsi="Arial"/>
                <w:sz w:val="13"/>
                <w:szCs w:val="13"/>
                <w:color w:val="auto"/>
              </w:rPr>
              <w:t>632,025</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585,183</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458,176</w:t>
            </w:r>
          </w:p>
        </w:tc>
        <w:tc>
          <w:tcPr>
            <w:tcW w:w="9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8.0%</w:t>
            </w:r>
          </w:p>
        </w:tc>
        <w:tc>
          <w:tcPr>
            <w:tcW w:w="20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37.9%</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632,025</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458,176</w:t>
            </w:r>
          </w:p>
        </w:tc>
        <w:tc>
          <w:tcPr>
            <w:tcW w:w="94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37.9%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20" w:type="dxa"/>
            <w:vAlign w:val="bottom"/>
            <w:shd w:val="clear" w:color="auto" w:fill="CCFFCC"/>
          </w:tcPr>
          <w:p>
            <w:pPr>
              <w:jc w:val="center"/>
              <w:ind w:right="57"/>
              <w:spacing w:after="0" w:line="135" w:lineRule="exact"/>
              <w:rPr>
                <w:sz w:val="20"/>
                <w:szCs w:val="20"/>
                <w:color w:val="auto"/>
              </w:rPr>
            </w:pPr>
            <w:r>
              <w:rPr>
                <w:rFonts w:ascii="Arial" w:cs="Arial" w:eastAsia="Arial" w:hAnsi="Arial"/>
                <w:sz w:val="13"/>
                <w:szCs w:val="13"/>
                <w:b w:val="1"/>
                <w:bCs w:val="1"/>
                <w:color w:val="auto"/>
                <w:w w:val="85"/>
              </w:rPr>
              <w:t>Ratios</w:t>
            </w:r>
          </w:p>
        </w:tc>
        <w:tc>
          <w:tcPr>
            <w:tcW w:w="6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4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20" w:type="dxa"/>
            <w:vAlign w:val="bottom"/>
          </w:tcPr>
          <w:p>
            <w:pPr>
              <w:spacing w:after="0" w:line="135" w:lineRule="exact"/>
              <w:rPr>
                <w:sz w:val="20"/>
                <w:szCs w:val="20"/>
                <w:color w:val="auto"/>
              </w:rPr>
            </w:pPr>
            <w:r>
              <w:rPr>
                <w:rFonts w:ascii="Arial" w:cs="Arial" w:eastAsia="Arial" w:hAnsi="Arial"/>
                <w:sz w:val="13"/>
                <w:szCs w:val="13"/>
                <w:color w:val="auto"/>
              </w:rPr>
              <w:t>Ceded</w:t>
            </w:r>
          </w:p>
        </w:tc>
        <w:tc>
          <w:tcPr>
            <w:tcW w:w="92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22.1%</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14.5%</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25.1%</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7.6</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(3.0)</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15.0%</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16.3%</w:t>
            </w:r>
          </w:p>
        </w:tc>
        <w:tc>
          <w:tcPr>
            <w:tcW w:w="9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2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Loss ratio</w:t>
            </w:r>
          </w:p>
        </w:tc>
        <w:tc>
          <w:tcPr>
            <w:tcW w:w="920" w:type="dxa"/>
            <w:vAlign w:val="bottom"/>
            <w:gridSpan w:val="2"/>
            <w:shd w:val="clear" w:color="auto" w:fill="CCFFCC"/>
          </w:tcPr>
          <w:p>
            <w:pPr>
              <w:jc w:val="right"/>
              <w:ind w:right="77"/>
              <w:spacing w:after="0" w:line="135" w:lineRule="exact"/>
              <w:rPr>
                <w:sz w:val="20"/>
                <w:szCs w:val="20"/>
                <w:color w:val="auto"/>
              </w:rPr>
            </w:pPr>
            <w:r>
              <w:rPr>
                <w:rFonts w:ascii="Arial" w:cs="Arial" w:eastAsia="Arial" w:hAnsi="Arial"/>
                <w:sz w:val="13"/>
                <w:szCs w:val="13"/>
                <w:color w:val="auto"/>
              </w:rPr>
              <w:t>59.1%</w:t>
            </w:r>
          </w:p>
        </w:tc>
        <w:tc>
          <w:tcPr>
            <w:tcW w:w="9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58.7%</w:t>
            </w:r>
          </w:p>
        </w:tc>
        <w:tc>
          <w:tcPr>
            <w:tcW w:w="9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66.8%</w:t>
            </w:r>
          </w:p>
        </w:tc>
        <w:tc>
          <w:tcPr>
            <w:tcW w:w="6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0.4</w:t>
            </w:r>
          </w:p>
        </w:tc>
        <w:tc>
          <w:tcPr>
            <w:tcW w:w="2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(7.8)</w:t>
            </w:r>
          </w:p>
        </w:tc>
        <w:tc>
          <w:tcPr>
            <w:tcW w:w="9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63.0%</w:t>
            </w:r>
          </w:p>
        </w:tc>
        <w:tc>
          <w:tcPr>
            <w:tcW w:w="9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64.2%</w:t>
            </w:r>
          </w:p>
        </w:tc>
        <w:tc>
          <w:tcPr>
            <w:tcW w:w="94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20" w:type="dxa"/>
            <w:vAlign w:val="bottom"/>
          </w:tcPr>
          <w:p>
            <w:pPr>
              <w:spacing w:after="0" w:line="135" w:lineRule="exact"/>
              <w:rPr>
                <w:sz w:val="20"/>
                <w:szCs w:val="20"/>
                <w:color w:val="auto"/>
              </w:rPr>
            </w:pPr>
            <w:r>
              <w:rPr>
                <w:rFonts w:ascii="Arial" w:cs="Arial" w:eastAsia="Arial" w:hAnsi="Arial"/>
                <w:sz w:val="13"/>
                <w:szCs w:val="13"/>
                <w:color w:val="auto"/>
              </w:rPr>
              <w:t>Commissions + underwriting expenses, net / net earned premiums</w:t>
            </w:r>
          </w:p>
        </w:tc>
        <w:tc>
          <w:tcPr>
            <w:tcW w:w="92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18.8%</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20.8%</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19.8%</w:t>
            </w:r>
          </w:p>
        </w:tc>
        <w:tc>
          <w:tcPr>
            <w:tcW w:w="9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(2.0)</w:t>
            </w:r>
          </w:p>
        </w:tc>
        <w:tc>
          <w:tcPr>
            <w:tcW w:w="200" w:type="dxa"/>
            <w:vAlign w:val="bottom"/>
          </w:tcPr>
          <w:p>
            <w:pPr>
              <w:spacing w:after="0"/>
              <w:rPr>
                <w:sz w:val="11"/>
                <w:szCs w:val="11"/>
                <w:color w:val="auto"/>
              </w:rPr>
            </w:pPr>
          </w:p>
        </w:tc>
        <w:tc>
          <w:tcPr>
            <w:tcW w:w="7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(0.9)</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20.6%</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21.4%</w:t>
            </w:r>
          </w:p>
        </w:tc>
        <w:tc>
          <w:tcPr>
            <w:tcW w:w="9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(0.8)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2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Underwriting results / net premiums earned</w:t>
            </w:r>
          </w:p>
        </w:tc>
        <w:tc>
          <w:tcPr>
            <w:tcW w:w="920" w:type="dxa"/>
            <w:vAlign w:val="bottom"/>
            <w:gridSpan w:val="2"/>
            <w:shd w:val="clear" w:color="auto" w:fill="CCFFCC"/>
          </w:tcPr>
          <w:p>
            <w:pPr>
              <w:jc w:val="right"/>
              <w:ind w:right="77"/>
              <w:spacing w:after="0" w:line="135" w:lineRule="exact"/>
              <w:rPr>
                <w:sz w:val="20"/>
                <w:szCs w:val="20"/>
                <w:color w:val="auto"/>
              </w:rPr>
            </w:pPr>
            <w:r>
              <w:rPr>
                <w:rFonts w:ascii="Arial" w:cs="Arial" w:eastAsia="Arial" w:hAnsi="Arial"/>
                <w:sz w:val="13"/>
                <w:szCs w:val="13"/>
                <w:color w:val="auto"/>
              </w:rPr>
              <w:t>21.1%</w:t>
            </w:r>
          </w:p>
        </w:tc>
        <w:tc>
          <w:tcPr>
            <w:tcW w:w="9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18.4%</w:t>
            </w:r>
          </w:p>
        </w:tc>
        <w:tc>
          <w:tcPr>
            <w:tcW w:w="9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14.2%</w:t>
            </w:r>
          </w:p>
        </w:tc>
        <w:tc>
          <w:tcPr>
            <w:tcW w:w="92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(0.4)</w:t>
            </w:r>
          </w:p>
        </w:tc>
        <w:tc>
          <w:tcPr>
            <w:tcW w:w="20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6.2</w:t>
            </w:r>
          </w:p>
        </w:tc>
        <w:tc>
          <w:tcPr>
            <w:tcW w:w="9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16.1%</w:t>
            </w:r>
          </w:p>
        </w:tc>
        <w:tc>
          <w:tcPr>
            <w:tcW w:w="9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14.6%</w:t>
            </w:r>
          </w:p>
        </w:tc>
        <w:tc>
          <w:tcPr>
            <w:tcW w:w="9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20" w:type="dxa"/>
            <w:vAlign w:val="bottom"/>
          </w:tcPr>
          <w:p>
            <w:pPr>
              <w:spacing w:after="0" w:line="135" w:lineRule="exact"/>
              <w:rPr>
                <w:sz w:val="20"/>
                <w:szCs w:val="20"/>
                <w:color w:val="auto"/>
              </w:rPr>
            </w:pPr>
            <w:r>
              <w:rPr>
                <w:rFonts w:ascii="Arial" w:cs="Arial" w:eastAsia="Arial" w:hAnsi="Arial"/>
                <w:sz w:val="13"/>
                <w:szCs w:val="13"/>
                <w:color w:val="auto"/>
              </w:rPr>
              <w:t>Operating expenses / net premiums earned</w:t>
            </w:r>
          </w:p>
        </w:tc>
        <w:tc>
          <w:tcPr>
            <w:tcW w:w="92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27.4%</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23.5%</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23.3%</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3.9</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4.1</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24.2%</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20.6%</w:t>
            </w:r>
          </w:p>
        </w:tc>
        <w:tc>
          <w:tcPr>
            <w:tcW w:w="9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20" w:type="dxa"/>
            <w:vAlign w:val="bottom"/>
            <w:shd w:val="clear" w:color="auto" w:fill="CCFFCC"/>
          </w:tcPr>
          <w:p>
            <w:pPr>
              <w:spacing w:after="0"/>
              <w:rPr>
                <w:sz w:val="20"/>
                <w:szCs w:val="20"/>
                <w:color w:val="auto"/>
              </w:rPr>
            </w:pPr>
            <w:r>
              <w:rPr>
                <w:rFonts w:ascii="Arial" w:cs="Arial" w:eastAsia="Arial" w:hAnsi="Arial"/>
                <w:sz w:val="13"/>
                <w:szCs w:val="13"/>
                <w:color w:val="auto"/>
              </w:rPr>
              <w:t>Return on equity (3) (4)</w:t>
            </w:r>
          </w:p>
        </w:tc>
        <w:tc>
          <w:tcPr>
            <w:tcW w:w="920" w:type="dxa"/>
            <w:vAlign w:val="bottom"/>
            <w:gridSpan w:val="2"/>
            <w:shd w:val="clear" w:color="auto" w:fill="CCFFCC"/>
          </w:tcPr>
          <w:p>
            <w:pPr>
              <w:jc w:val="right"/>
              <w:ind w:right="77"/>
              <w:spacing w:after="0"/>
              <w:rPr>
                <w:sz w:val="20"/>
                <w:szCs w:val="20"/>
                <w:color w:val="auto"/>
              </w:rPr>
            </w:pPr>
            <w:r>
              <w:rPr>
                <w:rFonts w:ascii="Arial" w:cs="Arial" w:eastAsia="Arial" w:hAnsi="Arial"/>
                <w:sz w:val="13"/>
                <w:szCs w:val="13"/>
                <w:color w:val="auto"/>
              </w:rPr>
              <w:t>15.8%</w:t>
            </w:r>
          </w:p>
        </w:tc>
        <w:tc>
          <w:tcPr>
            <w:tcW w:w="92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20.5%</w:t>
            </w:r>
          </w:p>
        </w:tc>
        <w:tc>
          <w:tcPr>
            <w:tcW w:w="92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13.8%</w:t>
            </w:r>
          </w:p>
        </w:tc>
        <w:tc>
          <w:tcPr>
            <w:tcW w:w="92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(4.7)</w:t>
            </w:r>
          </w:p>
        </w:tc>
        <w:tc>
          <w:tcPr>
            <w:tcW w:w="200" w:type="dxa"/>
            <w:vAlign w:val="bottom"/>
            <w:shd w:val="clear" w:color="auto" w:fill="CCFFCC"/>
          </w:tcPr>
          <w:p>
            <w:pPr>
              <w:spacing w:after="0"/>
              <w:rPr>
                <w:sz w:val="15"/>
                <w:szCs w:val="15"/>
                <w:color w:val="auto"/>
              </w:rPr>
            </w:pPr>
          </w:p>
        </w:tc>
        <w:tc>
          <w:tcPr>
            <w:tcW w:w="720" w:type="dxa"/>
            <w:vAlign w:val="bottom"/>
            <w:gridSpan w:val="2"/>
            <w:shd w:val="clear" w:color="auto" w:fill="CCFFCC"/>
          </w:tcPr>
          <w:p>
            <w:pPr>
              <w:jc w:val="right"/>
              <w:ind w:right="240"/>
              <w:spacing w:after="0"/>
              <w:rPr>
                <w:sz w:val="20"/>
                <w:szCs w:val="20"/>
                <w:color w:val="auto"/>
              </w:rPr>
            </w:pPr>
            <w:r>
              <w:rPr>
                <w:rFonts w:ascii="Arial" w:cs="Arial" w:eastAsia="Arial" w:hAnsi="Arial"/>
                <w:sz w:val="13"/>
                <w:szCs w:val="13"/>
                <w:color w:val="auto"/>
              </w:rPr>
              <w:t>2.0</w:t>
            </w:r>
          </w:p>
        </w:tc>
        <w:tc>
          <w:tcPr>
            <w:tcW w:w="92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16.7%</w:t>
            </w:r>
          </w:p>
        </w:tc>
        <w:tc>
          <w:tcPr>
            <w:tcW w:w="92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20.1%</w:t>
            </w: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20" w:type="dxa"/>
            <w:vAlign w:val="bottom"/>
          </w:tcPr>
          <w:p>
            <w:pPr>
              <w:spacing w:after="0" w:line="135" w:lineRule="exact"/>
              <w:rPr>
                <w:sz w:val="20"/>
                <w:szCs w:val="20"/>
                <w:color w:val="auto"/>
              </w:rPr>
            </w:pPr>
            <w:r>
              <w:rPr>
                <w:rFonts w:ascii="Arial" w:cs="Arial" w:eastAsia="Arial" w:hAnsi="Arial"/>
                <w:sz w:val="13"/>
                <w:szCs w:val="13"/>
                <w:color w:val="auto"/>
              </w:rPr>
              <w:t>Return on written premiums</w:t>
            </w:r>
          </w:p>
        </w:tc>
        <w:tc>
          <w:tcPr>
            <w:tcW w:w="92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5.0%</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7.2%</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4.2%</w:t>
            </w:r>
          </w:p>
        </w:tc>
        <w:tc>
          <w:tcPr>
            <w:tcW w:w="9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(2.3)</w:t>
            </w:r>
          </w:p>
        </w:tc>
        <w:tc>
          <w:tcPr>
            <w:tcW w:w="200" w:type="dxa"/>
            <w:vAlign w:val="bottom"/>
          </w:tcPr>
          <w:p>
            <w:pPr>
              <w:spacing w:after="0"/>
              <w:rPr>
                <w:sz w:val="11"/>
                <w:szCs w:val="11"/>
                <w:color w:val="auto"/>
              </w:rPr>
            </w:pPr>
          </w:p>
        </w:tc>
        <w:tc>
          <w:tcPr>
            <w:tcW w:w="7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0.8</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5.8%</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6.6%</w:t>
            </w:r>
          </w:p>
        </w:tc>
        <w:tc>
          <w:tcPr>
            <w:tcW w:w="9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(0.8)</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02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4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020" w:type="dxa"/>
            <w:vAlign w:val="bottom"/>
          </w:tcPr>
          <w:p>
            <w:pPr>
              <w:spacing w:after="0" w:line="135" w:lineRule="exact"/>
              <w:rPr>
                <w:sz w:val="20"/>
                <w:szCs w:val="20"/>
                <w:color w:val="auto"/>
              </w:rPr>
            </w:pPr>
            <w:r>
              <w:rPr>
                <w:rFonts w:ascii="Arial" w:cs="Arial" w:eastAsia="Arial" w:hAnsi="Arial"/>
                <w:sz w:val="13"/>
                <w:szCs w:val="13"/>
                <w:b w:val="1"/>
                <w:bCs w:val="1"/>
                <w:color w:val="auto"/>
              </w:rPr>
              <w:t>Combined ratio of PPS + PS (5) (6)</w:t>
            </w:r>
          </w:p>
        </w:tc>
        <w:tc>
          <w:tcPr>
            <w:tcW w:w="920" w:type="dxa"/>
            <w:vAlign w:val="bottom"/>
            <w:gridSpan w:val="2"/>
          </w:tcPr>
          <w:p>
            <w:pPr>
              <w:jc w:val="right"/>
              <w:ind w:right="57"/>
              <w:spacing w:after="0" w:line="135" w:lineRule="exact"/>
              <w:rPr>
                <w:sz w:val="20"/>
                <w:szCs w:val="20"/>
                <w:color w:val="auto"/>
              </w:rPr>
            </w:pPr>
            <w:r>
              <w:rPr>
                <w:rFonts w:ascii="Arial" w:cs="Arial" w:eastAsia="Arial" w:hAnsi="Arial"/>
                <w:sz w:val="13"/>
                <w:szCs w:val="13"/>
                <w:b w:val="1"/>
                <w:bCs w:val="1"/>
                <w:color w:val="auto"/>
              </w:rPr>
              <w:t>101.9%</w:t>
            </w:r>
          </w:p>
        </w:tc>
        <w:tc>
          <w:tcPr>
            <w:tcW w:w="92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102.3%</w:t>
            </w:r>
          </w:p>
        </w:tc>
        <w:tc>
          <w:tcPr>
            <w:tcW w:w="92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101.3%</w:t>
            </w:r>
          </w:p>
        </w:tc>
        <w:tc>
          <w:tcPr>
            <w:tcW w:w="6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0.4</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1.0</w:t>
            </w:r>
          </w:p>
        </w:tc>
        <w:tc>
          <w:tcPr>
            <w:tcW w:w="92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106.2%</w:t>
            </w:r>
          </w:p>
        </w:tc>
        <w:tc>
          <w:tcPr>
            <w:tcW w:w="92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101.9%</w:t>
            </w:r>
          </w:p>
        </w:tc>
        <w:tc>
          <w:tcPr>
            <w:tcW w:w="940" w:type="dxa"/>
            <w:vAlign w:val="bottom"/>
            <w:gridSpan w:val="2"/>
          </w:tcPr>
          <w:p>
            <w:pPr>
              <w:jc w:val="right"/>
              <w:ind w:right="140"/>
              <w:spacing w:after="0" w:line="135" w:lineRule="exact"/>
              <w:rPr>
                <w:sz w:val="20"/>
                <w:szCs w:val="20"/>
                <w:color w:val="auto"/>
              </w:rPr>
            </w:pPr>
            <w:r>
              <w:rPr>
                <w:rFonts w:ascii="Arial" w:cs="Arial" w:eastAsia="Arial" w:hAnsi="Arial"/>
                <w:sz w:val="13"/>
                <w:szCs w:val="13"/>
                <w:b w:val="1"/>
                <w:bCs w:val="1"/>
                <w:color w:val="auto"/>
              </w:rPr>
              <w:t>4.2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2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Net claims / net earned premiums</w:t>
            </w:r>
          </w:p>
        </w:tc>
        <w:tc>
          <w:tcPr>
            <w:tcW w:w="920" w:type="dxa"/>
            <w:vAlign w:val="bottom"/>
            <w:gridSpan w:val="2"/>
            <w:shd w:val="clear" w:color="auto" w:fill="CCFFCC"/>
          </w:tcPr>
          <w:p>
            <w:pPr>
              <w:jc w:val="right"/>
              <w:ind w:right="77"/>
              <w:spacing w:after="0" w:line="135" w:lineRule="exact"/>
              <w:rPr>
                <w:sz w:val="20"/>
                <w:szCs w:val="20"/>
                <w:color w:val="auto"/>
              </w:rPr>
            </w:pPr>
            <w:r>
              <w:rPr>
                <w:rFonts w:ascii="Arial" w:cs="Arial" w:eastAsia="Arial" w:hAnsi="Arial"/>
                <w:sz w:val="13"/>
                <w:szCs w:val="13"/>
                <w:color w:val="auto"/>
              </w:rPr>
              <w:t>66.2%</w:t>
            </w:r>
          </w:p>
        </w:tc>
        <w:tc>
          <w:tcPr>
            <w:tcW w:w="9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65.2%</w:t>
            </w:r>
          </w:p>
        </w:tc>
        <w:tc>
          <w:tcPr>
            <w:tcW w:w="9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67.1%</w:t>
            </w:r>
          </w:p>
        </w:tc>
        <w:tc>
          <w:tcPr>
            <w:tcW w:w="92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(1.0)</w:t>
            </w:r>
          </w:p>
        </w:tc>
        <w:tc>
          <w:tcPr>
            <w:tcW w:w="20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(1.9)</w:t>
            </w:r>
          </w:p>
        </w:tc>
        <w:tc>
          <w:tcPr>
            <w:tcW w:w="9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68.9%</w:t>
            </w:r>
          </w:p>
        </w:tc>
        <w:tc>
          <w:tcPr>
            <w:tcW w:w="9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64.8%</w:t>
            </w:r>
          </w:p>
        </w:tc>
        <w:tc>
          <w:tcPr>
            <w:tcW w:w="9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4.1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20" w:type="dxa"/>
            <w:vAlign w:val="bottom"/>
          </w:tcPr>
          <w:p>
            <w:pPr>
              <w:spacing w:after="0"/>
              <w:rPr>
                <w:sz w:val="20"/>
                <w:szCs w:val="20"/>
                <w:color w:val="auto"/>
              </w:rPr>
            </w:pPr>
            <w:r>
              <w:rPr>
                <w:rFonts w:ascii="Arial" w:cs="Arial" w:eastAsia="Arial" w:hAnsi="Arial"/>
                <w:sz w:val="13"/>
                <w:szCs w:val="13"/>
                <w:color w:val="auto"/>
              </w:rPr>
              <w:t>General expenses and commissions / net earned premiums</w:t>
            </w:r>
          </w:p>
        </w:tc>
        <w:tc>
          <w:tcPr>
            <w:tcW w:w="920" w:type="dxa"/>
            <w:vAlign w:val="bottom"/>
            <w:gridSpan w:val="2"/>
          </w:tcPr>
          <w:p>
            <w:pPr>
              <w:jc w:val="right"/>
              <w:ind w:right="77"/>
              <w:spacing w:after="0"/>
              <w:rPr>
                <w:sz w:val="20"/>
                <w:szCs w:val="20"/>
                <w:color w:val="auto"/>
              </w:rPr>
            </w:pPr>
            <w:r>
              <w:rPr>
                <w:rFonts w:ascii="Arial" w:cs="Arial" w:eastAsia="Arial" w:hAnsi="Arial"/>
                <w:sz w:val="13"/>
                <w:szCs w:val="13"/>
                <w:color w:val="auto"/>
              </w:rPr>
              <w:t>35.6%</w:t>
            </w: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37.1%</w:t>
            </w: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34.2%</w:t>
            </w:r>
          </w:p>
        </w:tc>
        <w:tc>
          <w:tcPr>
            <w:tcW w:w="680" w:type="dxa"/>
            <w:vAlign w:val="bottom"/>
          </w:tcPr>
          <w:p>
            <w:pPr>
              <w:jc w:val="right"/>
              <w:spacing w:after="0"/>
              <w:rPr>
                <w:sz w:val="20"/>
                <w:szCs w:val="20"/>
                <w:color w:val="auto"/>
              </w:rPr>
            </w:pPr>
            <w:r>
              <w:rPr>
                <w:rFonts w:ascii="Arial" w:cs="Arial" w:eastAsia="Arial" w:hAnsi="Arial"/>
                <w:sz w:val="13"/>
                <w:szCs w:val="13"/>
                <w:color w:val="auto"/>
              </w:rPr>
              <w:t>1.4</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2.9</w:t>
            </w: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37.3%</w:t>
            </w: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37.1%</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2569210</wp:posOffset>
            </wp:positionH>
            <wp:positionV relativeFrom="paragraph">
              <wp:posOffset>-6985</wp:posOffset>
            </wp:positionV>
            <wp:extent cx="459676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59676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*Change in these accounts are due to reclassifications made in 3Q12 and 4Q11.</w:t>
      </w:r>
    </w:p>
    <w:p>
      <w:pPr>
        <w:spacing w:after="0" w:line="11" w:lineRule="exact"/>
        <w:rPr>
          <w:sz w:val="20"/>
          <w:szCs w:val="20"/>
          <w:color w:val="auto"/>
        </w:rPr>
      </w:pPr>
    </w:p>
    <w:p>
      <w:pPr>
        <w:ind w:left="260" w:hanging="252"/>
        <w:spacing w:after="0"/>
        <w:tabs>
          <w:tab w:leader="none" w:pos="260" w:val="left"/>
        </w:tabs>
        <w:numPr>
          <w:ilvl w:val="0"/>
          <w:numId w:val="35"/>
        </w:numPr>
        <w:rPr>
          <w:rFonts w:ascii="Arial" w:cs="Arial" w:eastAsia="Arial" w:hAnsi="Arial"/>
          <w:sz w:val="18"/>
          <w:szCs w:val="18"/>
          <w:i w:val="1"/>
          <w:iCs w:val="1"/>
          <w:color w:val="auto"/>
        </w:rPr>
      </w:pPr>
      <w:r>
        <w:rPr>
          <w:rFonts w:ascii="Arial" w:cs="Arial" w:eastAsia="Arial" w:hAnsi="Arial"/>
          <w:sz w:val="18"/>
          <w:szCs w:val="18"/>
          <w:i w:val="1"/>
          <w:iCs w:val="1"/>
          <w:color w:val="auto"/>
        </w:rPr>
        <w:t>In 3Q12 Unearned Premium Reserves from Unit Link Portfolio were reclassified from Financial Income and Gains on sale of securities.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35"/>
        </w:numPr>
        <w:rPr>
          <w:rFonts w:ascii="Arial" w:cs="Arial" w:eastAsia="Arial" w:hAnsi="Arial"/>
          <w:sz w:val="17"/>
          <w:szCs w:val="17"/>
          <w:i w:val="1"/>
          <w:iCs w:val="1"/>
          <w:color w:val="auto"/>
        </w:rPr>
      </w:pPr>
      <w:r>
        <w:rPr>
          <w:rFonts w:ascii="Arial" w:cs="Arial" w:eastAsia="Arial" w:hAnsi="Arial"/>
          <w:sz w:val="17"/>
          <w:szCs w:val="17"/>
          <w:i w:val="1"/>
          <w:iCs w:val="1"/>
          <w:color w:val="auto"/>
        </w:rPr>
        <w:t>This account reflects the operating income of the medical subsidiaries adquired. This amount used to be included in Other income until 1Q12.</w:t>
      </w:r>
    </w:p>
    <w:p>
      <w:pPr>
        <w:spacing w:after="0" w:line="20" w:lineRule="exact"/>
        <w:rPr>
          <w:rFonts w:ascii="Arial" w:cs="Arial" w:eastAsia="Arial" w:hAnsi="Arial"/>
          <w:sz w:val="17"/>
          <w:szCs w:val="17"/>
          <w:i w:val="1"/>
          <w:iCs w:val="1"/>
          <w:color w:val="auto"/>
        </w:rPr>
      </w:pPr>
    </w:p>
    <w:p>
      <w:pPr>
        <w:ind w:left="260" w:hanging="252"/>
        <w:spacing w:after="0"/>
        <w:tabs>
          <w:tab w:leader="none" w:pos="260" w:val="left"/>
        </w:tabs>
        <w:numPr>
          <w:ilvl w:val="0"/>
          <w:numId w:val="35"/>
        </w:numPr>
        <w:rPr>
          <w:rFonts w:ascii="Arial" w:cs="Arial" w:eastAsia="Arial" w:hAnsi="Arial"/>
          <w:sz w:val="18"/>
          <w:szCs w:val="18"/>
          <w:i w:val="1"/>
          <w:iCs w:val="1"/>
          <w:color w:val="auto"/>
        </w:rPr>
      </w:pPr>
      <w:r>
        <w:rPr>
          <w:rFonts w:ascii="Arial" w:cs="Arial" w:eastAsia="Arial" w:hAnsi="Arial"/>
          <w:sz w:val="18"/>
          <w:szCs w:val="18"/>
          <w:i w:val="1"/>
          <w:iCs w:val="1"/>
          <w:color w:val="auto"/>
        </w:rPr>
        <w:t>Excludes from the equity the unrealized gains from the AFS portfolio.</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35"/>
        </w:numPr>
        <w:rPr>
          <w:rFonts w:ascii="Arial" w:cs="Arial" w:eastAsia="Arial" w:hAnsi="Arial"/>
          <w:sz w:val="18"/>
          <w:szCs w:val="18"/>
          <w:i w:val="1"/>
          <w:iCs w:val="1"/>
          <w:color w:val="auto"/>
        </w:rPr>
      </w:pPr>
      <w:r>
        <w:rPr>
          <w:rFonts w:ascii="Arial" w:cs="Arial" w:eastAsia="Arial" w:hAnsi="Arial"/>
          <w:sz w:val="18"/>
          <w:szCs w:val="18"/>
          <w:i w:val="1"/>
          <w:iCs w:val="1"/>
          <w:color w:val="auto"/>
        </w:rPr>
        <w:t>Annualized.</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35"/>
        </w:numPr>
        <w:rPr>
          <w:rFonts w:ascii="Arial" w:cs="Arial" w:eastAsia="Arial" w:hAnsi="Arial"/>
          <w:sz w:val="18"/>
          <w:szCs w:val="18"/>
          <w:i w:val="1"/>
          <w:iCs w:val="1"/>
          <w:color w:val="auto"/>
        </w:rPr>
      </w:pPr>
      <w:r>
        <w:rPr>
          <w:rFonts w:ascii="Arial" w:cs="Arial" w:eastAsia="Arial" w:hAnsi="Arial"/>
          <w:sz w:val="18"/>
          <w:szCs w:val="18"/>
          <w:i w:val="1"/>
          <w:iCs w:val="1"/>
          <w:color w:val="auto"/>
        </w:rPr>
        <w:t>Average are determined as the average of period - beginning and period ending.</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35"/>
        </w:numPr>
        <w:rPr>
          <w:rFonts w:ascii="Arial" w:cs="Arial" w:eastAsia="Arial" w:hAnsi="Arial"/>
          <w:sz w:val="18"/>
          <w:szCs w:val="18"/>
          <w:i w:val="1"/>
          <w:iCs w:val="1"/>
          <w:color w:val="auto"/>
        </w:rPr>
      </w:pPr>
      <w:r>
        <w:rPr>
          <w:rFonts w:ascii="Arial" w:cs="Arial" w:eastAsia="Arial" w:hAnsi="Arial"/>
          <w:sz w:val="18"/>
          <w:szCs w:val="18"/>
          <w:i w:val="1"/>
          <w:iCs w:val="1"/>
          <w:color w:val="auto"/>
        </w:rPr>
        <w:t>Without consolidated adjustments.</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5" w:name="page56"/>
    <w:bookmarkEnd w:id="55"/>
    <w:p>
      <w:pPr>
        <w:jc w:val="center"/>
        <w:ind w:right="-6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February 5, 2013</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 /s/ Mario Ferrari</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Mario Ferrari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246126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780"/>
      </w:cols>
      <w:pgMar w:left="240" w:top="472"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1)"/>
      <w:numFmt w:val="decimal"/>
      <w:start w:val="1"/>
    </w:lvl>
  </w:abstractNum>
  <w:abstractNum w:abstractNumId="3">
    <w:nsid w:val="257130A3"/>
    <w:multiLevelType w:val="hybridMultilevel"/>
    <w:lvl w:ilvl="0">
      <w:lvlJc w:val="left"/>
      <w:lvlText w:val="(%1)"/>
      <w:numFmt w:val="decimal"/>
      <w:start w:val="1"/>
    </w:lvl>
  </w:abstractNum>
  <w:abstractNum w:abstractNumId="4">
    <w:nsid w:val="62BBD95A"/>
    <w:multiLevelType w:val="hybridMultilevel"/>
    <w:lvl w:ilvl="0">
      <w:lvlJc w:val="left"/>
      <w:lvlText w:val="(%1)"/>
      <w:numFmt w:val="decimal"/>
      <w:start w:val="4"/>
    </w:lvl>
  </w:abstractNum>
  <w:abstractNum w:abstractNumId="5">
    <w:nsid w:val="436C6125"/>
    <w:multiLevelType w:val="hybridMultilevel"/>
    <w:lvl w:ilvl="0">
      <w:lvlJc w:val="left"/>
      <w:lvlText w:val="(%1)"/>
      <w:numFmt w:val="decimal"/>
      <w:start w:val="6"/>
    </w:lvl>
  </w:abstractNum>
  <w:abstractNum w:abstractNumId="6">
    <w:nsid w:val="628C895D"/>
    <w:multiLevelType w:val="hybridMultilevel"/>
    <w:lvl w:ilvl="0">
      <w:lvlJc w:val="left"/>
      <w:lvlText w:val="%1)"/>
      <w:numFmt w:val="lowerRoman"/>
      <w:start w:val="1"/>
    </w:lvl>
  </w:abstractNum>
  <w:abstractNum w:abstractNumId="7">
    <w:nsid w:val="333AB105"/>
    <w:multiLevelType w:val="hybridMultilevel"/>
    <w:lvl w:ilvl="0">
      <w:lvlJc w:val="left"/>
      <w:lvlText w:val="(%1)"/>
      <w:numFmt w:val="decimal"/>
      <w:start w:val="1"/>
    </w:lvl>
  </w:abstractNum>
  <w:abstractNum w:abstractNumId="8">
    <w:nsid w:val="721DA317"/>
    <w:multiLevelType w:val="hybridMultilevel"/>
    <w:lvl w:ilvl="0">
      <w:lvlJc w:val="left"/>
      <w:lvlText w:val="%1)"/>
      <w:numFmt w:val="lowerRoman"/>
      <w:start w:val="1"/>
    </w:lvl>
  </w:abstractNum>
  <w:abstractNum w:abstractNumId="9">
    <w:nsid w:val="2443A858"/>
    <w:multiLevelType w:val="hybridMultilevel"/>
    <w:lvl w:ilvl="0">
      <w:lvlJc w:val="left"/>
      <w:lvlText w:val="%1"/>
      <w:numFmt w:val="decimal"/>
      <w:start w:val="1"/>
    </w:lvl>
    <w:lvl w:ilvl="1">
      <w:lvlJc w:val="left"/>
      <w:lvlText w:val="(%2)"/>
      <w:numFmt w:val="decimal"/>
      <w:start w:val="1"/>
    </w:lvl>
  </w:abstractNum>
  <w:abstractNum w:abstractNumId="10">
    <w:nsid w:val="2D1D5AE9"/>
    <w:multiLevelType w:val="hybridMultilevel"/>
    <w:lvl w:ilvl="0">
      <w:lvlJc w:val="left"/>
      <w:lvlText w:val="(%1)"/>
      <w:numFmt w:val="decimal"/>
      <w:start w:val="2"/>
    </w:lvl>
    <w:lvl w:ilvl="1">
      <w:lvlJc w:val="left"/>
      <w:lvlText w:val="%2"/>
      <w:numFmt w:val="decimal"/>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1)"/>
      <w:numFmt w:val="decimal"/>
      <w:start w:val="1"/>
    </w:lvl>
  </w:abstractNum>
  <w:abstractNum w:abstractNumId="15">
    <w:nsid w:val="4353D0CD"/>
    <w:multiLevelType w:val="hybridMultilevel"/>
    <w:lvl w:ilvl="0">
      <w:lvlJc w:val="left"/>
      <w:lvlText w:val="1"/>
      <w:numFmt w:val="bullet"/>
      <w:start w:val="1"/>
    </w:lvl>
  </w:abstractNum>
  <w:abstractNum w:abstractNumId="16">
    <w:nsid w:val="B03E0C6"/>
    <w:multiLevelType w:val="hybridMultilevel"/>
    <w:lvl w:ilvl="0">
      <w:lvlJc w:val="left"/>
      <w:lvlText w:val="%1)"/>
      <w:numFmt w:val="lowerRoman"/>
      <w:start w:val="1"/>
    </w:lvl>
  </w:abstractNum>
  <w:abstractNum w:abstractNumId="17">
    <w:nsid w:val="189A769B"/>
    <w:multiLevelType w:val="hybridMultilevel"/>
    <w:lvl w:ilvl="0">
      <w:lvlJc w:val="left"/>
      <w:lvlText w:val="2"/>
      <w:numFmt w:val="bullet"/>
      <w:start w:val="1"/>
    </w:lvl>
  </w:abstractNum>
  <w:abstractNum w:abstractNumId="18">
    <w:nsid w:val="54E49EB4"/>
    <w:multiLevelType w:val="hybridMultilevel"/>
    <w:lvl w:ilvl="0">
      <w:lvlJc w:val="left"/>
      <w:lvlText w:val="%1)"/>
      <w:numFmt w:val="lowerRoman"/>
      <w:start w:val="1"/>
    </w:lvl>
  </w:abstractNum>
  <w:abstractNum w:abstractNumId="19">
    <w:nsid w:val="71F32454"/>
    <w:multiLevelType w:val="hybridMultilevel"/>
    <w:lvl w:ilvl="0">
      <w:lvlJc w:val="left"/>
      <w:lvlText w:val="%1)"/>
      <w:numFmt w:val="lowerRoman"/>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1)"/>
      <w:numFmt w:val="decimal"/>
      <w:start w:val="1"/>
    </w:lvl>
  </w:abstractNum>
  <w:abstractNum w:abstractNumId="22">
    <w:nsid w:val="2901D82"/>
    <w:multiLevelType w:val="hybridMultilevel"/>
    <w:lvl w:ilvl="0">
      <w:lvlJc w:val="left"/>
      <w:lvlText w:val="(%1)"/>
      <w:numFmt w:val="decimal"/>
      <w:start w:val="1"/>
    </w:lvl>
  </w:abstractNum>
  <w:abstractNum w:abstractNumId="23">
    <w:nsid w:val="3A95F874"/>
    <w:multiLevelType w:val="hybridMultilevel"/>
    <w:lvl w:ilvl="0">
      <w:lvlJc w:val="left"/>
      <w:lvlText w:val="%1)"/>
      <w:numFmt w:val="lowerRoman"/>
      <w:start w:val="1"/>
    </w:lvl>
  </w:abstractNum>
  <w:abstractNum w:abstractNumId="24">
    <w:nsid w:val="8138641"/>
    <w:multiLevelType w:val="hybridMultilevel"/>
    <w:lvl w:ilvl="0">
      <w:lvlJc w:val="left"/>
      <w:lvlText w:val="%1)"/>
      <w:numFmt w:val="lowerRoman"/>
      <w:start w:val="1"/>
    </w:lvl>
  </w:abstractNum>
  <w:abstractNum w:abstractNumId="25">
    <w:nsid w:val="1E7FF521"/>
    <w:multiLevelType w:val="hybridMultilevel"/>
    <w:lvl w:ilvl="0">
      <w:lvlJc w:val="left"/>
      <w:lvlText w:val="%1)"/>
      <w:numFmt w:val="lowerRoman"/>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1)"/>
      <w:numFmt w:val="decimal"/>
      <w:start w:val="1"/>
    </w:lvl>
  </w:abstractNum>
  <w:abstractNum w:abstractNumId="28">
    <w:nsid w:val="6CEAF087"/>
    <w:multiLevelType w:val="hybridMultilevel"/>
    <w:lvl w:ilvl="0">
      <w:lvlJc w:val="left"/>
      <w:lvlText w:val="(%1)"/>
      <w:numFmt w:val="decimal"/>
      <w:start w:val="1"/>
    </w:lvl>
  </w:abstractNum>
  <w:abstractNum w:abstractNumId="29">
    <w:nsid w:val="22221A70"/>
    <w:multiLevelType w:val="hybridMultilevel"/>
    <w:lvl w:ilvl="0">
      <w:lvlJc w:val="left"/>
      <w:lvlText w:val="(%1)"/>
      <w:numFmt w:val="decimal"/>
      <w:start w:val="1"/>
    </w:lvl>
  </w:abstractNum>
  <w:abstractNum w:abstractNumId="30">
    <w:nsid w:val="4516DDE9"/>
    <w:multiLevelType w:val="hybridMultilevel"/>
    <w:lvl w:ilvl="0">
      <w:lvlJc w:val="left"/>
      <w:lvlText w:val="%1)"/>
      <w:numFmt w:val="lowerRoman"/>
      <w:start w:val="1"/>
    </w:lvl>
  </w:abstractNum>
  <w:abstractNum w:abstractNumId="31">
    <w:nsid w:val="3006C83E"/>
    <w:multiLevelType w:val="hybridMultilevel"/>
    <w:lvl w:ilvl="0">
      <w:lvlJc w:val="left"/>
      <w:lvlText w:val="(%1)"/>
      <w:numFmt w:val="decimal"/>
      <w:start w:val="1"/>
    </w:lvl>
  </w:abstractNum>
  <w:abstractNum w:abstractNumId="32">
    <w:nsid w:val="614FD4A1"/>
    <w:multiLevelType w:val="hybridMultilevel"/>
    <w:lvl w:ilvl="0">
      <w:lvlJc w:val="left"/>
      <w:lvlText w:val="(%1)"/>
      <w:numFmt w:val="decimal"/>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2019-12-06T14:41:20Z</dcterms:created>
  <dcterms:modified xsi:type="dcterms:W3CDTF">2019-12-06T14:41:20Z</dcterms:modified>
</cp:coreProperties>
</file>