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August 2018</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193675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83"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 9</w:t>
      </w:r>
      <w:r>
        <w:rPr>
          <w:rFonts w:ascii="Arial" w:cs="Arial" w:eastAsia="Arial" w:hAnsi="Arial"/>
          <w:sz w:val="30"/>
          <w:szCs w:val="30"/>
          <w:color w:val="auto"/>
          <w:vertAlign w:val="superscript"/>
        </w:rPr>
        <w:t>th</w:t>
      </w:r>
      <w:r>
        <w:rPr>
          <w:rFonts w:ascii="Arial" w:cs="Arial" w:eastAsia="Arial" w:hAnsi="Arial"/>
          <w:sz w:val="18"/>
          <w:szCs w:val="18"/>
          <w:color w:val="auto"/>
        </w:rPr>
        <w:t>, 2018</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165735</wp:posOffset>
            </wp:positionV>
            <wp:extent cx="1637665" cy="7581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7665" cy="7581265"/>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165735</wp:posOffset>
            </wp:positionV>
            <wp:extent cx="140652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65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240"/>
        <w:spacing w:after="0" w:line="211" w:lineRule="auto"/>
        <w:rPr>
          <w:sz w:val="20"/>
          <w:szCs w:val="20"/>
          <w:color w:val="auto"/>
        </w:rPr>
      </w:pPr>
      <w:r>
        <w:rPr>
          <w:rFonts w:ascii="Arial" w:cs="Arial" w:eastAsia="Arial" w:hAnsi="Arial"/>
          <w:sz w:val="18"/>
          <w:szCs w:val="18"/>
          <w:b w:val="1"/>
          <w:bCs w:val="1"/>
          <w:color w:val="auto"/>
        </w:rPr>
        <w:t>Lima, Peru, August 08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2018 </w:t>
      </w:r>
      <w:r>
        <w:rPr>
          <w:rFonts w:ascii="Arial" w:cs="Arial" w:eastAsia="Arial" w:hAnsi="Arial"/>
          <w:sz w:val="18"/>
          <w:szCs w:val="18"/>
          <w:color w:val="auto"/>
        </w:rPr>
        <w:t>– Credicorp (NYSE: BAP) announced its unaudited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These results are consolidated according to IFRS in Soles.</w:t>
      </w:r>
    </w:p>
    <w:p>
      <w:pPr>
        <w:spacing w:after="0" w:line="200" w:lineRule="exact"/>
        <w:rPr>
          <w:sz w:val="20"/>
          <w:szCs w:val="20"/>
          <w:color w:val="auto"/>
        </w:rPr>
      </w:pPr>
    </w:p>
    <w:p>
      <w:pPr>
        <w:jc w:val="center"/>
        <w:ind w:left="3440"/>
        <w:spacing w:after="0"/>
        <w:rPr>
          <w:sz w:val="20"/>
          <w:szCs w:val="20"/>
          <w:color w:val="auto"/>
        </w:rPr>
      </w:pPr>
      <w:r>
        <w:rPr>
          <w:rFonts w:ascii="Arial" w:cs="Arial" w:eastAsia="Arial" w:hAnsi="Arial"/>
          <w:sz w:val="18"/>
          <w:szCs w:val="18"/>
          <w:b w:val="1"/>
          <w:bCs w:val="1"/>
          <w:color w:val="auto"/>
        </w:rPr>
        <w:t>Second Quarter Results 2018</w:t>
      </w:r>
    </w:p>
    <w:p>
      <w:pPr>
        <w:spacing w:after="0" w:line="229" w:lineRule="exact"/>
        <w:rPr>
          <w:sz w:val="20"/>
          <w:szCs w:val="20"/>
          <w:color w:val="auto"/>
        </w:rPr>
      </w:pPr>
    </w:p>
    <w:p>
      <w:pPr>
        <w:jc w:val="both"/>
        <w:ind w:left="2240"/>
        <w:spacing w:after="0" w:line="254" w:lineRule="auto"/>
        <w:rPr>
          <w:sz w:val="20"/>
          <w:szCs w:val="20"/>
          <w:color w:val="auto"/>
        </w:rPr>
      </w:pPr>
      <w:r>
        <w:rPr>
          <w:rFonts w:ascii="Arial" w:cs="Arial" w:eastAsia="Arial" w:hAnsi="Arial"/>
          <w:sz w:val="18"/>
          <w:szCs w:val="18"/>
          <w:color w:val="auto"/>
        </w:rPr>
        <w:t>In 2Q18, Credicorp reported net income of S/ 977.8 million, which translated into an ROAE and ROAA of 18.1% and 2.3%, respectively. This level of net income represented a contraction of -5.8% QoQ and an increase of +6.3% YoY. Although the business dynamic continued to improve, as is evident in our main indicators, market volatility affected the value of investments and led to a QoQ contraction of approximately S/ 101.2 million in net gain on sales of securities. In Year-to-date (YTD) terms, net income at Credicorp totaled S/ 2,015.6 million, which represented an increase of +11.4% compared to 1H17’s level. These results translated into an ROAE and ROAA of 18.5% and 2.4%, respectively, which topped the 17.9% and 2.3% registered in 1H17.</w:t>
      </w:r>
    </w:p>
    <w:p>
      <w:pPr>
        <w:spacing w:after="0" w:line="19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results in 2Q18 show:</w:t>
      </w:r>
    </w:p>
    <w:p>
      <w:pPr>
        <w:spacing w:after="0" w:line="225" w:lineRule="exact"/>
        <w:rPr>
          <w:sz w:val="20"/>
          <w:szCs w:val="20"/>
          <w:color w:val="auto"/>
        </w:rPr>
      </w:pPr>
    </w:p>
    <w:p>
      <w:pPr>
        <w:jc w:val="both"/>
        <w:ind w:left="2240" w:hanging="8"/>
        <w:spacing w:after="0" w:line="272" w:lineRule="auto"/>
        <w:tabs>
          <w:tab w:leader="none" w:pos="2389" w:val="left"/>
        </w:tabs>
        <w:numPr>
          <w:ilvl w:val="0"/>
          <w:numId w:val="1"/>
        </w:numPr>
        <w:rPr>
          <w:rFonts w:ascii="Arial" w:cs="Arial" w:eastAsia="Arial" w:hAnsi="Arial"/>
          <w:sz w:val="17"/>
          <w:szCs w:val="17"/>
          <w:color w:val="auto"/>
        </w:rPr>
      </w:pPr>
      <w:r>
        <w:rPr>
          <w:rFonts w:ascii="Arial" w:cs="Arial" w:eastAsia="Arial" w:hAnsi="Arial"/>
          <w:sz w:val="17"/>
          <w:szCs w:val="17"/>
          <w:color w:val="auto"/>
        </w:rPr>
        <w:t>A slight QoQ contraction in interest-earning assets (IEAs), which was due primarily to a decrease in investments. Nevertheless, loans, the most profitable asset, continued to post improvements that led to growth of +2.2% QoQ and +9.7% YoY in quarter-end balances, and an increase of +2.4% QoQ and +9.2% YoY in average daily balances. Loan growth was led by Wholesale Banking, followed by Retail Banking, Mibanco and BCP Bolivia. In this context, average daily loan balances posted a +6.8% increase in 1H18 with respect to the average daily loan volume registered for the full year 2017, which represents an important improvement in the pace of loan expansion, in line with expectations.</w:t>
      </w:r>
    </w:p>
    <w:p>
      <w:pPr>
        <w:spacing w:after="0" w:line="177" w:lineRule="exact"/>
        <w:rPr>
          <w:rFonts w:ascii="Arial" w:cs="Arial" w:eastAsia="Arial" w:hAnsi="Arial"/>
          <w:sz w:val="17"/>
          <w:szCs w:val="17"/>
          <w:color w:val="auto"/>
        </w:rPr>
      </w:pPr>
    </w:p>
    <w:p>
      <w:pPr>
        <w:jc w:val="both"/>
        <w:ind w:left="2240" w:hanging="8"/>
        <w:spacing w:after="0" w:line="293" w:lineRule="auto"/>
        <w:tabs>
          <w:tab w:leader="none" w:pos="2361"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funding fell QoQ, which reflects the on-going reduction in BCRP instruments and, to a lesser extent, the slight contraction in total deposits in LC. Deposits continued to be Credicorp’s main funding source. In the YoY analysis, deposits reported the highest growth rate per funding source thus representing the most important source to replace BCRP instruments as they reach due date. All of the aforementioned had a positive impact on Credicorp’s funding cost, which has remained relatively stable since 2016 (+6 bps QoQ; -5 bps YoY; and -9 bps in YTD terms) despite a scenario marked by increases in international rates.</w:t>
      </w:r>
    </w:p>
    <w:p>
      <w:pPr>
        <w:spacing w:after="0" w:line="164" w:lineRule="exact"/>
        <w:rPr>
          <w:rFonts w:ascii="Arial" w:cs="Arial" w:eastAsia="Arial" w:hAnsi="Arial"/>
          <w:sz w:val="16"/>
          <w:szCs w:val="16"/>
          <w:color w:val="auto"/>
        </w:rPr>
      </w:pPr>
    </w:p>
    <w:p>
      <w:pPr>
        <w:jc w:val="both"/>
        <w:ind w:left="2240" w:hanging="8"/>
        <w:spacing w:after="0" w:line="276" w:lineRule="auto"/>
        <w:tabs>
          <w:tab w:leader="none" w:pos="23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All of the aforementioned was reflected in net interest income (NII), which grew +0.9 QoQ and +4.8% YoY. In this context, improvements in loan growth and the relative stability of the funding cost offset the decrease in interest income and dividends on investments. Accordingly, the net interest margin (NIM) recovered slightly, +13 bps QoQ and +3 bps YoY, which attenuated the contraction posted last quarter. All of the aforementioned led NIM to fall only -12 bps in 1H18 with regard to the level posted in 1H17.</w:t>
      </w:r>
    </w:p>
    <w:p>
      <w:pPr>
        <w:spacing w:after="0" w:line="172" w:lineRule="exact"/>
        <w:rPr>
          <w:rFonts w:ascii="Arial" w:cs="Arial" w:eastAsia="Arial" w:hAnsi="Arial"/>
          <w:sz w:val="17"/>
          <w:szCs w:val="17"/>
          <w:color w:val="auto"/>
        </w:rPr>
      </w:pPr>
    </w:p>
    <w:p>
      <w:pPr>
        <w:jc w:val="both"/>
        <w:ind w:left="2240" w:hanging="8"/>
        <w:spacing w:after="0" w:line="291" w:lineRule="auto"/>
        <w:tabs>
          <w:tab w:leader="none" w:pos="2351"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improvement in risk quality of the loan book continued to be reflected in Credicorp’s cost of risk, which fell QoQ and YoY to situate at 1.22%. This level is similar to the level reported in 2010, when the loan mix registered a higher share of Wholesale Banking loans than today’s level, and prior to the acquisition of Mibanco. The continuous reduction in the cost of risk continues to be attributable to the improvement in the risk quality of the SME-Pyme, Mibanco, Consumer and Credit Card segments over the last three years; this is captured in advance by the forward-looking expected loss nature of the IFRS9 methodology. The YTD results show a level of cost of risk at 1.33%, 74 bps below the level posted in 1H17.</w:t>
      </w:r>
    </w:p>
    <w:p>
      <w:pPr>
        <w:spacing w:after="0" w:line="167" w:lineRule="exact"/>
        <w:rPr>
          <w:rFonts w:ascii="Arial" w:cs="Arial" w:eastAsia="Arial" w:hAnsi="Arial"/>
          <w:sz w:val="16"/>
          <w:szCs w:val="16"/>
          <w:color w:val="auto"/>
        </w:rPr>
      </w:pPr>
    </w:p>
    <w:p>
      <w:pPr>
        <w:jc w:val="both"/>
        <w:ind w:left="2240" w:hanging="8"/>
        <w:spacing w:after="0" w:line="264" w:lineRule="auto"/>
        <w:tabs>
          <w:tab w:leader="none" w:pos="2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and on-going improvement in the risk quality, coupled with the stability of NIM, translated into an increase of +26 bps QoQ and +39 bps YoY in risk-adjusted NIM. As such, 1H18 posted significant recovery of +31 bps in the risk-adjusted NIM.</w:t>
      </w:r>
    </w:p>
    <w:p>
      <w:pPr>
        <w:spacing w:after="0" w:line="181" w:lineRule="exact"/>
        <w:rPr>
          <w:rFonts w:ascii="Arial" w:cs="Arial" w:eastAsia="Arial" w:hAnsi="Arial"/>
          <w:sz w:val="18"/>
          <w:szCs w:val="18"/>
          <w:color w:val="auto"/>
        </w:rPr>
      </w:pPr>
    </w:p>
    <w:p>
      <w:pPr>
        <w:jc w:val="both"/>
        <w:ind w:left="2240" w:hanging="8"/>
        <w:spacing w:after="0" w:line="254" w:lineRule="auto"/>
        <w:tabs>
          <w:tab w:leader="none" w:pos="2397" w:val="left"/>
        </w:tabs>
        <w:numPr>
          <w:ilvl w:val="0"/>
          <w:numId w:val="1"/>
        </w:numPr>
        <w:rPr>
          <w:rFonts w:ascii="Arial" w:cs="Arial" w:eastAsia="Arial" w:hAnsi="Arial"/>
          <w:sz w:val="18"/>
          <w:szCs w:val="18"/>
          <w:color w:val="auto"/>
        </w:rPr>
      </w:pPr>
      <w:r>
        <w:rPr>
          <w:rFonts w:ascii="Arial" w:cs="Arial" w:eastAsia="Arial" w:hAnsi="Arial"/>
          <w:sz w:val="18"/>
          <w:szCs w:val="18"/>
          <w:color w:val="auto"/>
        </w:rPr>
        <w:t>Although non-financial income contracted QoQ and YoY due to the stop-loss registered on sales of securities, it is important to note the QoQ and YoY growth posted by fee income (+2.3% QoQ +6.2% YoY) and gains on foreign exchange transactions (+11.3% QoQ and +12.7% YoY), which represent the core items of non-financial income. The former increased due to the expansion of volumes in items such as drafts and transfers, payments and collections, and foreign trade. Growth in gains on FX transactions was also attributable to the increase in trade volumes in an environment of low volatility in the exchange rate. YTD, total non-financial income grew +2.2% in 1H18, which was also mainly due to the increase in fee income and in gains on FX transactions.</w:t>
      </w:r>
    </w:p>
    <w:p>
      <w:pPr>
        <w:spacing w:after="0" w:line="192" w:lineRule="exact"/>
        <w:rPr>
          <w:rFonts w:ascii="Arial" w:cs="Arial" w:eastAsia="Arial" w:hAnsi="Arial"/>
          <w:sz w:val="18"/>
          <w:szCs w:val="18"/>
          <w:color w:val="auto"/>
        </w:rPr>
      </w:pPr>
    </w:p>
    <w:p>
      <w:pPr>
        <w:jc w:val="both"/>
        <w:ind w:left="2240" w:hanging="8"/>
        <w:spacing w:after="0" w:line="302" w:lineRule="auto"/>
        <w:tabs>
          <w:tab w:leader="none" w:pos="2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insurance underwriting result fell -2.9% QoQ due to an increase in the net loss ratio and a decrease in the net earned premium for life insurance, which was mitigated by an improvement in the performance of property and casualty lines. In the YoY analysis, the underwriting result dropped -11.0% due to increases in the net loss ratio, commissions, and underwriting expenses in Property &amp; Casualty and Life insurance.</w:t>
      </w:r>
    </w:p>
    <w:p>
      <w:pPr>
        <w:spacing w:after="0" w:line="154" w:lineRule="exact"/>
        <w:rPr>
          <w:rFonts w:ascii="Arial" w:cs="Arial" w:eastAsia="Arial" w:hAnsi="Arial"/>
          <w:sz w:val="16"/>
          <w:szCs w:val="16"/>
          <w:color w:val="auto"/>
        </w:rPr>
      </w:pPr>
    </w:p>
    <w:p>
      <w:pPr>
        <w:jc w:val="both"/>
        <w:ind w:left="2240" w:hanging="8"/>
        <w:spacing w:after="0" w:line="297" w:lineRule="auto"/>
        <w:tabs>
          <w:tab w:leader="none" w:pos="236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efficiency ratio increased +110 bps QoQ, which reflects the seasonality seen every 1Q when the ratio hits its yearly low. The YoY evolution, however, reveals relative stability (+10 bps) despite +6.3% YoY growth in operating expenses due to an improvement in operating income generation, which expanded +6.2% YoY increase in operating income. YTD, the efficiency ratio posted a deterioration of 50 bps in 1H18, which was primarily due to an increase in the acquisition cost of the insurance underwriting result.</w:t>
      </w:r>
    </w:p>
    <w:p>
      <w:pPr>
        <w:sectPr>
          <w:pgSz w:w="11900" w:h="16838" w:orient="portrait"/>
          <w:cols w:equalWidth="0" w:num="1">
            <w:col w:w="10220"/>
          </w:cols>
          <w:pgMar w:left="1440" w:top="355" w:right="239" w:bottom="73" w:gutter="0" w:footer="0" w:header="0"/>
        </w:sectPr>
      </w:pPr>
    </w:p>
    <w:bookmarkStart w:id="4" w:name="page5"/>
    <w:bookmarkEnd w:id="4"/>
    <w:p>
      <w:pPr>
        <w:jc w:val="both"/>
        <w:spacing w:after="0" w:line="297" w:lineRule="auto"/>
        <w:tabs>
          <w:tab w:leader="none" w:pos="236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gridSpan w:val="2"/>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(NYSE: BAP): Second Quarter Results 2018</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Financial Overview</w:t>
            </w:r>
          </w:p>
        </w:tc>
        <w:tc>
          <w:tcPr>
            <w:tcW w:w="33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 (IEA)</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1.1.</w:t>
            </w:r>
          </w:p>
        </w:tc>
        <w:tc>
          <w:tcPr>
            <w:tcW w:w="7600" w:type="dxa"/>
            <w:vAlign w:val="bottom"/>
          </w:tcPr>
          <w:p>
            <w:pPr>
              <w:ind w:left="20"/>
              <w:spacing w:after="0"/>
              <w:rPr>
                <w:sz w:val="20"/>
                <w:szCs w:val="20"/>
                <w:color w:val="auto"/>
              </w:rPr>
            </w:pPr>
            <w:r>
              <w:rPr>
                <w:rFonts w:ascii="Arial" w:cs="Arial" w:eastAsia="Arial" w:hAnsi="Arial"/>
                <w:sz w:val="18"/>
                <w:szCs w:val="18"/>
                <w:color w:val="auto"/>
              </w:rPr>
              <w:t>Evolution of IEA</w:t>
            </w:r>
          </w:p>
        </w:tc>
        <w:tc>
          <w:tcPr>
            <w:tcW w:w="33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Credicorp Loans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1.2.1. Loan evolution by business segment</w:t>
            </w:r>
          </w:p>
        </w:tc>
        <w:tc>
          <w:tcPr>
            <w:tcW w:w="33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1.2.2. Evolution of the level of dollarization by segment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1.2.3. Evolution of the level of dollarization by segment</w:t>
            </w:r>
          </w:p>
        </w:tc>
        <w:tc>
          <w:tcPr>
            <w:tcW w:w="33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1.2.4. BCRP de-dollarization plan at BCP Stand-alone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1.2.5. Market share in loans</w:t>
            </w:r>
          </w:p>
        </w:tc>
        <w:tc>
          <w:tcPr>
            <w:tcW w:w="33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Funding Sources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2.1.</w:t>
            </w:r>
          </w:p>
        </w:tc>
        <w:tc>
          <w:tcPr>
            <w:tcW w:w="7600" w:type="dxa"/>
            <w:vAlign w:val="bottom"/>
          </w:tcPr>
          <w:p>
            <w:pPr>
              <w:ind w:left="20"/>
              <w:spacing w:after="0"/>
              <w:rPr>
                <w:sz w:val="20"/>
                <w:szCs w:val="20"/>
                <w:color w:val="auto"/>
              </w:rPr>
            </w:pPr>
            <w:r>
              <w:rPr>
                <w:rFonts w:ascii="Arial" w:cs="Arial" w:eastAsia="Arial" w:hAnsi="Arial"/>
                <w:sz w:val="18"/>
                <w:szCs w:val="18"/>
                <w:color w:val="auto"/>
              </w:rPr>
              <w:t>Funding Structure</w:t>
            </w:r>
          </w:p>
        </w:tc>
        <w:tc>
          <w:tcPr>
            <w:tcW w:w="33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2.2.1. Deposits: dollarization level</w:t>
            </w:r>
          </w:p>
        </w:tc>
        <w:tc>
          <w:tcPr>
            <w:tcW w:w="33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2.2.2. Market share in Deposits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2.3.</w:t>
            </w:r>
          </w:p>
        </w:tc>
        <w:tc>
          <w:tcPr>
            <w:tcW w:w="7600" w:type="dxa"/>
            <w:vAlign w:val="bottom"/>
          </w:tcPr>
          <w:p>
            <w:pPr>
              <w:ind w:left="20"/>
              <w:spacing w:after="0"/>
              <w:rPr>
                <w:sz w:val="20"/>
                <w:szCs w:val="20"/>
                <w:color w:val="auto"/>
              </w:rPr>
            </w:pPr>
            <w:r>
              <w:rPr>
                <w:rFonts w:ascii="Arial" w:cs="Arial" w:eastAsia="Arial" w:hAnsi="Arial"/>
                <w:sz w:val="18"/>
                <w:szCs w:val="18"/>
                <w:color w:val="auto"/>
              </w:rPr>
              <w:t>Other funding sources</w:t>
            </w:r>
          </w:p>
        </w:tc>
        <w:tc>
          <w:tcPr>
            <w:tcW w:w="33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2.4.</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 Deposit (L/D)</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2.5.</w:t>
            </w:r>
          </w:p>
        </w:tc>
        <w:tc>
          <w:tcPr>
            <w:tcW w:w="7600" w:type="dxa"/>
            <w:vAlign w:val="bottom"/>
          </w:tcPr>
          <w:p>
            <w:pPr>
              <w:ind w:left="20"/>
              <w:spacing w:after="0"/>
              <w:rPr>
                <w:sz w:val="20"/>
                <w:szCs w:val="20"/>
                <w:color w:val="auto"/>
              </w:rPr>
            </w:pPr>
            <w:r>
              <w:rPr>
                <w:rFonts w:ascii="Arial" w:cs="Arial" w:eastAsia="Arial" w:hAnsi="Arial"/>
                <w:sz w:val="18"/>
                <w:szCs w:val="18"/>
                <w:color w:val="auto"/>
              </w:rPr>
              <w:t>Funding Cost</w:t>
            </w:r>
          </w:p>
        </w:tc>
        <w:tc>
          <w:tcPr>
            <w:tcW w:w="33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Portfolio quality and Provisions for loan losses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3.1.</w:t>
            </w:r>
          </w:p>
        </w:tc>
        <w:tc>
          <w:tcPr>
            <w:tcW w:w="7600" w:type="dxa"/>
            <w:vAlign w:val="bottom"/>
          </w:tcPr>
          <w:p>
            <w:pPr>
              <w:ind w:left="20"/>
              <w:spacing w:after="0"/>
              <w:rPr>
                <w:sz w:val="20"/>
                <w:szCs w:val="20"/>
                <w:color w:val="auto"/>
              </w:rPr>
            </w:pPr>
            <w:r>
              <w:rPr>
                <w:rFonts w:ascii="Arial" w:cs="Arial" w:eastAsia="Arial" w:hAnsi="Arial"/>
                <w:sz w:val="18"/>
                <w:szCs w:val="18"/>
                <w:color w:val="auto"/>
              </w:rPr>
              <w:t>Provisions for loan losses</w:t>
            </w:r>
          </w:p>
        </w:tc>
        <w:tc>
          <w:tcPr>
            <w:tcW w:w="33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3.2.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Quality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3.2.1. Delinquency indicators by business line</w:t>
            </w:r>
          </w:p>
        </w:tc>
        <w:tc>
          <w:tcPr>
            <w:tcW w:w="33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(NII)</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4.1.</w:t>
            </w:r>
          </w:p>
        </w:tc>
        <w:tc>
          <w:tcPr>
            <w:tcW w:w="76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3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4.3.</w:t>
            </w:r>
          </w:p>
        </w:tc>
        <w:tc>
          <w:tcPr>
            <w:tcW w:w="7600" w:type="dxa"/>
            <w:vAlign w:val="bottom"/>
          </w:tcPr>
          <w:p>
            <w:pPr>
              <w:ind w:left="20"/>
              <w:spacing w:after="0"/>
              <w:rPr>
                <w:sz w:val="20"/>
                <w:szCs w:val="20"/>
                <w:color w:val="auto"/>
              </w:rPr>
            </w:pPr>
            <w:r>
              <w:rPr>
                <w:rFonts w:ascii="Arial" w:cs="Arial" w:eastAsia="Arial" w:hAnsi="Arial"/>
                <w:sz w:val="18"/>
                <w:szCs w:val="18"/>
                <w:color w:val="auto"/>
              </w:rPr>
              <w:t>Net Interest Margin (NIM) and Risk-Adjusted NIM</w:t>
            </w:r>
          </w:p>
        </w:tc>
        <w:tc>
          <w:tcPr>
            <w:tcW w:w="33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Non-Financial Income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5.1.</w:t>
            </w:r>
          </w:p>
        </w:tc>
        <w:tc>
          <w:tcPr>
            <w:tcW w:w="7600" w:type="dxa"/>
            <w:vAlign w:val="bottom"/>
          </w:tcPr>
          <w:p>
            <w:pPr>
              <w:ind w:left="20"/>
              <w:spacing w:after="0"/>
              <w:rPr>
                <w:sz w:val="20"/>
                <w:szCs w:val="20"/>
                <w:color w:val="auto"/>
              </w:rPr>
            </w:pPr>
            <w:r>
              <w:rPr>
                <w:rFonts w:ascii="Arial" w:cs="Arial" w:eastAsia="Arial" w:hAnsi="Arial"/>
                <w:sz w:val="18"/>
                <w:szCs w:val="18"/>
                <w:color w:val="auto"/>
              </w:rPr>
              <w:t>Fee Income</w:t>
            </w:r>
          </w:p>
        </w:tc>
        <w:tc>
          <w:tcPr>
            <w:tcW w:w="33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5.1.1. By subsidiary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5.1.2. Banking Business</w:t>
            </w:r>
          </w:p>
        </w:tc>
        <w:tc>
          <w:tcPr>
            <w:tcW w:w="33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Insurance Underwriting Result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6.1.</w:t>
            </w:r>
          </w:p>
        </w:tc>
        <w:tc>
          <w:tcPr>
            <w:tcW w:w="760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3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6.2.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claims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6.3.</w:t>
            </w:r>
          </w:p>
        </w:tc>
        <w:tc>
          <w:tcPr>
            <w:tcW w:w="7600" w:type="dxa"/>
            <w:vAlign w:val="bottom"/>
          </w:tcPr>
          <w:p>
            <w:pPr>
              <w:ind w:left="20"/>
              <w:spacing w:after="0"/>
              <w:rPr>
                <w:sz w:val="20"/>
                <w:szCs w:val="20"/>
                <w:color w:val="auto"/>
              </w:rPr>
            </w:pPr>
            <w:r>
              <w:rPr>
                <w:rFonts w:ascii="Arial" w:cs="Arial" w:eastAsia="Arial" w:hAnsi="Arial"/>
                <w:sz w:val="18"/>
                <w:szCs w:val="18"/>
                <w:color w:val="auto"/>
              </w:rPr>
              <w:t>Acquisition cost</w:t>
            </w:r>
          </w:p>
        </w:tc>
        <w:tc>
          <w:tcPr>
            <w:tcW w:w="33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and Efficiency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7.1.</w:t>
            </w:r>
          </w:p>
        </w:tc>
        <w:tc>
          <w:tcPr>
            <w:tcW w:w="7600" w:type="dxa"/>
            <w:vAlign w:val="bottom"/>
          </w:tcPr>
          <w:p>
            <w:pPr>
              <w:ind w:left="20"/>
              <w:spacing w:after="0"/>
              <w:rPr>
                <w:sz w:val="20"/>
                <w:szCs w:val="20"/>
                <w:color w:val="auto"/>
              </w:rPr>
            </w:pPr>
            <w:r>
              <w:rPr>
                <w:rFonts w:ascii="Arial" w:cs="Arial" w:eastAsia="Arial" w:hAnsi="Arial"/>
                <w:sz w:val="18"/>
                <w:szCs w:val="18"/>
                <w:color w:val="auto"/>
              </w:rPr>
              <w:t>Credicorp’s Administrative, General and Tax Expenses</w:t>
            </w:r>
          </w:p>
        </w:tc>
        <w:tc>
          <w:tcPr>
            <w:tcW w:w="33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7.2.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Total Average Assets Ratio</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7.3.</w:t>
            </w:r>
          </w:p>
        </w:tc>
        <w:tc>
          <w:tcPr>
            <w:tcW w:w="7600" w:type="dxa"/>
            <w:vAlign w:val="bottom"/>
          </w:tcPr>
          <w:p>
            <w:pPr>
              <w:ind w:left="20"/>
              <w:spacing w:after="0"/>
              <w:rPr>
                <w:sz w:val="20"/>
                <w:szCs w:val="20"/>
                <w:color w:val="auto"/>
              </w:rPr>
            </w:pPr>
            <w:r>
              <w:rPr>
                <w:rFonts w:ascii="Arial" w:cs="Arial" w:eastAsia="Arial" w:hAnsi="Arial"/>
                <w:sz w:val="18"/>
                <w:szCs w:val="18"/>
                <w:color w:val="auto"/>
              </w:rPr>
              <w:t>Efficiency Ratio</w:t>
            </w:r>
          </w:p>
        </w:tc>
        <w:tc>
          <w:tcPr>
            <w:tcW w:w="33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8.1.</w:t>
            </w:r>
          </w:p>
        </w:tc>
        <w:tc>
          <w:tcPr>
            <w:tcW w:w="7600" w:type="dxa"/>
            <w:vAlign w:val="bottom"/>
          </w:tcPr>
          <w:p>
            <w:pPr>
              <w:ind w:left="20"/>
              <w:spacing w:after="0"/>
              <w:rPr>
                <w:sz w:val="20"/>
                <w:szCs w:val="20"/>
                <w:color w:val="auto"/>
              </w:rPr>
            </w:pPr>
            <w:r>
              <w:rPr>
                <w:rFonts w:ascii="Arial" w:cs="Arial" w:eastAsia="Arial" w:hAnsi="Arial"/>
                <w:sz w:val="18"/>
                <w:szCs w:val="18"/>
                <w:color w:val="auto"/>
              </w:rPr>
              <w:t>Regulatory Capital – BAP</w:t>
            </w:r>
          </w:p>
        </w:tc>
        <w:tc>
          <w:tcPr>
            <w:tcW w:w="33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8.2.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Capital – BCP Stand-alone based on Peru GAAP</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9.</w:t>
            </w:r>
          </w:p>
        </w:tc>
        <w:tc>
          <w:tcPr>
            <w:tcW w:w="7600" w:type="dxa"/>
            <w:vAlign w:val="bottom"/>
          </w:tcPr>
          <w:p>
            <w:pPr>
              <w:spacing w:after="0"/>
              <w:rPr>
                <w:sz w:val="20"/>
                <w:szCs w:val="20"/>
                <w:color w:val="auto"/>
              </w:rPr>
            </w:pPr>
            <w:r>
              <w:rPr>
                <w:rFonts w:ascii="Arial" w:cs="Arial" w:eastAsia="Arial" w:hAnsi="Arial"/>
                <w:sz w:val="18"/>
                <w:szCs w:val="18"/>
                <w:color w:val="auto"/>
              </w:rPr>
              <w:t>Banking business’s Distribution channels</w:t>
            </w:r>
          </w:p>
        </w:tc>
        <w:tc>
          <w:tcPr>
            <w:tcW w:w="33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Economic Perspectives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10.1. Peru Economic Forecasts</w:t>
            </w:r>
          </w:p>
        </w:tc>
        <w:tc>
          <w:tcPr>
            <w:tcW w:w="33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 Main Economic Variables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11.</w:t>
            </w:r>
          </w:p>
        </w:tc>
        <w:tc>
          <w:tcPr>
            <w:tcW w:w="7600" w:type="dxa"/>
            <w:vAlign w:val="bottom"/>
          </w:tcPr>
          <w:p>
            <w:pPr>
              <w:spacing w:after="0"/>
              <w:rPr>
                <w:sz w:val="20"/>
                <w:szCs w:val="20"/>
                <w:color w:val="auto"/>
              </w:rPr>
            </w:pPr>
            <w:r>
              <w:rPr>
                <w:rFonts w:ascii="Arial" w:cs="Arial" w:eastAsia="Arial" w:hAnsi="Arial"/>
                <w:sz w:val="18"/>
                <w:szCs w:val="18"/>
                <w:color w:val="auto"/>
              </w:rPr>
              <w:t>Appendix</w:t>
            </w:r>
          </w:p>
        </w:tc>
        <w:tc>
          <w:tcPr>
            <w:tcW w:w="33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11.1. Credicorp</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11.2. BCP Consolidated</w:t>
            </w:r>
          </w:p>
        </w:tc>
        <w:tc>
          <w:tcPr>
            <w:tcW w:w="33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 Mibanco</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11.4. BCP Bolivia</w:t>
            </w:r>
          </w:p>
        </w:tc>
        <w:tc>
          <w:tcPr>
            <w:tcW w:w="33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11.5. Credicorp Capital</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11.6. Atlantic Security Bank</w:t>
            </w:r>
          </w:p>
        </w:tc>
        <w:tc>
          <w:tcPr>
            <w:tcW w:w="33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11.7. Grupo Pacifico</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11.8. Prima AFP</w:t>
            </w:r>
          </w:p>
        </w:tc>
        <w:tc>
          <w:tcPr>
            <w:tcW w:w="336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11.9. Table of calculations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11.10. Disclosure about the impact of IFRS 9</w:t>
            </w:r>
          </w:p>
        </w:tc>
        <w:tc>
          <w:tcPr>
            <w:tcW w:w="33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(NYSE: BAP): Second Quarter Results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Arial" w:cs="Arial" w:eastAsia="Arial" w:hAnsi="Arial"/>
                <w:sz w:val="16"/>
                <w:szCs w:val="16"/>
                <w:b w:val="1"/>
                <w:bCs w:val="1"/>
                <w:color w:val="auto"/>
              </w:rPr>
              <w:t>Credicorp Ltd.</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Quarter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ind w:left="660"/>
              <w:spacing w:after="0"/>
              <w:rPr>
                <w:sz w:val="20"/>
                <w:szCs w:val="20"/>
                <w:color w:val="auto"/>
              </w:rPr>
            </w:pPr>
            <w:r>
              <w:rPr>
                <w:rFonts w:ascii="Arial" w:cs="Arial" w:eastAsia="Arial" w:hAnsi="Arial"/>
                <w:sz w:val="16"/>
                <w:szCs w:val="16"/>
                <w:b w:val="1"/>
                <w:bCs w:val="1"/>
                <w:color w:val="auto"/>
                <w:w w:val="93"/>
              </w:rPr>
              <w:t>% change</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3"/>
          </w:tcPr>
          <w:p>
            <w:pPr>
              <w:ind w:left="860"/>
              <w:spacing w:after="0"/>
              <w:rPr>
                <w:sz w:val="20"/>
                <w:szCs w:val="20"/>
                <w:color w:val="auto"/>
              </w:rPr>
            </w:pPr>
            <w:r>
              <w:rPr>
                <w:rFonts w:ascii="Arial" w:cs="Arial" w:eastAsia="Arial" w:hAnsi="Arial"/>
                <w:sz w:val="16"/>
                <w:szCs w:val="16"/>
                <w:b w:val="1"/>
                <w:bCs w:val="1"/>
                <w:color w:val="auto"/>
              </w:rPr>
              <w:t>YTD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6"/>
                <w:szCs w:val="16"/>
                <w:b w:val="1"/>
                <w:bCs w:val="1"/>
                <w:color w:val="auto"/>
              </w:rPr>
              <w:t>S/ 000</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2Q17</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1Q18</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2Q18</w:t>
            </w:r>
          </w:p>
        </w:tc>
        <w:tc>
          <w:tcPr>
            <w:tcW w:w="1380" w:type="dxa"/>
            <w:vAlign w:val="bottom"/>
            <w:gridSpan w:val="3"/>
          </w:tcPr>
          <w:p>
            <w:pPr>
              <w:ind w:left="260"/>
              <w:spacing w:after="0"/>
              <w:rPr>
                <w:sz w:val="20"/>
                <w:szCs w:val="20"/>
                <w:color w:val="auto"/>
              </w:rPr>
            </w:pPr>
            <w:r>
              <w:rPr>
                <w:rFonts w:ascii="Arial" w:cs="Arial" w:eastAsia="Arial" w:hAnsi="Arial"/>
                <w:sz w:val="16"/>
                <w:szCs w:val="16"/>
                <w:b w:val="1"/>
                <w:bCs w:val="1"/>
                <w:color w:val="auto"/>
              </w:rPr>
              <w:t>QoQ</w:t>
            </w:r>
          </w:p>
        </w:tc>
        <w:tc>
          <w:tcPr>
            <w:tcW w:w="9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YoY</w:t>
            </w: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Jun 17</w:t>
            </w:r>
          </w:p>
        </w:tc>
        <w:tc>
          <w:tcPr>
            <w:tcW w:w="10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Jun 18</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0"/>
              </w:rPr>
              <w:t>Jun18 / Jun17</w:t>
            </w: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 *</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1,967,912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2,043,687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2,062,818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3,980,998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4,106,505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3"/>
        </w:trPr>
        <w:tc>
          <w:tcPr>
            <w:tcW w:w="2220" w:type="dxa"/>
            <w:vAlign w:val="bottom"/>
          </w:tcPr>
          <w:p>
            <w:pPr>
              <w:spacing w:after="0"/>
              <w:rPr>
                <w:sz w:val="20"/>
                <w:szCs w:val="20"/>
                <w:color w:val="auto"/>
              </w:rPr>
            </w:pPr>
            <w:r>
              <w:rPr>
                <w:rFonts w:ascii="Arial" w:cs="Arial" w:eastAsia="Arial" w:hAnsi="Arial"/>
                <w:sz w:val="16"/>
                <w:szCs w:val="16"/>
                <w:color w:val="auto"/>
                <w:w w:val="98"/>
              </w:rPr>
              <w:t>Provision for loan losses, net of</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recoveries</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(433,219)</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(371,024)</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(313,172)</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-15.6%</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-27.7%</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(969,713)</w:t>
            </w:r>
          </w:p>
        </w:tc>
        <w:tc>
          <w:tcPr>
            <w:tcW w:w="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(684,196)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95"/>
        </w:trPr>
        <w:tc>
          <w:tcPr>
            <w:tcW w:w="2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interest income after</w:t>
            </w: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provisions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1,534,693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1,672,663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1,749,646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3,011,285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3,422,309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Non-financial income *</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1,058,753</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1,101,216</w:t>
            </w:r>
          </w:p>
        </w:tc>
        <w:tc>
          <w:tcPr>
            <w:tcW w:w="920" w:type="dxa"/>
            <w:vAlign w:val="bottom"/>
          </w:tcPr>
          <w:p>
            <w:pPr>
              <w:jc w:val="right"/>
              <w:spacing w:after="0"/>
              <w:rPr>
                <w:sz w:val="20"/>
                <w:szCs w:val="20"/>
                <w:color w:val="auto"/>
              </w:rPr>
            </w:pPr>
            <w:r>
              <w:rPr>
                <w:rFonts w:ascii="Arial" w:cs="Arial" w:eastAsia="Arial" w:hAnsi="Arial"/>
                <w:sz w:val="16"/>
                <w:szCs w:val="16"/>
                <w:color w:val="auto"/>
              </w:rPr>
              <w:t>1,048,050</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2,102,287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2,149,266</w:t>
            </w: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w w:val="97"/>
              </w:rPr>
              <w:t>Insurance services underwriting</w:t>
            </w: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result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126,445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115,909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112,559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248,724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228,468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Total expenses</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(1,453,187)</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(1,439,744)</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(1,523,840)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4.9%</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(2,860,298)</w:t>
            </w:r>
          </w:p>
        </w:tc>
        <w:tc>
          <w:tcPr>
            <w:tcW w:w="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(2,963,584)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1,266,704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1,450,044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1,386,415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-4.4%</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2,501,998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2,836,459</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Income taxes</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(324,771)</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(385,392)</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(388,011)</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0.7%</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19.5%</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(650,439)</w:t>
            </w:r>
          </w:p>
        </w:tc>
        <w:tc>
          <w:tcPr>
            <w:tcW w:w="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(773,403)</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941,933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1,064,652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998,404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-6.2%</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1,851,559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2,063,056</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21,713</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26,844</w:t>
            </w:r>
          </w:p>
        </w:tc>
        <w:tc>
          <w:tcPr>
            <w:tcW w:w="920" w:type="dxa"/>
            <w:vAlign w:val="bottom"/>
          </w:tcPr>
          <w:p>
            <w:pPr>
              <w:jc w:val="right"/>
              <w:spacing w:after="0"/>
              <w:rPr>
                <w:sz w:val="20"/>
                <w:szCs w:val="20"/>
                <w:color w:val="auto"/>
              </w:rPr>
            </w:pPr>
            <w:r>
              <w:rPr>
                <w:rFonts w:ascii="Arial" w:cs="Arial" w:eastAsia="Arial" w:hAnsi="Arial"/>
                <w:sz w:val="16"/>
                <w:szCs w:val="16"/>
                <w:color w:val="auto"/>
              </w:rPr>
              <w:t>20,566</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-23.4%</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-5.3%</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41,764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47,410</w:t>
            </w: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attributed to</w:t>
            </w: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Credicorp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920,220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1,037,808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977,838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1,809,795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2,015,646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6"/>
                <w:szCs w:val="16"/>
                <w:color w:val="auto"/>
              </w:rPr>
              <w:t>Net income / share (S/)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11.54</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13.01</w:t>
            </w:r>
          </w:p>
        </w:tc>
        <w:tc>
          <w:tcPr>
            <w:tcW w:w="920" w:type="dxa"/>
            <w:vAlign w:val="bottom"/>
          </w:tcPr>
          <w:p>
            <w:pPr>
              <w:jc w:val="right"/>
              <w:spacing w:after="0"/>
              <w:rPr>
                <w:sz w:val="20"/>
                <w:szCs w:val="20"/>
                <w:color w:val="auto"/>
              </w:rPr>
            </w:pPr>
            <w:r>
              <w:rPr>
                <w:rFonts w:ascii="Arial" w:cs="Arial" w:eastAsia="Arial" w:hAnsi="Arial"/>
                <w:sz w:val="16"/>
                <w:szCs w:val="16"/>
                <w:color w:val="auto"/>
              </w:rPr>
              <w:t>12.26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6.3%</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22.69</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25.27</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loans</w:t>
            </w: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2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93,670,216</w:t>
            </w:r>
          </w:p>
        </w:tc>
        <w:tc>
          <w:tcPr>
            <w:tcW w:w="26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100,570,511</w:t>
            </w:r>
          </w:p>
        </w:tc>
        <w:tc>
          <w:tcPr>
            <w:tcW w:w="260" w:type="dxa"/>
            <w:vAlign w:val="bottom"/>
            <w:vMerge w:val="continue"/>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102,766,633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93,670,216</w:t>
            </w:r>
          </w:p>
        </w:tc>
        <w:tc>
          <w:tcPr>
            <w:tcW w:w="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102,766,633</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92,039,132</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98,193,105</w:t>
            </w:r>
          </w:p>
        </w:tc>
        <w:tc>
          <w:tcPr>
            <w:tcW w:w="920" w:type="dxa"/>
            <w:vAlign w:val="bottom"/>
          </w:tcPr>
          <w:p>
            <w:pPr>
              <w:jc w:val="right"/>
              <w:spacing w:after="0"/>
              <w:rPr>
                <w:sz w:val="20"/>
                <w:szCs w:val="20"/>
                <w:color w:val="auto"/>
              </w:rPr>
            </w:pPr>
            <w:r>
              <w:rPr>
                <w:rFonts w:ascii="Arial" w:cs="Arial" w:eastAsia="Arial" w:hAnsi="Arial"/>
                <w:sz w:val="16"/>
                <w:szCs w:val="16"/>
                <w:color w:val="auto"/>
              </w:rPr>
              <w:t>97,544,235</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-0.7%</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92,039,132</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97,544,235</w:t>
            </w: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Net equity</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20,802,017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21,312,210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21,889,218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20,802,017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21,889,218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Arial" w:cs="Arial" w:eastAsia="Arial" w:hAnsi="Arial"/>
                <w:sz w:val="16"/>
                <w:szCs w:val="16"/>
                <w:b w:val="1"/>
                <w:bCs w:val="1"/>
                <w:color w:val="auto"/>
              </w:rPr>
              <w:t>Profitability</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Net interest margin *</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 bps</w:t>
            </w:r>
          </w:p>
        </w:tc>
      </w:tr>
      <w:tr>
        <w:trPr>
          <w:trHeight w:val="193"/>
        </w:trPr>
        <w:tc>
          <w:tcPr>
            <w:tcW w:w="2220" w:type="dxa"/>
            <w:vAlign w:val="bottom"/>
          </w:tcPr>
          <w:p>
            <w:pPr>
              <w:spacing w:after="0"/>
              <w:rPr>
                <w:sz w:val="20"/>
                <w:szCs w:val="20"/>
                <w:color w:val="auto"/>
              </w:rPr>
            </w:pPr>
            <w:r>
              <w:rPr>
                <w:rFonts w:ascii="Arial" w:cs="Arial" w:eastAsia="Arial" w:hAnsi="Arial"/>
                <w:sz w:val="16"/>
                <w:szCs w:val="16"/>
                <w:color w:val="auto"/>
              </w:rPr>
              <w:t>Risk adjusted Net interest</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margin *</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4.09%</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4.48%</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26 bps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39 bps</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4.05%</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4.36%</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31 bps</w:t>
            </w:r>
          </w:p>
        </w:tc>
      </w:tr>
      <w:tr>
        <w:trPr>
          <w:trHeight w:val="249"/>
        </w:trPr>
        <w:tc>
          <w:tcPr>
            <w:tcW w:w="2220" w:type="dxa"/>
            <w:vAlign w:val="bottom"/>
            <w:shd w:val="clear" w:color="auto" w:fill="CCEEFF"/>
          </w:tcPr>
          <w:p>
            <w:pPr>
              <w:spacing w:after="0" w:line="249" w:lineRule="exact"/>
              <w:rPr>
                <w:sz w:val="20"/>
                <w:szCs w:val="20"/>
                <w:color w:val="auto"/>
              </w:rPr>
            </w:pPr>
            <w:r>
              <w:rPr>
                <w:rFonts w:ascii="Arial" w:cs="Arial" w:eastAsia="Arial" w:hAnsi="Arial"/>
                <w:sz w:val="16"/>
                <w:szCs w:val="16"/>
                <w:color w:val="auto"/>
              </w:rPr>
              <w:t xml:space="preserve">Funding cost * </w:t>
            </w:r>
            <w:r>
              <w:rPr>
                <w:rFonts w:ascii="Arial" w:cs="Arial" w:eastAsia="Arial" w:hAnsi="Arial"/>
                <w:sz w:val="27"/>
                <w:szCs w:val="27"/>
                <w:color w:val="auto"/>
                <w:vertAlign w:val="superscript"/>
              </w:rPr>
              <w:t>(1)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 bps</w:t>
            </w: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ROAE</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18.1%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-120 bps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-10 bps</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17.9%</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18.5%</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60 bps</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ROAA</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 bps</w:t>
            </w:r>
          </w:p>
        </w:tc>
      </w:tr>
      <w:tr>
        <w:trPr>
          <w:trHeight w:val="190"/>
        </w:trPr>
        <w:tc>
          <w:tcPr>
            <w:tcW w:w="2220" w:type="dxa"/>
            <w:vAlign w:val="bottom"/>
          </w:tcPr>
          <w:p>
            <w:pPr>
              <w:spacing w:after="0"/>
              <w:rPr>
                <w:sz w:val="20"/>
                <w:szCs w:val="20"/>
                <w:color w:val="auto"/>
              </w:rPr>
            </w:pPr>
            <w:r>
              <w:rPr>
                <w:rFonts w:ascii="Arial" w:cs="Arial" w:eastAsia="Arial" w:hAnsi="Arial"/>
                <w:sz w:val="16"/>
                <w:szCs w:val="16"/>
                <w:b w:val="1"/>
                <w:bCs w:val="1"/>
                <w:color w:val="auto"/>
              </w:rPr>
              <w:t>Loan portfolio quality</w:t>
            </w: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Delinquency ratio over 90 days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 bps</w:t>
            </w:r>
          </w:p>
        </w:tc>
      </w:tr>
      <w:tr>
        <w:trPr>
          <w:trHeight w:val="243"/>
        </w:trPr>
        <w:tc>
          <w:tcPr>
            <w:tcW w:w="2220" w:type="dxa"/>
            <w:vAlign w:val="bottom"/>
          </w:tcPr>
          <w:p>
            <w:pPr>
              <w:spacing w:after="0" w:line="242" w:lineRule="exact"/>
              <w:rPr>
                <w:sz w:val="20"/>
                <w:szCs w:val="20"/>
                <w:color w:val="auto"/>
              </w:rPr>
            </w:pPr>
            <w:r>
              <w:rPr>
                <w:rFonts w:ascii="Arial" w:cs="Arial" w:eastAsia="Arial" w:hAnsi="Arial"/>
                <w:sz w:val="16"/>
                <w:szCs w:val="16"/>
                <w:color w:val="auto"/>
              </w:rPr>
              <w:t xml:space="preserve">Internal overdue ratio </w:t>
            </w:r>
            <w:r>
              <w:rPr>
                <w:rFonts w:ascii="Arial" w:cs="Arial" w:eastAsia="Arial" w:hAnsi="Arial"/>
                <w:sz w:val="27"/>
                <w:szCs w:val="27"/>
                <w:color w:val="auto"/>
                <w:vertAlign w:val="superscript"/>
              </w:rPr>
              <w:t>(2)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2.93%</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3.03%</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5 bps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10 bps</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2.93%</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3.03%</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 bps</w:t>
            </w:r>
          </w:p>
        </w:tc>
      </w:tr>
      <w:tr>
        <w:trPr>
          <w:trHeight w:val="243"/>
        </w:trPr>
        <w:tc>
          <w:tcPr>
            <w:tcW w:w="22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NPL ratio </w:t>
            </w:r>
            <w:r>
              <w:rPr>
                <w:rFonts w:ascii="Arial" w:cs="Arial" w:eastAsia="Arial" w:hAnsi="Arial"/>
                <w:sz w:val="27"/>
                <w:szCs w:val="27"/>
                <w:color w:val="auto"/>
                <w:vertAlign w:val="superscript"/>
              </w:rPr>
              <w:t>(3)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 bps</w:t>
            </w:r>
          </w:p>
        </w:tc>
      </w:tr>
      <w:tr>
        <w:trPr>
          <w:trHeight w:val="243"/>
        </w:trPr>
        <w:tc>
          <w:tcPr>
            <w:tcW w:w="2220" w:type="dxa"/>
            <w:vAlign w:val="bottom"/>
          </w:tcPr>
          <w:p>
            <w:pPr>
              <w:spacing w:after="0" w:line="242" w:lineRule="exact"/>
              <w:rPr>
                <w:sz w:val="20"/>
                <w:szCs w:val="20"/>
                <w:color w:val="auto"/>
              </w:rPr>
            </w:pPr>
            <w:r>
              <w:rPr>
                <w:rFonts w:ascii="Arial" w:cs="Arial" w:eastAsia="Arial" w:hAnsi="Arial"/>
                <w:sz w:val="16"/>
                <w:szCs w:val="16"/>
                <w:color w:val="auto"/>
              </w:rPr>
              <w:t xml:space="preserve">Cost of risk </w:t>
            </w:r>
            <w:r>
              <w:rPr>
                <w:rFonts w:ascii="Arial" w:cs="Arial" w:eastAsia="Arial" w:hAnsi="Arial"/>
                <w:sz w:val="27"/>
                <w:szCs w:val="27"/>
                <w:color w:val="auto"/>
                <w:vertAlign w:val="superscript"/>
              </w:rPr>
              <w:t>(4)</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1.22%</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-26 bps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-63 bps</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2.07%</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1.33%</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-74 bps</w:t>
            </w:r>
          </w:p>
        </w:tc>
      </w:tr>
      <w:tr>
        <w:trPr>
          <w:trHeight w:val="193"/>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Coverage of internal overdue</w:t>
            </w: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loans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-560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-250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-250 bps</w:t>
            </w:r>
          </w:p>
        </w:tc>
      </w:tr>
      <w:tr>
        <w:trPr>
          <w:trHeight w:val="210"/>
        </w:trPr>
        <w:tc>
          <w:tcPr>
            <w:tcW w:w="2220" w:type="dxa"/>
            <w:vAlign w:val="bottom"/>
          </w:tcPr>
          <w:p>
            <w:pPr>
              <w:spacing w:after="0"/>
              <w:rPr>
                <w:sz w:val="20"/>
                <w:szCs w:val="20"/>
                <w:color w:val="auto"/>
              </w:rPr>
            </w:pPr>
            <w:r>
              <w:rPr>
                <w:rFonts w:ascii="Arial" w:cs="Arial" w:eastAsia="Arial" w:hAnsi="Arial"/>
                <w:sz w:val="16"/>
                <w:szCs w:val="16"/>
                <w:color w:val="auto"/>
              </w:rPr>
              <w:t>Coverage of NPLs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117.7%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114.8%</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-820 bps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-290 bps</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117.7%</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114.8%</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-290 bps</w:t>
            </w:r>
          </w:p>
        </w:tc>
      </w:tr>
      <w:tr>
        <w:trPr>
          <w:trHeight w:val="202"/>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efficiency</w:t>
            </w: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3"/>
        </w:trPr>
        <w:tc>
          <w:tcPr>
            <w:tcW w:w="2220" w:type="dxa"/>
            <w:vAlign w:val="bottom"/>
          </w:tcPr>
          <w:p>
            <w:pPr>
              <w:spacing w:after="0" w:line="242" w:lineRule="exact"/>
              <w:rPr>
                <w:sz w:val="20"/>
                <w:szCs w:val="20"/>
                <w:color w:val="auto"/>
              </w:rPr>
            </w:pPr>
            <w:r>
              <w:rPr>
                <w:rFonts w:ascii="Arial" w:cs="Arial" w:eastAsia="Arial" w:hAnsi="Arial"/>
                <w:sz w:val="16"/>
                <w:szCs w:val="16"/>
                <w:color w:val="auto"/>
              </w:rPr>
              <w:t xml:space="preserve">Efficiency ratio * </w:t>
            </w:r>
            <w:r>
              <w:rPr>
                <w:rFonts w:ascii="Arial" w:cs="Arial" w:eastAsia="Arial" w:hAnsi="Arial"/>
                <w:sz w:val="27"/>
                <w:szCs w:val="27"/>
                <w:color w:val="auto"/>
                <w:vertAlign w:val="superscript"/>
              </w:rPr>
              <w:t>(5)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43.8%</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43.9%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110 bps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10 bps</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42.8%</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43.3%</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50 bps</w:t>
            </w:r>
          </w:p>
        </w:tc>
      </w:tr>
      <w:tr>
        <w:trPr>
          <w:trHeight w:val="193"/>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 / Total</w:t>
            </w: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6"/>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average assets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 bps</w:t>
            </w:r>
          </w:p>
        </w:tc>
      </w:tr>
      <w:tr>
        <w:trPr>
          <w:trHeight w:val="190"/>
        </w:trPr>
        <w:tc>
          <w:tcPr>
            <w:tcW w:w="2220" w:type="dxa"/>
            <w:vAlign w:val="bottom"/>
          </w:tcPr>
          <w:p>
            <w:pPr>
              <w:spacing w:after="0"/>
              <w:rPr>
                <w:sz w:val="20"/>
                <w:szCs w:val="20"/>
                <w:color w:val="auto"/>
              </w:rPr>
            </w:pPr>
            <w:r>
              <w:rPr>
                <w:rFonts w:ascii="Arial" w:cs="Arial" w:eastAsia="Arial" w:hAnsi="Arial"/>
                <w:sz w:val="16"/>
                <w:szCs w:val="16"/>
                <w:b w:val="1"/>
                <w:bCs w:val="1"/>
                <w:color w:val="auto"/>
              </w:rPr>
              <w:t>Insurance ratios</w:t>
            </w: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49"/>
        </w:trPr>
        <w:tc>
          <w:tcPr>
            <w:tcW w:w="2220" w:type="dxa"/>
            <w:vAlign w:val="bottom"/>
            <w:shd w:val="clear" w:color="auto" w:fill="CCEEFF"/>
          </w:tcPr>
          <w:p>
            <w:pPr>
              <w:spacing w:after="0" w:line="249" w:lineRule="exact"/>
              <w:rPr>
                <w:sz w:val="20"/>
                <w:szCs w:val="20"/>
                <w:color w:val="auto"/>
              </w:rPr>
            </w:pPr>
            <w:r>
              <w:rPr>
                <w:rFonts w:ascii="Arial" w:cs="Arial" w:eastAsia="Arial" w:hAnsi="Arial"/>
                <w:sz w:val="16"/>
                <w:szCs w:val="16"/>
                <w:color w:val="auto"/>
              </w:rPr>
              <w:t xml:space="preserve">Combined ratio of P&amp;C </w:t>
            </w:r>
            <w:r>
              <w:rPr>
                <w:rFonts w:ascii="Arial" w:cs="Arial" w:eastAsia="Arial" w:hAnsi="Arial"/>
                <w:sz w:val="27"/>
                <w:szCs w:val="27"/>
                <w:color w:val="auto"/>
                <w:vertAlign w:val="superscript"/>
              </w:rPr>
              <w:t>(6)(7)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-240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500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690 bps</w:t>
            </w:r>
          </w:p>
        </w:tc>
      </w:tr>
      <w:tr>
        <w:trPr>
          <w:trHeight w:val="243"/>
        </w:trPr>
        <w:tc>
          <w:tcPr>
            <w:tcW w:w="2220" w:type="dxa"/>
            <w:vAlign w:val="bottom"/>
          </w:tcPr>
          <w:p>
            <w:pPr>
              <w:spacing w:after="0" w:line="242" w:lineRule="exact"/>
              <w:rPr>
                <w:sz w:val="20"/>
                <w:szCs w:val="20"/>
                <w:color w:val="auto"/>
              </w:rPr>
            </w:pPr>
            <w:r>
              <w:rPr>
                <w:rFonts w:ascii="Arial" w:cs="Arial" w:eastAsia="Arial" w:hAnsi="Arial"/>
                <w:sz w:val="16"/>
                <w:szCs w:val="16"/>
                <w:color w:val="auto"/>
              </w:rPr>
              <w:t xml:space="preserve">Loss ratio </w:t>
            </w:r>
            <w:r>
              <w:rPr>
                <w:rFonts w:ascii="Arial" w:cs="Arial" w:eastAsia="Arial" w:hAnsi="Arial"/>
                <w:sz w:val="27"/>
                <w:szCs w:val="27"/>
                <w:color w:val="auto"/>
                <w:vertAlign w:val="superscript"/>
              </w:rPr>
              <w:t>(7)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59.1%</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58.7%</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110 bps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-40 bps</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59.5%</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58.1%</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-140 bps</w:t>
            </w:r>
          </w:p>
        </w:tc>
      </w:tr>
      <w:tr>
        <w:trPr>
          <w:trHeight w:val="192"/>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w w:val="98"/>
              </w:rPr>
              <w:t>Underwriting result / net earned</w:t>
            </w: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67"/>
        </w:trPr>
        <w:tc>
          <w:tcPr>
            <w:tcW w:w="2220" w:type="dxa"/>
            <w:vAlign w:val="bottom"/>
            <w:shd w:val="clear" w:color="auto" w:fill="CCEEFF"/>
          </w:tcPr>
          <w:p>
            <w:pPr>
              <w:spacing w:after="0" w:line="267" w:lineRule="exact"/>
              <w:rPr>
                <w:sz w:val="20"/>
                <w:szCs w:val="20"/>
                <w:color w:val="auto"/>
              </w:rPr>
            </w:pPr>
            <w:r>
              <w:rPr>
                <w:rFonts w:ascii="Arial" w:cs="Arial" w:eastAsia="Arial" w:hAnsi="Arial"/>
                <w:sz w:val="16"/>
                <w:szCs w:val="16"/>
                <w:color w:val="auto"/>
              </w:rPr>
              <w:t xml:space="preserve">premiums </w:t>
            </w:r>
            <w:r>
              <w:rPr>
                <w:rFonts w:ascii="Arial" w:cs="Arial" w:eastAsia="Arial" w:hAnsi="Arial"/>
                <w:sz w:val="27"/>
                <w:szCs w:val="27"/>
                <w:color w:val="auto"/>
                <w:vertAlign w:val="superscript"/>
              </w:rPr>
              <w:t>(7)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-140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-340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-270 bps</w:t>
            </w:r>
          </w:p>
        </w:tc>
      </w:tr>
      <w:tr>
        <w:trPr>
          <w:trHeight w:val="170"/>
        </w:trPr>
        <w:tc>
          <w:tcPr>
            <w:tcW w:w="2220" w:type="dxa"/>
            <w:vAlign w:val="bottom"/>
          </w:tcPr>
          <w:p>
            <w:pPr>
              <w:spacing w:after="0" w:line="170" w:lineRule="exact"/>
              <w:rPr>
                <w:sz w:val="20"/>
                <w:szCs w:val="20"/>
                <w:color w:val="auto"/>
              </w:rPr>
            </w:pPr>
            <w:r>
              <w:rPr>
                <w:rFonts w:ascii="Arial" w:cs="Arial" w:eastAsia="Arial" w:hAnsi="Arial"/>
                <w:sz w:val="16"/>
                <w:szCs w:val="16"/>
                <w:b w:val="1"/>
                <w:bCs w:val="1"/>
                <w:color w:val="auto"/>
              </w:rPr>
              <w:t>Capital adequacy - BCP</w:t>
            </w: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56"/>
        </w:trPr>
        <w:tc>
          <w:tcPr>
            <w:tcW w:w="2220" w:type="dxa"/>
            <w:vAlign w:val="bottom"/>
          </w:tcPr>
          <w:p>
            <w:pPr>
              <w:spacing w:after="0" w:line="255" w:lineRule="exact"/>
              <w:rPr>
                <w:sz w:val="20"/>
                <w:szCs w:val="20"/>
                <w:color w:val="auto"/>
              </w:rPr>
            </w:pPr>
            <w:r>
              <w:rPr>
                <w:rFonts w:ascii="Arial" w:cs="Arial" w:eastAsia="Arial" w:hAnsi="Arial"/>
                <w:sz w:val="16"/>
                <w:szCs w:val="16"/>
                <w:b w:val="1"/>
                <w:bCs w:val="1"/>
                <w:color w:val="auto"/>
              </w:rPr>
              <w:t xml:space="preserve">Stand-alone </w:t>
            </w:r>
            <w:r>
              <w:rPr>
                <w:rFonts w:ascii="Arial" w:cs="Arial" w:eastAsia="Arial" w:hAnsi="Arial"/>
                <w:sz w:val="27"/>
                <w:szCs w:val="27"/>
                <w:b w:val="1"/>
                <w:bCs w:val="1"/>
                <w:color w:val="auto"/>
                <w:vertAlign w:val="superscript"/>
              </w:rPr>
              <w:t>(8)</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43"/>
        </w:trPr>
        <w:tc>
          <w:tcPr>
            <w:tcW w:w="22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BIS ratio </w:t>
            </w:r>
            <w:r>
              <w:rPr>
                <w:rFonts w:ascii="Arial" w:cs="Arial" w:eastAsia="Arial" w:hAnsi="Arial"/>
                <w:sz w:val="27"/>
                <w:szCs w:val="27"/>
                <w:color w:val="auto"/>
                <w:vertAlign w:val="superscript"/>
              </w:rPr>
              <w:t>(9)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15.91%</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-164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-164 bps</w:t>
            </w:r>
          </w:p>
        </w:tc>
      </w:tr>
      <w:tr>
        <w:trPr>
          <w:trHeight w:val="243"/>
        </w:trPr>
        <w:tc>
          <w:tcPr>
            <w:tcW w:w="2220" w:type="dxa"/>
            <w:vAlign w:val="bottom"/>
          </w:tcPr>
          <w:p>
            <w:pPr>
              <w:spacing w:after="0" w:line="242" w:lineRule="exact"/>
              <w:rPr>
                <w:sz w:val="20"/>
                <w:szCs w:val="20"/>
                <w:color w:val="auto"/>
              </w:rPr>
            </w:pPr>
            <w:r>
              <w:rPr>
                <w:rFonts w:ascii="Arial" w:cs="Arial" w:eastAsia="Arial" w:hAnsi="Arial"/>
                <w:sz w:val="16"/>
                <w:szCs w:val="16"/>
                <w:color w:val="auto"/>
              </w:rPr>
              <w:t xml:space="preserve">Tier 1 Ratio </w:t>
            </w:r>
            <w:r>
              <w:rPr>
                <w:rFonts w:ascii="Arial" w:cs="Arial" w:eastAsia="Arial" w:hAnsi="Arial"/>
                <w:sz w:val="27"/>
                <w:szCs w:val="27"/>
                <w:color w:val="auto"/>
                <w:vertAlign w:val="superscript"/>
              </w:rPr>
              <w:t>(10)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11.75%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11.09%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-66 bps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-66 bps</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11.75%</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11.09%</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-66 bps</w:t>
            </w:r>
          </w:p>
        </w:tc>
      </w:tr>
      <w:tr>
        <w:trPr>
          <w:trHeight w:val="243"/>
        </w:trPr>
        <w:tc>
          <w:tcPr>
            <w:tcW w:w="22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w w:val="98"/>
              </w:rPr>
              <w:t xml:space="preserve">Common equity tier 1 ratio </w:t>
            </w:r>
            <w:r>
              <w:rPr>
                <w:rFonts w:ascii="Arial" w:cs="Arial" w:eastAsia="Arial" w:hAnsi="Arial"/>
                <w:sz w:val="27"/>
                <w:szCs w:val="27"/>
                <w:color w:val="auto"/>
                <w:w w:val="98"/>
                <w:vertAlign w:val="superscript"/>
              </w:rPr>
              <w:t>(11)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 bps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-43 bps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 bps</w:t>
            </w:r>
          </w:p>
        </w:tc>
      </w:tr>
      <w:tr>
        <w:trPr>
          <w:trHeight w:val="210"/>
        </w:trPr>
        <w:tc>
          <w:tcPr>
            <w:tcW w:w="2220" w:type="dxa"/>
            <w:vAlign w:val="bottom"/>
          </w:tcPr>
          <w:p>
            <w:pPr>
              <w:spacing w:after="0"/>
              <w:rPr>
                <w:sz w:val="20"/>
                <w:szCs w:val="20"/>
                <w:color w:val="auto"/>
              </w:rPr>
            </w:pPr>
            <w:r>
              <w:rPr>
                <w:rFonts w:ascii="Arial" w:cs="Arial" w:eastAsia="Arial" w:hAnsi="Arial"/>
                <w:sz w:val="16"/>
                <w:szCs w:val="16"/>
                <w:b w:val="1"/>
                <w:bCs w:val="1"/>
                <w:color w:val="auto"/>
              </w:rPr>
              <w:t>Employees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33,343</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33,445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33,343</w:t>
            </w:r>
          </w:p>
        </w:tc>
        <w:tc>
          <w:tcPr>
            <w:tcW w:w="920" w:type="dxa"/>
            <w:vAlign w:val="bottom"/>
          </w:tcPr>
          <w:p>
            <w:pPr>
              <w:jc w:val="right"/>
              <w:spacing w:after="0"/>
              <w:rPr>
                <w:sz w:val="20"/>
                <w:szCs w:val="20"/>
                <w:color w:val="auto"/>
              </w:rPr>
            </w:pPr>
            <w:r>
              <w:rPr>
                <w:rFonts w:ascii="Arial" w:cs="Arial" w:eastAsia="Arial" w:hAnsi="Arial"/>
                <w:sz w:val="16"/>
                <w:szCs w:val="16"/>
                <w:color w:val="auto"/>
              </w:rPr>
              <w:t>33,447</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02"/>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Share Information</w:t>
            </w: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Outstanding Shares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94,382</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94,382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94,382</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94,382</w:t>
            </w:r>
          </w:p>
        </w:tc>
        <w:tc>
          <w:tcPr>
            <w:tcW w:w="920" w:type="dxa"/>
            <w:vAlign w:val="bottom"/>
          </w:tcPr>
          <w:p>
            <w:pPr>
              <w:jc w:val="right"/>
              <w:spacing w:after="0"/>
              <w:rPr>
                <w:sz w:val="20"/>
                <w:szCs w:val="20"/>
                <w:color w:val="auto"/>
              </w:rPr>
            </w:pPr>
            <w:r>
              <w:rPr>
                <w:rFonts w:ascii="Arial" w:cs="Arial" w:eastAsia="Arial" w:hAnsi="Arial"/>
                <w:sz w:val="16"/>
                <w:szCs w:val="16"/>
                <w:color w:val="auto"/>
              </w:rPr>
              <w:t>94,382</w:t>
            </w: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43"/>
        </w:trPr>
        <w:tc>
          <w:tcPr>
            <w:tcW w:w="2220" w:type="dxa"/>
            <w:vAlign w:val="bottom"/>
            <w:shd w:val="clear" w:color="auto" w:fill="CCEEFF"/>
          </w:tcPr>
          <w:p>
            <w:pPr>
              <w:ind w:left="180"/>
              <w:spacing w:after="0" w:line="242" w:lineRule="exact"/>
              <w:rPr>
                <w:sz w:val="20"/>
                <w:szCs w:val="20"/>
                <w:color w:val="auto"/>
              </w:rPr>
            </w:pPr>
            <w:r>
              <w:rPr>
                <w:rFonts w:ascii="Arial" w:cs="Arial" w:eastAsia="Arial" w:hAnsi="Arial"/>
                <w:sz w:val="16"/>
                <w:szCs w:val="16"/>
                <w:color w:val="auto"/>
              </w:rPr>
              <w:t xml:space="preserve">Treasury Shares </w:t>
            </w:r>
            <w:r>
              <w:rPr>
                <w:rFonts w:ascii="Arial" w:cs="Arial" w:eastAsia="Arial" w:hAnsi="Arial"/>
                <w:sz w:val="27"/>
                <w:szCs w:val="27"/>
                <w:color w:val="auto"/>
                <w:vertAlign w:val="superscript"/>
              </w:rPr>
              <w:t>(12)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14,621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14,621</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14,621</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14,621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14,621</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220" w:type="dxa"/>
            <w:vAlign w:val="bottom"/>
          </w:tcPr>
          <w:p>
            <w:pPr>
              <w:ind w:left="180"/>
              <w:spacing w:after="0"/>
              <w:rPr>
                <w:sz w:val="20"/>
                <w:szCs w:val="20"/>
                <w:color w:val="auto"/>
              </w:rPr>
            </w:pPr>
            <w:r>
              <w:rPr>
                <w:rFonts w:ascii="Arial" w:cs="Arial" w:eastAsia="Arial" w:hAnsi="Arial"/>
                <w:sz w:val="16"/>
                <w:szCs w:val="16"/>
                <w:color w:val="auto"/>
              </w:rPr>
              <w:t>Floating Shares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79,761</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79,761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79,761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79,761</w:t>
            </w:r>
          </w:p>
        </w:tc>
        <w:tc>
          <w:tcPr>
            <w:tcW w:w="920" w:type="dxa"/>
            <w:vAlign w:val="bottom"/>
          </w:tcPr>
          <w:p>
            <w:pPr>
              <w:jc w:val="right"/>
              <w:spacing w:after="0"/>
              <w:rPr>
                <w:sz w:val="20"/>
                <w:szCs w:val="20"/>
                <w:color w:val="auto"/>
              </w:rPr>
            </w:pPr>
            <w:r>
              <w:rPr>
                <w:rFonts w:ascii="Arial" w:cs="Arial" w:eastAsia="Arial" w:hAnsi="Arial"/>
                <w:sz w:val="16"/>
                <w:szCs w:val="16"/>
                <w:color w:val="auto"/>
              </w:rPr>
              <w:t>79,761</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17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account or ratio has been modified retroactively, as a result of the improvement in the presentation of Credicorp's accounting accounts. This improvement allowed to show the net gain in derivatives and the result by difference in exchange.</w:t>
      </w:r>
    </w:p>
    <w:p>
      <w:pPr>
        <w:spacing w:after="0" w:line="1" w:lineRule="exact"/>
        <w:rPr>
          <w:rFonts w:ascii="Arial" w:cs="Arial" w:eastAsia="Arial" w:hAnsi="Arial"/>
          <w:sz w:val="18"/>
          <w:szCs w:val="18"/>
          <w:color w:val="auto"/>
        </w:rPr>
      </w:pPr>
    </w:p>
    <w:p>
      <w:pPr>
        <w:ind w:right="20"/>
        <w:spacing w:after="0" w:line="281" w:lineRule="auto"/>
        <w:rPr>
          <w:rFonts w:ascii="Arial" w:cs="Arial" w:eastAsia="Arial" w:hAnsi="Arial"/>
          <w:sz w:val="18"/>
          <w:szCs w:val="18"/>
          <w:color w:val="auto"/>
        </w:rPr>
      </w:pPr>
      <w:r>
        <w:rPr>
          <w:rFonts w:ascii="Arial" w:cs="Arial" w:eastAsia="Arial" w:hAnsi="Arial"/>
          <w:sz w:val="16"/>
          <w:szCs w:val="16"/>
          <w:color w:val="auto"/>
        </w:rPr>
        <w:t>(1) 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(2) Internal overdue loans: includes overdue loans and loans under legal collection, according to our internal policy for overdue loans. Internal Overdue Ratio: Internal Overdue Loans / Total Loans.</w:t>
      </w:r>
    </w:p>
    <w:p>
      <w:pPr>
        <w:spacing w:after="0"/>
        <w:rPr>
          <w:rFonts w:ascii="Arial" w:cs="Arial" w:eastAsia="Arial" w:hAnsi="Arial"/>
          <w:sz w:val="18"/>
          <w:szCs w:val="18"/>
          <w:color w:val="auto"/>
        </w:rPr>
      </w:pPr>
      <w:r>
        <w:rPr>
          <w:rFonts w:ascii="Arial" w:cs="Arial" w:eastAsia="Arial" w:hAnsi="Arial"/>
          <w:sz w:val="18"/>
          <w:szCs w:val="18"/>
          <w:color w:val="auto"/>
        </w:rPr>
        <w:t>(3) Non-performing loans (NPL): Internal overdue loans + Refinanced loans. NPL ratio: NPLs / Total loans.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Cost of risk: Annualized provision for loan losses / Total loans.</w:t>
      </w:r>
    </w:p>
    <w:p>
      <w:pPr>
        <w:spacing w:after="0" w:line="9" w:lineRule="exact"/>
        <w:rPr>
          <w:rFonts w:ascii="Arial" w:cs="Arial" w:eastAsia="Arial" w:hAnsi="Arial"/>
          <w:sz w:val="18"/>
          <w:szCs w:val="18"/>
          <w:color w:val="auto"/>
        </w:rPr>
      </w:pP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(5) Efficiency ratio = [Total Expenses + Acquisition Cost - Other expenses] / [Net Interest Income + Fee Income + Net Gain on Foreign Exchange Transactions + Net Gain from Subsidiaries + Net Premiums Earned].</w:t>
      </w: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(6) Combined ratio= (Net claims / Net earned premiums) + [(Acquisition cost + Operating expenses) / Net earned premiums]. Does not include Life insurance business.</w:t>
      </w:r>
    </w:p>
    <w:p>
      <w:pPr>
        <w:spacing w:after="0"/>
        <w:rPr>
          <w:rFonts w:ascii="Arial" w:cs="Arial" w:eastAsia="Arial" w:hAnsi="Arial"/>
          <w:sz w:val="18"/>
          <w:szCs w:val="18"/>
          <w:color w:val="auto"/>
        </w:rPr>
      </w:pPr>
      <w:r>
        <w:rPr>
          <w:rFonts w:ascii="Arial" w:cs="Arial" w:eastAsia="Arial" w:hAnsi="Arial"/>
          <w:sz w:val="18"/>
          <w:szCs w:val="18"/>
          <w:color w:val="auto"/>
        </w:rPr>
        <w:t>(7) Considers Grupo Pacifico's figures before eliminations for consolidation to Credicorp.</w:t>
      </w:r>
    </w:p>
    <w:p>
      <w:pPr>
        <w:sectPr>
          <w:pgSz w:w="11900" w:h="16875" w:orient="portrait"/>
          <w:cols w:equalWidth="0" w:num="1">
            <w:col w:w="11420"/>
          </w:cols>
          <w:pgMar w:left="240" w:top="904" w:right="239" w:bottom="0" w:gutter="0" w:footer="0" w:header="0"/>
        </w:sectPr>
      </w:pPr>
    </w:p>
    <w:bookmarkStart w:id="7" w:name="page8"/>
    <w:bookmarkEnd w:id="7"/>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jc w:val="both"/>
        <w:ind w:firstLine="8"/>
        <w:spacing w:after="0" w:line="265" w:lineRule="auto"/>
        <w:tabs>
          <w:tab w:leader="none" w:pos="3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8"/>
        <w:spacing w:after="0" w:line="250"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shares are held by Atlantic Security Holding Corporation (ASHC).</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w w:val="96"/>
              </w:rPr>
              <w:t>Credicorp and subsidiaries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b w:val="1"/>
                <w:bCs w:val="1"/>
                <w:color w:val="auto"/>
              </w:rPr>
              <w:t>YTD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 change</w:t>
            </w: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1Q18</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2Q18</w:t>
            </w: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Jun 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Jun 18 / Jun 17</w:t>
            </w:r>
          </w:p>
        </w:tc>
        <w:tc>
          <w:tcPr>
            <w:tcW w:w="180" w:type="dxa"/>
            <w:vAlign w:val="bottom"/>
            <w:tcBorders>
              <w:bottom w:val="single" w:sz="8" w:color="CCEEFF"/>
            </w:tcBorders>
          </w:tcPr>
          <w:p>
            <w:pPr>
              <w:spacing w:after="0"/>
              <w:rPr>
                <w:sz w:val="20"/>
                <w:szCs w:val="20"/>
                <w:color w:val="auto"/>
              </w:rPr>
            </w:pPr>
          </w:p>
        </w:tc>
      </w:tr>
      <w:tr>
        <w:trPr>
          <w:trHeight w:val="250"/>
        </w:trPr>
        <w:tc>
          <w:tcPr>
            <w:tcW w:w="21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Credito BCP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721,572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860,241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827,596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1,413,735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1,687,837</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57"/>
        </w:trPr>
        <w:tc>
          <w:tcPr>
            <w:tcW w:w="22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83,487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120,811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122,151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920" w:type="dxa"/>
            <w:vAlign w:val="bottom"/>
          </w:tcPr>
          <w:p>
            <w:pPr>
              <w:jc w:val="right"/>
              <w:spacing w:after="0"/>
              <w:rPr>
                <w:sz w:val="20"/>
                <w:szCs w:val="20"/>
                <w:color w:val="auto"/>
              </w:rPr>
            </w:pPr>
            <w:r>
              <w:rPr>
                <w:rFonts w:ascii="Arial" w:cs="Arial" w:eastAsia="Arial" w:hAnsi="Arial"/>
                <w:sz w:val="18"/>
                <w:szCs w:val="18"/>
                <w:color w:val="auto"/>
              </w:rPr>
              <w:t>147,245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242,962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65.0%</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26,670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46,264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40,024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57"/>
        </w:trPr>
        <w:tc>
          <w:tcPr>
            <w:tcW w:w="22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77,791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77,295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69,075</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920" w:type="dxa"/>
            <w:vAlign w:val="bottom"/>
          </w:tcPr>
          <w:p>
            <w:pPr>
              <w:jc w:val="right"/>
              <w:spacing w:after="0"/>
              <w:rPr>
                <w:sz w:val="20"/>
                <w:szCs w:val="20"/>
                <w:color w:val="auto"/>
              </w:rPr>
            </w:pPr>
            <w:r>
              <w:rPr>
                <w:rFonts w:ascii="Arial" w:cs="Arial" w:eastAsia="Arial" w:hAnsi="Arial"/>
                <w:sz w:val="18"/>
                <w:szCs w:val="18"/>
                <w:color w:val="auto"/>
              </w:rPr>
              <w:t>157,981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146,370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38,545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32,382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80,256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67,639</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26,486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21,074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11,128</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41,000</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32,202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43,344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30,699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83,664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59,805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r>
      <w:tr>
        <w:trPr>
          <w:trHeight w:val="270"/>
        </w:trPr>
        <w:tc>
          <w:tcPr>
            <w:tcW w:w="22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(14,188)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(5,238)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(12,993)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148.1%</w:t>
            </w:r>
          </w:p>
        </w:tc>
        <w:tc>
          <w:tcPr>
            <w:tcW w:w="24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(13,105)</w:t>
            </w:r>
          </w:p>
        </w:tc>
        <w:tc>
          <w:tcPr>
            <w:tcW w:w="14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(18,231)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39.1%</w:t>
            </w:r>
          </w:p>
        </w:tc>
      </w:tr>
      <w:tr>
        <w:trPr>
          <w:trHeight w:val="178"/>
        </w:trPr>
        <w:tc>
          <w:tcPr>
            <w:tcW w:w="22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attributed to</w:t>
            </w: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48"/>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Credicorp</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920,220</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1,037,808</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977,838</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1,809,795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2,015,646</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
        <w:spacing w:after="0" w:line="258"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Banco de Credito BCP includes BCP Stand-alone and subsidiaries such as Mibanco.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The figure is lower than the net income of Mibanco because Credicorp owns 97.73% of Mibanco (directly and indirectly).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The contribution is higher than Grupo Pacifico’s net income because Credicorp owns 65.20% directly, and 33.59% through Grupo Credito.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(4) Includes Grupo Credito (excluding its share in subsidiaries listed in the table), Atlantic Security Holding Corporation and others of Credicorp Ltd.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b w:val="1"/>
                <w:bCs w:val="1"/>
                <w:color w:val="auto"/>
              </w:rPr>
              <w:t>YTD</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0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ROAE</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2Q17</w:t>
            </w: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1Q18</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2Q18</w:t>
            </w: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Jun 17</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18</w:t>
            </w:r>
          </w:p>
        </w:tc>
        <w:tc>
          <w:tcPr>
            <w:tcW w:w="180" w:type="dxa"/>
            <w:vAlign w:val="bottom"/>
            <w:tcBorders>
              <w:bottom w:val="single" w:sz="8" w:color="CCEEFF"/>
            </w:tcBorders>
          </w:tcPr>
          <w:p>
            <w:pPr>
              <w:spacing w:after="0"/>
              <w:rPr>
                <w:sz w:val="20"/>
                <w:szCs w:val="20"/>
                <w:color w:val="auto"/>
              </w:rPr>
            </w:pPr>
          </w:p>
        </w:tc>
      </w:tr>
      <w:tr>
        <w:trPr>
          <w:trHeight w:val="250"/>
        </w:trPr>
        <w:tc>
          <w:tcPr>
            <w:tcW w:w="30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Credito BCP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21.5%</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23.0%</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57"/>
        </w:trPr>
        <w:tc>
          <w:tcPr>
            <w:tcW w:w="30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 ibanco </w:t>
            </w:r>
            <w:r>
              <w:rPr>
                <w:rFonts w:ascii="Arial" w:cs="Arial" w:eastAsia="Arial" w:hAnsi="Arial"/>
                <w:sz w:val="29"/>
                <w:szCs w:val="29"/>
                <w:color w:val="auto"/>
                <w:vertAlign w:val="superscript"/>
              </w:rPr>
              <w:t>(2)</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23.8%</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28.7%</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27.9%</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17.9%</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11.8%</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13.9%</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11.2%</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10.7%</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30.2%</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24.3%</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13.4%</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11.1%</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22.4%</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15.4%</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Credicorp</w:t>
            </w:r>
          </w:p>
        </w:tc>
        <w:tc>
          <w:tcPr>
            <w:tcW w:w="96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w w:val="85"/>
              </w:rPr>
              <w:t>18.2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w w:val="85"/>
              </w:rPr>
              <w:t>19.3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w w:val="85"/>
              </w:rPr>
              <w:t>17.9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Banco de Credito BCP includes BCP Stand-alone and subsidiaries such as Mibanco.</w:t>
      </w:r>
    </w:p>
    <w:p>
      <w:pPr>
        <w:spacing w:after="0" w:line="23" w:lineRule="exact"/>
        <w:rPr>
          <w:rFonts w:ascii="Arial" w:cs="Arial" w:eastAsia="Arial" w:hAnsi="Arial"/>
          <w:sz w:val="18"/>
          <w:szCs w:val="18"/>
          <w:color w:val="auto"/>
        </w:rPr>
      </w:pPr>
    </w:p>
    <w:p>
      <w:pPr>
        <w:ind w:firstLine="8"/>
        <w:spacing w:after="0" w:line="250"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21.6% in 2Q17, 26.5% in 1Q18 and 25.8% in 2Q18. YTD was 17.3% for June 2017 and 25.8% for June 2018.</w:t>
      </w:r>
    </w:p>
    <w:p>
      <w:pPr>
        <w:ind w:firstLine="8"/>
        <w:spacing w:after="0" w:line="323" w:lineRule="auto"/>
        <w:tabs>
          <w:tab w:leader="none" w:pos="267" w:val="left"/>
        </w:tabs>
        <w:numPr>
          <w:ilvl w:val="0"/>
          <w:numId w:val="5"/>
        </w:numPr>
        <w:rPr>
          <w:rFonts w:ascii="Arial" w:cs="Arial" w:eastAsia="Arial" w:hAnsi="Arial"/>
          <w:sz w:val="16"/>
          <w:szCs w:val="16"/>
          <w:color w:val="auto"/>
        </w:rPr>
      </w:pPr>
      <w:r>
        <w:rPr>
          <w:rFonts w:ascii="Arial" w:cs="Arial" w:eastAsia="Arial" w:hAnsi="Arial"/>
          <w:sz w:val="16"/>
          <w:szCs w:val="16"/>
          <w:color w:val="auto"/>
        </w:rPr>
        <w:t>Figures include unrealized gains or losses that are considered in Pacifico’s Net Equity from the investment portfolio of Pacifico Vida. ROAE excluding such unrealized gains was 17.4% in 2Q17, 15.1% in 1Q18 and 14.5% in 2Q18. As of YTD, was 16.8% for June 2017 and 14.8% for June 2018.</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of June 2018, IEAs reported a slight contraction QoQ due to a reduction in investments. Nevertheless, loan growth accelerated, which is reflected in a QoQ expansion of +2.2% in quarter-end balances and +2.4% in average daily balances. The YoY evolution, which eliminates the seasonal effects on loans, revealed significant growth of +9.7% in quarter-end balances and +9.2% in average daily balances. The improvement posted in loan growth was visible across most of the business segments but was led by Corporate Banking QoQ and Middle-Market Banking YoY.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As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25,361,757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22,290,932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19,385,506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227,212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72,611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172,607</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137.7%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31,790,119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35,062,878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32,434,819</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36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30"/>
                <w:szCs w:val="30"/>
                <w:color w:val="auto"/>
                <w:vertAlign w:val="superscript"/>
              </w:rPr>
              <w:t>(1)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93,670,216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100,570,511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102,766,633</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151,049,304</w:t>
            </w:r>
          </w:p>
        </w:tc>
        <w:tc>
          <w:tcPr>
            <w:tcW w:w="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157,996,932</w:t>
            </w:r>
          </w:p>
        </w:tc>
        <w:tc>
          <w:tcPr>
            <w:tcW w:w="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154,759,565</w:t>
            </w:r>
          </w:p>
        </w:tc>
        <w:tc>
          <w:tcPr>
            <w:tcW w:w="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3620" w:type="dxa"/>
            <w:vAlign w:val="bottom"/>
            <w:gridSpan w:val="2"/>
          </w:tcPr>
          <w:p>
            <w:pPr>
              <w:spacing w:after="0"/>
              <w:rPr>
                <w:sz w:val="20"/>
                <w:szCs w:val="20"/>
                <w:color w:val="auto"/>
              </w:rPr>
            </w:pPr>
            <w:r>
              <w:rPr>
                <w:rFonts w:ascii="Arial" w:cs="Arial" w:eastAsia="Arial" w:hAnsi="Arial"/>
                <w:sz w:val="18"/>
                <w:szCs w:val="18"/>
                <w:color w:val="auto"/>
              </w:rPr>
              <w:t>(1) Quarter-end balance.</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8"/>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30"/>
                <w:szCs w:val="30"/>
                <w:color w:val="auto"/>
                <w:vertAlign w:val="superscript"/>
              </w:rPr>
              <w:t>(2)</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4,686,995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8,312,081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4,986,068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w w:val="94"/>
              </w:rPr>
              <w:t>Fair value through other comprehensive income</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22,016,939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22,673,306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23,291,981</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5,086,185</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4,077,491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4,156,770</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31,790,119</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35,062,878</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32,434,819</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names mandated by the IFRS9 norm are used in this chart. The former names, in the order presented in this chart, are: Trading securities, Investments available for sale and Investments held to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loans measured in quarter-end balances posted slightly higher growth, leading to a QoQ increase of 2.2%. This growth rate outpaced the expansion reported last quarter (0.1%). In this context, and considering the drop in total investments, loans increased their share in IEA, which was situated at 66.4% in 2Q18 vs. 63.7% in 1Q18.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QoQ increase in loans at Credicorp was due primarily to:</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in Wholesale Banking loans, led by Corporate Banking;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 growth in the Mortgage segment,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 growth in the BCP Bolivia and Mibanco subsidiaries.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YoY evolution also reflected acceleration in loan growth, which rose +9.7% and outpaced the expansion posted last quarter (+8.8%). It is important to note that significant growth was visible in all business segments and subsidiaries, with the exception of a slight contraction in loans at ASB.</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drop in Total Investments QoQ mainly reflects the sale of fair value through profit or loss investments (formerly trading securities) mainly due to sales of CDs from BCRP and to a lesser degree, due to the sale of Peruvian Government Bonds and bonds from other countries with investment grade. The aforementioned was generated in a context where Mark-to-Market of investments dropped significantly due to increases in global interest rates.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Available funds fell -13.0% QoQ and -23.6% YoY due to a decrease in quarter-end balances in the available funds restricted with BCRP that are required for BCRP instruments on the funding side. This was in line with a drop in volumes of BCRP instruments for funding as these reached due date, thus releasing restricted available funds with BCRP.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shows loan composition by subsidiary and business segment measured in average daily balances. These balances reflect trends or variations to a different degree than quarter-end balances, which may include pre-payments or loans made at the end of the quarter, which affect average daily balances less than quarter-end balances.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average daily loan balances posted, for a second consecutive quarter, an acceleration in loan growth rates both in QoQ and YoY terms. This was attributable to the loan expansion achieved in Wholesale Banking, and to a lesser extent due to an improvement in the pace of growth in Retail Banking, Mibanco and BCP Bolivia.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the portfolio mix, there was a slight change at BCP Stand-alone, where Wholesale Banking loans increased their share of total loans QoQ and YoY. This had a negative impact on the Net Interest Margin (NIM), as we will explain later in the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r>
        <w:rPr>
          <w:rFonts w:ascii="Arial" w:cs="Arial" w:eastAsia="Arial" w:hAnsi="Arial"/>
          <w:sz w:val="30"/>
          <w:szCs w:val="30"/>
          <w:b w:val="1"/>
          <w:bCs w:val="1"/>
          <w:color w:val="auto"/>
          <w:vertAlign w:val="superscript"/>
        </w:rPr>
        <w:t>(1)</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TOTAL LOANS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vMerge w:val="restart"/>
          </w:tcPr>
          <w:p>
            <w:pPr>
              <w:ind w:left="56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 Part. in total loans</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2420" w:type="dxa"/>
            <w:vAlign w:val="bottom"/>
            <w:gridSpan w:val="5"/>
          </w:tcPr>
          <w:p>
            <w:pPr>
              <w:jc w:val="center"/>
              <w:ind w:left="570"/>
              <w:spacing w:after="0"/>
              <w:rPr>
                <w:sz w:val="20"/>
                <w:szCs w:val="20"/>
                <w:color w:val="auto"/>
              </w:rPr>
            </w:pPr>
            <w:r>
              <w:rPr>
                <w:rFonts w:ascii="Arial" w:cs="Arial" w:eastAsia="Arial" w:hAnsi="Arial"/>
                <w:sz w:val="18"/>
                <w:szCs w:val="18"/>
                <w:b w:val="1"/>
                <w:bCs w:val="1"/>
                <w:i w:val="1"/>
                <w:iCs w:val="1"/>
                <w:color w:val="auto"/>
                <w:w w:val="87"/>
              </w:rPr>
              <w:t>Expressed in million 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2Q17</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1Q18</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2Q18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2Q17</w:t>
            </w:r>
          </w:p>
        </w:tc>
        <w:tc>
          <w:tcPr>
            <w:tcW w:w="2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2Q18</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76,915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84,099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0" w:type="dxa"/>
            <w:vAlign w:val="bottom"/>
          </w:tcPr>
          <w:p>
            <w:pPr>
              <w:spacing w:after="0"/>
              <w:rPr>
                <w:sz w:val="1"/>
                <w:szCs w:val="1"/>
                <w:color w:val="auto"/>
              </w:rPr>
            </w:pPr>
          </w:p>
        </w:tc>
      </w:tr>
      <w:tr>
        <w:trPr>
          <w:trHeight w:val="216"/>
        </w:trPr>
        <w:tc>
          <w:tcPr>
            <w:tcW w:w="236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40,709</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43,661</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44,898</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43.2%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27,607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28,505</w:t>
            </w:r>
          </w:p>
        </w:tc>
        <w:tc>
          <w:tcPr>
            <w:tcW w:w="100" w:type="dxa"/>
            <w:vAlign w:val="bottom"/>
            <w:shd w:val="clear" w:color="auto" w:fill="C5D9F1"/>
          </w:tcPr>
          <w:p>
            <w:pPr>
              <w:spacing w:after="0"/>
              <w:rPr>
                <w:sz w:val="18"/>
                <w:szCs w:val="18"/>
                <w:color w:val="auto"/>
              </w:rPr>
            </w:pPr>
          </w:p>
        </w:tc>
        <w:tc>
          <w:tcPr>
            <w:tcW w:w="10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6.8%</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36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900" w:type="dxa"/>
            <w:vAlign w:val="bottom"/>
          </w:tcPr>
          <w:p>
            <w:pPr>
              <w:jc w:val="right"/>
              <w:spacing w:after="0"/>
              <w:rPr>
                <w:sz w:val="20"/>
                <w:szCs w:val="20"/>
                <w:color w:val="auto"/>
              </w:rPr>
            </w:pPr>
            <w:r>
              <w:rPr>
                <w:rFonts w:ascii="Arial" w:cs="Arial" w:eastAsia="Arial" w:hAnsi="Arial"/>
                <w:sz w:val="18"/>
                <w:szCs w:val="18"/>
                <w:color w:val="auto"/>
              </w:rPr>
              <w:t>14,026</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16,054</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16,393</w:t>
            </w:r>
          </w:p>
        </w:tc>
        <w:tc>
          <w:tcPr>
            <w:tcW w:w="100" w:type="dxa"/>
            <w:vAlign w:val="bottom"/>
            <w:shd w:val="clear" w:color="auto" w:fill="C5D9F1"/>
          </w:tcPr>
          <w:p>
            <w:pPr>
              <w:spacing w:after="0"/>
              <w:rPr>
                <w:sz w:val="18"/>
                <w:szCs w:val="18"/>
                <w:color w:val="auto"/>
              </w:rPr>
            </w:pPr>
          </w:p>
        </w:tc>
        <w:tc>
          <w:tcPr>
            <w:tcW w:w="10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16.9%</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14.9%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36,206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38,416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39,202</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16"/>
        </w:trPr>
        <w:tc>
          <w:tcPr>
            <w:tcW w:w="236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900" w:type="dxa"/>
            <w:vAlign w:val="bottom"/>
          </w:tcPr>
          <w:p>
            <w:pPr>
              <w:jc w:val="right"/>
              <w:spacing w:after="0"/>
              <w:rPr>
                <w:sz w:val="20"/>
                <w:szCs w:val="20"/>
                <w:color w:val="auto"/>
              </w:rPr>
            </w:pPr>
            <w:r>
              <w:rPr>
                <w:rFonts w:ascii="Arial" w:cs="Arial" w:eastAsia="Arial" w:hAnsi="Arial"/>
                <w:sz w:val="18"/>
                <w:szCs w:val="18"/>
                <w:color w:val="auto"/>
              </w:rPr>
              <w:t>4,819</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5,070</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5,286</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8,631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8,645</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360" w:type="dxa"/>
            <w:vAlign w:val="bottom"/>
          </w:tcPr>
          <w:p>
            <w:pPr>
              <w:ind w:left="320"/>
              <w:spacing w:after="0"/>
              <w:rPr>
                <w:sz w:val="20"/>
                <w:szCs w:val="20"/>
                <w:color w:val="auto"/>
              </w:rPr>
            </w:pPr>
            <w:r>
              <w:rPr>
                <w:rFonts w:ascii="Arial" w:cs="Arial" w:eastAsia="Arial" w:hAnsi="Arial"/>
                <w:sz w:val="18"/>
                <w:szCs w:val="18"/>
                <w:color w:val="auto"/>
              </w:rPr>
              <w:t>Mortgage</w:t>
            </w:r>
          </w:p>
        </w:tc>
        <w:tc>
          <w:tcPr>
            <w:tcW w:w="900" w:type="dxa"/>
            <w:vAlign w:val="bottom"/>
          </w:tcPr>
          <w:p>
            <w:pPr>
              <w:jc w:val="right"/>
              <w:spacing w:after="0"/>
              <w:rPr>
                <w:sz w:val="20"/>
                <w:szCs w:val="20"/>
                <w:color w:val="auto"/>
              </w:rPr>
            </w:pPr>
            <w:r>
              <w:rPr>
                <w:rFonts w:ascii="Arial" w:cs="Arial" w:eastAsia="Arial" w:hAnsi="Arial"/>
                <w:sz w:val="18"/>
                <w:szCs w:val="18"/>
                <w:color w:val="auto"/>
              </w:rPr>
              <w:t>12,681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13,312</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13,721</w:t>
            </w:r>
          </w:p>
        </w:tc>
        <w:tc>
          <w:tcPr>
            <w:tcW w:w="1180" w:type="dxa"/>
            <w:vAlign w:val="bottom"/>
            <w:gridSpan w:val="3"/>
            <w:shd w:val="clear" w:color="auto" w:fill="C5D9F1"/>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8.2%</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13.5%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6,970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7,123</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36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900" w:type="dxa"/>
            <w:vAlign w:val="bottom"/>
          </w:tcPr>
          <w:p>
            <w:pPr>
              <w:jc w:val="right"/>
              <w:spacing w:after="0"/>
              <w:rPr>
                <w:sz w:val="20"/>
                <w:szCs w:val="20"/>
                <w:color w:val="auto"/>
              </w:rPr>
            </w:pPr>
            <w:r>
              <w:rPr>
                <w:rFonts w:ascii="Arial" w:cs="Arial" w:eastAsia="Arial" w:hAnsi="Arial"/>
                <w:sz w:val="18"/>
                <w:szCs w:val="18"/>
                <w:color w:val="auto"/>
              </w:rPr>
              <w:t>4,283</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4,433</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4,428</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Mibanco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8,689</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9,366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9,553</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9.9%</w:t>
            </w:r>
          </w:p>
        </w:tc>
        <w:tc>
          <w:tcPr>
            <w:tcW w:w="1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Bolivia</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5,716</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6,256</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6,554</w:t>
            </w:r>
          </w:p>
        </w:tc>
        <w:tc>
          <w:tcPr>
            <w:tcW w:w="1180" w:type="dxa"/>
            <w:vAlign w:val="bottom"/>
            <w:gridSpan w:val="3"/>
            <w:shd w:val="clear" w:color="auto" w:fill="C5D9F1"/>
          </w:tcPr>
          <w:p>
            <w:pPr>
              <w:jc w:val="right"/>
              <w:ind w:right="10"/>
              <w:spacing w:after="0"/>
              <w:rPr>
                <w:sz w:val="20"/>
                <w:szCs w:val="20"/>
                <w:color w:val="auto"/>
              </w:rPr>
            </w:pPr>
            <w:r>
              <w:rPr>
                <w:rFonts w:ascii="Arial" w:cs="Arial" w:eastAsia="Arial" w:hAnsi="Arial"/>
                <w:sz w:val="18"/>
                <w:szCs w:val="18"/>
                <w:b w:val="1"/>
                <w:bCs w:val="1"/>
                <w:color w:val="auto"/>
              </w:rPr>
              <w:t>4.8%</w:t>
            </w: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14.7%</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6.1%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ASB</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2,710</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2,576</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20"/>
                <w:szCs w:val="20"/>
                <w:color w:val="auto"/>
              </w:rPr>
            </w:pPr>
            <w:r>
              <w:rPr>
                <w:rFonts w:ascii="Arial" w:cs="Arial" w:eastAsia="Arial" w:hAnsi="Arial"/>
                <w:sz w:val="18"/>
                <w:szCs w:val="18"/>
                <w:b w:val="1"/>
                <w:bCs w:val="1"/>
                <w:color w:val="auto"/>
              </w:rPr>
              <w:t>BAP's total loans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94,136</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100,409</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102,782</w:t>
            </w:r>
          </w:p>
        </w:tc>
        <w:tc>
          <w:tcPr>
            <w:tcW w:w="18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29146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21463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Largest contraction in volumes</w:t>
      </w:r>
    </w:p>
    <w:p>
      <w:pPr>
        <w:spacing w:after="0" w:line="211" w:lineRule="exact"/>
        <w:rPr>
          <w:sz w:val="20"/>
          <w:szCs w:val="20"/>
          <w:color w:val="auto"/>
        </w:rPr>
      </w:pPr>
    </w:p>
    <w:p>
      <w:pPr>
        <w:ind w:left="660" w:right="440" w:hanging="4"/>
        <w:spacing w:after="0" w:line="277" w:lineRule="auto"/>
        <w:tabs>
          <w:tab w:leader="none" w:pos="915" w:val="left"/>
        </w:tabs>
        <w:numPr>
          <w:ilvl w:val="0"/>
          <w:numId w:val="9"/>
        </w:numPr>
        <w:rPr>
          <w:rFonts w:ascii="Arial" w:cs="Arial" w:eastAsia="Arial" w:hAnsi="Arial"/>
          <w:sz w:val="18"/>
          <w:szCs w:val="18"/>
          <w:color w:val="auto"/>
        </w:rPr>
      </w:pPr>
      <w:r>
        <w:rPr>
          <w:rFonts w:ascii="Arial" w:cs="Arial" w:eastAsia="Arial" w:hAnsi="Arial"/>
          <w:sz w:val="18"/>
          <w:szCs w:val="18"/>
          <w:color w:val="auto"/>
        </w:rPr>
        <w:t>Figures differ from previously reported due to the elimination of the “Others” segment (work-out unit). Loans from said segment have been distributed among the other segments accordingly.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 of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142875</wp:posOffset>
            </wp:positionV>
            <wp:extent cx="5625465" cy="184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546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by segment, QoQ expansion in loans measured in average daily balances reflects:</w:t>
      </w:r>
    </w:p>
    <w:p>
      <w:pPr>
        <w:spacing w:after="0" w:line="225" w:lineRule="exact"/>
        <w:rPr>
          <w:sz w:val="20"/>
          <w:szCs w:val="20"/>
          <w:color w:val="auto"/>
        </w:rPr>
      </w:pPr>
    </w:p>
    <w:p>
      <w:pPr>
        <w:jc w:val="both"/>
        <w:ind w:left="880" w:hanging="494"/>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expansion in Wholesale Banking, both in the sub-segment of Corporate Banking (+3.3% QoQ) and in Middle-Market Banking (2.1% QoQ). In Corporate Banking, growth was due to expansion in loans for working capital and foreign trade while in Middle-Market Banking, expansion was attributable to long-term loans and to foreign trade.</w:t>
      </w:r>
    </w:p>
    <w:p>
      <w:pPr>
        <w:spacing w:after="0" w:line="181" w:lineRule="exact"/>
        <w:rPr>
          <w:rFonts w:ascii="Arial" w:cs="Arial" w:eastAsia="Arial" w:hAnsi="Arial"/>
          <w:sz w:val="18"/>
          <w:szCs w:val="18"/>
          <w:color w:val="auto"/>
        </w:rPr>
      </w:pPr>
    </w:p>
    <w:p>
      <w:pPr>
        <w:ind w:left="880" w:hanging="49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growth in the Mortgage and SME-Business segments within Retail Banking.</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loans at BCP Bolivia, which posted growth of +4.8% QoQ in 2Q18. This evolution was attributable to growth in Middle-Market Banking, Mortgage (regulated portfolio) and in Corporate Banking.</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Mibanco loans was in line with an improvement in the productivity of the sales force, which has allowed us to continue rolling out a strategy based on financial inclusion (new clients in the System) and on accompanying our clients’ growth.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 of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142875</wp:posOffset>
            </wp:positionV>
            <wp:extent cx="5711190" cy="1903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119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An analysis of YoY growth by segment measured in average daily balances reveals:</w:t>
      </w:r>
    </w:p>
    <w:p>
      <w:pPr>
        <w:spacing w:after="0" w:line="225" w:lineRule="exact"/>
        <w:rPr>
          <w:sz w:val="20"/>
          <w:szCs w:val="20"/>
          <w:color w:val="auto"/>
        </w:rPr>
      </w:pPr>
    </w:p>
    <w:p>
      <w:pPr>
        <w:jc w:val="both"/>
        <w:ind w:left="880" w:hanging="494"/>
        <w:spacing w:after="0" w:line="25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expansion in Wholesale Banking, both in the Middle-Market sub-segment (+16.9% YoY) and in Corporate Banking (6.8% YoY). In Middle-Market Banking, growth was due to an increase in long-term loans and loans for working capital while in Corporate Banking, expansion was attributable to growth in loans for working capital and foreign trade. The expansion seen in these segments was due, in part, to the first fishing campaign in 2018, which generated a significant increase in capture volumes compared to the level posted by the first fishing campaign in 2017.</w:t>
      </w:r>
    </w:p>
    <w:p>
      <w:pPr>
        <w:spacing w:after="0" w:line="188" w:lineRule="exact"/>
        <w:rPr>
          <w:rFonts w:ascii="Arial" w:cs="Arial" w:eastAsia="Arial" w:hAnsi="Arial"/>
          <w:sz w:val="18"/>
          <w:szCs w:val="18"/>
          <w:color w:val="auto"/>
        </w:rPr>
      </w:pPr>
    </w:p>
    <w:p>
      <w:pPr>
        <w:ind w:left="880" w:hanging="49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growth in the Mortgage, SME-Pyme and Consumer segments in Retail Banking.</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expansion in Mibanco loan book, in line with on-going improvement in the productivity of the sales force.</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growth at BCP Bolivia, which was up +14.7% YoY in 2Q18. This evolution was attributable to loan expansion in the Corporate Banking, Mortgage (regulated portfolio) and Middle-Market Banking loans.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Year-to-date growth in average daily balances per segment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 of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142875</wp:posOffset>
            </wp:positionV>
            <wp:extent cx="5711190" cy="1903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119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the level of average daily loan balances in the first half of 2018 registered an increase of 6.8% with regard to the average daily balance of the full year 2017. This expansion was due primarily to growth in Middle-Market and Corporate Banking loans and to a lesser extent, to increases in loans in the Mortgage, Mibanco and BCP Bolivia segments.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r>
        <w:rPr>
          <w:rFonts w:ascii="Arial" w:cs="Arial" w:eastAsia="Arial" w:hAnsi="Arial"/>
          <w:sz w:val="30"/>
          <w:szCs w:val="30"/>
          <w:b w:val="1"/>
          <w:bCs w:val="1"/>
          <w:color w:val="auto"/>
          <w:vertAlign w:val="superscript"/>
        </w:rPr>
        <w:t>(1)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DOMESTIC CURRENCY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rPr>
              <w:t>FOREIGN CURRENCY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 part. by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center"/>
              <w:ind w:right="188"/>
              <w:spacing w:after="0"/>
              <w:rPr>
                <w:sz w:val="20"/>
                <w:szCs w:val="20"/>
                <w:color w:val="auto"/>
              </w:rPr>
            </w:pPr>
            <w:r>
              <w:rPr>
                <w:rFonts w:ascii="Arial" w:cs="Arial" w:eastAsia="Arial" w:hAnsi="Arial"/>
                <w:sz w:val="14"/>
                <w:szCs w:val="14"/>
                <w:b w:val="1"/>
                <w:bCs w:val="1"/>
                <w:i w:val="1"/>
                <w:iCs w:val="1"/>
                <w:color w:val="auto"/>
                <w:w w:val="89"/>
              </w:rPr>
              <w:t>Expressed in million 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28"/>
              <w:spacing w:after="0"/>
              <w:rPr>
                <w:sz w:val="20"/>
                <w:szCs w:val="20"/>
                <w:color w:val="auto"/>
              </w:rPr>
            </w:pPr>
            <w:r>
              <w:rPr>
                <w:rFonts w:ascii="Arial" w:cs="Arial" w:eastAsia="Arial" w:hAnsi="Arial"/>
                <w:sz w:val="14"/>
                <w:szCs w:val="14"/>
                <w:b w:val="1"/>
                <w:bCs w:val="1"/>
                <w:i w:val="1"/>
                <w:iCs w:val="1"/>
                <w:color w:val="auto"/>
                <w:w w:val="90"/>
              </w:rPr>
              <w:t>Expressed in million US$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currency 2Q18</w:t>
            </w: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1Q18</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2Q18</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2Q17</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1Q18</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2Q18</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FC</w:t>
            </w:r>
          </w:p>
        </w:tc>
        <w:tc>
          <w:tcPr>
            <w:tcW w:w="12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46,871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50,401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51,227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1.6%</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9,227</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9,794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10,069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2.8%</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60.9%</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39.1%</w:t>
            </w: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18,270</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19,761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19,869</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0.5%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6,892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7,390</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7,666</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3.7%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11.2%</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44.3%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55.7%</w:t>
            </w: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Corporate</w:t>
            </w:r>
          </w:p>
        </w:tc>
        <w:tc>
          <w:tcPr>
            <w:tcW w:w="5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11,509</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11,951</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11,989</w:t>
            </w:r>
          </w:p>
        </w:tc>
        <w:tc>
          <w:tcPr>
            <w:tcW w:w="80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0.3%</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4.2%</w:t>
            </w:r>
          </w:p>
        </w:tc>
        <w:tc>
          <w:tcPr>
            <w:tcW w:w="88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4,660</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4,841</w:t>
            </w:r>
          </w:p>
        </w:tc>
        <w:tc>
          <w:tcPr>
            <w:tcW w:w="7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5,059</w:t>
            </w:r>
          </w:p>
        </w:tc>
        <w:tc>
          <w:tcPr>
            <w:tcW w:w="820" w:type="dxa"/>
            <w:vAlign w:val="bottom"/>
            <w:gridSpan w:val="2"/>
            <w:shd w:val="clear" w:color="auto" w:fill="C5D9F1"/>
          </w:tcPr>
          <w:p>
            <w:pPr>
              <w:jc w:val="right"/>
              <w:ind w:right="68"/>
              <w:spacing w:after="0" w:line="130" w:lineRule="exact"/>
              <w:rPr>
                <w:sz w:val="20"/>
                <w:szCs w:val="20"/>
                <w:color w:val="auto"/>
              </w:rPr>
            </w:pPr>
            <w:r>
              <w:rPr>
                <w:rFonts w:ascii="Arial" w:cs="Arial" w:eastAsia="Arial" w:hAnsi="Arial"/>
                <w:sz w:val="14"/>
                <w:szCs w:val="14"/>
                <w:color w:val="auto"/>
              </w:rPr>
              <w:t>4.5%</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8.6%</w:t>
            </w:r>
          </w:p>
        </w:tc>
        <w:tc>
          <w:tcPr>
            <w:tcW w:w="9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42.1%</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57.9%</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6,761</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7,810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7,880</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0.9%</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16.6%</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2,231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2,549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2,607</w:t>
            </w:r>
          </w:p>
        </w:tc>
        <w:tc>
          <w:tcPr>
            <w:tcW w:w="820" w:type="dxa"/>
            <w:vAlign w:val="bottom"/>
            <w:gridSpan w:val="2"/>
            <w:shd w:val="clear" w:color="auto" w:fill="C5D9F1"/>
          </w:tcPr>
          <w:p>
            <w:pPr>
              <w:jc w:val="right"/>
              <w:ind w:right="68"/>
              <w:spacing w:after="0" w:line="149" w:lineRule="exact"/>
              <w:rPr>
                <w:sz w:val="20"/>
                <w:szCs w:val="20"/>
                <w:color w:val="auto"/>
              </w:rPr>
            </w:pPr>
            <w:r>
              <w:rPr>
                <w:rFonts w:ascii="Arial" w:cs="Arial" w:eastAsia="Arial" w:hAnsi="Arial"/>
                <w:sz w:val="14"/>
                <w:szCs w:val="14"/>
                <w:color w:val="auto"/>
              </w:rPr>
              <w:t>2.3%</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16.9%</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48.1%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51.9%</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28,601</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30,640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31,358</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2,336</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2,404</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2,402</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2,304</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2,317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2,383</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772</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889</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45.1%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54.9%</w:t>
            </w: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SME - Pyme</w:t>
            </w: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7,599</w:t>
            </w: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8,343</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8,375</w:t>
            </w:r>
          </w:p>
        </w:tc>
        <w:tc>
          <w:tcPr>
            <w:tcW w:w="80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0.4%</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10.2%</w:t>
            </w:r>
          </w:p>
        </w:tc>
        <w:tc>
          <w:tcPr>
            <w:tcW w:w="6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-7.2%</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-16.6%</w:t>
            </w:r>
          </w:p>
        </w:tc>
        <w:tc>
          <w:tcPr>
            <w:tcW w:w="9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96.9%</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3.1%</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9,460</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10,365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10,836</w:t>
            </w:r>
          </w:p>
        </w:tc>
        <w:tc>
          <w:tcPr>
            <w:tcW w:w="8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4.5%</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14.5%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989</w:t>
            </w:r>
          </w:p>
        </w:tc>
        <w:tc>
          <w:tcPr>
            <w:tcW w:w="2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79.0%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5,471</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5,772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5,963</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83.7%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3,766</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3,843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3,801</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85.8%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Mibanco</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8,189</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8,847</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9,016</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1.9%</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10.1%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94.4%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1,756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1,934</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2,008</w:t>
            </w:r>
          </w:p>
        </w:tc>
        <w:tc>
          <w:tcPr>
            <w:tcW w:w="82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b w:val="1"/>
                <w:bCs w:val="1"/>
                <w:color w:val="auto"/>
              </w:rPr>
              <w:t>3.8%</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14.4%</w:t>
            </w:r>
          </w:p>
        </w:tc>
        <w:tc>
          <w:tcPr>
            <w:tcW w:w="920" w:type="dxa"/>
            <w:vAlign w:val="bottom"/>
            <w:gridSpan w:val="3"/>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ASB</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865</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838</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789</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920" w:type="dxa"/>
            <w:vAlign w:val="bottom"/>
            <w:gridSpan w:val="3"/>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r>
      <w:tr>
        <w:trPr>
          <w:trHeight w:val="142"/>
        </w:trPr>
        <w:tc>
          <w:tcPr>
            <w:tcW w:w="1960" w:type="dxa"/>
            <w:vAlign w:val="bottom"/>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55,060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59,248</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60,243</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12,001</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12,726</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13,030</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58.6</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41.4</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4003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 cy="18034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Largest contraction in volumes</w:t>
      </w:r>
    </w:p>
    <w:p>
      <w:pPr>
        <w:spacing w:after="0" w:line="211" w:lineRule="exact"/>
        <w:rPr>
          <w:sz w:val="20"/>
          <w:szCs w:val="20"/>
          <w:color w:val="auto"/>
        </w:rPr>
      </w:pPr>
    </w:p>
    <w:p>
      <w:pPr>
        <w:ind w:left="640" w:right="460" w:firstLine="6"/>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Figures differ from previously reported due to the elimination of the “Others” segment (work-out unit). Loans from said segment have been distributed among the other segments accordingly.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analysis of loan growth by currency, the expansion posted QoQ and YoY is explained by growth in both the LC portfolio (+1.7% QoQ and +9.4% YoY) and the FC portfolio (+2.4% QoQ and +8.6% YoY).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30"/>
          <w:szCs w:val="30"/>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90170</wp:posOffset>
            </wp:positionV>
            <wp:extent cx="5591175" cy="2015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9117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hanging="256"/>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left="260" w:firstLine="4"/>
        <w:spacing w:after="0" w:line="261" w:lineRule="auto"/>
        <w:tabs>
          <w:tab w:leader="none" w:pos="5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BCP Stand-alone and Mibanco’s loan books.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BCP Stand-alone, the loan-dollarization level remained relatively stable YoY. However, the analysis by business segments shows a reduction in the dollarization level in the Mortgage and SME-Pyme segments. The dedollarization in the mortgage segment was due to the decreasing interest rate differential between new disbursements in LC and FC loans, which was attributable to the downward and stable trend for LC and FC rates, respectively. Conversely, Wholesale Banking, SME-Business and Credit card segments posted a slight increase in their dollarization levels. In the case of Wholesale Banking, loan growth in FC is explained mainly by financing for the first fishing campaign.</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It is important to highlight that, as shown in the graph below, the percentage of the loan portfolio that is highly exposed to FX risk on credit risk remains relatively stable at a level close to 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154940</wp:posOffset>
            </wp:positionV>
            <wp:extent cx="3112770" cy="16376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2770"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BCRP de-dollarization plan at BCP Stand-alone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2014, BCRP set up a Program to reduce the dollarization level of the loan book in the Peruvian Banking System. As part of this Program, BCRP set some targets to reduce the loan balance in US Dollars progressively at the end of June 2015, December 2015, December 2016, December 2017 and December 2018. The balances that are subject to reduction targets are the total FC portfolio with some exceptions and the balance of the joint mortgage and car loan portfolio. The balance required at the end of December 2018 is as follows:</w:t>
      </w:r>
    </w:p>
    <w:p>
      <w:pPr>
        <w:spacing w:after="0" w:line="187" w:lineRule="exact"/>
        <w:rPr>
          <w:sz w:val="20"/>
          <w:szCs w:val="20"/>
          <w:color w:val="auto"/>
        </w:rPr>
      </w:pPr>
    </w:p>
    <w:p>
      <w:pPr>
        <w:ind w:left="880" w:hanging="494"/>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total portfolio in FC, the goal set for 2017 will continue to apply. In this context, the balance at the end of December 2018 must represent no more than 80% of the total loan balance in FC reported at the end of September 2013 (excluding loans that meet certain requirements.)</w:t>
      </w:r>
    </w:p>
    <w:p>
      <w:pPr>
        <w:spacing w:after="0" w:line="123"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At the end of June 2018, BCP Stand-alone already registered a compliance level of 97% with regard to the goal set by BCRP for December 2018.</w:t>
      </w:r>
    </w:p>
    <w:p>
      <w:pPr>
        <w:spacing w:after="0" w:line="248" w:lineRule="exact"/>
        <w:rPr>
          <w:rFonts w:ascii="Arial" w:cs="Arial" w:eastAsia="Arial" w:hAnsi="Arial"/>
          <w:sz w:val="16"/>
          <w:szCs w:val="16"/>
          <w:color w:val="auto"/>
        </w:rPr>
      </w:pPr>
    </w:p>
    <w:p>
      <w:pPr>
        <w:jc w:val="both"/>
        <w:ind w:left="880" w:hanging="494"/>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Mortgage and Car portfolio in FC, the goal set for 2017 will continue to apply until November 2018. In December, a 10% adjustment will be made. The goal will be adjusted by 10% every year to reach a minimum of 5% of net equity. The balance at the end of December 2018 must represent no more than 60% of the balance registered at the end of February 2013.</w:t>
      </w:r>
    </w:p>
    <w:p>
      <w:pPr>
        <w:spacing w:after="0" w:line="18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At the end of June 2018, BCP Stand-alone posted a compliance level with BCRP’s de-dollarization target of 101%.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1.2.5. Market share in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5917565" cy="1551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75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Wholesale Banking market shares are different that previously reported because loans from COFIDE are now included in the denominator.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1.1% as of May 2018 and March 2018, and of 1.0% as of June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1.6% as of May 2018, 1.7% as of March 2018, and 2.1% as of June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Shares for Corporate, Middle-market and SME-Business are as of June 2018.</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May 2018, BCP Stand-alone continued to lead the market with a market share (MS) of 29.3%, which was significantly higher than the level posted by its closest competitor. This level is very similar to that obtained in 1Q18 (29.3%) and in 2Q17 (28.8%).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Banking reported a decrease of -220 bps in its MS QoQ, while Middle-market Banking increased its MS in +80 bps. In the YoY evolution, Corporate Banking reported a reduction of -30 bps in its MS while Middle Market Banking posted an increase of +220 bps. It is important to mention that both segments continue to lead in their respective markets.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Retail Banking, BCP reported a relatively stable market share and continued to lead in virtually all of its segments, with the exception of SME-Business. In this segment, BCP is situated in second place but is focused on growing its market share, as is evident in a YoY expansion of +180 bps.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Mibanco reported a MS in the SME segment that topped 2017’s level by +70 bps, situating at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Finally, BCP Bolivia’s market grew +10 bps QoQ and +30 bps YoY, which allowed it to remain in fourth place in the Bolivian Financial System.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 Funding 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At the end of 2Q18, total funding fell QoQ. This was primarily attributable to the decrease in BCRP Instruments and, to a lesser extent, to a slight drop in total deposits, mainly in LC. Deposits continued to be the main source of funding at Credicorp, and in the YoY analysis they represent the main source to replace BCRP Instruments that reached their due date. All of the aforementioned had a positive impact on Credicorp’s funding cost, which remained relative stable since 2016 (+6 bps QoQ, -5 bps YoY and -9 bps YTD), despite increases in international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Jun 17</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Mar 18</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 18</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2"/>
              </w:rPr>
              <w:t>QoQ</w:t>
            </w: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24,051,059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26,464,658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24,630,138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4,884,148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4,597,370</w:t>
            </w:r>
          </w:p>
        </w:tc>
        <w:tc>
          <w:tcPr>
            <w:tcW w:w="1180" w:type="dxa"/>
            <w:vAlign w:val="bottom"/>
          </w:tcPr>
          <w:p>
            <w:pPr>
              <w:jc w:val="right"/>
              <w:spacing w:after="0"/>
              <w:rPr>
                <w:sz w:val="20"/>
                <w:szCs w:val="20"/>
                <w:color w:val="auto"/>
              </w:rPr>
            </w:pPr>
            <w:r>
              <w:rPr>
                <w:rFonts w:ascii="Arial" w:cs="Arial" w:eastAsia="Arial" w:hAnsi="Arial"/>
                <w:sz w:val="18"/>
                <w:szCs w:val="18"/>
                <w:color w:val="auto"/>
              </w:rPr>
              <w:t>4,652,886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26,085,580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29,724,860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29,709,658</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29,576,960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30,238,770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30,762,161</w:t>
            </w:r>
          </w:p>
        </w:tc>
        <w:tc>
          <w:tcPr>
            <w:tcW w:w="78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7,039,767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6,676,449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7,275,824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401,618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490,998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513,568</w:t>
            </w:r>
          </w:p>
        </w:tc>
        <w:tc>
          <w:tcPr>
            <w:tcW w:w="780" w:type="dxa"/>
            <w:vAlign w:val="bottom"/>
          </w:tcPr>
          <w:p>
            <w:pPr>
              <w:spacing w:after="0"/>
              <w:rPr>
                <w:sz w:val="19"/>
                <w:szCs w:val="19"/>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92,039,132</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98,193,105</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97,544,235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200" w:type="dxa"/>
            <w:vAlign w:val="bottom"/>
          </w:tcPr>
          <w:p>
            <w:pPr>
              <w:jc w:val="right"/>
              <w:spacing w:after="0"/>
              <w:rPr>
                <w:sz w:val="20"/>
                <w:szCs w:val="20"/>
                <w:color w:val="auto"/>
              </w:rPr>
            </w:pPr>
            <w:r>
              <w:rPr>
                <w:rFonts w:ascii="Arial" w:cs="Arial" w:eastAsia="Arial" w:hAnsi="Arial"/>
                <w:sz w:val="18"/>
                <w:szCs w:val="18"/>
                <w:color w:val="auto"/>
              </w:rPr>
              <w:t>8,066,962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7,824,148</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8,057,222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BCRP instruments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8,989,728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6,494,792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4,578,878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1"/>
              </w:rPr>
              <w:t>-29.5%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57"/>
        </w:trPr>
        <w:tc>
          <w:tcPr>
            <w:tcW w:w="37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Repurchase agreements </w:t>
            </w:r>
            <w:r>
              <w:rPr>
                <w:rFonts w:ascii="Arial" w:cs="Arial" w:eastAsia="Arial" w:hAnsi="Arial"/>
                <w:sz w:val="29"/>
                <w:szCs w:val="29"/>
                <w:color w:val="auto"/>
                <w:vertAlign w:val="superscript"/>
              </w:rPr>
              <w:t>(1)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2,700,084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2,867,326</w:t>
            </w:r>
          </w:p>
        </w:tc>
        <w:tc>
          <w:tcPr>
            <w:tcW w:w="1180" w:type="dxa"/>
            <w:vAlign w:val="bottom"/>
          </w:tcPr>
          <w:p>
            <w:pPr>
              <w:jc w:val="right"/>
              <w:spacing w:after="0"/>
              <w:rPr>
                <w:sz w:val="20"/>
                <w:szCs w:val="20"/>
                <w:color w:val="auto"/>
              </w:rPr>
            </w:pPr>
            <w:r>
              <w:rPr>
                <w:rFonts w:ascii="Arial" w:cs="Arial" w:eastAsia="Arial" w:hAnsi="Arial"/>
                <w:sz w:val="18"/>
                <w:szCs w:val="18"/>
                <w:color w:val="auto"/>
              </w:rPr>
              <w:t>2,710,701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15,295,673</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15,318,649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15,283,893</w:t>
            </w:r>
          </w:p>
        </w:tc>
        <w:tc>
          <w:tcPr>
            <w:tcW w:w="7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line="285" w:lineRule="exact"/>
              <w:rPr>
                <w:sz w:val="20"/>
                <w:szCs w:val="20"/>
                <w:color w:val="auto"/>
              </w:rPr>
            </w:pPr>
            <w:r>
              <w:rPr>
                <w:rFonts w:ascii="Arial" w:cs="Arial" w:eastAsia="Arial" w:hAnsi="Arial"/>
                <w:sz w:val="18"/>
                <w:szCs w:val="18"/>
                <w:b w:val="1"/>
                <w:bCs w:val="1"/>
                <w:color w:val="auto"/>
              </w:rPr>
              <w:t xml:space="preserve">Total funding </w:t>
            </w:r>
            <w:r>
              <w:rPr>
                <w:rFonts w:ascii="Arial" w:cs="Arial" w:eastAsia="Arial" w:hAnsi="Arial"/>
                <w:sz w:val="30"/>
                <w:szCs w:val="30"/>
                <w:b w:val="1"/>
                <w:bCs w:val="1"/>
                <w:color w:val="auto"/>
                <w:vertAlign w:val="superscript"/>
              </w:rPr>
              <w:t>(2)</w:t>
            </w: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780" w:type="dxa"/>
            <w:vAlign w:val="bottom"/>
            <w:gridSpan w:val="2"/>
            <w:vMerge w:val="continue"/>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127,091,579</w:t>
            </w:r>
          </w:p>
        </w:tc>
        <w:tc>
          <w:tcPr>
            <w:tcW w:w="2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130,698,020</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128,174,929</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-8890</wp:posOffset>
            </wp:positionV>
            <wp:extent cx="43567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Since 2Q18, Repurchase agreements is excluded from Other liabilities and shown in a individual account. Also, it is included in the Total funding.</w:t>
      </w:r>
    </w:p>
    <w:p>
      <w:pPr>
        <w:spacing w:after="0" w:line="18" w:lineRule="exact"/>
        <w:rPr>
          <w:rFonts w:ascii="Arial" w:cs="Arial" w:eastAsia="Arial" w:hAnsi="Arial"/>
          <w:sz w:val="17"/>
          <w:szCs w:val="17"/>
          <w:color w:val="auto"/>
        </w:rPr>
      </w:pPr>
    </w:p>
    <w:p>
      <w:pPr>
        <w:ind w:firstLine="8"/>
        <w:spacing w:after="0" w:line="261" w:lineRule="auto"/>
        <w:tabs>
          <w:tab w:leader="none" w:pos="2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Since 1Q18, Total Funding excludes the following accounts: acceptances outstanding, reserves for property and casualty claims, reserve for unearned premiums, reinsurance payable and other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883275" cy="2889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327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40" w:firstLine="8"/>
        <w:spacing w:after="0" w:line="342"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funding cost differs from previously reported due to the methodology change of the denominator, which do not include the following accounts: acceptances outstanding, reserves for property and casualty claims, reserve for unearned premiums, reinsurance payable and other liabilities.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figure depicting the evolution of Credicorp’s structure and funding cost is calculated with period-end balances.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funding reported a slight decrease QoQ, which was due primarily to a decrease in the level of BCRP Instruments and to a lesser extent, to a minor contraction in deposits. The most noteworthy aspects of the funding structure were:</w:t>
      </w:r>
    </w:p>
    <w:p>
      <w:pPr>
        <w:spacing w:after="0" w:line="170" w:lineRule="exact"/>
        <w:rPr>
          <w:sz w:val="20"/>
          <w:szCs w:val="20"/>
          <w:color w:val="auto"/>
        </w:rPr>
      </w:pPr>
    </w:p>
    <w:p>
      <w:pPr>
        <w:ind w:left="880" w:hanging="49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importance of deposits as a funding source, whose share of total funding continued to increase QoQ and posted an even larger increase YoY despite the slight QoQ contraction in the volume of total deposits.</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deposit mix reported a significant share of demand and savings deposits, which represented 60.5% of total deposits. These deposit types register lower costs than others in the mix, but most importantly, they have replaced most of BCRP instruments.</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continuous reduction in the volume of BCRP Instruments, which after falling continuously since 2016, reached its lowest level in 3 years at the end of June 2018. This funding type has been replaced mainly by lower-cost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has allowed the funding cost to remain relatively stable since December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2.2. Deposits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Jun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Jun 18</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24,051,059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26,464,658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24,630,138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4,884,148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4,597,370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4,652,886</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26,085,580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29,724,860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29,709,658</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-0.1%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29,576,960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30,238,770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30,762,161</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7,039,767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6,676,449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7,275,824</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401,618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490,998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513,568</w:t>
            </w:r>
          </w:p>
        </w:tc>
        <w:tc>
          <w:tcPr>
            <w:tcW w:w="78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27.9%</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86"/>
              </w:rPr>
              <w:t>92,039,132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98,193,105</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86"/>
              </w:rPr>
              <w:t>97,544,235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deposits fell slightly QoQ. This was mainly attributable to a decrease in non-interest-bearing demand deposits, which fell slightly QoQ. This drop was, however, somewhat attenuated by an increase in the volume of CTS deposits and time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QoQ reduction was attributable to a contraction in:</w:t>
      </w:r>
    </w:p>
    <w:p>
      <w:pPr>
        <w:spacing w:after="0" w:line="221" w:lineRule="exact"/>
        <w:rPr>
          <w:sz w:val="20"/>
          <w:szCs w:val="20"/>
          <w:color w:val="auto"/>
        </w:rPr>
      </w:pPr>
    </w:p>
    <w:p>
      <w:pPr>
        <w:ind w:left="880" w:right="20" w:hanging="494"/>
        <w:spacing w:after="0" w:line="282"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Non-interest-bearing demand deposits </w:t>
      </w:r>
      <w:r>
        <w:rPr>
          <w:rFonts w:ascii="Arial" w:cs="Arial" w:eastAsia="Arial" w:hAnsi="Arial"/>
          <w:sz w:val="18"/>
          <w:szCs w:val="18"/>
          <w:color w:val="auto"/>
        </w:rPr>
        <w:t>at BCP Stand-alone, which was in line with a decrease in the average volume of current accounts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Banking in the month of June, and</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at BCP Stand-alone.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slightly offset by a QoQ increase in:</w:t>
      </w:r>
    </w:p>
    <w:p>
      <w:pPr>
        <w:spacing w:after="0" w:line="221" w:lineRule="exact"/>
        <w:rPr>
          <w:sz w:val="20"/>
          <w:szCs w:val="20"/>
          <w:color w:val="auto"/>
        </w:rPr>
      </w:pPr>
    </w:p>
    <w:p>
      <w:pPr>
        <w:ind w:left="880" w:hanging="49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Severance indemnity deposits </w:t>
      </w:r>
      <w:r>
        <w:rPr>
          <w:rFonts w:ascii="Arial" w:cs="Arial" w:eastAsia="Arial" w:hAnsi="Arial"/>
          <w:sz w:val="18"/>
          <w:szCs w:val="18"/>
          <w:color w:val="auto"/>
        </w:rPr>
        <w:t>given that employers make the first deposit in 2Q every year (in the month of May).</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Time deposits</w:t>
      </w:r>
      <w:r>
        <w:rPr>
          <w:rFonts w:ascii="Arial" w:cs="Arial" w:eastAsia="Arial" w:hAnsi="Arial"/>
          <w:sz w:val="18"/>
          <w:szCs w:val="18"/>
          <w:color w:val="auto"/>
        </w:rPr>
        <w:t>, through BCP Stand-alone and ASB due to an increase in corporate time deposits.</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Interest-bearing demand deposits </w:t>
      </w:r>
      <w:r>
        <w:rPr>
          <w:rFonts w:ascii="Arial" w:cs="Arial" w:eastAsia="Arial" w:hAnsi="Arial"/>
          <w:sz w:val="18"/>
          <w:szCs w:val="18"/>
          <w:color w:val="auto"/>
        </w:rPr>
        <w:t>at BCP Stand-alone due to an increase in deposit of entities from the financial system.</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 YoY terms, total deposits increased +6.0%, mainly due to:</w:t>
      </w:r>
    </w:p>
    <w:p>
      <w:pPr>
        <w:spacing w:after="0" w:line="221" w:lineRule="exact"/>
        <w:rPr>
          <w:sz w:val="20"/>
          <w:szCs w:val="20"/>
          <w:color w:val="auto"/>
        </w:rPr>
      </w:pPr>
    </w:p>
    <w:p>
      <w:pPr>
        <w:ind w:left="880" w:hanging="49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Savings deposits</w:t>
      </w:r>
      <w:r>
        <w:rPr>
          <w:rFonts w:ascii="Arial" w:cs="Arial" w:eastAsia="Arial" w:hAnsi="Arial"/>
          <w:sz w:val="18"/>
          <w:szCs w:val="18"/>
          <w:color w:val="auto"/>
        </w:rPr>
        <w:t>, whose YoY results reflect the campaigns throughout the year to capture savings.</w:t>
      </w:r>
    </w:p>
    <w:p>
      <w:pPr>
        <w:spacing w:after="0" w:line="225"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Time deposits</w:t>
      </w:r>
      <w:r>
        <w:rPr>
          <w:rFonts w:ascii="Arial" w:cs="Arial" w:eastAsia="Arial" w:hAnsi="Arial"/>
          <w:sz w:val="18"/>
          <w:szCs w:val="18"/>
          <w:color w:val="auto"/>
        </w:rPr>
        <w:t>, which grew thanks to campaigns in 2017 to capture deposits from individuals and companies, mainly at BCP Stand-alone and</w:t>
      </w:r>
      <w:r>
        <w:rPr>
          <w:rFonts w:ascii="Arial" w:cs="Arial" w:eastAsia="Arial" w:hAnsi="Arial"/>
          <w:sz w:val="18"/>
          <w:szCs w:val="18"/>
          <w:b w:val="1"/>
          <w:bCs w:val="1"/>
          <w:color w:val="auto"/>
        </w:rPr>
        <w:t xml:space="preserve"> </w:t>
      </w:r>
      <w:r>
        <w:rPr>
          <w:rFonts w:ascii="Arial" w:cs="Arial" w:eastAsia="Arial" w:hAnsi="Arial"/>
          <w:sz w:val="18"/>
          <w:szCs w:val="18"/>
          <w:color w:val="auto"/>
        </w:rPr>
        <w:t>BCP Bolivia.</w:t>
      </w:r>
    </w:p>
    <w:p>
      <w:pPr>
        <w:spacing w:after="0" w:line="161" w:lineRule="exact"/>
        <w:rPr>
          <w:rFonts w:ascii="Arial" w:cs="Arial" w:eastAsia="Arial" w:hAnsi="Arial"/>
          <w:sz w:val="18"/>
          <w:szCs w:val="18"/>
          <w:color w:val="auto"/>
        </w:rPr>
      </w:pPr>
    </w:p>
    <w:p>
      <w:pPr>
        <w:ind w:left="880" w:right="20" w:hanging="494"/>
        <w:spacing w:after="0" w:line="282"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Last, </w:t>
      </w:r>
      <w:r>
        <w:rPr>
          <w:rFonts w:ascii="Arial" w:cs="Arial" w:eastAsia="Arial" w:hAnsi="Arial"/>
          <w:sz w:val="18"/>
          <w:szCs w:val="18"/>
          <w:b w:val="1"/>
          <w:bCs w:val="1"/>
          <w:color w:val="auto"/>
        </w:rPr>
        <w:t>non-interest bearing demand deposits,</w:t>
      </w:r>
      <w:r>
        <w:rPr>
          <w:rFonts w:ascii="Arial" w:cs="Arial" w:eastAsia="Arial" w:hAnsi="Arial"/>
          <w:sz w:val="18"/>
          <w:szCs w:val="18"/>
          <w:color w:val="auto"/>
        </w:rPr>
        <w:t xml:space="preserve"> which expanded mainly due an increase in the average balance of current accounts of institutional clients.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90170</wp:posOffset>
            </wp:positionV>
            <wp:extent cx="3001645" cy="1080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0164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(1) Q-end balances.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5908675" cy="1466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0867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dollarization level of Credicorp deposits increased QoQ due to growth in FC deposits, which was mainly attributable to higher levels of demand deposits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and savings deposits. The aforementioned was amplified by the drop in both of these deposits types in LC. In the case of time deposits, QoQ growth was primarily due to LC deposits. Deposits in CTS accounts, as indicated in section 2.2 Deposits, were made primarily in LC.</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YoY evolution, an on-going reduction is evident in the dollarization level of total deposits, in line with growth in savings, time and non-interest-bearing deposits in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Includes interest-bearing and non-interest bearing demand deposits.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154940</wp:posOffset>
            </wp:positionV>
            <wp:extent cx="5857240" cy="2075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724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deposits includes Mibanco's market share of 0.2% at the end of June 2017 and March 2018, and 0.1% at the end of May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Savings deposits includes Mibanco's market share of 1.2% at the end of June 2017 and March 2018 and 1.3% at the end of May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Time deposits includes Mibanco's narket share of 5.8% at the end of June 2017, 6.0% at the end of March 2018 and 6.1% at the end of May 2018.</w:t>
      </w:r>
    </w:p>
    <w:p>
      <w:pPr>
        <w:spacing w:after="0" w:line="20" w:lineRule="exact"/>
        <w:rPr>
          <w:rFonts w:ascii="Arial" w:cs="Arial" w:eastAsia="Arial" w:hAnsi="Arial"/>
          <w:sz w:val="17"/>
          <w:szCs w:val="17"/>
          <w:color w:val="auto"/>
        </w:rPr>
      </w:pPr>
    </w:p>
    <w:p>
      <w:pPr>
        <w:ind w:right="2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Severance indemnity deposits includes Mibanco's market share of 1.3% at the end of June 2017, 1.2% at the end of March 2018 and 1.3% at the end of May 2018.</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May 2018, the subsidiaries of Credicorp in Peru, BCP and Mibanco, continued to lead the market for total deposits with a market share (MS) of 33.4%. This level of MS is approximately 14.3 percentage points above the level posted by its closest competitor.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total MS increased with regard to the level in June 2017, which was in line with YoY growth in all deposit types.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 Bolivia continued to rank fifth in the financial system in Bolivia, with a market share of 10.0% at the end of June 2018 versus 9.9% at the end of March 2018. In the YoY analysis, the MS remained stable with regard to the figure reported at the end of June 2017 (10.2%).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 18</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8,066,962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7,824,148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8,989,728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6,494,792</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4,578,878</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-49.1%</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2,700,084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2,867,326</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2,710,701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15,295,673</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15,318,649</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15,283,893</w:t>
            </w: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35,052,447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32,504,915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30,630,694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26"/>
        </w:trPr>
        <w:tc>
          <w:tcPr>
            <w:tcW w:w="9280" w:type="dxa"/>
            <w:vAlign w:val="bottom"/>
            <w:gridSpan w:val="15"/>
          </w:tcPr>
          <w:p>
            <w:pPr>
              <w:spacing w:after="0"/>
              <w:rPr>
                <w:sz w:val="20"/>
                <w:szCs w:val="20"/>
                <w:color w:val="auto"/>
              </w:rPr>
            </w:pPr>
            <w:r>
              <w:rPr>
                <w:rFonts w:ascii="Arial" w:cs="Arial" w:eastAsia="Arial" w:hAnsi="Arial"/>
                <w:sz w:val="18"/>
                <w:szCs w:val="18"/>
                <w:color w:val="auto"/>
              </w:rPr>
              <w:t>The total of other sources of funding fell -5.8% QoQ, due mainly to a decrease in the level of BCRP instruments.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4"/>
        </w:trPr>
        <w:tc>
          <w:tcPr>
            <w:tcW w:w="6240" w:type="dxa"/>
            <w:vAlign w:val="bottom"/>
            <w:gridSpan w:val="8"/>
          </w:tcPr>
          <w:p>
            <w:pPr>
              <w:spacing w:after="0"/>
              <w:rPr>
                <w:sz w:val="20"/>
                <w:szCs w:val="20"/>
                <w:color w:val="auto"/>
              </w:rPr>
            </w:pPr>
            <w:r>
              <w:rPr>
                <w:rFonts w:ascii="Arial" w:cs="Arial" w:eastAsia="Arial" w:hAnsi="Arial"/>
                <w:sz w:val="18"/>
                <w:szCs w:val="18"/>
                <w:color w:val="auto"/>
              </w:rPr>
              <w:t xml:space="preserve">The share of </w:t>
            </w:r>
            <w:r>
              <w:rPr>
                <w:rFonts w:ascii="Arial" w:cs="Arial" w:eastAsia="Arial" w:hAnsi="Arial"/>
                <w:sz w:val="18"/>
                <w:szCs w:val="18"/>
                <w:b w:val="1"/>
                <w:bCs w:val="1"/>
                <w:color w:val="auto"/>
              </w:rPr>
              <w:t>BCRP Instruments</w:t>
            </w:r>
            <w:r>
              <w:rPr>
                <w:rFonts w:ascii="Arial" w:cs="Arial" w:eastAsia="Arial" w:hAnsi="Arial"/>
                <w:sz w:val="18"/>
                <w:szCs w:val="18"/>
                <w:color w:val="auto"/>
              </w:rPr>
              <w:t xml:space="preserve"> in total funding at Credicorp fell QoQ and</w:t>
            </w:r>
          </w:p>
        </w:tc>
        <w:tc>
          <w:tcPr>
            <w:tcW w:w="4040" w:type="dxa"/>
            <w:vAlign w:val="bottom"/>
            <w:gridSpan w:val="9"/>
          </w:tcPr>
          <w:p>
            <w:pPr>
              <w:jc w:val="center"/>
              <w:ind w:left="630"/>
              <w:spacing w:after="0"/>
              <w:rPr>
                <w:sz w:val="20"/>
                <w:szCs w:val="20"/>
                <w:color w:val="auto"/>
              </w:rPr>
            </w:pPr>
            <w:r>
              <w:rPr>
                <w:rFonts w:ascii="Arial" w:cs="Arial" w:eastAsia="Arial" w:hAnsi="Arial"/>
                <w:sz w:val="18"/>
                <w:szCs w:val="18"/>
                <w:b w:val="1"/>
                <w:bCs w:val="1"/>
                <w:color w:val="auto"/>
                <w:w w:val="91"/>
              </w:rPr>
              <w:t>BCP Stand-alone – BCRP Instruments</w:t>
            </w:r>
          </w:p>
        </w:tc>
      </w:tr>
      <w:tr>
        <w:trPr>
          <w:trHeight w:val="220"/>
        </w:trPr>
        <w:tc>
          <w:tcPr>
            <w:tcW w:w="6240" w:type="dxa"/>
            <w:vAlign w:val="bottom"/>
            <w:gridSpan w:val="8"/>
          </w:tcPr>
          <w:p>
            <w:pPr>
              <w:spacing w:after="0"/>
              <w:rPr>
                <w:sz w:val="20"/>
                <w:szCs w:val="20"/>
                <w:color w:val="auto"/>
              </w:rPr>
            </w:pPr>
            <w:r>
              <w:rPr>
                <w:rFonts w:ascii="Arial" w:cs="Arial" w:eastAsia="Arial" w:hAnsi="Arial"/>
                <w:sz w:val="18"/>
                <w:szCs w:val="18"/>
                <w:color w:val="auto"/>
              </w:rPr>
              <w:t>YoY, mainly due to a decrease in substitution and expansion repos with</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9"/>
              </w:rPr>
              <w:t>S/ Billions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BCRP.</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0</wp:posOffset>
            </wp:positionV>
            <wp:extent cx="2298065" cy="132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9806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18"/>
          <w:szCs w:val="18"/>
          <w:color w:val="auto"/>
        </w:rPr>
        <w:t>fell QoQ due to a decrease in transactions at ASB, BCP Stand-alone and Mibanco.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18"/>
          <w:szCs w:val="18"/>
          <w:color w:val="auto"/>
        </w:rPr>
        <w:t>fell after a corporate bond expired in June 2018 at BCP Stand-alone.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Due to banks and correspondents </w:t>
      </w:r>
      <w:r>
        <w:rPr>
          <w:rFonts w:ascii="Arial" w:cs="Arial" w:eastAsia="Arial" w:hAnsi="Arial"/>
          <w:sz w:val="16"/>
          <w:szCs w:val="16"/>
          <w:color w:val="auto"/>
        </w:rPr>
        <w:t>grew QoQ due to an increase in the level of due-to banks with foreign banks and interbank funds at BCP Stand-alone.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YoY analysis continued to show the on-going reduction in BCRP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154940</wp:posOffset>
            </wp:positionV>
            <wp:extent cx="4322445" cy="1509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2244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L/D ratio at Credicorp increased QoQ to situate at 105.4% after loans expanded 2.2% in a quarter in which deposits contracted 0.7%. The analysis by subsidiary shows that BCP Stand-alone increased its L/D ratio, in line with the trend seen at Credicorp. The L/D ratio at Mibanco was situated at 124.6% in 2Q18 given that QoQ growth in total loans outpaced growth in total deposits.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320"/>
        <w:spacing w:after="0"/>
        <w:tabs>
          <w:tab w:leader="none" w:pos="792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154940</wp:posOffset>
            </wp:positionV>
            <wp:extent cx="5462905" cy="128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6290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QoQ analysis by currency indicates that the L/D ratio in LC at Credicorp increased given loan growth in LC, which was amplified by a drop in LC deposits. The L/D in FC increased slightly after growth in FC loans at BCP Stand-alone outpaced growth in FC deposits.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reveals that the L/D ratio at Credicorp was relatively stable while the L/D in FC grew slightly; both of these scenarios were attributable to the fact that, in both currencies, loan growth continues to top growth in deposits.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 at Credicorp remained stable, increasing only +6 bps QoQ. This was mainly attributable to:</w:t>
      </w:r>
    </w:p>
    <w:p>
      <w:pPr>
        <w:spacing w:after="0" w:line="225" w:lineRule="exact"/>
        <w:rPr>
          <w:sz w:val="20"/>
          <w:szCs w:val="20"/>
          <w:color w:val="auto"/>
        </w:rPr>
      </w:pPr>
    </w:p>
    <w:p>
      <w:pPr>
        <w:ind w:left="880" w:hanging="49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drop in the deposit volume for non-interest-bearing deposits in LC, which represents the funding source with the lowest cost (zero). This is reflected in the slight increase seen in the average-weighted funding cost in LC.</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Slight growth QoQ in FC funding cost due to higher global interest rates, as is evident in the figure “Funding cost - Credicorp.”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Cost –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154940</wp:posOffset>
            </wp:positionV>
            <wp:extent cx="3824605" cy="1509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2460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figure depicting Credicorp’s funding cost is calculated based on period-end balances.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is evident in the figure above, the funding cost in LC has historically been higher than the funding cost in FC. Nevertheless, the funding cost in FC has increased due to rising global interest rates. This has affected costs of FC funding, which represents 55% of Credicorp’s total funding. The aforementioned was attenuated by an on-going decline in the funding cost in LC, which was associated with reference rate cuts in 2017 and part of 2018.</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and YTD analysis, the funding cost fell in line with the evolution of the funding structure. In the current scenario, deposits post a higher share of total funding (76.1% in 2Q18, 74.9% 1Q18 and 72.4% in 2Q17), effectively replacing BCRP Instruments; this substitution implied a consequent shift to lower-cost funding. Furthermore, since 2017, BCRP’s reference rate fell (50 bps throughout 2018), which led to a drop in the funding cost in LC after almost three years of on-going upward pressure.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per subsidiary is depicted in the table below. It is important to note: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BCP</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BCP</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Banking</w:t>
            </w:r>
          </w:p>
        </w:tc>
        <w:tc>
          <w:tcPr>
            <w:tcW w:w="11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0"/>
              </w:rPr>
              <w:t xml:space="preserve">Credicorp </w:t>
            </w:r>
            <w:r>
              <w:rPr>
                <w:rFonts w:ascii="Arial" w:cs="Arial" w:eastAsia="Arial" w:hAnsi="Arial"/>
                <w:sz w:val="30"/>
                <w:szCs w:val="30"/>
                <w:b w:val="1"/>
                <w:bCs w:val="1"/>
                <w:color w:val="auto"/>
                <w:w w:val="90"/>
                <w:vertAlign w:val="superscript"/>
              </w:rPr>
              <w:t>(1)</w:t>
            </w:r>
          </w:p>
        </w:tc>
        <w:tc>
          <w:tcPr>
            <w:tcW w:w="2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Stand-alone</w:t>
            </w:r>
          </w:p>
        </w:tc>
        <w:tc>
          <w:tcPr>
            <w:tcW w:w="2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Mibanco</w:t>
            </w:r>
          </w:p>
        </w:tc>
        <w:tc>
          <w:tcPr>
            <w:tcW w:w="2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Bolivia</w:t>
            </w:r>
          </w:p>
        </w:tc>
        <w:tc>
          <w:tcPr>
            <w:tcW w:w="2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ASB</w:t>
            </w:r>
          </w:p>
        </w:tc>
        <w:tc>
          <w:tcPr>
            <w:tcW w:w="2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Business</w:t>
            </w:r>
          </w:p>
        </w:tc>
        <w:tc>
          <w:tcPr>
            <w:tcW w:w="2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2Q17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1Q18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0.97%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2Q18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0"/>
        </w:trPr>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Jun 17</w:t>
            </w: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Jun 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banking business results, other subsidiaries and consolidation adjustments.</w:t>
      </w:r>
    </w:p>
    <w:p>
      <w:pPr>
        <w:spacing w:after="0" w:line="210" w:lineRule="exact"/>
        <w:rPr>
          <w:rFonts w:ascii="Arial" w:cs="Arial" w:eastAsia="Arial" w:hAnsi="Arial"/>
          <w:sz w:val="18"/>
          <w:szCs w:val="18"/>
          <w:color w:val="auto"/>
        </w:rPr>
      </w:pPr>
    </w:p>
    <w:p>
      <w:pPr>
        <w:ind w:left="880" w:hanging="494"/>
        <w:spacing w:after="0"/>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slight increase QoQ in BCP Stand-alone’s funding cost. However, YoY and YTD its funding cost decreased.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Mibanco’s funding cost, which had been subject to upward pressure since 2014, stabilized in 2017 and fell at the beginning of 2018.</w:t>
      </w:r>
    </w:p>
    <w:p>
      <w:pPr>
        <w:spacing w:after="0" w:line="292" w:lineRule="exact"/>
        <w:rPr>
          <w:rFonts w:ascii="Arial" w:cs="Arial" w:eastAsia="Arial" w:hAnsi="Arial"/>
          <w:sz w:val="18"/>
          <w:szCs w:val="18"/>
          <w:color w:val="auto"/>
        </w:rPr>
      </w:pPr>
    </w:p>
    <w:p>
      <w:pPr>
        <w:jc w:val="both"/>
        <w:ind w:firstLine="8"/>
        <w:spacing w:after="0" w:line="223" w:lineRule="auto"/>
        <w:tabs>
          <w:tab w:leader="none" w:pos="238"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The funding costs differs from previously reported levels due to a change in the methodology to calculate the denominator, which no longer includes: outstanding account acceptances, reserves for property and casualty claims, reserve for unearned premiums, reinsurance payable and other liabilities. Since 2Q18, the account "Repurchase agreement" was excluded from Other liabilities and was included in the calculation of Total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3. Portfolio quality and Provisions for loan losses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cost of risk (CofR) fell QoQ and YoY to situate at 1.22%, which was similar to the level reported in 2010 when Retail Banking segments represented approximately 41% of total loans, and prior to the acquisition of Mibanco. This drop was due to an improvement in the quality of risk in the SME-Pyme, Mibanco, Consumer and Credit Card segments in the last three years, which was captured in advance by the forward-looking nature of the IFRS9 methodology. YTD, the cost of risk was 1.33%, which was 74 bps below the level posted in the first semester of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w w:val="93"/>
              </w:rPr>
              <w:t>Portfolio quality and Provisions for loan losses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ind w:left="520"/>
              <w:spacing w:after="0"/>
              <w:rPr>
                <w:sz w:val="20"/>
                <w:szCs w:val="20"/>
                <w:color w:val="auto"/>
              </w:rPr>
            </w:pPr>
            <w:r>
              <w:rPr>
                <w:rFonts w:ascii="Arial" w:cs="Arial" w:eastAsia="Arial" w:hAnsi="Arial"/>
                <w:sz w:val="14"/>
                <w:szCs w:val="14"/>
                <w:b w:val="1"/>
                <w:bCs w:val="1"/>
                <w:color w:val="auto"/>
                <w:w w:val="94"/>
              </w:rPr>
              <w:t>% change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ind w:left="800"/>
              <w:spacing w:after="0"/>
              <w:rPr>
                <w:sz w:val="20"/>
                <w:szCs w:val="20"/>
                <w:color w:val="auto"/>
              </w:rPr>
            </w:pPr>
            <w:r>
              <w:rPr>
                <w:rFonts w:ascii="Arial" w:cs="Arial" w:eastAsia="Arial" w:hAnsi="Arial"/>
                <w:sz w:val="14"/>
                <w:szCs w:val="14"/>
                <w:b w:val="1"/>
                <w:bCs w:val="1"/>
                <w:color w:val="auto"/>
              </w:rPr>
              <w:t>YTD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2Q17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1Q18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spacing w:after="0"/>
              <w:rPr>
                <w:sz w:val="14"/>
                <w:szCs w:val="14"/>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YoY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 17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18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Jun 18 / Jun 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Provisions</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(499,390)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(438,873)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(385,131)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(1,100,200)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(824,004)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Loan loss recoveries</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66,171</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67,849</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71,959</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130,487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139,808</w:t>
            </w:r>
          </w:p>
        </w:tc>
        <w:tc>
          <w:tcPr>
            <w:tcW w:w="80" w:type="dxa"/>
            <w:vAlign w:val="bottom"/>
          </w:tcPr>
          <w:p>
            <w:pPr>
              <w:spacing w:after="0"/>
              <w:rPr>
                <w:sz w:val="12"/>
                <w:szCs w:val="12"/>
                <w:color w:val="auto"/>
              </w:rPr>
            </w:pP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Provision for loan losses, net of recoveries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(433,219)</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(371,024)</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(313,172)</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-27.7%</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(969,713)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(684,196)</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-29.4%</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(1)</w:t>
            </w: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gridSpan w:val="2"/>
            <w:vMerge w:val="continue"/>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4"/>
                <w:szCs w:val="14"/>
                <w:color w:val="auto"/>
              </w:rPr>
            </w:pPr>
          </w:p>
        </w:tc>
        <w:tc>
          <w:tcPr>
            <w:tcW w:w="1160" w:type="dxa"/>
            <w:vAlign w:val="bottom"/>
            <w:gridSpan w:val="4"/>
          </w:tcPr>
          <w:p>
            <w:pPr>
              <w:jc w:val="right"/>
              <w:ind w:right="440"/>
              <w:spacing w:after="0"/>
              <w:rPr>
                <w:sz w:val="20"/>
                <w:szCs w:val="20"/>
                <w:color w:val="auto"/>
              </w:rPr>
            </w:pPr>
            <w:r>
              <w:rPr>
                <w:rFonts w:ascii="Arial" w:cs="Arial" w:eastAsia="Arial" w:hAnsi="Arial"/>
                <w:sz w:val="14"/>
                <w:szCs w:val="14"/>
                <w:color w:val="auto"/>
              </w:rPr>
              <w:t>-26 bps</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-63 bps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-74 bps</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w w:val="94"/>
              </w:rPr>
              <w:t>Provisions for loan losses / Net interest income</w:t>
            </w:r>
            <w:r>
              <w:rPr>
                <w:rFonts w:ascii="Arial" w:cs="Arial" w:eastAsia="Arial" w:hAnsi="Arial"/>
                <w:sz w:val="23"/>
                <w:szCs w:val="23"/>
                <w:color w:val="auto"/>
                <w:w w:val="94"/>
                <w:vertAlign w:val="superscript"/>
              </w:rPr>
              <w:t>(2)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15.2%</w:t>
            </w:r>
          </w:p>
        </w:tc>
        <w:tc>
          <w:tcPr>
            <w:tcW w:w="8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-310 bps</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w w:val="88"/>
              </w:rPr>
              <w:t>-690 bps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-770 bps</w:t>
            </w:r>
          </w:p>
        </w:tc>
        <w:tc>
          <w:tcPr>
            <w:tcW w:w="0" w:type="dxa"/>
            <w:vAlign w:val="bottom"/>
          </w:tcPr>
          <w:p>
            <w:pPr>
              <w:spacing w:after="0"/>
              <w:rPr>
                <w:sz w:val="1"/>
                <w:szCs w:val="1"/>
                <w:color w:val="auto"/>
              </w:rPr>
            </w:pPr>
          </w:p>
        </w:tc>
      </w:tr>
      <w:tr>
        <w:trPr>
          <w:trHeight w:val="156"/>
        </w:trPr>
        <w:tc>
          <w:tcPr>
            <w:tcW w:w="294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b w:val="1"/>
                <w:bCs w:val="1"/>
                <w:color w:val="auto"/>
              </w:rPr>
              <w:t>Total loans (Quarter-end balance)</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93,670,216</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100,570,511</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102,766,633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w:t>
            </w:r>
          </w:p>
        </w:tc>
        <w:tc>
          <w:tcPr>
            <w:tcW w:w="1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w w:val="96"/>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9.7</w:t>
            </w:r>
          </w:p>
        </w:tc>
        <w:tc>
          <w:tcPr>
            <w:tcW w:w="16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Allowance for loan losses</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4,323,480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4,805,105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4,819,704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Write-offs</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381,986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353,984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345,253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w:t>
            </w: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color w:val="auto"/>
              </w:rPr>
              <w:t xml:space="preserve">Internal overdue loans (IOLs) </w:t>
            </w:r>
            <w:r>
              <w:rPr>
                <w:rFonts w:ascii="Arial" w:cs="Arial" w:eastAsia="Arial" w:hAnsi="Arial"/>
                <w:sz w:val="19"/>
                <w:szCs w:val="19"/>
                <w:color w:val="auto"/>
                <w:vertAlign w:val="superscript"/>
              </w:rPr>
              <w:t>(3)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2,749,047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2,995,217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3,113,014</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Refinanced loans</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922,974</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910,583</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1,086,135</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Non-performing loans (NPLs) </w:t>
            </w:r>
            <w:r>
              <w:rPr>
                <w:rFonts w:ascii="Arial" w:cs="Arial" w:eastAsia="Arial" w:hAnsi="Arial"/>
                <w:sz w:val="23"/>
                <w:szCs w:val="23"/>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3,672,021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3,905,800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4,199,149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Delinquency ratio over 90 days</w:t>
            </w: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2.25%</w:t>
            </w:r>
          </w:p>
        </w:tc>
        <w:tc>
          <w:tcPr>
            <w:tcW w:w="8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2.19%</w:t>
            </w:r>
          </w:p>
        </w:tc>
        <w:tc>
          <w:tcPr>
            <w:tcW w:w="8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2.25%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IOL ratio</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2.93%</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2.98%</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3.03%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NPL ratio</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3.92%</w:t>
            </w:r>
          </w:p>
        </w:tc>
        <w:tc>
          <w:tcPr>
            <w:tcW w:w="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3.88%</w:t>
            </w:r>
          </w:p>
        </w:tc>
        <w:tc>
          <w:tcPr>
            <w:tcW w:w="8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4.09%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ratio of Internal overdue loans</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157.3%</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154.8%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Coverage ratio of NPLs</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117.7%</w:t>
            </w: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123.0%</w:t>
            </w:r>
          </w:p>
        </w:tc>
        <w:tc>
          <w:tcPr>
            <w:tcW w:w="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Annualized provisions for loans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indicated in 1Q18, on the first of January 2018, Credicorp adopted the requirements of IFRS9 to calculate net provisions for loan losses, among others (for more details, see Annex 11.10 IFRS9 Revelation).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IFRS9 methodology classifies the portfolio in three stages based on criteria that seeks to determine significant increases in risk or impairment:</w:t>
      </w:r>
    </w:p>
    <w:p>
      <w:pPr>
        <w:spacing w:after="0" w:line="237" w:lineRule="exact"/>
        <w:rPr>
          <w:sz w:val="20"/>
          <w:szCs w:val="20"/>
          <w:color w:val="auto"/>
        </w:rPr>
      </w:pPr>
    </w:p>
    <w:p>
      <w:pPr>
        <w:ind w:left="880" w:hanging="49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Stage 1</w:t>
      </w:r>
      <w:r>
        <w:rPr>
          <w:rFonts w:ascii="Arial" w:cs="Arial" w:eastAsia="Arial" w:hAnsi="Arial"/>
          <w:sz w:val="18"/>
          <w:szCs w:val="18"/>
          <w:color w:val="auto"/>
        </w:rPr>
        <w:t>: For a healthy portfolio</w:t>
      </w:r>
    </w:p>
    <w:p>
      <w:pPr>
        <w:spacing w:after="0" w:line="23" w:lineRule="exact"/>
        <w:rPr>
          <w:rFonts w:ascii="Arial" w:cs="Arial" w:eastAsia="Arial" w:hAnsi="Arial"/>
          <w:sz w:val="18"/>
          <w:szCs w:val="18"/>
          <w:color w:val="auto"/>
        </w:rPr>
      </w:pPr>
    </w:p>
    <w:p>
      <w:pPr>
        <w:ind w:left="880" w:hanging="49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Stage 2</w:t>
      </w:r>
      <w:r>
        <w:rPr>
          <w:rFonts w:ascii="Arial" w:cs="Arial" w:eastAsia="Arial" w:hAnsi="Arial"/>
          <w:sz w:val="18"/>
          <w:szCs w:val="18"/>
          <w:color w:val="auto"/>
        </w:rPr>
        <w:t>: For a healthy portfolio with a significant increase in risk</w:t>
      </w:r>
    </w:p>
    <w:p>
      <w:pPr>
        <w:spacing w:after="0" w:line="9" w:lineRule="exact"/>
        <w:rPr>
          <w:rFonts w:ascii="Arial" w:cs="Arial" w:eastAsia="Arial" w:hAnsi="Arial"/>
          <w:sz w:val="18"/>
          <w:szCs w:val="18"/>
          <w:color w:val="auto"/>
        </w:rPr>
      </w:pPr>
    </w:p>
    <w:p>
      <w:pPr>
        <w:ind w:left="880" w:hanging="49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Stage 3</w:t>
      </w:r>
      <w:r>
        <w:rPr>
          <w:rFonts w:ascii="Arial" w:cs="Arial" w:eastAsia="Arial" w:hAnsi="Arial"/>
          <w:sz w:val="18"/>
          <w:szCs w:val="18"/>
          <w:color w:val="auto"/>
        </w:rPr>
        <w:t>: For a portfolio in default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Next, it is necessary to calculate the forward-looking expected loss for assets included in each of these stages. For this calculation, projections in three macroeconomic scenarios are used, and the parameters for the probability of default, loss given default and exposure at the time of default are applied.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difference with IAS 39 is that the IFRS9 rule requires financial entities to calculate provisions based on a forward-looking expected loss approach instead of incurred and incurred but not reported loss.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forward-looking nature of expected loss, IFRS9 captures in advance the improvement or deterioration in the portfolio’s risk quality. This means that if the portfolio’s quality of risk improves, IFRS9 reflects the improvement faster than under the IAS 39 methodology. Nevertheless, provisions for loans net of recoveries calculated under IAS 39 and under IFRS9 tend to converge over time.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 terms of the impact that adopting IFRS9 has had on the calculation of net provisions for loan losses, it is important to note two main effects:</w:t>
      </w:r>
    </w:p>
    <w:p>
      <w:pPr>
        <w:spacing w:after="0" w:line="225" w:lineRule="exact"/>
        <w:rPr>
          <w:sz w:val="20"/>
          <w:szCs w:val="20"/>
          <w:color w:val="auto"/>
        </w:rPr>
      </w:pPr>
    </w:p>
    <w:p>
      <w:pPr>
        <w:ind w:left="880" w:hanging="494"/>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One-off effect: On January 01, 2018, there was an increase of S/257.7 million in the allowance for loan losses on the Balance Sheet, which led to a drop of S/226.1 million in retained earnings and a drop in deferred taxes.</w:t>
      </w:r>
    </w:p>
    <w:p>
      <w:pPr>
        <w:spacing w:after="0" w:line="197"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recurring impact on the Income Statement: Since January 1, 2018, the requirement for net provisions for loan losses is calculated under the forward-looking expected loss methodology. As such, in 2Q18, the provisions requirement fell -15.6% QoQ and -27.7% YoY, which we will explain later in the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QoQ analysis </w:t>
      </w:r>
      <w:r>
        <w:rPr>
          <w:rFonts w:ascii="Arial" w:cs="Arial" w:eastAsia="Arial" w:hAnsi="Arial"/>
          <w:sz w:val="18"/>
          <w:szCs w:val="18"/>
          <w:color w:val="auto"/>
        </w:rPr>
        <w:t>shows a 15.6% drop in loan provisions net of recoveries, which was attributable to:</w:t>
      </w:r>
    </w:p>
    <w:p>
      <w:pPr>
        <w:spacing w:after="0" w:line="229" w:lineRule="exact"/>
        <w:rPr>
          <w:sz w:val="20"/>
          <w:szCs w:val="20"/>
          <w:color w:val="auto"/>
        </w:rPr>
      </w:pPr>
    </w:p>
    <w:p>
      <w:pPr>
        <w:jc w:val="both"/>
        <w:ind w:left="880" w:hanging="494"/>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improvement in the risk level of the loan portfolio in Retail Banking segments after these segments reported higher-than-expected levels of delinquency in previous years (SME-Pyme in 2014 and Consumer and Credit Card between 2015 and 2016). The aforementioned was reflected in an improvement in these segments’ default ratios.</w:t>
      </w:r>
    </w:p>
    <w:p>
      <w:pPr>
        <w:spacing w:after="0" w:line="181" w:lineRule="exact"/>
        <w:rPr>
          <w:rFonts w:ascii="Arial" w:cs="Arial" w:eastAsia="Arial" w:hAnsi="Arial"/>
          <w:sz w:val="18"/>
          <w:szCs w:val="18"/>
          <w:color w:val="auto"/>
        </w:rPr>
      </w:pPr>
    </w:p>
    <w:p>
      <w:pPr>
        <w:ind w:left="880" w:hanging="49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improvement in the risk quality of Mibanco’s loan book, which has been evident since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elements, coupled with the slight and gradual recovery seen in the macroeconomic scenario, were captured in advance by the use of IFRS9 methodology, as we explained in the previous section.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important to note that although Mibanco, SME-Pyme, Consumer and Credit Card combined represent approximately 30% of Credicorp’s loan portfolio, they explained on average 82% of the total provisions for loan losses made in the last four years. Thus, their risk-quality improvement has been the main driver in the reduction of provisions for loan losses in the last three years. In this context, and due to the forward-looking nature of expected loss IFRS9 methodology captured in advance the improvement in the risk level of these segments and consequently, the cost of risk situated at 1.22%. This level is similar to that reported in 2010, when the Retail Banking segments represented approximately 41% of total loans and prior to the acquisition of Mibanco.</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In the YoY and YTD analysis</w:t>
      </w:r>
      <w:r>
        <w:rPr>
          <w:rFonts w:ascii="Arial" w:cs="Arial" w:eastAsia="Arial" w:hAnsi="Arial"/>
          <w:sz w:val="17"/>
          <w:szCs w:val="17"/>
          <w:color w:val="auto"/>
        </w:rPr>
        <w:t>, provisions for loans net of recoveries fell -27.7% and -29.4%, respectively, due to an improvement in the risk quality of</w:t>
      </w:r>
      <w:r>
        <w:rPr>
          <w:rFonts w:ascii="Arial" w:cs="Arial" w:eastAsia="Arial" w:hAnsi="Arial"/>
          <w:sz w:val="17"/>
          <w:szCs w:val="17"/>
          <w:b w:val="1"/>
          <w:bCs w:val="1"/>
          <w:color w:val="auto"/>
        </w:rPr>
        <w:t xml:space="preserve"> </w:t>
      </w:r>
      <w:r>
        <w:rPr>
          <w:rFonts w:ascii="Arial" w:cs="Arial" w:eastAsia="Arial" w:hAnsi="Arial"/>
          <w:sz w:val="17"/>
          <w:szCs w:val="17"/>
          <w:color w:val="auto"/>
        </w:rPr>
        <w:t>Retail Banking and Mibanco’s portfolios. The cost of risk in 1H18 reached a level of 1.33%, 74 bps below the level registered in 1H17, and 48 bps lower than the cost of risk of the underlying portfolio in 1H17 (1.81%, excluding the effects of the El Nino Phenomenon and the Lava Jato Case).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Portfolio Quality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152400</wp:posOffset>
            </wp:positionV>
            <wp:extent cx="4768215" cy="1955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821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20" w:hanging="246"/>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NPL ratio = (Non-performing loans + Charge-offs) / (Total loans + Charge-offs).</w:t>
      </w:r>
    </w:p>
    <w:p>
      <w:pPr>
        <w:spacing w:after="0" w:line="23" w:lineRule="exact"/>
        <w:rPr>
          <w:rFonts w:ascii="Arial" w:cs="Arial" w:eastAsia="Arial" w:hAnsi="Arial"/>
          <w:sz w:val="18"/>
          <w:szCs w:val="18"/>
          <w:color w:val="auto"/>
        </w:rPr>
      </w:pPr>
    </w:p>
    <w:p>
      <w:pPr>
        <w:ind w:left="1020" w:hanging="246"/>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9" w:lineRule="exact"/>
        <w:rPr>
          <w:rFonts w:ascii="Arial" w:cs="Arial" w:eastAsia="Arial" w:hAnsi="Arial"/>
          <w:sz w:val="18"/>
          <w:szCs w:val="18"/>
          <w:color w:val="auto"/>
        </w:rPr>
      </w:pPr>
    </w:p>
    <w:p>
      <w:pPr>
        <w:ind w:left="1020" w:hanging="246"/>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risk of the underlying portfolio excludes the effects of El Nino Phenomenon and the Lava Jato Case.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Prior to analyzing the evolution of delinquency ratios, it is important to remember that:</w:t>
      </w:r>
    </w:p>
    <w:p>
      <w:pPr>
        <w:spacing w:after="0" w:line="225" w:lineRule="exact"/>
        <w:rPr>
          <w:sz w:val="20"/>
          <w:szCs w:val="20"/>
          <w:color w:val="auto"/>
        </w:rPr>
      </w:pPr>
    </w:p>
    <w:p>
      <w:pPr>
        <w:jc w:val="both"/>
        <w:ind w:left="880" w:hanging="494"/>
        <w:spacing w:after="0" w:line="31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set aside) given that a judicial process must be initiated to liquidate the collateral, which takes five years on average.</w:t>
      </w:r>
    </w:p>
    <w:p>
      <w:pPr>
        <w:spacing w:after="0" w:line="146" w:lineRule="exact"/>
        <w:rPr>
          <w:rFonts w:ascii="Arial" w:cs="Arial" w:eastAsia="Arial" w:hAnsi="Arial"/>
          <w:sz w:val="16"/>
          <w:szCs w:val="16"/>
          <w:color w:val="auto"/>
        </w:rPr>
      </w:pPr>
    </w:p>
    <w:p>
      <w:pPr>
        <w:jc w:val="both"/>
        <w:ind w:left="880" w:hanging="494"/>
        <w:spacing w:after="0" w:line="264"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second half (2H) of every year, loans are more dynamic, particularly in the SME-Pyme and Mibanco segments given that the main campaigns (Christmas and year-end campaigns) are held in the second semester (2H) and these short-term loans are paid off in 1H of the following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IOL ratio remained relatively stable QoQ and YoY while the NPL ratio rose +21 bps QoQ and +17 bps YoY. This was attributable to a refinanced loan for a client in the Wholesale Banking segment, which is 100% provisioned (further details later in the report). If we exclude the particular refinanced loan, Credicorp’s NPL ratio in 2Q18 would have been relatively stable YoY (3.94%).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ratios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coverage ratios for the IOL and NPL portfolios fell this quarter. This was due to deceleration of growth in the allowance for loan losses due to the continuous improvement in risk quality, as explained in section 3.1 Net provisions for loan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154940</wp:posOffset>
            </wp:positionV>
            <wp:extent cx="5368290" cy="2092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6829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880" w:hanging="494"/>
        <w:spacing w:after="0" w:line="25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QoQ analysis shows a drop in the volume of the IOL portfolio in Wholesale Banking due to the refinancing of past-due loans. Nevertheless, the volume of the NPL portfolio grew even further due to a refinanced loan for S/153 million granted to a specific client. It is important to note that this refinanced loan is 100% provisioned. In this context, the IOL ratio fell while the NPL ratio increased by +42 bps QoQ and +47 bps YoY. If we exclude the effect of the specific refinanced loan, the NPL ratio for Wholesale Banking would have been 0.76%, which would have represented growth of only +8 bps QoQ and +13 bps YoY.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ind w:right="380"/>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154940</wp:posOffset>
            </wp:positionV>
            <wp:extent cx="4931410" cy="1903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141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654"/>
        <w:spacing w:after="0" w:line="28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an improvement QoQ and YoY in its IOL and NPL ratios due to a drop in the volume of internal overdue loans. This</w:t>
      </w:r>
      <w:r>
        <w:rPr>
          <w:rFonts w:ascii="Arial" w:cs="Arial" w:eastAsia="Arial" w:hAnsi="Arial"/>
          <w:sz w:val="18"/>
          <w:szCs w:val="18"/>
          <w:b w:val="1"/>
          <w:bCs w:val="1"/>
          <w:color w:val="auto"/>
        </w:rPr>
        <w:t xml:space="preserve"> </w:t>
      </w:r>
      <w:r>
        <w:rPr>
          <w:rFonts w:ascii="Arial" w:cs="Arial" w:eastAsia="Arial" w:hAnsi="Arial"/>
          <w:sz w:val="18"/>
          <w:szCs w:val="18"/>
          <w:color w:val="auto"/>
        </w:rPr>
        <w:t>QoQ reduction was generated after some corporate clients regularized outstanding payments in 2Q18.</w:t>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154940</wp:posOffset>
            </wp:positionV>
            <wp:extent cx="5205730" cy="1826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0573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500" w:hanging="494"/>
        <w:spacing w:after="0" w:line="259"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Given that the SME-Business segment registers seasonality in loan origination, it is important to focus on the YoY analysis, which shows that traditional delinquency ratios, both for the IOL and NPL portfolios, increased +34 bps and +26 bps, respectively. The increase in delinquency ratios was attributable to growth in the IOL portfolio, primarily due to the deterioration in the situation of one client. Please not that this business’s risk quality ratios remain within the organization’s appetite for risk.</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6" w:name="page27"/>
    <w:bookmarkEnd w:id="26"/>
    <w:p>
      <w:pPr>
        <w:jc w:val="center"/>
        <w:ind w:right="380"/>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154940</wp:posOffset>
            </wp:positionV>
            <wp:extent cx="5017135" cy="2032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1713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500" w:hanging="494"/>
        <w:spacing w:after="0" w:line="286"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SME-Pyme portfolio,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that take five years on average to liquidate).</w:t>
      </w:r>
    </w:p>
    <w:p>
      <w:pPr>
        <w:spacing w:after="0" w:line="165" w:lineRule="exact"/>
        <w:rPr>
          <w:rFonts w:ascii="Arial" w:cs="Arial" w:eastAsia="Arial" w:hAnsi="Arial"/>
          <w:sz w:val="17"/>
          <w:szCs w:val="17"/>
          <w:color w:val="auto"/>
        </w:rPr>
      </w:pPr>
    </w:p>
    <w:p>
      <w:pPr>
        <w:jc w:val="both"/>
        <w:ind w:left="520"/>
        <w:spacing w:after="0" w:line="276" w:lineRule="auto"/>
        <w:rPr>
          <w:rFonts w:ascii="Arial" w:cs="Arial" w:eastAsia="Arial" w:hAnsi="Arial"/>
          <w:sz w:val="17"/>
          <w:szCs w:val="17"/>
          <w:color w:val="auto"/>
        </w:rPr>
      </w:pPr>
      <w:r>
        <w:rPr>
          <w:rFonts w:ascii="Arial" w:cs="Arial" w:eastAsia="Arial" w:hAnsi="Arial"/>
          <w:sz w:val="17"/>
          <w:szCs w:val="17"/>
          <w:color w:val="auto"/>
        </w:rPr>
        <w:t>Since the beginning of the second half of 2014, early delinquency has followed a downward trend YoY. This in line with on-going improvement in the risk quality of vintages after adjustments were made in the SME-Pyme business model. The impact of these modifications became more apparent in 2015. In 2Q18, early delinquency rose slightly YoY, which reflected Credicorp’s decision to re-enter segments with slightly higher risk. It is important to note that since 2017, this segment has situated “comfortably” within the risk appetite defined for the segment, which in turn aims to maximize the portfolio’s profitability while balancing risk quality and loan growth.</w:t>
      </w:r>
    </w:p>
    <w:p>
      <w:pPr>
        <w:spacing w:after="0" w:line="16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154940</wp:posOffset>
            </wp:positionV>
            <wp:extent cx="4948555" cy="19723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4855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500" w:hanging="494"/>
        <w:spacing w:after="0" w:line="25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terms of Mortgage loans, it is important to note that these ratios have also been affected by the existence of real estate collateral, where foreclosure takes around 5 years. During this period, these loans cannot be written-off although provisioned. Nevertheless, traditional delinquency ratios fell QoQ. This was in line with the acceleration of loan growth due to Credicorp’s strategy to go into segments that imply slightly higher risk to maximize portfolio profitability. The strategy improved the pace of loan origination, while keeping risk indicators within the organization’s risk appetite.</w:t>
      </w:r>
    </w:p>
    <w:p>
      <w:pPr>
        <w:spacing w:after="0" w:line="200" w:lineRule="exact"/>
        <w:rPr>
          <w:sz w:val="20"/>
          <w:szCs w:val="20"/>
          <w:color w:val="auto"/>
        </w:rPr>
      </w:pPr>
    </w:p>
    <w:p>
      <w:pPr>
        <w:spacing w:after="0" w:line="204"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29210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7" w:name="page28"/>
    <w:bookmarkEnd w:id="27"/>
    <w:p>
      <w:pPr>
        <w:ind w:left="520" w:right="20"/>
        <w:spacing w:after="0" w:line="308" w:lineRule="auto"/>
        <w:rPr>
          <w:sz w:val="20"/>
          <w:szCs w:val="20"/>
          <w:color w:val="auto"/>
        </w:rPr>
      </w:pPr>
      <w:r>
        <w:rPr>
          <w:rFonts w:ascii="Arial" w:cs="Arial" w:eastAsia="Arial" w:hAnsi="Arial"/>
          <w:sz w:val="17"/>
          <w:szCs w:val="17"/>
          <w:color w:val="auto"/>
        </w:rPr>
        <w:t>The early delinquency ratio, which excludes the effect of loans that are over 150 days overdue, was relatively stable QoQ and YoY. It is important to note that this indicator is within the average levels observed over the past two years and is within the business’s risk appetite.</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146050</wp:posOffset>
            </wp:positionV>
            <wp:extent cx="5128260" cy="17754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2826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00" w:hanging="494"/>
        <w:spacing w:after="0" w:line="31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Consumer portfolio, the portfolio’s risk profile continues to improve in comparison to the level posted by vintages from 2015 or before, which led to the delinquency problem. This improvement has been achieved due to the different initiatives for risk management and collections that are in place today. The portfolio’s new composition reflects the calibrated profile generated by the change in the risk admission policy.</w:t>
      </w:r>
    </w:p>
    <w:p>
      <w:pPr>
        <w:spacing w:after="0" w:line="146" w:lineRule="exact"/>
        <w:rPr>
          <w:rFonts w:ascii="Arial" w:cs="Arial" w:eastAsia="Arial" w:hAnsi="Arial"/>
          <w:sz w:val="16"/>
          <w:szCs w:val="16"/>
          <w:color w:val="auto"/>
        </w:rPr>
      </w:pPr>
    </w:p>
    <w:p>
      <w:pPr>
        <w:jc w:val="both"/>
        <w:ind w:left="520"/>
        <w:spacing w:after="0" w:line="264" w:lineRule="auto"/>
        <w:rPr>
          <w:rFonts w:ascii="Arial" w:cs="Arial" w:eastAsia="Arial" w:hAnsi="Arial"/>
          <w:sz w:val="16"/>
          <w:szCs w:val="16"/>
          <w:color w:val="auto"/>
        </w:rPr>
      </w:pPr>
      <w:r>
        <w:rPr>
          <w:rFonts w:ascii="Arial" w:cs="Arial" w:eastAsia="Arial" w:hAnsi="Arial"/>
          <w:sz w:val="18"/>
          <w:szCs w:val="18"/>
          <w:color w:val="auto"/>
        </w:rPr>
        <w:t>Early delinquency increased slightly +10 bps QoQ but fell -29 bps YoY to situate at levels that have consistently fallen below those of 2013, prior to the deterioration in risk quality. In this context, we have carried out a strategy to accelerate the pace of growth to maximize the portfolio’s profitability while preserving the organization’s appetite for risk.</w:t>
      </w:r>
    </w:p>
    <w:p>
      <w:pPr>
        <w:spacing w:after="0" w:line="181" w:lineRule="exact"/>
        <w:rPr>
          <w:rFonts w:ascii="Arial" w:cs="Arial" w:eastAsia="Arial" w:hAnsi="Arial"/>
          <w:sz w:val="16"/>
          <w:szCs w:val="16"/>
          <w:color w:val="auto"/>
        </w:rPr>
      </w:pPr>
    </w:p>
    <w:p>
      <w:pPr>
        <w:jc w:val="both"/>
        <w:ind w:left="520"/>
        <w:spacing w:after="0" w:line="259" w:lineRule="auto"/>
        <w:rPr>
          <w:rFonts w:ascii="Arial" w:cs="Arial" w:eastAsia="Arial" w:hAnsi="Arial"/>
          <w:sz w:val="16"/>
          <w:szCs w:val="16"/>
          <w:color w:val="auto"/>
        </w:rPr>
      </w:pPr>
      <w:r>
        <w:rPr>
          <w:rFonts w:ascii="Arial" w:cs="Arial" w:eastAsia="Arial" w:hAnsi="Arial"/>
          <w:sz w:val="18"/>
          <w:szCs w:val="18"/>
          <w:color w:val="auto"/>
        </w:rPr>
        <w:t>The traditional ratios for delinquency fell both QoQ and YoY due to a drop in internal overdue loans and refinanced loans after on-going improvement in the risk quality of new vintages (in line with the adjustments made in risk management and collections). Additionally, we have observed an uptick in the pace of growth of total loans, which reflects the latest adjustments to admission guidelines under the strategy mentioned above.</w:t>
      </w:r>
    </w:p>
    <w:p>
      <w:pPr>
        <w:spacing w:after="0" w:line="18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154940</wp:posOffset>
            </wp:positionV>
            <wp:extent cx="5265420" cy="1663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6542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500" w:hanging="494"/>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Credit Card segment, early delinquency increased +18 bps QoQ but remained relatively stable YoY, situating within the organization’s appetite for risk. This reflects an improvement in the risk quality of new vintages and in the portfolio mix after corrective measures were taken to address the delinquency problem that emerged at the end of 2015.</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8" w:right="239" w:bottom="1440" w:gutter="0" w:footer="0" w:header="0"/>
        </w:sectPr>
      </w:pPr>
    </w:p>
    <w:bookmarkStart w:id="28" w:name="page29"/>
    <w:bookmarkEnd w:id="28"/>
    <w:p>
      <w:pPr>
        <w:jc w:val="center"/>
        <w:ind w:right="380"/>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154940</wp:posOffset>
            </wp:positionV>
            <wp:extent cx="4948555" cy="1920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4855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500" w:hanging="494"/>
        <w:spacing w:after="0" w:line="25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IOL and NPL ratios increased both QoQ and YoY due to growth in internal overdue loans, which was attributable to (i) slight portfolio deterioration, in line with a minor decline in collection effectiveness, and ii) delinquency registered in the vintages for the skip programs offered to clients affected by the El Nino Phenomenon, which have begun to mature. It is worth mentioning that Mibanco has already addressed the collection-effectiveness issue. It is important to note that this business continues to post risk quality ratios that are within the organization’s appetite for risk.</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4. Net Interest Income (NII)</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In 2Q18, NII, the main source of income, expanded +0.9% QoQ and +4.8% YoY, which represents an improvement with regard to the evolution registered in 1Q18 (-0.8% QoQ and +1.8% YoY). This favorable evolution is due primarily to: (i) growth in interest income, mainly due to the expansion in average daily loan balances; and (ii) relatively low growth in interest expenses, which were contained by the reduction in interest expenses on loans that reflects the on-going contraction in the volume of BCRP Instruments. The aforementioned translated into an increase in NIM of +13 bps QoQ and +3 bps YoY. Additionally, the improvement in the cost of risk led risk-adjusted NIM to recover +26 bps QoQ and +39 pbs YoY, and to improve +31 bps with regard to the level in 1H17.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Quarter</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ind w:left="98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 change</w:t>
            </w:r>
          </w:p>
        </w:tc>
      </w:tr>
      <w:tr>
        <w:trPr>
          <w:trHeight w:val="171"/>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2Q17</w:t>
            </w: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3"/>
              </w:rPr>
              <w:t>1Q18</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2Q18</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2"/>
              </w:rPr>
              <w:t>QoQ</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 17</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 18</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 / 2017</w:t>
            </w:r>
          </w:p>
        </w:tc>
        <w:tc>
          <w:tcPr>
            <w:tcW w:w="140" w:type="dxa"/>
            <w:vAlign w:val="bottom"/>
            <w:tcBorders>
              <w:bottom w:val="single" w:sz="8" w:color="CCEEFF"/>
            </w:tcBorders>
          </w:tcPr>
          <w:p>
            <w:pPr>
              <w:spacing w:after="0"/>
              <w:rPr>
                <w:sz w:val="14"/>
                <w:szCs w:val="14"/>
                <w:color w:val="auto"/>
              </w:rPr>
            </w:pPr>
          </w:p>
        </w:tc>
      </w:tr>
      <w:tr>
        <w:trPr>
          <w:trHeight w:val="142"/>
        </w:trPr>
        <w:tc>
          <w:tcPr>
            <w:tcW w:w="2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2,715,901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2,789,927</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2,812,623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0.8%</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5,455,680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5,602,550</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w:t>
            </w:r>
          </w:p>
        </w:tc>
      </w:tr>
      <w:tr>
        <w:trPr>
          <w:trHeight w:val="149"/>
        </w:trPr>
        <w:tc>
          <w:tcPr>
            <w:tcW w:w="2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2,353,070</w:t>
            </w:r>
          </w:p>
        </w:tc>
        <w:tc>
          <w:tcPr>
            <w:tcW w:w="1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2,414,352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2,462,973</w:t>
            </w:r>
          </w:p>
        </w:tc>
        <w:tc>
          <w:tcPr>
            <w:tcW w:w="7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3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4,714,729</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4,877,325</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r>
      <w:tr>
        <w:trPr>
          <w:trHeight w:val="149"/>
        </w:trPr>
        <w:tc>
          <w:tcPr>
            <w:tcW w:w="2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on investments</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4,223</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8,595</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7,483</w:t>
            </w:r>
          </w:p>
        </w:tc>
        <w:tc>
          <w:tcPr>
            <w:tcW w:w="7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-12.9%</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77.2%</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34,346</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16,078</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-53.2%</w:t>
            </w:r>
          </w:p>
        </w:tc>
      </w:tr>
      <w:tr>
        <w:trPr>
          <w:trHeight w:val="149"/>
        </w:trPr>
        <w:tc>
          <w:tcPr>
            <w:tcW w:w="2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20,416</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28,349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30,875</w:t>
            </w:r>
          </w:p>
        </w:tc>
        <w:tc>
          <w:tcPr>
            <w:tcW w:w="7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3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51.2%</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43,876</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59,224</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35.0%</w:t>
            </w:r>
          </w:p>
        </w:tc>
      </w:tr>
      <w:tr>
        <w:trPr>
          <w:trHeight w:val="149"/>
        </w:trPr>
        <w:tc>
          <w:tcPr>
            <w:tcW w:w="2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securities</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331,953</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324,068</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296,995</w:t>
            </w:r>
          </w:p>
        </w:tc>
        <w:tc>
          <w:tcPr>
            <w:tcW w:w="7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645,385</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621,063</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r>
      <w:tr>
        <w:trPr>
          <w:trHeight w:val="149"/>
        </w:trPr>
        <w:tc>
          <w:tcPr>
            <w:tcW w:w="2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6,239</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14,563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14,297</w:t>
            </w:r>
          </w:p>
        </w:tc>
        <w:tc>
          <w:tcPr>
            <w:tcW w:w="7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3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129.2%</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17,344</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28,860</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vMerge w:val="restart"/>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747,989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746,240</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749,805</w:t>
            </w:r>
          </w:p>
        </w:tc>
        <w:tc>
          <w:tcPr>
            <w:tcW w:w="116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0.5%</w:t>
            </w:r>
          </w:p>
        </w:tc>
        <w:tc>
          <w:tcPr>
            <w:tcW w:w="114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0.2%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1,474,682</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1,496,045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284,093</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288,309</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295,582</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4.0%</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551,627</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583,891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199,127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167,432</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149,799</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-10.5%</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397,633</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317,231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Interest on bonds and</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subordinated notes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210,905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216,083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230,561</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419,064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446,644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160"/>
              <w:spacing w:after="0" w:line="202" w:lineRule="exact"/>
              <w:rPr>
                <w:sz w:val="20"/>
                <w:szCs w:val="20"/>
                <w:color w:val="auto"/>
              </w:rPr>
            </w:pPr>
            <w:r>
              <w:rPr>
                <w:rFonts w:ascii="Arial" w:cs="Arial" w:eastAsia="Arial" w:hAnsi="Arial"/>
                <w:sz w:val="14"/>
                <w:szCs w:val="14"/>
                <w:color w:val="auto"/>
              </w:rPr>
              <w:t xml:space="preserve">Other interest expense </w:t>
            </w:r>
            <w:r>
              <w:rPr>
                <w:rFonts w:ascii="Arial" w:cs="Arial" w:eastAsia="Arial" w:hAnsi="Arial"/>
                <w:sz w:val="23"/>
                <w:szCs w:val="23"/>
                <w:color w:val="auto"/>
                <w:vertAlign w:val="superscript"/>
              </w:rPr>
              <w:t>(1)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53,864</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74,416</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73,863</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-0.7%</w:t>
            </w: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37.1%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106,358</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148,279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Net interest income </w:t>
            </w:r>
            <w:r>
              <w:rPr>
                <w:rFonts w:ascii="Arial" w:cs="Arial" w:eastAsia="Arial" w:hAnsi="Arial"/>
                <w:sz w:val="23"/>
                <w:szCs w:val="23"/>
                <w:b w:val="1"/>
                <w:bCs w:val="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40" w:type="dxa"/>
            <w:vAlign w:val="bottom"/>
            <w:vMerge w:val="continue"/>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1,967,912</w:t>
            </w: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2,043,687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2,062,818</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0.9%</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3,980,998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4,106,505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40" w:type="dxa"/>
            <w:vAlign w:val="bottom"/>
          </w:tcPr>
          <w:p>
            <w:pPr>
              <w:spacing w:after="0" w:line="116" w:lineRule="exact"/>
              <w:rPr>
                <w:sz w:val="20"/>
                <w:szCs w:val="20"/>
                <w:color w:val="auto"/>
              </w:rPr>
            </w:pPr>
            <w:r>
              <w:rPr>
                <w:rFonts w:ascii="Arial" w:cs="Arial" w:eastAsia="Arial" w:hAnsi="Arial"/>
                <w:sz w:val="13"/>
                <w:szCs w:val="13"/>
                <w:b w:val="1"/>
                <w:bCs w:val="1"/>
                <w:color w:val="auto"/>
              </w:rPr>
              <w:t>Risk-adjusted Net interest income</w:t>
            </w: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1,534,693</w:t>
            </w:r>
          </w:p>
        </w:tc>
        <w:tc>
          <w:tcPr>
            <w:tcW w:w="26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1,672,663</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1,749,646</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4.6%</w:t>
            </w: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14.0%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3,011,285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3,422,309</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149,939,696</w:t>
            </w: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158,600,872</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156,378,249</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26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w:t>
            </w:r>
          </w:p>
        </w:tc>
        <w:tc>
          <w:tcPr>
            <w:tcW w:w="26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148,745,969</w:t>
            </w: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156,982,188</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40" w:type="dxa"/>
            <w:vAlign w:val="bottom"/>
          </w:tcPr>
          <w:p>
            <w:pPr>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b w:val="1"/>
                <w:bCs w:val="1"/>
                <w:color w:val="auto"/>
                <w:vertAlign w:val="superscript"/>
              </w:rPr>
              <w:t>(1)(2)</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5.25%</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5.15%</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5.28%</w:t>
            </w:r>
          </w:p>
        </w:tc>
        <w:tc>
          <w:tcPr>
            <w:tcW w:w="11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13bps</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3bps</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5.35%</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5.23%</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-12bps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NIM on loans </w:t>
            </w:r>
            <w:r>
              <w:rPr>
                <w:rFonts w:ascii="Arial" w:cs="Arial" w:eastAsia="Arial" w:hAnsi="Arial"/>
                <w:sz w:val="21"/>
                <w:szCs w:val="21"/>
                <w:b w:val="1"/>
                <w:bCs w:val="1"/>
                <w:color w:val="auto"/>
                <w:vertAlign w:val="superscript"/>
              </w:rPr>
              <w:t>(1)(2)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8.12%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7.72%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7.77%</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5bps</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-35bps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8.02%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7.69%</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-33bps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40" w:type="dxa"/>
            <w:vAlign w:val="bottom"/>
          </w:tcPr>
          <w:p>
            <w:pPr>
              <w:spacing w:after="0" w:line="136" w:lineRule="exact"/>
              <w:rPr>
                <w:sz w:val="20"/>
                <w:szCs w:val="20"/>
                <w:color w:val="auto"/>
              </w:rPr>
            </w:pPr>
            <w:r>
              <w:rPr>
                <w:rFonts w:ascii="Arial" w:cs="Arial" w:eastAsia="Arial" w:hAnsi="Arial"/>
                <w:sz w:val="14"/>
                <w:szCs w:val="14"/>
                <w:b w:val="1"/>
                <w:bCs w:val="1"/>
                <w:color w:val="auto"/>
                <w:w w:val="99"/>
              </w:rPr>
              <w:t>Risk-adjusted Net interest margin</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(1)(2)</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4.09%</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4.22%</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4.48%</w:t>
            </w:r>
          </w:p>
        </w:tc>
        <w:tc>
          <w:tcPr>
            <w:tcW w:w="11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26bps</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39bps</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4.05%</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4.36%</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31bps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4"/>
              </w:rPr>
              <w:t>Net provisions for loan losses / Net</w:t>
            </w: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22.01%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18.15%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15.18%</w:t>
            </w:r>
          </w:p>
        </w:tc>
        <w:tc>
          <w:tcPr>
            <w:tcW w:w="11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-297bps</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-683bps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24.36%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16.66%</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-770bps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pacing w:after="0" w:line="225" w:lineRule="exact"/>
        <w:rPr>
          <w:sz w:val="20"/>
          <w:szCs w:val="20"/>
          <w:color w:val="auto"/>
        </w:rPr>
      </w:pPr>
    </w:p>
    <w:p>
      <w:pPr>
        <w:ind w:left="2040"/>
        <w:spacing w:after="0"/>
        <w:tabs>
          <w:tab w:leader="none" w:pos="7740" w:val="left"/>
        </w:tabs>
        <w:rPr>
          <w:sz w:val="20"/>
          <w:szCs w:val="20"/>
          <w:color w:val="auto"/>
        </w:rPr>
      </w:pPr>
      <w:r>
        <w:rPr>
          <w:rFonts w:ascii="Arial" w:cs="Arial" w:eastAsia="Arial" w:hAnsi="Arial"/>
          <w:sz w:val="18"/>
          <w:szCs w:val="18"/>
          <w:b w:val="1"/>
          <w:bCs w:val="1"/>
          <w:color w:val="auto"/>
        </w:rPr>
        <w:t>Interest Income – LC</w:t>
      </w:r>
      <w:r>
        <w:rPr>
          <w:sz w:val="20"/>
          <w:szCs w:val="20"/>
          <w:color w:val="auto"/>
        </w:rPr>
        <w:tab/>
      </w:r>
      <w:r>
        <w:rPr>
          <w:rFonts w:ascii="Arial" w:cs="Arial" w:eastAsia="Arial" w:hAnsi="Arial"/>
          <w:sz w:val="16"/>
          <w:szCs w:val="16"/>
          <w:b w:val="1"/>
          <w:bCs w:val="1"/>
          <w:color w:val="auto"/>
        </w:rPr>
        <w:t>Interest Income – 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154940</wp:posOffset>
            </wp:positionV>
            <wp:extent cx="5900420" cy="2280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0042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the 0.8% increase in Interest Income is due primarily to growth in interest income on loans, which was in turn due to:</w:t>
      </w:r>
    </w:p>
    <w:p>
      <w:pPr>
        <w:spacing w:after="0" w:line="229" w:lineRule="exact"/>
        <w:rPr>
          <w:sz w:val="20"/>
          <w:szCs w:val="20"/>
          <w:color w:val="auto"/>
        </w:rPr>
      </w:pPr>
    </w:p>
    <w:p>
      <w:pPr>
        <w:jc w:val="both"/>
        <w:ind w:left="880" w:hanging="494"/>
        <w:spacing w:after="0" w:line="279"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Slight acceleration in the growth of average daily loan balances (+2.4% QoQ), which although led by Wholesale Banking also received a significant boost from Retail Banking and Mibanco. Loan growth from Retail Banking and Mibanco has increased considerably, going from representing 25% of the increase in total average daily balances in 1Q18 to accounting for 40% of total volume growth in 2Q18. In this context, the volume effect and mix by segment registered a larger positive impact in 2Q18 than in 1Q18.</w:t>
      </w:r>
    </w:p>
    <w:p>
      <w:pPr>
        <w:spacing w:after="0" w:line="171" w:lineRule="exact"/>
        <w:rPr>
          <w:rFonts w:ascii="Arial" w:cs="Arial" w:eastAsia="Arial" w:hAnsi="Arial"/>
          <w:sz w:val="17"/>
          <w:szCs w:val="17"/>
          <w:color w:val="auto"/>
        </w:rPr>
      </w:pPr>
    </w:p>
    <w:p>
      <w:pPr>
        <w:jc w:val="both"/>
        <w:ind w:left="880" w:hanging="494"/>
        <w:spacing w:after="0" w:line="264"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Loan expansion, measured in average daily balances, posted the same growth in LC and FC, unlike in past quarters when growth was led by FC loans, where margins are generally lower than those associated with LC loans. In this scenario, the effect of the currency mix also favored growth in interest income on loans.</w:t>
      </w:r>
    </w:p>
    <w:p>
      <w:pPr>
        <w:spacing w:after="0" w:line="181"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context of relative stability in margins after various quarters of contractions due to high competition in Wholesale Banking and an improvement in the risk profile of Retail Banking. This stability in margins meant that the volume effect for growth translated directly into an improvement in interest income on loans.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aforementioned offset the drop-in interest income on securities, which was seen primarily in LC and reflected the contraction in fair-value-through-profit-or-loss investments (formerly trading securities) at BCP, as explained earlier.</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interest income expanded +3.6%, which represented a recovery with regard to the figure reported in 1Q18. The increase in the generation of interest income on loans was, as in the QoQ case, the catalyst of recovery YoY. The main factors that explain the +4.7% YoY in interest income on loans are:</w:t>
      </w:r>
    </w:p>
    <w:p>
      <w:pPr>
        <w:spacing w:after="0" w:line="180" w:lineRule="exact"/>
        <w:rPr>
          <w:sz w:val="20"/>
          <w:szCs w:val="20"/>
          <w:color w:val="auto"/>
        </w:rPr>
      </w:pPr>
    </w:p>
    <w:p>
      <w:pPr>
        <w:ind w:left="880" w:right="20" w:hanging="494"/>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volume effect due to an acceleration in the growth of average daily balances (+9.2% YoY) and to the mix per segment where Retail Banking and Mibanco accounted for 45% of growth, similar to the 48% in 1Q18.</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currency mix was also favorable given that growth in average daily balances was more balanced between the LC and FC portfolios.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Similar to the QoQ evolution, all of the aforementioned offset the contraction in interest income on securities, as outlined above.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All of the aforementioned led to an improvement in trends in YTD terms</w:t>
      </w:r>
      <w:r>
        <w:rPr>
          <w:rFonts w:ascii="Arial" w:cs="Arial" w:eastAsia="Arial" w:hAnsi="Arial"/>
          <w:sz w:val="18"/>
          <w:szCs w:val="18"/>
          <w:b w:val="1"/>
          <w:bCs w:val="1"/>
          <w:color w:val="auto"/>
        </w:rPr>
        <w:t>,</w:t>
      </w:r>
      <w:r>
        <w:rPr>
          <w:rFonts w:ascii="Arial" w:cs="Arial" w:eastAsia="Arial" w:hAnsi="Arial"/>
          <w:sz w:val="18"/>
          <w:szCs w:val="18"/>
          <w:color w:val="auto"/>
        </w:rPr>
        <w:t xml:space="preserve"> as is evident in +2.7% growth in interest income in 1H18 with regard to 1H17’s result.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pacing w:after="0" w:line="225" w:lineRule="exact"/>
        <w:rPr>
          <w:sz w:val="20"/>
          <w:szCs w:val="20"/>
          <w:color w:val="auto"/>
        </w:rPr>
      </w:pPr>
    </w:p>
    <w:p>
      <w:pPr>
        <w:ind w:left="1980"/>
        <w:spacing w:after="0"/>
        <w:tabs>
          <w:tab w:leader="none" w:pos="7680" w:val="left"/>
        </w:tabs>
        <w:rPr>
          <w:sz w:val="20"/>
          <w:szCs w:val="20"/>
          <w:color w:val="auto"/>
        </w:rPr>
      </w:pPr>
      <w:r>
        <w:rPr>
          <w:rFonts w:ascii="Arial" w:cs="Arial" w:eastAsia="Arial" w:hAnsi="Arial"/>
          <w:sz w:val="18"/>
          <w:szCs w:val="18"/>
          <w:b w:val="1"/>
          <w:bCs w:val="1"/>
          <w:color w:val="auto"/>
        </w:rPr>
        <w:t>Interest Expenses – LC</w:t>
      </w:r>
      <w:r>
        <w:rPr>
          <w:sz w:val="20"/>
          <w:szCs w:val="20"/>
          <w:color w:val="auto"/>
        </w:rPr>
        <w:tab/>
      </w:r>
      <w:r>
        <w:rPr>
          <w:rFonts w:ascii="Arial" w:cs="Arial" w:eastAsia="Arial" w:hAnsi="Arial"/>
          <w:sz w:val="16"/>
          <w:szCs w:val="16"/>
          <w:b w:val="1"/>
          <w:bCs w:val="1"/>
          <w:color w:val="auto"/>
        </w:rPr>
        <w:t>Interest Expenses - 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355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4611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 the QoQ analysis, interest expenses grew 0.5%. This was primarily attributable to:</w:t>
      </w:r>
    </w:p>
    <w:p>
      <w:pPr>
        <w:spacing w:after="0" w:line="225" w:lineRule="exact"/>
        <w:rPr>
          <w:sz w:val="20"/>
          <w:szCs w:val="20"/>
          <w:color w:val="auto"/>
        </w:rPr>
      </w:pPr>
    </w:p>
    <w:p>
      <w:pPr>
        <w:jc w:val="both"/>
        <w:ind w:left="880" w:hanging="494"/>
        <w:spacing w:after="0" w:line="279"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increase in interest expenses on deposits due to an interest-rate effect and a volume effect. In the first case, interest expenses on FC deposits increased in line with higher market interest rates in dollars. The volume effect is explained by the different mix, although total deposits contracted QoQ, interest-bearing deposits grew. Moreover, time deposits, which constitute the most expensive deposit type, contracted in April but expanded significantly in May and June thus the mix of time deposits registered a higher cost than that in 1Q18.</w:t>
      </w:r>
    </w:p>
    <w:p>
      <w:pPr>
        <w:spacing w:after="0" w:line="171" w:lineRule="exact"/>
        <w:rPr>
          <w:rFonts w:ascii="Arial" w:cs="Arial" w:eastAsia="Arial" w:hAnsi="Arial"/>
          <w:sz w:val="17"/>
          <w:szCs w:val="17"/>
          <w:color w:val="auto"/>
        </w:rPr>
      </w:pPr>
    </w:p>
    <w:p>
      <w:pPr>
        <w:jc w:val="both"/>
        <w:ind w:left="980" w:hanging="648"/>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Growth in interest expenses on bonds and subordinated debt due to the one-off effect of the cancellation of interest-rate-swaps (IRS) registered several years ago for some bonds in FC. This decision was made after considering the current scenario of increasing interest rates in dollars. It is important to note that although this effect increased the level of interest expense, in this quarter and going forward, in the future volatility will decrease given that issuances will be fixed rate.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two aforementioned effects were attenuated by a decrease in interest expenses on borrowed funds, specifically in LC, which is due to the significant reduction in the volume of BCRP instruments.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interest expenses grew +0.2%. Similar to the situation in the QoQ analysis, growth in this component was due primarily to higher interest expenses on deposits. The main factors that explain +4.0% growth YoY in interest expenses on deposits were:</w:t>
      </w:r>
    </w:p>
    <w:p>
      <w:pPr>
        <w:spacing w:after="0" w:line="166" w:lineRule="exact"/>
        <w:rPr>
          <w:sz w:val="20"/>
          <w:szCs w:val="20"/>
          <w:color w:val="auto"/>
        </w:rPr>
      </w:pPr>
    </w:p>
    <w:p>
      <w:pPr>
        <w:ind w:left="880" w:hanging="49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volume effect due to growth in interest-bearing deposits, which was primarily due to expansion in Savings Deposits and to a lesser extent, in time deposits.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interest rate effect given that interest rates in FC continue to follow an upward trend.</w:t>
      </w:r>
    </w:p>
    <w:p>
      <w:pPr>
        <w:spacing w:after="0" w:line="225"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mix of deposits also had an impact on growth in interest expenses on deposits given that the YoY expansion was led by LC deposits, which are more expensive than FC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 is important to note the decrease in </w:t>
      </w:r>
      <w:r>
        <w:rPr>
          <w:rFonts w:ascii="Arial" w:cs="Arial" w:eastAsia="Arial" w:hAnsi="Arial"/>
          <w:sz w:val="18"/>
          <w:szCs w:val="18"/>
          <w:b w:val="1"/>
          <w:bCs w:val="1"/>
          <w:color w:val="auto"/>
        </w:rPr>
        <w:t>Interest on borrowed</w:t>
      </w:r>
      <w:r>
        <w:rPr>
          <w:rFonts w:ascii="Arial" w:cs="Arial" w:eastAsia="Arial" w:hAnsi="Arial"/>
          <w:sz w:val="18"/>
          <w:szCs w:val="18"/>
          <w:color w:val="auto"/>
        </w:rPr>
        <w:t xml:space="preserve"> after on-going reductions in BCRP Instruments.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YTD</w:t>
      </w:r>
      <w:r>
        <w:rPr>
          <w:rFonts w:ascii="Arial" w:cs="Arial" w:eastAsia="Arial" w:hAnsi="Arial"/>
          <w:sz w:val="18"/>
          <w:szCs w:val="18"/>
          <w:color w:val="auto"/>
        </w:rPr>
        <w:t xml:space="preserve"> analysis shows similar trend to the QoQ and YoY variations, interest expenses in 1H18 grew 1.4% compared to the level posted in 1H17. This was primarily due to growth in Interest expenses on deposits.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-46355</wp:posOffset>
            </wp:positionV>
            <wp:extent cx="5445760" cy="2195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4576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8"/>
        <w:spacing w:after="0" w:line="277" w:lineRule="auto"/>
        <w:tabs>
          <w:tab w:leader="none" w:pos="2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evolved favorably both QoQ and YoY due to:</w:t>
      </w:r>
    </w:p>
    <w:p>
      <w:pPr>
        <w:spacing w:after="0" w:line="229" w:lineRule="exact"/>
        <w:rPr>
          <w:sz w:val="20"/>
          <w:szCs w:val="20"/>
          <w:color w:val="auto"/>
        </w:rPr>
      </w:pPr>
    </w:p>
    <w:p>
      <w:pPr>
        <w:ind w:left="880" w:hanging="494"/>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growth in NII (+0.9% QoQ and +4.8% YoY), as explained in section 4.1 Interest Income and 4.2 Interest Expenses, in line with an improvement in the dynamic of loan expansion and the controlled growth in interest expenses.</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Slight reduction in average IEAs due to a significant reduction in fair-value-through-profit-or-loss investments (formerly trading securities), as explained in section 1.1 Interest Income.</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loan growth in a scenario marked by a decrease in investments amplified the effect of the change in the composition of IEAs, where the share of loans, the most profitable asset, increased to 66% in comparison with 62% in June 2017.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slight recovery of NIM, coupled with a significant and on-going reduction in provisions for loans losses, led to an improvement of +26 bps QoQ and + 39 bps YoY in </w:t>
      </w:r>
      <w:r>
        <w:rPr>
          <w:rFonts w:ascii="Arial" w:cs="Arial" w:eastAsia="Arial" w:hAnsi="Arial"/>
          <w:sz w:val="18"/>
          <w:szCs w:val="18"/>
          <w:b w:val="1"/>
          <w:bCs w:val="1"/>
          <w:color w:val="auto"/>
        </w:rPr>
        <w:t>risk-adjusted NIM.</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YTD</w:t>
      </w:r>
      <w:r>
        <w:rPr>
          <w:rFonts w:ascii="Arial" w:cs="Arial" w:eastAsia="Arial" w:hAnsi="Arial"/>
          <w:sz w:val="18"/>
          <w:szCs w:val="18"/>
          <w:color w:val="auto"/>
        </w:rPr>
        <w:t xml:space="preserve"> terms, NIM fell -12 bps due to the higher growth rate posted by IEAs compared to that of NII. However, it is important to mention that better performance QoQ and YoY in 2Q18 vs 1Q18 helped mitigate the contraction posted in 1H18.</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820" w:type="dxa"/>
            <w:vAlign w:val="bottom"/>
          </w:tcPr>
          <w:p>
            <w:pPr>
              <w:spacing w:after="0"/>
              <w:rPr>
                <w:sz w:val="20"/>
                <w:szCs w:val="20"/>
                <w:color w:val="auto"/>
              </w:rPr>
            </w:pPr>
            <w:r>
              <w:rPr>
                <w:rFonts w:ascii="Arial" w:cs="Arial" w:eastAsia="Arial" w:hAnsi="Arial"/>
                <w:sz w:val="18"/>
                <w:szCs w:val="18"/>
                <w:color w:val="auto"/>
              </w:rPr>
              <w:t>NIM on loans recovered slightly QoQ, which was attributable to (i) loan</w:t>
            </w:r>
          </w:p>
        </w:tc>
        <w:tc>
          <w:tcPr>
            <w:tcW w:w="2420" w:type="dxa"/>
            <w:vAlign w:val="bottom"/>
          </w:tcPr>
          <w:p>
            <w:pPr>
              <w:ind w:left="1200"/>
              <w:spacing w:after="0"/>
              <w:rPr>
                <w:sz w:val="20"/>
                <w:szCs w:val="20"/>
                <w:color w:val="auto"/>
              </w:rPr>
            </w:pPr>
            <w:r>
              <w:rPr>
                <w:rFonts w:ascii="Arial" w:cs="Arial" w:eastAsia="Arial" w:hAnsi="Arial"/>
                <w:sz w:val="18"/>
                <w:szCs w:val="18"/>
                <w:b w:val="1"/>
                <w:bCs w:val="1"/>
                <w:color w:val="auto"/>
                <w:w w:val="87"/>
              </w:rPr>
              <w:t>NIM on loans</w:t>
            </w:r>
            <w:r>
              <w:rPr>
                <w:rFonts w:ascii="Arial" w:cs="Arial" w:eastAsia="Arial" w:hAnsi="Arial"/>
                <w:sz w:val="30"/>
                <w:szCs w:val="30"/>
                <w:b w:val="1"/>
                <w:bCs w:val="1"/>
                <w:color w:val="auto"/>
                <w:w w:val="87"/>
                <w:vertAlign w:val="superscript"/>
              </w:rPr>
              <w:t>(3)</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expansion in Wholesale Banking and Retail Banking and in both currencies,</w:t>
            </w:r>
          </w:p>
        </w:tc>
        <w:tc>
          <w:tcPr>
            <w:tcW w:w="242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and (ii) the relative stability of margins after a period of contraction due to</w:t>
            </w:r>
          </w:p>
        </w:tc>
        <w:tc>
          <w:tcPr>
            <w:tcW w:w="242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aggressive competition in Wholesale Banking and an improvement in the risk</w:t>
            </w:r>
          </w:p>
        </w:tc>
        <w:tc>
          <w:tcPr>
            <w:tcW w:w="242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profile of Retail Banking. The improvement in NIM on loans in 2Q18</w:t>
            </w:r>
          </w:p>
        </w:tc>
        <w:tc>
          <w:tcPr>
            <w:tcW w:w="242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attenuated the contraction registered in previous months and as such, in YoY</w:t>
            </w:r>
          </w:p>
        </w:tc>
        <w:tc>
          <w:tcPr>
            <w:tcW w:w="2420" w:type="dxa"/>
            <w:vAlign w:val="bottom"/>
          </w:tcPr>
          <w:p>
            <w:pPr>
              <w:spacing w:after="0"/>
              <w:rPr>
                <w:sz w:val="18"/>
                <w:szCs w:val="18"/>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and YTD terms, we see a reduction of -35 bps and -33 bps, respectively.</w:t>
            </w:r>
          </w:p>
        </w:tc>
        <w:tc>
          <w:tcPr>
            <w:tcW w:w="2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-659765</wp:posOffset>
            </wp:positionV>
            <wp:extent cx="2109470" cy="131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0947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The table below contains the interest margins for each of Credicorp’s main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BCP Stand-</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BCP</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85"/>
              </w:rPr>
              <w:t xml:space="preserve">Credicorp </w:t>
            </w:r>
            <w:r>
              <w:rPr>
                <w:rFonts w:ascii="Arial" w:cs="Arial" w:eastAsia="Arial" w:hAnsi="Arial"/>
                <w:sz w:val="30"/>
                <w:szCs w:val="30"/>
                <w:b w:val="1"/>
                <w:bCs w:val="1"/>
                <w:color w:val="auto"/>
                <w:w w:val="85"/>
                <w:vertAlign w:val="superscript"/>
              </w:rPr>
              <w:t>(2)</w:t>
            </w:r>
          </w:p>
        </w:tc>
        <w:tc>
          <w:tcPr>
            <w:tcW w:w="2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alone</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Mibanco</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Bolivia</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ASB</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2Q17 </w:t>
            </w:r>
            <w:r>
              <w:rPr>
                <w:rFonts w:ascii="Arial" w:cs="Arial" w:eastAsia="Arial" w:hAnsi="Arial"/>
                <w:sz w:val="28"/>
                <w:szCs w:val="28"/>
                <w:color w:val="auto"/>
                <w:vertAlign w:val="superscript"/>
              </w:rPr>
              <w:t>(1)</w:t>
            </w: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1Q18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5.15%</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2Q18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YTD - Jun 17</w:t>
            </w: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5.35%</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YTD - Jun 18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9"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Figures of ASB and Credicorp differs from previously reported, please consider the date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 of global NIM by subsidiary shows an increase in Credicorp’s margin; this was primarily attributable to </w:t>
      </w:r>
      <w:r>
        <w:rPr>
          <w:rFonts w:ascii="Arial" w:cs="Arial" w:eastAsia="Arial" w:hAnsi="Arial"/>
          <w:sz w:val="18"/>
          <w:szCs w:val="18"/>
          <w:b w:val="1"/>
          <w:bCs w:val="1"/>
          <w:color w:val="auto"/>
        </w:rPr>
        <w:t>BCP Stand-alone</w:t>
      </w:r>
      <w:r>
        <w:rPr>
          <w:rFonts w:ascii="Arial" w:cs="Arial" w:eastAsia="Arial" w:hAnsi="Arial"/>
          <w:sz w:val="18"/>
          <w:szCs w:val="18"/>
          <w:color w:val="auto"/>
        </w:rPr>
        <w:t>, which represents around 66% of net interest income. In this context, NIM at BCP Stand-alone reached the level posted in 2Q17, showing a clear recovery after several quarters of deterioration.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9"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137160</wp:posOffset>
            </wp:positionV>
            <wp:extent cx="404749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474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BCP Stand-alone reached the level posted in 2Q17, showing a clear recovery after several quarters of deterioration.</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which represents around 24% of net interest income, posted an increase in its NIM QoQ due to significant growth in the loan level measured in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daily balances. YoY and in accumulated terms, NIM at Mibanco posted the same positive evolution.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5. Non-Financial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Although non-financial income contracted QoQ and YoY due to the loss posted in the item Gains on sales of securities, it is important to note the growth QoQ and YoY in fee income and in gains on FX transactions, which are the main components of non-financial income.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700"/>
              <w:spacing w:after="0"/>
              <w:rPr>
                <w:sz w:val="20"/>
                <w:szCs w:val="20"/>
                <w:color w:val="auto"/>
              </w:rPr>
            </w:pPr>
            <w:r>
              <w:rPr>
                <w:rFonts w:ascii="Arial" w:cs="Arial" w:eastAsia="Arial" w:hAnsi="Arial"/>
                <w:sz w:val="14"/>
                <w:szCs w:val="14"/>
                <w:b w:val="1"/>
                <w:bCs w:val="1"/>
                <w:color w:val="auto"/>
                <w:w w:val="97"/>
              </w:rPr>
              <w:t>% change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ind w:left="820"/>
              <w:spacing w:after="0"/>
              <w:rPr>
                <w:sz w:val="20"/>
                <w:szCs w:val="20"/>
                <w:color w:val="auto"/>
              </w:rPr>
            </w:pPr>
            <w:r>
              <w:rPr>
                <w:rFonts w:ascii="Arial" w:cs="Arial" w:eastAsia="Arial" w:hAnsi="Arial"/>
                <w:sz w:val="14"/>
                <w:szCs w:val="14"/>
                <w:b w:val="1"/>
                <w:bCs w:val="1"/>
                <w:color w:val="auto"/>
              </w:rPr>
              <w:t>YTD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2Q17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2Q18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QoQ</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 17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gridSpan w:val="2"/>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 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 / 2017</w:t>
            </w:r>
          </w:p>
        </w:tc>
        <w:tc>
          <w:tcPr>
            <w:tcW w:w="140" w:type="dxa"/>
            <w:vAlign w:val="bottom"/>
            <w:tcBorders>
              <w:bottom w:val="single" w:sz="8" w:color="CCEEFF"/>
            </w:tcBorders>
          </w:tcPr>
          <w:p>
            <w:pPr>
              <w:spacing w:after="0"/>
              <w:rPr>
                <w:sz w:val="14"/>
                <w:szCs w:val="14"/>
                <w:color w:val="auto"/>
              </w:rPr>
            </w:pPr>
          </w:p>
        </w:tc>
      </w:tr>
      <w:tr>
        <w:trPr>
          <w:trHeight w:val="183"/>
        </w:trPr>
        <w:tc>
          <w:tcPr>
            <w:tcW w:w="208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Fee income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721,983</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749,692</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766,994</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1,403,031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1,516,686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30"/>
        </w:trPr>
        <w:tc>
          <w:tcPr>
            <w:tcW w:w="2200" w:type="dxa"/>
            <w:vAlign w:val="bottom"/>
            <w:gridSpan w:val="2"/>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2200" w:type="dxa"/>
            <w:vAlign w:val="bottom"/>
            <w:gridSpan w:val="2"/>
          </w:tcPr>
          <w:p>
            <w:pPr>
              <w:spacing w:after="0"/>
              <w:rPr>
                <w:sz w:val="20"/>
                <w:szCs w:val="20"/>
                <w:color w:val="auto"/>
              </w:rPr>
            </w:pPr>
            <w:r>
              <w:rPr>
                <w:rFonts w:ascii="Arial" w:cs="Arial" w:eastAsia="Arial" w:hAnsi="Arial"/>
                <w:sz w:val="14"/>
                <w:szCs w:val="14"/>
                <w:color w:val="auto"/>
              </w:rPr>
              <w:t>transactions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160,256</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162,295</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180,669</w:t>
            </w: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326,742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342,964</w:t>
            </w: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189"/>
        </w:trPr>
        <w:tc>
          <w:tcPr>
            <w:tcW w:w="2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5,974</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8,387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9,506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17,893</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49.2%</w:t>
            </w: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83,151</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92,389</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(8,756)</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-110.5%</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140,972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83,633</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w:t>
            </w: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on derivatives</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15,313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14,597</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-4778.5%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69,654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14,285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-79.5%</w:t>
            </w: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Result on exchange difference</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2,305</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5,889</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1,031</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6,920</w:t>
            </w: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w:t>
            </w:r>
          </w:p>
        </w:tc>
      </w:tr>
      <w:tr>
        <w:trPr>
          <w:trHeight w:val="162"/>
        </w:trPr>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non-financial income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69,771</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82,876</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84,009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138,516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166,885</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44"/>
        </w:trPr>
        <w:tc>
          <w:tcPr>
            <w:tcW w:w="220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Total non financial income</w:t>
            </w:r>
          </w:p>
        </w:tc>
        <w:tc>
          <w:tcPr>
            <w:tcW w:w="8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1,058,753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1,101,216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1,048,050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-4.8</w:t>
            </w:r>
          </w:p>
        </w:tc>
        <w:tc>
          <w:tcPr>
            <w:tcW w:w="160" w:type="dxa"/>
            <w:vAlign w:val="bottom"/>
          </w:tcPr>
          <w:p>
            <w:pPr>
              <w:jc w:val="right"/>
              <w:spacing w:after="0" w:line="144"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-1.0</w:t>
            </w:r>
          </w:p>
        </w:tc>
        <w:tc>
          <w:tcPr>
            <w:tcW w:w="160" w:type="dxa"/>
            <w:vAlign w:val="bottom"/>
          </w:tcPr>
          <w:p>
            <w:pPr>
              <w:jc w:val="right"/>
              <w:spacing w:after="0" w:line="144"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2,102,287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2,149,266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2.2</w:t>
            </w:r>
          </w:p>
        </w:tc>
        <w:tc>
          <w:tcPr>
            <w:tcW w:w="140" w:type="dxa"/>
            <w:vAlign w:val="bottom"/>
          </w:tcPr>
          <w:p>
            <w:pPr>
              <w:jc w:val="right"/>
              <w:spacing w:after="0" w:line="144"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-635</wp:posOffset>
            </wp:positionV>
            <wp:extent cx="5394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Mainly includes the agreement between Grupo Pacifico and Banmedica.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Quarter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700"/>
              <w:spacing w:after="0"/>
              <w:rPr>
                <w:sz w:val="20"/>
                <w:szCs w:val="20"/>
                <w:color w:val="auto"/>
              </w:rPr>
            </w:pPr>
            <w:r>
              <w:rPr>
                <w:rFonts w:ascii="Arial" w:cs="Arial" w:eastAsia="Arial" w:hAnsi="Arial"/>
                <w:sz w:val="14"/>
                <w:szCs w:val="14"/>
                <w:b w:val="1"/>
                <w:bCs w:val="1"/>
                <w:color w:val="auto"/>
                <w:w w:val="97"/>
              </w:rPr>
              <w:t>% change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ind w:left="820"/>
              <w:spacing w:after="0"/>
              <w:rPr>
                <w:sz w:val="20"/>
                <w:szCs w:val="20"/>
                <w:color w:val="auto"/>
              </w:rPr>
            </w:pPr>
            <w:r>
              <w:rPr>
                <w:rFonts w:ascii="Arial" w:cs="Arial" w:eastAsia="Arial" w:hAnsi="Arial"/>
                <w:sz w:val="14"/>
                <w:szCs w:val="14"/>
                <w:b w:val="1"/>
                <w:bCs w:val="1"/>
                <w:color w:val="auto"/>
              </w:rPr>
              <w:t>YTD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Millions (S/)</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2Q17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1Q18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2Q18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QoQ</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 17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gridSpan w:val="2"/>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 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 / 2017</w:t>
            </w:r>
          </w:p>
        </w:tc>
        <w:tc>
          <w:tcPr>
            <w:tcW w:w="140" w:type="dxa"/>
            <w:vAlign w:val="bottom"/>
            <w:tcBorders>
              <w:bottom w:val="single" w:sz="8" w:color="CCEEFF"/>
            </w:tcBorders>
          </w:tcPr>
          <w:p>
            <w:pPr>
              <w:spacing w:after="0"/>
              <w:rPr>
                <w:sz w:val="14"/>
                <w:szCs w:val="14"/>
                <w:color w:val="auto"/>
              </w:rPr>
            </w:pPr>
          </w:p>
        </w:tc>
      </w:tr>
      <w:tr>
        <w:trPr>
          <w:trHeight w:val="142"/>
        </w:trPr>
        <w:tc>
          <w:tcPr>
            <w:tcW w:w="2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EPS contribution (50%)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23.3%</w:t>
            </w:r>
          </w:p>
        </w:tc>
      </w:tr>
      <w:tr>
        <w:trPr>
          <w:trHeight w:val="130"/>
        </w:trPr>
        <w:tc>
          <w:tcPr>
            <w:tcW w:w="2200" w:type="dxa"/>
            <w:vAlign w:val="bottom"/>
            <w:gridSpan w:val="2"/>
          </w:tcPr>
          <w:p>
            <w:pPr>
              <w:spacing w:after="0" w:line="130" w:lineRule="exact"/>
              <w:rPr>
                <w:sz w:val="20"/>
                <w:szCs w:val="20"/>
                <w:color w:val="auto"/>
              </w:rPr>
            </w:pPr>
            <w:r>
              <w:rPr>
                <w:rFonts w:ascii="Arial" w:cs="Arial" w:eastAsia="Arial" w:hAnsi="Arial"/>
                <w:sz w:val="14"/>
                <w:szCs w:val="14"/>
                <w:color w:val="auto"/>
              </w:rPr>
              <w:t>(-) Private health insurance</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1"/>
        </w:trPr>
        <w:tc>
          <w:tcPr>
            <w:tcW w:w="2200" w:type="dxa"/>
            <w:vAlign w:val="bottom"/>
            <w:gridSpan w:val="2"/>
          </w:tcPr>
          <w:p>
            <w:pPr>
              <w:spacing w:after="0"/>
              <w:rPr>
                <w:sz w:val="20"/>
                <w:szCs w:val="20"/>
                <w:color w:val="auto"/>
              </w:rPr>
            </w:pPr>
            <w:r>
              <w:rPr>
                <w:rFonts w:ascii="Arial" w:cs="Arial" w:eastAsia="Arial" w:hAnsi="Arial"/>
                <w:sz w:val="14"/>
                <w:szCs w:val="14"/>
                <w:color w:val="auto"/>
              </w:rPr>
              <w:t>deduction (50%)</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-9.3%</w:t>
            </w:r>
          </w:p>
        </w:tc>
      </w:tr>
      <w:tr>
        <w:trPr>
          <w:trHeight w:val="106"/>
        </w:trPr>
        <w:tc>
          <w:tcPr>
            <w:tcW w:w="2200" w:type="dxa"/>
            <w:vAlign w:val="bottom"/>
            <w:tcBorders>
              <w:top w:val="single" w:sz="8" w:color="CCEEFF"/>
            </w:tcBorders>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 Net gain from associates</w:t>
            </w:r>
          </w:p>
        </w:tc>
        <w:tc>
          <w:tcPr>
            <w:tcW w:w="8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excluding Non-recurring income /</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85"/>
        </w:trPr>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expense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5.97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8.39</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9.51</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59.1%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49.2%</w:t>
            </w:r>
          </w:p>
        </w:tc>
      </w:tr>
      <w:tr>
        <w:trPr>
          <w:trHeight w:val="142"/>
        </w:trPr>
        <w:tc>
          <w:tcPr>
            <w:tcW w:w="22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 Non-recurring income/expense</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r>
      <w:tr>
        <w:trPr>
          <w:trHeight w:val="142"/>
        </w:trPr>
        <w:tc>
          <w:tcPr>
            <w:tcW w:w="2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Net gain from associates</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59.1</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49.2</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Non-financial income continued to fall QoQ, which was primarily due to:</w:t>
      </w:r>
    </w:p>
    <w:p>
      <w:pPr>
        <w:spacing w:after="0" w:line="221" w:lineRule="exact"/>
        <w:rPr>
          <w:sz w:val="20"/>
          <w:szCs w:val="20"/>
          <w:color w:val="auto"/>
        </w:rPr>
      </w:pPr>
    </w:p>
    <w:p>
      <w:pPr>
        <w:jc w:val="both"/>
        <w:ind w:left="880" w:hanging="494"/>
        <w:spacing w:after="0" w:line="258"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Losses on </w:t>
      </w:r>
      <w:r>
        <w:rPr>
          <w:rFonts w:ascii="Arial" w:cs="Arial" w:eastAsia="Arial" w:hAnsi="Arial"/>
          <w:sz w:val="18"/>
          <w:szCs w:val="18"/>
          <w:b w:val="1"/>
          <w:bCs w:val="1"/>
          <w:color w:val="auto"/>
        </w:rPr>
        <w:t>Net gain on sales of securities</w:t>
      </w:r>
      <w:r>
        <w:rPr>
          <w:rFonts w:ascii="Arial" w:cs="Arial" w:eastAsia="Arial" w:hAnsi="Arial"/>
          <w:sz w:val="18"/>
          <w:szCs w:val="18"/>
          <w:color w:val="auto"/>
        </w:rPr>
        <w:t xml:space="preserve"> at BCP Stand-alone, which reflects the effects of the sale of some investments in a context for rising global interest rates. The instruments that caused such loss were government bonds with investment grade. Prima AFP also reported a reduction in net gain on sales of securities, related with the effects of the mark-to-market of the managed funds on the legal reserve of Prima AFP. Finally, Credicorp Capital also experimented a decrease in net gain on sales of securities, related with the sale of certain investments that were negatively impacted by the increase in international rates.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aforementioned loss was partially offset by:</w:t>
      </w:r>
    </w:p>
    <w:p>
      <w:pPr>
        <w:spacing w:after="0" w:line="221" w:lineRule="exact"/>
        <w:rPr>
          <w:sz w:val="20"/>
          <w:szCs w:val="20"/>
          <w:color w:val="auto"/>
        </w:rPr>
      </w:pPr>
    </w:p>
    <w:p>
      <w:pPr>
        <w:ind w:left="880" w:right="20" w:hanging="494"/>
        <w:spacing w:after="0" w:line="282"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Net gain on FX transactions</w:t>
      </w:r>
      <w:r>
        <w:rPr>
          <w:rFonts w:ascii="Arial" w:cs="Arial" w:eastAsia="Arial" w:hAnsi="Arial"/>
          <w:sz w:val="18"/>
          <w:szCs w:val="18"/>
          <w:color w:val="auto"/>
        </w:rPr>
        <w:t xml:space="preserve"> at BCP Stand-alone due to higher volumes of foreign exchange transactions and, to a lesser extent, to the margin obtained despite a scenario of low volatility in the exchange rate this past quarter.</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Fee income</w:t>
      </w:r>
      <w:r>
        <w:rPr>
          <w:rFonts w:ascii="Arial" w:cs="Arial" w:eastAsia="Arial" w:hAnsi="Arial"/>
          <w:sz w:val="18"/>
          <w:szCs w:val="18"/>
          <w:color w:val="auto"/>
        </w:rPr>
        <w:t>, the main source of non-financial income, due to improvements in BCP Stand-alone’s performance, particularly in terms of drafts and transfers, payments and collections, and foreign trade.</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Net gain on derivatives</w:t>
      </w:r>
      <w:r>
        <w:rPr>
          <w:rFonts w:ascii="Arial" w:cs="Arial" w:eastAsia="Arial" w:hAnsi="Arial"/>
          <w:sz w:val="18"/>
          <w:szCs w:val="18"/>
          <w:color w:val="auto"/>
        </w:rPr>
        <w:t>, which was primarily attributable to BCP Stand-alone, which posted higher gains on swaps and forwards and to a lesser extent, to Credicorp Capital due to an increase in gains on forwards.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Non-financial income posted a slight decline YoY due to:</w:t>
      </w:r>
    </w:p>
    <w:p>
      <w:pPr>
        <w:spacing w:after="0" w:line="221" w:lineRule="exact"/>
        <w:rPr>
          <w:sz w:val="20"/>
          <w:szCs w:val="20"/>
          <w:color w:val="auto"/>
        </w:rPr>
      </w:pPr>
    </w:p>
    <w:p>
      <w:pPr>
        <w:ind w:left="880" w:hanging="49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Losses on </w:t>
      </w:r>
      <w:r>
        <w:rPr>
          <w:rFonts w:ascii="Arial" w:cs="Arial" w:eastAsia="Arial" w:hAnsi="Arial"/>
          <w:sz w:val="18"/>
          <w:szCs w:val="18"/>
          <w:b w:val="1"/>
          <w:bCs w:val="1"/>
          <w:color w:val="auto"/>
        </w:rPr>
        <w:t>Net gain on sales of securities</w:t>
      </w:r>
      <w:r>
        <w:rPr>
          <w:rFonts w:ascii="Arial" w:cs="Arial" w:eastAsia="Arial" w:hAnsi="Arial"/>
          <w:sz w:val="18"/>
          <w:szCs w:val="18"/>
          <w:color w:val="auto"/>
        </w:rPr>
        <w:t>, as we mentioned in the QoQ analysis.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The aforementioned was significantly attenuated by the increase in:</w:t>
      </w:r>
    </w:p>
    <w:p>
      <w:pPr>
        <w:spacing w:after="0" w:line="221" w:lineRule="exact"/>
        <w:rPr>
          <w:sz w:val="20"/>
          <w:szCs w:val="20"/>
          <w:color w:val="auto"/>
        </w:rPr>
      </w:pPr>
    </w:p>
    <w:p>
      <w:pPr>
        <w:ind w:left="880" w:hanging="494"/>
        <w:spacing w:after="0" w:line="282"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due to the favorable evolution of banking commissions at BCP Stand-alone and to a lesser extent, to Mibanco, as we will explain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in section 5.1.2 Banking Business.</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Net gain on FX transactions </w:t>
      </w:r>
      <w:r>
        <w:rPr>
          <w:rFonts w:ascii="Arial" w:cs="Arial" w:eastAsia="Arial" w:hAnsi="Arial"/>
          <w:sz w:val="18"/>
          <w:szCs w:val="18"/>
          <w:color w:val="auto"/>
        </w:rPr>
        <w:t>through BCP Stand-alone due to an increase in trading volumes.</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at Mibanco due to the sale of a branch.</w:t>
      </w:r>
    </w:p>
    <w:p>
      <w:pPr>
        <w:spacing w:after="0" w:line="225"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Net gain from associates </w:t>
      </w:r>
      <w:r>
        <w:rPr>
          <w:rFonts w:ascii="Arial" w:cs="Arial" w:eastAsia="Arial" w:hAnsi="Arial"/>
          <w:sz w:val="18"/>
          <w:szCs w:val="18"/>
          <w:color w:val="auto"/>
        </w:rPr>
        <w:t>that corresponds to the 50% of net income generated from the join-venture with Banmedica, which posted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for the second consecutive quarter.</w:t>
      </w:r>
    </w:p>
    <w:p>
      <w:pPr>
        <w:spacing w:after="0" w:line="200" w:lineRule="exact"/>
        <w:rPr>
          <w:sz w:val="20"/>
          <w:szCs w:val="20"/>
          <w:color w:val="auto"/>
        </w:rPr>
      </w:pPr>
    </w:p>
    <w:p>
      <w:pPr>
        <w:spacing w:after="0" w:line="394" w:lineRule="exact"/>
        <w:rPr>
          <w:sz w:val="20"/>
          <w:szCs w:val="20"/>
          <w:color w:val="auto"/>
        </w:rPr>
      </w:pPr>
    </w:p>
    <w:p>
      <w:pPr>
        <w:ind w:left="880" w:hanging="49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Fee income</w:t>
      </w:r>
      <w:r>
        <w:rPr>
          <w:rFonts w:ascii="Arial" w:cs="Arial" w:eastAsia="Arial" w:hAnsi="Arial"/>
          <w:sz w:val="18"/>
          <w:szCs w:val="18"/>
          <w:color w:val="auto"/>
        </w:rPr>
        <w:t>, which improved in the banking business and to a lesser extent, at Credicorp Capital,</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Net gain on FX transactions </w:t>
      </w:r>
      <w:r>
        <w:rPr>
          <w:rFonts w:ascii="Arial" w:cs="Arial" w:eastAsia="Arial" w:hAnsi="Arial"/>
          <w:sz w:val="18"/>
          <w:szCs w:val="18"/>
          <w:color w:val="auto"/>
        </w:rPr>
        <w:t>due to an increase in transactions volumes,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associated with the sale of a judicial portfolio that was written-off at BCP Stand-alone in 1Q18.</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Net gain on investments in associates </w:t>
      </w:r>
      <w:r>
        <w:rPr>
          <w:rFonts w:ascii="Arial" w:cs="Arial" w:eastAsia="Arial" w:hAnsi="Arial"/>
          <w:sz w:val="17"/>
          <w:szCs w:val="17"/>
          <w:color w:val="auto"/>
        </w:rPr>
        <w:t>that reflects the continuous improvement in the results from the agreement with Banmedica.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fee income at Credicorp in 2Q18.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154940</wp:posOffset>
            </wp:positionV>
            <wp:extent cx="5874385" cy="2195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438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next figure shows the YoY evolution of fee income by subsidiary: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11190" cy="20840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119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Banking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820"/>
              <w:spacing w:after="0"/>
              <w:rPr>
                <w:sz w:val="20"/>
                <w:szCs w:val="20"/>
                <w:color w:val="auto"/>
              </w:rPr>
            </w:pPr>
            <w:r>
              <w:rPr>
                <w:rFonts w:ascii="Arial" w:cs="Arial" w:eastAsia="Arial" w:hAnsi="Arial"/>
                <w:sz w:val="18"/>
                <w:szCs w:val="18"/>
                <w:b w:val="1"/>
                <w:bCs w:val="1"/>
                <w:color w:val="auto"/>
              </w:rPr>
              <w:t>YTD</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7"/>
              </w:rPr>
              <w:t>% change</w:t>
            </w:r>
          </w:p>
        </w:tc>
      </w:tr>
      <w:tr>
        <w:trPr>
          <w:trHeight w:val="234"/>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1Q18</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2Q18</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 17</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Jun 18</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2018 / 2017</w:t>
            </w:r>
          </w:p>
        </w:tc>
        <w:tc>
          <w:tcPr>
            <w:tcW w:w="180" w:type="dxa"/>
            <w:vAlign w:val="bottom"/>
            <w:tcBorders>
              <w:bottom w:val="single" w:sz="8" w:color="CCEEFF"/>
            </w:tcBorders>
          </w:tcPr>
          <w:p>
            <w:pPr>
              <w:spacing w:after="0"/>
              <w:rPr>
                <w:sz w:val="20"/>
                <w:szCs w:val="20"/>
                <w:color w:val="auto"/>
              </w:rPr>
            </w:pPr>
          </w:p>
        </w:tc>
      </w:tr>
      <w:tr>
        <w:trPr>
          <w:trHeight w:val="250"/>
        </w:trPr>
        <w:tc>
          <w:tcPr>
            <w:tcW w:w="22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w w:val="99"/>
              </w:rPr>
              <w:t xml:space="preserve">Miscellaneous accounts </w:t>
            </w:r>
            <w:r>
              <w:rPr>
                <w:rFonts w:ascii="Arial" w:cs="Arial" w:eastAsia="Arial" w:hAnsi="Arial"/>
                <w:sz w:val="29"/>
                <w:szCs w:val="29"/>
                <w:color w:val="auto"/>
                <w:w w:val="99"/>
                <w:vertAlign w:val="superscript"/>
              </w:rPr>
              <w:t>(1)</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170,676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177,257</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178,172</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344,568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355,428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72,237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71,241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74,153</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900" w:type="dxa"/>
            <w:vAlign w:val="bottom"/>
          </w:tcPr>
          <w:p>
            <w:pPr>
              <w:jc w:val="right"/>
              <w:spacing w:after="0"/>
              <w:rPr>
                <w:sz w:val="20"/>
                <w:szCs w:val="20"/>
                <w:color w:val="auto"/>
              </w:rPr>
            </w:pPr>
            <w:r>
              <w:rPr>
                <w:rFonts w:ascii="Arial" w:cs="Arial" w:eastAsia="Arial" w:hAnsi="Arial"/>
                <w:sz w:val="18"/>
                <w:szCs w:val="18"/>
                <w:color w:val="auto"/>
              </w:rPr>
              <w:t>144,363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145,394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48,966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55,136</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104,102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24,989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22,898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23,401</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-6.4%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48,725</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46,299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15,171</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33,239</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18,297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19,629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20,489</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12.0%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36,813</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40,118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9,763</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20,536</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44,303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51,545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51,376</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87,377</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102,921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17.8%</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8"/>
              </w:rPr>
              <w:t xml:space="preserve">Payments and collections </w:t>
            </w:r>
            <w:r>
              <w:rPr>
                <w:rFonts w:ascii="Arial" w:cs="Arial" w:eastAsia="Arial" w:hAnsi="Arial"/>
                <w:sz w:val="29"/>
                <w:szCs w:val="29"/>
                <w:color w:val="auto"/>
                <w:w w:val="98"/>
                <w:vertAlign w:val="superscript"/>
              </w:rPr>
              <w:t>(3)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96,404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102,492</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200,270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18,547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20,596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19,400</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35,727</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39,996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10,714</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22,140</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05"/>
        </w:trPr>
        <w:tc>
          <w:tcPr>
            <w:tcW w:w="2320" w:type="dxa"/>
            <w:vAlign w:val="bottom"/>
            <w:gridSpan w:val="2"/>
          </w:tcPr>
          <w:p>
            <w:pPr>
              <w:spacing w:after="0" w:line="206" w:lineRule="exact"/>
              <w:rPr>
                <w:sz w:val="20"/>
                <w:szCs w:val="20"/>
                <w:color w:val="auto"/>
              </w:rPr>
            </w:pPr>
            <w:r>
              <w:rPr>
                <w:rFonts w:ascii="Arial" w:cs="Arial" w:eastAsia="Arial" w:hAnsi="Arial"/>
                <w:sz w:val="18"/>
                <w:szCs w:val="18"/>
                <w:color w:val="auto"/>
                <w:w w:val="96"/>
              </w:rPr>
              <w:t>Corporate finance and mutual</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7"/>
        </w:trPr>
        <w:tc>
          <w:tcPr>
            <w:tcW w:w="2320" w:type="dxa"/>
            <w:vAlign w:val="bottom"/>
            <w:gridSpan w:val="2"/>
          </w:tcPr>
          <w:p>
            <w:pPr>
              <w:spacing w:after="0" w:line="266" w:lineRule="exact"/>
              <w:rPr>
                <w:sz w:val="20"/>
                <w:szCs w:val="20"/>
                <w:color w:val="auto"/>
              </w:rPr>
            </w:pPr>
            <w:r>
              <w:rPr>
                <w:rFonts w:ascii="Arial" w:cs="Arial" w:eastAsia="Arial" w:hAnsi="Arial"/>
                <w:sz w:val="18"/>
                <w:szCs w:val="18"/>
                <w:color w:val="auto"/>
              </w:rPr>
              <w:t xml:space="preserve">funds </w:t>
            </w:r>
            <w:r>
              <w:rPr>
                <w:rFonts w:ascii="Arial" w:cs="Arial" w:eastAsia="Arial" w:hAnsi="Arial"/>
                <w:sz w:val="30"/>
                <w:szCs w:val="30"/>
                <w:color w:val="auto"/>
                <w:vertAlign w:val="superscript"/>
              </w:rPr>
              <w:t>(4)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20,548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15,387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15,234</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-25.9%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33,871</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30,621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ASB </w:t>
            </w:r>
            <w:r>
              <w:rPr>
                <w:rFonts w:ascii="Arial" w:cs="Arial" w:eastAsia="Arial" w:hAnsi="Arial"/>
                <w:sz w:val="29"/>
                <w:szCs w:val="29"/>
                <w:color w:val="auto"/>
                <w:vertAlign w:val="superscript"/>
              </w:rPr>
              <w:t>(4)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7,917</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13,419</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23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53,644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61,065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60,805</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3"/>
                <w:szCs w:val="23"/>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13.3%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97,316</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121,870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25.2%</w:t>
            </w:r>
          </w:p>
        </w:tc>
      </w:tr>
      <w:tr>
        <w:trPr>
          <w:trHeight w:val="210"/>
        </w:trPr>
        <w:tc>
          <w:tcPr>
            <w:tcW w:w="2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605,322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628,954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644,223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1,193,478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1,273,178</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QoQ analysis, fee income in the banking business increased +2.4% QoQ, which was mainly due to:</w:t>
      </w:r>
    </w:p>
    <w:p>
      <w:pPr>
        <w:spacing w:after="0" w:line="221" w:lineRule="exact"/>
        <w:rPr>
          <w:sz w:val="20"/>
          <w:szCs w:val="20"/>
          <w:color w:val="auto"/>
        </w:rPr>
      </w:pPr>
    </w:p>
    <w:p>
      <w:pPr>
        <w:ind w:left="880" w:hanging="494"/>
        <w:spacing w:after="0"/>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improvement in transactional activity, which was reflected in growth in the </w:t>
      </w:r>
      <w:r>
        <w:rPr>
          <w:rFonts w:ascii="Arial" w:cs="Arial" w:eastAsia="Arial" w:hAnsi="Arial"/>
          <w:sz w:val="16"/>
          <w:szCs w:val="16"/>
          <w:b w:val="1"/>
          <w:bCs w:val="1"/>
          <w:color w:val="auto"/>
        </w:rPr>
        <w:t>Drafts and transfers, Payments and collections</w:t>
      </w:r>
      <w:r>
        <w:rPr>
          <w:rFonts w:ascii="Arial" w:cs="Arial" w:eastAsia="Arial" w:hAnsi="Arial"/>
          <w:sz w:val="16"/>
          <w:szCs w:val="16"/>
          <w:color w:val="auto"/>
        </w:rPr>
        <w:t xml:space="preserve"> component.</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increase posted in </w:t>
      </w:r>
      <w:r>
        <w:rPr>
          <w:rFonts w:ascii="Arial" w:cs="Arial" w:eastAsia="Arial" w:hAnsi="Arial"/>
          <w:sz w:val="18"/>
          <w:szCs w:val="18"/>
          <w:b w:val="1"/>
          <w:bCs w:val="1"/>
          <w:color w:val="auto"/>
        </w:rPr>
        <w:t>Foreign trade</w:t>
      </w:r>
      <w:r>
        <w:rPr>
          <w:rFonts w:ascii="Arial" w:cs="Arial" w:eastAsia="Arial" w:hAnsi="Arial"/>
          <w:sz w:val="18"/>
          <w:szCs w:val="18"/>
          <w:color w:val="auto"/>
        </w:rPr>
        <w:t xml:space="preserve"> was attributable to higher income from Import Letters of Credit and Export Letters of Credit.</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due to a higher volume of transactions.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aforementioned offset (i) the contraction in fee income from the SME-Pyme portfolio; (ii) lower gains on commercial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growth was situated at +6.4%, which was due to:</w:t>
      </w:r>
    </w:p>
    <w:p>
      <w:pPr>
        <w:spacing w:after="0" w:line="221" w:lineRule="exact"/>
        <w:rPr>
          <w:sz w:val="20"/>
          <w:szCs w:val="20"/>
          <w:color w:val="auto"/>
        </w:rPr>
      </w:pPr>
    </w:p>
    <w:p>
      <w:pPr>
        <w:ind w:left="880" w:right="20" w:hanging="494"/>
        <w:spacing w:after="0" w:line="282"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improvement in </w:t>
      </w:r>
      <w:r>
        <w:rPr>
          <w:rFonts w:ascii="Arial" w:cs="Arial" w:eastAsia="Arial" w:hAnsi="Arial"/>
          <w:sz w:val="18"/>
          <w:szCs w:val="18"/>
          <w:b w:val="1"/>
          <w:bCs w:val="1"/>
          <w:color w:val="auto"/>
        </w:rPr>
        <w:t>Drafts and Transfers</w:t>
      </w:r>
      <w:r>
        <w:rPr>
          <w:rFonts w:ascii="Arial" w:cs="Arial" w:eastAsia="Arial" w:hAnsi="Arial"/>
          <w:sz w:val="18"/>
          <w:szCs w:val="18"/>
          <w:color w:val="auto"/>
        </w:rPr>
        <w:t xml:space="preserve"> due to the El Nino Phenomenon campaign, which began at the end of 1Q17. Despite the slowdown that was expected at the end of December, this component continues to post growth.</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Miscellaneous accounts</w:t>
      </w:r>
      <w:r>
        <w:rPr>
          <w:rFonts w:ascii="Arial" w:cs="Arial" w:eastAsia="Arial" w:hAnsi="Arial"/>
          <w:sz w:val="18"/>
          <w:szCs w:val="18"/>
          <w:color w:val="auto"/>
        </w:rPr>
        <w:t>, which was associated with higher billing due to an uptick in the use of debit cards.</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Off-balance sheet,</w:t>
      </w:r>
      <w:r>
        <w:rPr>
          <w:rFonts w:ascii="Arial" w:cs="Arial" w:eastAsia="Arial" w:hAnsi="Arial"/>
          <w:sz w:val="18"/>
          <w:szCs w:val="18"/>
          <w:color w:val="auto"/>
        </w:rPr>
        <w:t xml:space="preserve"> which was primarily due to performance bonds.</w:t>
      </w:r>
    </w:p>
    <w:p>
      <w:pPr>
        <w:spacing w:after="0" w:line="225"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which was attributable to Mibanco due to an increase in its fee income from penalties for late payment. This was related to the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method to collect such income because last year it was charged to clients as an interest rate for late payment and this year it has become a flat fee.</w:t>
      </w:r>
    </w:p>
    <w:p>
      <w:pPr>
        <w:spacing w:after="0" w:line="176"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Payments and collections</w:t>
      </w:r>
      <w:r>
        <w:rPr>
          <w:rFonts w:ascii="Arial" w:cs="Arial" w:eastAsia="Arial" w:hAnsi="Arial"/>
          <w:sz w:val="18"/>
          <w:szCs w:val="18"/>
          <w:color w:val="auto"/>
        </w:rPr>
        <w:t xml:space="preserve"> due to the recovery that this service posted after having registered a decline in previous quarters due to the El Nino Phenomenon.</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aforementioned offset the drop in income from </w:t>
      </w:r>
      <w:r>
        <w:rPr>
          <w:rFonts w:ascii="Arial" w:cs="Arial" w:eastAsia="Arial" w:hAnsi="Arial"/>
          <w:sz w:val="18"/>
          <w:szCs w:val="18"/>
          <w:b w:val="1"/>
          <w:bCs w:val="1"/>
          <w:color w:val="auto"/>
        </w:rPr>
        <w:t>Corporate finance and mutual funds</w:t>
      </w:r>
      <w:r>
        <w:rPr>
          <w:rFonts w:ascii="Arial" w:cs="Arial" w:eastAsia="Arial" w:hAnsi="Arial"/>
          <w:sz w:val="18"/>
          <w:szCs w:val="18"/>
          <w:color w:val="auto"/>
        </w:rPr>
        <w:t>, which was attributable to an atypical increase in income in 2Q17 due to recognition of deferred commissions on loans that were paid.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6. Insurance Underwriting Result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The insurance underwriting result fell -2.9% QoQ due to an increase in net claims and a decrease in the net earned premium for the life insurance business, which was mitigated by an improvement in the performance of the property and casualty (P&amp;C) business. In the YoY analysis, this result fell -11.0% due to an increase in the net claims, commissions and underwriting expenses in both the property and casualty (P&amp;C) and life business.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w w:val="94"/>
              </w:rPr>
              <w:t>Insurance underwriting result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 Change</w:t>
            </w:r>
          </w:p>
        </w:tc>
        <w:tc>
          <w:tcPr>
            <w:tcW w:w="1240" w:type="dxa"/>
            <w:vAlign w:val="bottom"/>
            <w:gridSpan w:val="3"/>
          </w:tcPr>
          <w:p>
            <w:pPr>
              <w:ind w:left="820"/>
              <w:spacing w:after="0"/>
              <w:rPr>
                <w:sz w:val="20"/>
                <w:szCs w:val="20"/>
                <w:color w:val="auto"/>
              </w:rPr>
            </w:pPr>
            <w:r>
              <w:rPr>
                <w:rFonts w:ascii="Arial" w:cs="Arial" w:eastAsia="Arial" w:hAnsi="Arial"/>
                <w:sz w:val="18"/>
                <w:szCs w:val="18"/>
                <w:b w:val="1"/>
                <w:bCs w:val="1"/>
                <w:color w:val="auto"/>
              </w:rPr>
              <w:t>YTD</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 change</w:t>
            </w:r>
          </w:p>
        </w:tc>
      </w:tr>
      <w:tr>
        <w:trPr>
          <w:trHeight w:val="234"/>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1T18</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2Q18</w:t>
            </w: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Jun 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Jun 18 / Jun 17</w:t>
            </w:r>
          </w:p>
        </w:tc>
        <w:tc>
          <w:tcPr>
            <w:tcW w:w="160" w:type="dxa"/>
            <w:vAlign w:val="bottom"/>
            <w:tcBorders>
              <w:bottom w:val="single" w:sz="8" w:color="CCEEFF"/>
            </w:tcBorders>
          </w:tcPr>
          <w:p>
            <w:pPr>
              <w:spacing w:after="0"/>
              <w:rPr>
                <w:sz w:val="20"/>
                <w:szCs w:val="20"/>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466,375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508,202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511,960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1,020,162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(278,265)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(294,745)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(300,845)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(559,229)</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(595,590)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r>
      <w:tr>
        <w:trPr>
          <w:trHeight w:val="270"/>
        </w:trPr>
        <w:tc>
          <w:tcPr>
            <w:tcW w:w="24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(61,665)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(97,548)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(98,556)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(123,726)</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(196,104)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r>
      <w:tr>
        <w:trPr>
          <w:trHeight w:val="178"/>
        </w:trPr>
        <w:tc>
          <w:tcPr>
            <w:tcW w:w="24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w w:val="97"/>
              </w:rPr>
              <w:t>Total insurance underwriting</w:t>
            </w: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8"/>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result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126,445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115,909</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112,559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248,724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228,468</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-8.1%</w:t>
            </w: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142875</wp:posOffset>
            </wp:positionV>
            <wp:extent cx="3824605" cy="1920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2460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QoQ drop in the underwriting result was registered in the life insurance business and was associated with a (i) decrease in net earned premiums attributable to higher underwriting reserves in Annuities; (ii) an increase in net claims for Individual Life, Credit Life and Annuities; and (iii) an increase in the acquisition cost, given that reinsurance profit sharing was reported in 1Q18. Nevertheless, this effect was attenuated by an improvement in the underwritten result in P&amp;C business due to an increase in net earned premiums for Commercial lines and lower underwriting expenses in Car line.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YoY variation reflects a drop in the underwriting result in both property and casualty and life business. In P&amp;C business, the variation was due to an increase in net claims in Cars, Medical Assistance and Commercial lines and an increase of the acquisition cost; this impact was attenuated by an increase in the net earned premiums. In terms of life insurance, the drop is due to an increase in the net claims in Annuities and AFP, and higher commissions in Credit Life; attenuated by a higher level of premiums in Annuities, Credit Life and Individual Life.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accumulated analysis (June 2018 vs June 2017), the underwriting result in 2018 posted a variation of -8.1% which was due primarily to an increase in net claims of both life and P&amp;C business; and to a higher acquisition cost due to (i) an increase in life insurance commissions, and (ii) lower underwriting income for the aforementioned change.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48"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142875</wp:posOffset>
            </wp:positionV>
            <wp:extent cx="2838450" cy="1157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38450" cy="1157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50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142875</wp:posOffset>
            </wp:positionV>
            <wp:extent cx="2813050" cy="128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13050" cy="128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408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Written premiums </w:t>
      </w:r>
      <w:r>
        <w:rPr>
          <w:rFonts w:ascii="Arial" w:cs="Arial" w:eastAsia="Arial" w:hAnsi="Arial"/>
          <w:sz w:val="18"/>
          <w:szCs w:val="18"/>
          <w:color w:val="auto"/>
        </w:rPr>
        <w:t>increased +7.4% QoQ, in life and property and casualty business due to:</w:t>
      </w:r>
    </w:p>
    <w:p>
      <w:pPr>
        <w:spacing w:after="0" w:line="229" w:lineRule="exact"/>
        <w:rPr>
          <w:sz w:val="20"/>
          <w:szCs w:val="20"/>
          <w:color w:val="auto"/>
        </w:rPr>
      </w:pPr>
    </w:p>
    <w:p>
      <w:pPr>
        <w:ind w:left="880" w:hanging="49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life insurance business, was mainly attributable to higher sales in Annuities for the new product “Renta Flex”.</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property and casualty business, the increase was due to Car and Commercial Lines (Hull insurance, technical risks and fire); attenuated by a decrease in Personal Lines.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+0.7% QoQ, mainly through property and casualty business, which was associated with a higher level of premiums in</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Lines and in Personal Lines. Nevertheless, this effect was mitigated by a decrease in the net earned premium in life insurance due to an increase in reserves for Annuities.</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In the YoY analysis, Written </w:t>
      </w:r>
      <w:r>
        <w:rPr>
          <w:rFonts w:ascii="Arial" w:cs="Arial" w:eastAsia="Arial" w:hAnsi="Arial"/>
          <w:sz w:val="18"/>
          <w:szCs w:val="18"/>
          <w:b w:val="1"/>
          <w:bCs w:val="1"/>
          <w:color w:val="auto"/>
        </w:rPr>
        <w:t>premiums</w:t>
      </w:r>
      <w:r>
        <w:rPr>
          <w:rFonts w:ascii="Arial" w:cs="Arial" w:eastAsia="Arial" w:hAnsi="Arial"/>
          <w:sz w:val="18"/>
          <w:szCs w:val="18"/>
          <w:color w:val="auto"/>
        </w:rPr>
        <w:t xml:space="preserve"> increased +22.6% primarily through the life insurance business, which was associated with the higher sales of “Renta Flex” and higher premiums in credit life due to a growth in alliances´ channels; and in the property and casualty business , due to an increase in Medical Assistance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YoY analysis, </w:t>
      </w:r>
      <w:r>
        <w:rPr>
          <w:rFonts w:ascii="Arial" w:cs="Arial" w:eastAsia="Arial" w:hAnsi="Arial"/>
          <w:sz w:val="18"/>
          <w:szCs w:val="18"/>
          <w:b w:val="1"/>
          <w:bCs w:val="1"/>
          <w:color w:val="auto"/>
        </w:rPr>
        <w:t>net premiums</w:t>
      </w:r>
      <w:r>
        <w:rPr>
          <w:rFonts w:ascii="Arial" w:cs="Arial" w:eastAsia="Arial" w:hAnsi="Arial"/>
          <w:sz w:val="18"/>
          <w:szCs w:val="18"/>
          <w:color w:val="auto"/>
        </w:rPr>
        <w:t xml:space="preserve"> increased +9.8%both in life insurance and in the P&amp;C business. The growth posted in the life business was registered in Annuities associated with the “Renta Flex” product; and Credit life through the “alliance channels”. In property and casualty, the YoY variation was a result of higher premiums in Medical Assistance line despite an increase in reserves.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accumulated analysis (June 2018 vs June 2017), written premiums increased +14.8%. This was mainly attributable to the life insurance business in Annuities and Credit Life.; and in the P&amp;C business to Medical Assistance.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142875</wp:posOffset>
            </wp:positionV>
            <wp:extent cx="3618865" cy="17665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claims rose +2.1% QoQ in both property and casualty and life business. Growth in the P&amp;C business was attributable to Commercial Lines after the number of incidences registered for hull insurance line increased; while in Medical Assistanc, the increase was due to higher reported cases. The increase in life insurance was associated to Individual Life, where reported cases increased, and with; Credit Life due to growth in the bancassurance channel and in Annuities due to pension payments for the “Renta Flex” product.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net claims increased +8.1% in both life and property and casualty business. The increase in life insurance was attributable to pensions linked to the “Renta Flex” product in Annuities; and to a drop in discount rates used to calculate claims in the AFP line. In property and casualty business, the increase was attributable to the same lines mentioned in the case of QoQ growth.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accumulated analysis, Net claims increased +6.5% especially in Life Insurance business associated to Annuities and AFP lines; and Medical Assistance in P&amp;C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142875</wp:posOffset>
            </wp:positionV>
            <wp:extent cx="3747770" cy="17665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74777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ind w:left="620"/>
              <w:spacing w:after="0"/>
              <w:rPr>
                <w:sz w:val="20"/>
                <w:szCs w:val="20"/>
                <w:color w:val="auto"/>
              </w:rPr>
            </w:pPr>
            <w:r>
              <w:rPr>
                <w:rFonts w:ascii="Arial" w:cs="Arial" w:eastAsia="Arial" w:hAnsi="Arial"/>
                <w:sz w:val="18"/>
                <w:szCs w:val="18"/>
                <w:b w:val="1"/>
                <w:bCs w:val="1"/>
                <w:color w:val="auto"/>
                <w:w w:val="92"/>
              </w:rPr>
              <w:t>% change</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820"/>
              <w:spacing w:after="0"/>
              <w:rPr>
                <w:sz w:val="20"/>
                <w:szCs w:val="20"/>
                <w:color w:val="auto"/>
              </w:rPr>
            </w:pPr>
            <w:r>
              <w:rPr>
                <w:rFonts w:ascii="Arial" w:cs="Arial" w:eastAsia="Arial" w:hAnsi="Arial"/>
                <w:sz w:val="18"/>
                <w:szCs w:val="18"/>
                <w:b w:val="1"/>
                <w:bCs w:val="1"/>
                <w:color w:val="auto"/>
              </w:rPr>
              <w:t>YTD</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1T18</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2Q18</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17</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Jun 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18 / Jun 17</w:t>
            </w:r>
          </w:p>
        </w:tc>
        <w:tc>
          <w:tcPr>
            <w:tcW w:w="160" w:type="dxa"/>
            <w:vAlign w:val="bottom"/>
            <w:tcBorders>
              <w:bottom w:val="single" w:sz="8" w:color="CCEEFF"/>
            </w:tcBorders>
          </w:tcPr>
          <w:p>
            <w:pPr>
              <w:spacing w:after="0"/>
              <w:rPr>
                <w:sz w:val="20"/>
                <w:szCs w:val="20"/>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(135,703)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(24,882)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(32,633)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(30,914)</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24.2%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(48,721)</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(63,547)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-90.5%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28,339</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3,146</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10"/>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(61,665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(97,548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(98,556</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(123,726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(196,104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acquisition cost increased +1.0% QoQ due to (i) higher commissions in P&amp;C business due to the higher premiums in Commercial Lines in 2Q18 and (ii) lower underwriting income in life insurance, given that reinsurance profit sharing was reported in 1Q18. This was attenuated by a decrease in underwriting expenses in property and casualty business in Cars 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YoY and YTD analysis (1H18 vs 1H17), the acquisition cost increased due to:</w:t>
      </w:r>
    </w:p>
    <w:p>
      <w:pPr>
        <w:spacing w:after="0" w:line="225" w:lineRule="exact"/>
        <w:rPr>
          <w:sz w:val="20"/>
          <w:szCs w:val="20"/>
          <w:color w:val="auto"/>
        </w:rPr>
      </w:pPr>
    </w:p>
    <w:p>
      <w:pPr>
        <w:ind w:left="880" w:hanging="49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net fees due to increase in commissions in Credit Life, in line with the higher production of premiums through alliances.</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reduction in the underwriting income, which is explained by a change in the nature of the policy fee, which was previously classified in this concept, but it is currently considered as part of written premiums and accrues over 12 months.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 lesser extent, a higher underwriting expense.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7. Operating Expenses and Efficiency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efficiency ratio remained relatively stable YoY (+10 bps) but deteriorated 50 bps compared to the level registered in 1H17. The deterioration is explained by higher growth in operating expenses than in operating income. The former is the result of an increase in total employee salaries and benefits, administrative and general expenses, and the acquisition cost of the insurance business. The latter reflects the slower pace of growth in NII, the main income source, which in turn reflects improvements in the risk quality of loans in a context of relative low loan growth.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Total expenses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 change</w:t>
            </w:r>
          </w:p>
        </w:tc>
        <w:tc>
          <w:tcPr>
            <w:tcW w:w="1180" w:type="dxa"/>
            <w:vAlign w:val="bottom"/>
            <w:gridSpan w:val="3"/>
          </w:tcPr>
          <w:p>
            <w:pPr>
              <w:ind w:left="780"/>
              <w:spacing w:after="0"/>
              <w:rPr>
                <w:sz w:val="20"/>
                <w:szCs w:val="20"/>
                <w:color w:val="auto"/>
              </w:rPr>
            </w:pPr>
            <w:r>
              <w:rPr>
                <w:rFonts w:ascii="Arial" w:cs="Arial" w:eastAsia="Arial" w:hAnsi="Arial"/>
                <w:sz w:val="18"/>
                <w:szCs w:val="18"/>
                <w:b w:val="1"/>
                <w:bCs w:val="1"/>
                <w:color w:val="auto"/>
              </w:rPr>
              <w:t>YTD</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2Q17</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1Q18</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2Q18</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 17</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 18</w:t>
            </w:r>
          </w:p>
        </w:tc>
        <w:tc>
          <w:tcPr>
            <w:tcW w:w="2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18 / Jun 17</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2"/>
              </w:rPr>
              <w:t>Salaries and employees benefits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746,499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777,345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780,827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1,499,765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1,558,172</w:t>
            </w:r>
          </w:p>
        </w:tc>
        <w:tc>
          <w:tcPr>
            <w:tcW w:w="28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Administrative, general and tax</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541,054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496,375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560,514</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12.9%</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1,029,520</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1,056,889</w:t>
            </w:r>
          </w:p>
        </w:tc>
        <w:tc>
          <w:tcPr>
            <w:tcW w:w="2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amortizacion</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113,958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116,699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115,729</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229,845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232,428</w:t>
            </w:r>
          </w:p>
        </w:tc>
        <w:tc>
          <w:tcPr>
            <w:tcW w:w="28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51,676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49,325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66,770</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35.4%</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29.2%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101,168</w:t>
            </w:r>
          </w:p>
        </w:tc>
        <w:tc>
          <w:tcPr>
            <w:tcW w:w="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116,095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1,453,187</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1,439,744</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1,523,840</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2,860,298</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2,963,584</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50"/>
        </w:trPr>
        <w:tc>
          <w:tcPr>
            <w:tcW w:w="250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 xml:space="preserve">Acquisition cost </w:t>
            </w:r>
            <w:r>
              <w:rPr>
                <w:rFonts w:ascii="Arial" w:cs="Arial" w:eastAsia="Arial" w:hAnsi="Arial"/>
                <w:sz w:val="28"/>
                <w:szCs w:val="28"/>
                <w:b w:val="1"/>
                <w:bCs w:val="1"/>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61,665</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97,548</w:t>
            </w:r>
          </w:p>
        </w:tc>
        <w:tc>
          <w:tcPr>
            <w:tcW w:w="28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98,556</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59.8%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123,726</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196,104</w:t>
            </w:r>
          </w:p>
        </w:tc>
        <w:tc>
          <w:tcPr>
            <w:tcW w:w="2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0"/>
        </w:trPr>
        <w:tc>
          <w:tcPr>
            <w:tcW w:w="250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9"/>
                <w:szCs w:val="29"/>
                <w:color w:val="auto"/>
                <w:vertAlign w:val="superscript"/>
              </w:rPr>
              <w:t>(2)</w:t>
            </w: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gridSpan w:val="2"/>
            <w:vMerge w:val="continue"/>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3,340,118</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3,477,840</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3,547,575</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6,735,476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7,025,415</w:t>
            </w:r>
          </w:p>
        </w:tc>
        <w:tc>
          <w:tcPr>
            <w:tcW w:w="280" w:type="dxa"/>
            <w:vAlign w:val="bottom"/>
            <w:tcBorders>
              <w:right w:val="single" w:sz="8" w:color="CCEEFF"/>
            </w:tcBorders>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25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1,463,176</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1,487,967</w:t>
            </w:r>
          </w:p>
        </w:tc>
        <w:tc>
          <w:tcPr>
            <w:tcW w:w="28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1,555,626</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4.5%</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6.3%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2,882,856</w:t>
            </w: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3,043,593</w:t>
            </w:r>
          </w:p>
        </w:tc>
        <w:tc>
          <w:tcPr>
            <w:tcW w:w="28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50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Reported efficiency ratio </w:t>
            </w:r>
            <w:r>
              <w:rPr>
                <w:rFonts w:ascii="Arial" w:cs="Arial" w:eastAsia="Arial" w:hAnsi="Arial"/>
                <w:sz w:val="30"/>
                <w:szCs w:val="30"/>
                <w:b w:val="1"/>
                <w:bCs w:val="1"/>
                <w:color w:val="auto"/>
                <w:vertAlign w:val="superscript"/>
              </w:rPr>
              <w:t>(4)</w:t>
            </w: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gridSpan w:val="2"/>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43.9%</w:t>
            </w:r>
          </w:p>
        </w:tc>
        <w:tc>
          <w:tcPr>
            <w:tcW w:w="10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110 bps</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 bps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42.8%</w:t>
            </w:r>
          </w:p>
        </w:tc>
        <w:tc>
          <w:tcPr>
            <w:tcW w:w="8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43.3%</w:t>
            </w: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 bps</w:t>
            </w:r>
          </w:p>
        </w:tc>
        <w:tc>
          <w:tcPr>
            <w:tcW w:w="0" w:type="dxa"/>
            <w:vAlign w:val="bottom"/>
          </w:tcPr>
          <w:p>
            <w:pPr>
              <w:spacing w:after="0"/>
              <w:rPr>
                <w:sz w:val="1"/>
                <w:szCs w:val="1"/>
                <w:color w:val="auto"/>
              </w:rPr>
            </w:pPr>
          </w:p>
        </w:tc>
      </w:tr>
      <w:tr>
        <w:trPr>
          <w:trHeight w:val="181"/>
        </w:trPr>
        <w:tc>
          <w:tcPr>
            <w:tcW w:w="25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Operating expenses / Total</w:t>
            </w: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2500" w:type="dxa"/>
            <w:vAlign w:val="bottom"/>
            <w:gridSpan w:val="2"/>
          </w:tcPr>
          <w:p>
            <w:pPr>
              <w:spacing w:after="0" w:line="285" w:lineRule="exact"/>
              <w:rPr>
                <w:sz w:val="20"/>
                <w:szCs w:val="20"/>
                <w:color w:val="auto"/>
              </w:rPr>
            </w:pPr>
            <w:r>
              <w:rPr>
                <w:rFonts w:ascii="Arial" w:cs="Arial" w:eastAsia="Arial" w:hAnsi="Arial"/>
                <w:sz w:val="18"/>
                <w:szCs w:val="18"/>
                <w:b w:val="1"/>
                <w:bCs w:val="1"/>
                <w:color w:val="auto"/>
              </w:rPr>
              <w:t xml:space="preserve">average assets </w:t>
            </w:r>
            <w:r>
              <w:rPr>
                <w:rFonts w:ascii="Arial" w:cs="Arial" w:eastAsia="Arial" w:hAnsi="Arial"/>
                <w:sz w:val="30"/>
                <w:szCs w:val="30"/>
                <w:b w:val="1"/>
                <w:bCs w:val="1"/>
                <w:color w:val="auto"/>
                <w:vertAlign w:val="superscript"/>
              </w:rPr>
              <w:t>(5)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3.69%</w:t>
            </w:r>
          </w:p>
        </w:tc>
        <w:tc>
          <w:tcPr>
            <w:tcW w:w="10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 bps</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6 bps</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3.62%</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 bps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acquisition cost of Pacifico includes net fees and underwriting expenses.</w:t>
      </w:r>
    </w:p>
    <w:p>
      <w:pPr>
        <w:spacing w:after="0" w:line="23" w:lineRule="exact"/>
        <w:rPr>
          <w:rFonts w:ascii="Arial" w:cs="Arial" w:eastAsia="Arial" w:hAnsi="Arial"/>
          <w:sz w:val="18"/>
          <w:szCs w:val="18"/>
          <w:color w:val="auto"/>
        </w:rPr>
      </w:pPr>
    </w:p>
    <w:p>
      <w:pPr>
        <w:ind w:right="120" w:firstLine="8"/>
        <w:spacing w:after="0" w:line="250"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Gain on foreign exchange transactions + Net gain from associates + Net premiums earned + Net gain on derivatives+ Result on exchange difference.</w:t>
      </w: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expenses = Total expenses + Acquisition cost - Other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expenses / Operating income.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QoQ analysis</w:t>
      </w:r>
      <w:r>
        <w:rPr>
          <w:rFonts w:ascii="Arial" w:cs="Arial" w:eastAsia="Arial" w:hAnsi="Arial"/>
          <w:sz w:val="17"/>
          <w:szCs w:val="17"/>
          <w:color w:val="auto"/>
        </w:rPr>
        <w:t>, the deterioration of operating efficiency is attributable to the 4.5% increase in operating expenses, which in turn reflects the increase in administrative, general and tax expenses that will be explained in section 7.1 Credicorp’s administrative, general and taxes expenses. It is important to remember that the seasonality of operating expenses leads the efficiency ratio register its lowest yearly level in every 1Q.</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which eliminates seasonality, the operating efficiency ratio was relatively stable in a context in which operating income reported higher growth than last year; nevertheless, operating expenses increased at a higher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the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side, the YoY increase reflects:</w:t>
      </w:r>
    </w:p>
    <w:p>
      <w:pPr>
        <w:spacing w:after="0" w:line="229" w:lineRule="exact"/>
        <w:rPr>
          <w:sz w:val="20"/>
          <w:szCs w:val="20"/>
          <w:color w:val="auto"/>
        </w:rPr>
      </w:pPr>
    </w:p>
    <w:p>
      <w:pPr>
        <w:ind w:left="880" w:hanging="494"/>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increase in employee salaries and benefits, which was in line with the increase in the number of employees across Credicorp and at BCP Stand-alone in particular.</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expansion in administrative and general expenses, as we will explain in more detail later on.</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Higher acquisition cost due to the factors explained in chapter 6.3 Acquisition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operating income</w:t>
      </w:r>
      <w:r>
        <w:rPr>
          <w:rFonts w:ascii="Arial" w:cs="Arial" w:eastAsia="Arial" w:hAnsi="Arial"/>
          <w:sz w:val="18"/>
          <w:szCs w:val="18"/>
          <w:color w:val="auto"/>
        </w:rPr>
        <w:t>, the improvement in generations was due to:</w:t>
      </w:r>
    </w:p>
    <w:p>
      <w:pPr>
        <w:spacing w:after="0" w:line="229" w:lineRule="exact"/>
        <w:rPr>
          <w:sz w:val="20"/>
          <w:szCs w:val="20"/>
          <w:color w:val="auto"/>
        </w:rPr>
      </w:pPr>
    </w:p>
    <w:p>
      <w:pPr>
        <w:ind w:left="880" w:hanging="49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Higher interest income on loans, as explained in chapter 4. Net interest income (INI).</w:t>
      </w:r>
    </w:p>
    <w:p>
      <w:pPr>
        <w:spacing w:after="0" w:line="225" w:lineRule="exact"/>
        <w:rPr>
          <w:rFonts w:ascii="Arial" w:cs="Arial" w:eastAsia="Arial" w:hAnsi="Arial"/>
          <w:sz w:val="18"/>
          <w:szCs w:val="18"/>
          <w:color w:val="auto"/>
        </w:rPr>
      </w:pPr>
    </w:p>
    <w:p>
      <w:pPr>
        <w:ind w:right="660" w:firstLine="386"/>
        <w:spacing w:after="0" w:line="624" w:lineRule="auto"/>
        <w:tabs>
          <w:tab w:leader="none" w:pos="87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increase in fee income, due to an improvement in the evolution at BCP Stand-alone, as indicated in chapter 5.1.2. Banking Business. In </w:t>
      </w:r>
      <w:r>
        <w:rPr>
          <w:rFonts w:ascii="Arial" w:cs="Arial" w:eastAsia="Arial" w:hAnsi="Arial"/>
          <w:sz w:val="16"/>
          <w:szCs w:val="16"/>
          <w:b w:val="1"/>
          <w:bCs w:val="1"/>
          <w:color w:val="auto"/>
        </w:rPr>
        <w:t>YTD terms</w:t>
      </w:r>
      <w:r>
        <w:rPr>
          <w:rFonts w:ascii="Arial" w:cs="Arial" w:eastAsia="Arial" w:hAnsi="Arial"/>
          <w:sz w:val="16"/>
          <w:szCs w:val="16"/>
          <w:color w:val="auto"/>
        </w:rPr>
        <w:t>, the efficiency ratio shows a 50 bps deterioration given that operating expenses expanded at a higher rate than operating income.</w:t>
      </w:r>
    </w:p>
    <w:p>
      <w:pPr>
        <w:spacing w:after="0" w:line="12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general and tax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Administrative,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general and tax</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1"/>
              </w:rPr>
              <w:t>% change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YTD</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2Q17</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2Q18</w:t>
            </w: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17</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Jun 18</w:t>
            </w:r>
          </w:p>
        </w:tc>
        <w:tc>
          <w:tcPr>
            <w:tcW w:w="1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 18 / Jun 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67,901</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13%</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63,807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71,303</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5.0%</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125,195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135,110</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1160" w:type="dxa"/>
            <w:vAlign w:val="bottom"/>
            <w:gridSpan w:val="2"/>
          </w:tcPr>
          <w:p>
            <w:pPr>
              <w:spacing w:after="0" w:line="130" w:lineRule="exact"/>
              <w:rPr>
                <w:sz w:val="20"/>
                <w:szCs w:val="20"/>
                <w:color w:val="auto"/>
              </w:rPr>
            </w:pPr>
            <w:r>
              <w:rPr>
                <w:rFonts w:ascii="Arial" w:cs="Arial" w:eastAsia="Arial" w:hAnsi="Arial"/>
                <w:sz w:val="14"/>
                <w:szCs w:val="14"/>
                <w:color w:val="auto"/>
              </w:rPr>
              <w:t>Taxes and</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Arial" w:cs="Arial" w:eastAsia="Arial" w:hAnsi="Arial"/>
                <w:sz w:val="14"/>
                <w:szCs w:val="14"/>
                <w:color w:val="auto"/>
              </w:rPr>
              <w:t>contributions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52,589</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56,247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59,295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12.8%</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103,983</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115,542</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68,611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61,586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70,408</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130,009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131,994</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1160" w:type="dxa"/>
            <w:vAlign w:val="bottom"/>
            <w:gridSpan w:val="2"/>
          </w:tcPr>
          <w:p>
            <w:pPr>
              <w:spacing w:after="0" w:line="189" w:lineRule="exact"/>
              <w:rPr>
                <w:sz w:val="20"/>
                <w:szCs w:val="20"/>
                <w:color w:val="auto"/>
              </w:rPr>
            </w:pPr>
            <w:r>
              <w:rPr>
                <w:rFonts w:ascii="Arial" w:cs="Arial" w:eastAsia="Arial" w:hAnsi="Arial"/>
                <w:sz w:val="13"/>
                <w:szCs w:val="13"/>
                <w:color w:val="auto"/>
              </w:rPr>
              <w:t>Minor expenses</w:t>
            </w:r>
            <w:r>
              <w:rPr>
                <w:rFonts w:ascii="Arial" w:cs="Arial" w:eastAsia="Arial" w:hAnsi="Arial"/>
                <w:sz w:val="21"/>
                <w:szCs w:val="21"/>
                <w:color w:val="auto"/>
                <w:vertAlign w:val="superscript"/>
              </w:rPr>
              <w:t>(1)</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54,338</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36,258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42,538</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2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-21.7%</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109,973</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78,796</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30"/>
        </w:trPr>
        <w:tc>
          <w:tcPr>
            <w:tcW w:w="1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Systems</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outsourcing</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55,254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50,835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56,770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110,641</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107,606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0"/>
        </w:trPr>
        <w:tc>
          <w:tcPr>
            <w:tcW w:w="1160" w:type="dxa"/>
            <w:vAlign w:val="bottom"/>
            <w:gridSpan w:val="2"/>
          </w:tcPr>
          <w:p>
            <w:pPr>
              <w:spacing w:after="0" w:line="130" w:lineRule="exact"/>
              <w:rPr>
                <w:sz w:val="20"/>
                <w:szCs w:val="20"/>
                <w:color w:val="auto"/>
              </w:rPr>
            </w:pPr>
            <w:r>
              <w:rPr>
                <w:rFonts w:ascii="Arial" w:cs="Arial" w:eastAsia="Arial" w:hAnsi="Arial"/>
                <w:sz w:val="14"/>
                <w:szCs w:val="14"/>
                <w:color w:val="auto"/>
              </w:rPr>
              <w:t>Programs and</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Arial" w:cs="Arial" w:eastAsia="Arial" w:hAnsi="Arial"/>
                <w:sz w:val="14"/>
                <w:szCs w:val="14"/>
                <w:color w:val="auto"/>
              </w:rPr>
              <w:t>systems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57,912</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58,808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62,295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7.6%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113,369</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121,103</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22,284</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19,249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21,301</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41,423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40,550</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Rent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45,846</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43,477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45,238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89,824</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88,715</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48,498</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29,473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36,888</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79,742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66,361</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Channels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47,109</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47,801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54,964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92,003</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102,766</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3"/>
        </w:trPr>
        <w:tc>
          <w:tcPr>
            <w:tcW w:w="11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(1)(2)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20,712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28,834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39,513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90.8%</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33,358</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68,347</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06"/>
        </w:trPr>
        <w:tc>
          <w:tcPr>
            <w:tcW w:w="116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Total</w:t>
            </w: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general and tax</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541,054</w:t>
            </w:r>
          </w:p>
        </w:tc>
        <w:tc>
          <w:tcPr>
            <w:tcW w:w="1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496,375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560,514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12.9%</w:t>
            </w:r>
          </w:p>
        </w:tc>
        <w:tc>
          <w:tcPr>
            <w:tcW w:w="2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1,029,520</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1,056,889</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Since 1Q18, the minor expenses account has decreased because it no longer includes the transfer cost between Pacífico EPS and Pacífico Vida and the others account has increased because it no longer considers the elimination of those expenses..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QoQ increase in </w:t>
      </w:r>
      <w:r>
        <w:rPr>
          <w:rFonts w:ascii="Arial" w:cs="Arial" w:eastAsia="Arial" w:hAnsi="Arial"/>
          <w:sz w:val="18"/>
          <w:szCs w:val="18"/>
          <w:b w:val="1"/>
          <w:bCs w:val="1"/>
          <w:color w:val="auto"/>
        </w:rPr>
        <w:t>Administrative, general and tax expenses</w:t>
      </w:r>
      <w:r>
        <w:rPr>
          <w:rFonts w:ascii="Arial" w:cs="Arial" w:eastAsia="Arial" w:hAnsi="Arial"/>
          <w:sz w:val="18"/>
          <w:szCs w:val="18"/>
          <w:color w:val="auto"/>
        </w:rPr>
        <w:t xml:space="preserve"> was due to:</w:t>
      </w:r>
    </w:p>
    <w:p>
      <w:pPr>
        <w:spacing w:after="0" w:line="225" w:lineRule="exact"/>
        <w:rPr>
          <w:sz w:val="20"/>
          <w:szCs w:val="20"/>
          <w:color w:val="auto"/>
        </w:rPr>
      </w:pPr>
    </w:p>
    <w:p>
      <w:pPr>
        <w:ind w:left="880" w:hanging="494"/>
        <w:spacing w:after="0" w:line="282"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Higher expenses in the </w:t>
      </w:r>
      <w:r>
        <w:rPr>
          <w:rFonts w:ascii="Arial" w:cs="Arial" w:eastAsia="Arial" w:hAnsi="Arial"/>
          <w:sz w:val="18"/>
          <w:szCs w:val="18"/>
          <w:b w:val="1"/>
          <w:bCs w:val="1"/>
          <w:color w:val="auto"/>
        </w:rPr>
        <w:t>infrastructure</w:t>
      </w:r>
      <w:r>
        <w:rPr>
          <w:rFonts w:ascii="Arial" w:cs="Arial" w:eastAsia="Arial" w:hAnsi="Arial"/>
          <w:sz w:val="18"/>
          <w:szCs w:val="18"/>
          <w:color w:val="auto"/>
        </w:rPr>
        <w:t xml:space="preserve"> account (which includes expenses for security personnel and maintenance) due to an increase in the minimum wage in May.</w:t>
      </w:r>
    </w:p>
    <w:p>
      <w:pPr>
        <w:spacing w:after="0" w:line="161" w:lineRule="exact"/>
        <w:rPr>
          <w:rFonts w:ascii="Arial" w:cs="Arial" w:eastAsia="Arial" w:hAnsi="Arial"/>
          <w:sz w:val="18"/>
          <w:szCs w:val="18"/>
          <w:color w:val="auto"/>
        </w:rPr>
      </w:pPr>
    </w:p>
    <w:p>
      <w:pPr>
        <w:ind w:left="880" w:right="20" w:hanging="494"/>
        <w:spacing w:after="0" w:line="282"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expenses was attributable primarily to BCP Stand-alone due to higher payments for LATAM kilometer campaigns and expenses for the World Cup and Mother’s Day campaigns in the social networks.</w:t>
      </w:r>
    </w:p>
    <w:p>
      <w:pPr>
        <w:spacing w:after="0" w:line="161" w:lineRule="exact"/>
        <w:rPr>
          <w:rFonts w:ascii="Arial" w:cs="Arial" w:eastAsia="Arial" w:hAnsi="Arial"/>
          <w:sz w:val="18"/>
          <w:szCs w:val="18"/>
          <w:color w:val="auto"/>
        </w:rPr>
      </w:pPr>
    </w:p>
    <w:p>
      <w:pPr>
        <w:ind w:left="880" w:right="20" w:hanging="494"/>
        <w:spacing w:after="0" w:line="282"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Consulting</w:t>
      </w:r>
      <w:r>
        <w:rPr>
          <w:rFonts w:ascii="Arial" w:cs="Arial" w:eastAsia="Arial" w:hAnsi="Arial"/>
          <w:sz w:val="18"/>
          <w:szCs w:val="18"/>
          <w:color w:val="auto"/>
        </w:rPr>
        <w:t>, mainly at BCP Stand-alone due to projects to improve commission and interest by exploring digital banking solutions and defining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strategy for retail banking.</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others</w:t>
      </w:r>
      <w:r>
        <w:rPr>
          <w:rFonts w:ascii="Arial" w:cs="Arial" w:eastAsia="Arial" w:hAnsi="Arial"/>
          <w:sz w:val="18"/>
          <w:szCs w:val="18"/>
          <w:color w:val="auto"/>
        </w:rPr>
        <w:t xml:space="preserve"> account, mainly due to a reduction in eliminations for consolidation among the group’s companies.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increase</w:t>
      </w:r>
      <w:r>
        <w:rPr>
          <w:rFonts w:ascii="Arial" w:cs="Arial" w:eastAsia="Arial" w:hAnsi="Arial"/>
          <w:sz w:val="18"/>
          <w:szCs w:val="18"/>
          <w:color w:val="auto"/>
        </w:rPr>
        <w:t xml:space="preserve"> was attributable to higher expenses for </w:t>
      </w:r>
      <w:r>
        <w:rPr>
          <w:rFonts w:ascii="Arial" w:cs="Arial" w:eastAsia="Arial" w:hAnsi="Arial"/>
          <w:sz w:val="18"/>
          <w:szCs w:val="18"/>
          <w:b w:val="1"/>
          <w:bCs w:val="1"/>
          <w:color w:val="auto"/>
        </w:rPr>
        <w:t>channels</w:t>
      </w:r>
      <w:r>
        <w:rPr>
          <w:rFonts w:ascii="Arial" w:cs="Arial" w:eastAsia="Arial" w:hAnsi="Arial"/>
          <w:sz w:val="18"/>
          <w:szCs w:val="18"/>
          <w:color w:val="auto"/>
        </w:rPr>
        <w:t xml:space="preserve">, particularly in commissions paid to Agentes BCP due to higher income for drafts and transfers as explained in chapter 5.1.2. Banking Business. The aforementioned was slightly attenuated by lower expenses of </w:t>
      </w:r>
      <w:r>
        <w:rPr>
          <w:rFonts w:ascii="Arial" w:cs="Arial" w:eastAsia="Arial" w:hAnsi="Arial"/>
          <w:sz w:val="18"/>
          <w:szCs w:val="18"/>
          <w:b w:val="1"/>
          <w:bCs w:val="1"/>
          <w:color w:val="auto"/>
        </w:rPr>
        <w:t>Consulting</w:t>
      </w:r>
      <w:r>
        <w:rPr>
          <w:rFonts w:ascii="Arial" w:cs="Arial" w:eastAsia="Arial" w:hAnsi="Arial"/>
          <w:sz w:val="18"/>
          <w:szCs w:val="18"/>
          <w:color w:val="auto"/>
        </w:rPr>
        <w:t xml:space="preserve"> given that in 2Q17, projects were underway with Mckinsey to develop a digital transformation strategy for BCP Stand-alone.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accumulated analysis (1H18 vs 1H17),</w:t>
      </w:r>
      <w:r>
        <w:rPr>
          <w:rFonts w:ascii="Arial" w:cs="Arial" w:eastAsia="Arial" w:hAnsi="Arial"/>
          <w:sz w:val="18"/>
          <w:szCs w:val="18"/>
          <w:color w:val="auto"/>
        </w:rPr>
        <w:t xml:space="preserve"> administrative and general expenses increased slightly due to a variation in expenses in </w:t>
      </w:r>
      <w:r>
        <w:rPr>
          <w:rFonts w:ascii="Arial" w:cs="Arial" w:eastAsia="Arial" w:hAnsi="Arial"/>
          <w:sz w:val="18"/>
          <w:szCs w:val="18"/>
          <w:b w:val="1"/>
          <w:bCs w:val="1"/>
          <w:color w:val="auto"/>
        </w:rPr>
        <w:t>channels</w:t>
      </w:r>
      <w:r>
        <w:rPr>
          <w:rFonts w:ascii="Arial" w:cs="Arial" w:eastAsia="Arial" w:hAnsi="Arial"/>
          <w:sz w:val="18"/>
          <w:szCs w:val="18"/>
          <w:color w:val="auto"/>
        </w:rPr>
        <w:t xml:space="preserve">, as mentioned above, and to higher spending for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due to an increase in BCP’s payments for the LATAM kilometers program. The aforementioned was slightly attenuated by higher spending on </w:t>
      </w:r>
      <w:r>
        <w:rPr>
          <w:rFonts w:ascii="Arial" w:cs="Arial" w:eastAsia="Arial" w:hAnsi="Arial"/>
          <w:sz w:val="18"/>
          <w:szCs w:val="18"/>
          <w:b w:val="1"/>
          <w:bCs w:val="1"/>
          <w:color w:val="auto"/>
        </w:rPr>
        <w:t>consulting</w:t>
      </w:r>
      <w:r>
        <w:rPr>
          <w:rFonts w:ascii="Arial" w:cs="Arial" w:eastAsia="Arial" w:hAnsi="Arial"/>
          <w:sz w:val="18"/>
          <w:szCs w:val="18"/>
          <w:color w:val="auto"/>
        </w:rPr>
        <w:t xml:space="preserve"> to develop the Transformation project in 1H17.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Operating Expenses / Total Average Assets Ratio</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terms of the operating expenses/average total assets ratio, the QoQ increase was due to seasonal effects on operating expenses. In the annual analysis, the deterioration is due to a higher increase, proportionally speaking, in operating expenses than in average total assets due to the reasons outlined above.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Operating Expenses / Total Average Assets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154940</wp:posOffset>
            </wp:positionV>
            <wp:extent cx="4347845" cy="2032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4784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figure below depicts the evolution of the variation of operating costs with regard to average assets over the last 4 years. It is important to note that the levels obtained over the last few years have improved in comparison to 2014. This is mainly due to on-going control and management of operating expenses in a low-growth context for assets and for loans, particularly in 2016 and 2017.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QoQ % of Change QoQ of Operating Expenses and Total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154940</wp:posOffset>
            </wp:positionV>
            <wp:extent cx="4116705" cy="1697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1670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7.3. Efficiency Ratio</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2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8"/>
              </w:rPr>
              <w:t xml:space="preserve">Efficiency Ratio by Subsidiary </w:t>
            </w:r>
            <w:r>
              <w:rPr>
                <w:rFonts w:ascii="Arial" w:cs="Arial" w:eastAsia="Arial" w:hAnsi="Arial"/>
                <w:sz w:val="30"/>
                <w:szCs w:val="30"/>
                <w:b w:val="1"/>
                <w:bCs w:val="1"/>
                <w:color w:val="auto"/>
                <w:w w:val="98"/>
                <w:vertAlign w:val="superscript"/>
              </w:rPr>
              <w:t>(1)</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98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BCP</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BCP</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Grupo</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Credicorp</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7"/>
              </w:rPr>
              <w:t>Stand-alone</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5"/>
              </w:rPr>
              <w:t>Mibanco</w:t>
            </w:r>
          </w:p>
        </w:tc>
        <w:tc>
          <w:tcPr>
            <w:tcW w:w="2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Bolivia</w:t>
            </w:r>
          </w:p>
        </w:tc>
        <w:tc>
          <w:tcPr>
            <w:tcW w:w="2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ASB</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8"/>
              </w:rPr>
              <w:t>Pacifico</w:t>
            </w:r>
          </w:p>
        </w:tc>
        <w:tc>
          <w:tcPr>
            <w:tcW w:w="26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Prima</w:t>
            </w:r>
          </w:p>
        </w:tc>
        <w:tc>
          <w:tcPr>
            <w:tcW w:w="2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Credicorp</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2Q17</w:t>
            </w: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5"/>
              </w:rPr>
              <w:t>1Q18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2Q18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tcPr>
          <w:p>
            <w:pPr>
              <w:jc w:val="center"/>
              <w:ind w:right="10"/>
              <w:spacing w:after="0"/>
              <w:rPr>
                <w:sz w:val="20"/>
                <w:szCs w:val="20"/>
                <w:color w:val="auto"/>
              </w:rPr>
            </w:pPr>
            <w:r>
              <w:rPr>
                <w:rFonts w:ascii="Arial" w:cs="Arial" w:eastAsia="Arial" w:hAnsi="Arial"/>
                <w:sz w:val="18"/>
                <w:szCs w:val="18"/>
                <w:b w:val="1"/>
                <w:bCs w:val="1"/>
                <w:color w:val="auto"/>
                <w:w w:val="92"/>
              </w:rPr>
              <w:t>Var. QoQ</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 bps</w:t>
            </w:r>
          </w:p>
        </w:tc>
        <w:tc>
          <w:tcPr>
            <w:tcW w:w="2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 bps</w:t>
            </w:r>
          </w:p>
        </w:tc>
        <w:tc>
          <w:tcPr>
            <w:tcW w:w="2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 bps</w:t>
            </w:r>
          </w:p>
        </w:tc>
        <w:tc>
          <w:tcPr>
            <w:tcW w:w="2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 bps</w:t>
            </w:r>
          </w:p>
        </w:tc>
        <w:tc>
          <w:tcPr>
            <w:tcW w:w="2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 bps</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 bps</w:t>
            </w:r>
          </w:p>
        </w:tc>
        <w:tc>
          <w:tcPr>
            <w:tcW w:w="2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 bps</w:t>
            </w:r>
          </w:p>
        </w:tc>
        <w:tc>
          <w:tcPr>
            <w:tcW w:w="2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 bps</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Var. YoY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 bps</w:t>
            </w:r>
          </w:p>
        </w:tc>
        <w:tc>
          <w:tcPr>
            <w:tcW w:w="2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 bps</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1150 bps</w:t>
            </w:r>
          </w:p>
        </w:tc>
        <w:tc>
          <w:tcPr>
            <w:tcW w:w="2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 bps</w:t>
            </w:r>
          </w:p>
        </w:tc>
        <w:tc>
          <w:tcPr>
            <w:tcW w:w="2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 bps</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 bps</w:t>
            </w: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1820 bps</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bps</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Acum Jun 2017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99.0%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Acum Jun 2018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0"/>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0"/>
              </w:rPr>
              <w:t>% change Jun 18 / Jun 17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 bps</w:t>
            </w:r>
          </w:p>
        </w:tc>
        <w:tc>
          <w:tcPr>
            <w:tcW w:w="2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 bps</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 bps</w:t>
            </w:r>
          </w:p>
        </w:tc>
        <w:tc>
          <w:tcPr>
            <w:tcW w:w="2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 bps</w:t>
            </w:r>
          </w:p>
        </w:tc>
        <w:tc>
          <w:tcPr>
            <w:tcW w:w="2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 bps</w:t>
            </w: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 bps</w:t>
            </w: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 bps</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 bps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3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(Total expenses + acquisition cost - other expenses) / (Net interest income + fee income + Net gain on foreign exchange transactions + Result on exchange difference + Net gain on derivates + Net gain from associates + Net earned premiums).</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spacing w:after="0" w:line="282" w:lineRule="auto"/>
        <w:rPr>
          <w:sz w:val="20"/>
          <w:szCs w:val="20"/>
          <w:color w:val="auto"/>
        </w:rPr>
      </w:pPr>
      <w:r>
        <w:rPr>
          <w:rFonts w:ascii="Arial" w:cs="Arial" w:eastAsia="Arial" w:hAnsi="Arial"/>
          <w:sz w:val="18"/>
          <w:szCs w:val="18"/>
          <w:color w:val="auto"/>
        </w:rPr>
        <w:t xml:space="preserve">Given the seasonality on operating expenses,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reveals the bulk of this effect, which is mainly attributable to the higher administrative and general expenses, as explained in chapter 7.1 Credicorp’s administrative, general and taxes expenses.</w:t>
      </w:r>
    </w:p>
    <w:p>
      <w:pPr>
        <w:spacing w:after="0" w:line="162"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YoY analysis</w:t>
      </w:r>
      <w:r>
        <w:rPr>
          <w:rFonts w:ascii="Arial" w:cs="Arial" w:eastAsia="Arial" w:hAnsi="Arial"/>
          <w:sz w:val="16"/>
          <w:szCs w:val="16"/>
          <w:color w:val="auto"/>
        </w:rPr>
        <w:t>, which eliminates the seasonality effect, shows a stable efficiency ratio with a slight deterioration of 10 bps. It is important to mention (i) stability in the efficiency ratio of BCP Stand-alone despite significant expenses for the Transformation strategic initiative, and (ii) the improvement in operating efficiency at Mibanco. The positive performance of these two subsidiaries significantly attenuated the deterioration posted at other subsidiaries.</w:t>
      </w:r>
    </w:p>
    <w:p>
      <w:pPr>
        <w:spacing w:after="0" w:line="146"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It is important to note that Credicorp Capital’s efficiency ratio, under Credicorp’s methodology, is over 100% because it does not include all the components of its core income</w:t>
      </w:r>
      <w:r>
        <w:rPr>
          <w:rFonts w:ascii="Arial" w:cs="Arial" w:eastAsia="Arial" w:hAnsi="Arial"/>
          <w:sz w:val="26"/>
          <w:szCs w:val="26"/>
          <w:b w:val="1"/>
          <w:bCs w:val="1"/>
          <w:color w:val="auto"/>
          <w:vertAlign w:val="superscript"/>
        </w:rPr>
        <w:t>4</w:t>
      </w:r>
      <w:r>
        <w:rPr>
          <w:rFonts w:ascii="Arial" w:cs="Arial" w:eastAsia="Arial" w:hAnsi="Arial"/>
          <w:sz w:val="16"/>
          <w:szCs w:val="16"/>
          <w:color w:val="auto"/>
        </w:rPr>
        <w:t>. If we include all of Credicorp Capital’s core income, the efficiency ratio was situated between 75%-85% over the last few quarters.</w:t>
      </w:r>
    </w:p>
    <w:p>
      <w:pPr>
        <w:spacing w:after="0" w:line="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majority of the subsidiaries that posted a deterioration in operating efficiency, the drop was due to a decrease in income; nevertheless, operating expenses have been well managed and have posted very limited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27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49"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26"/>
          <w:szCs w:val="26"/>
          <w:color w:val="auto"/>
          <w:vertAlign w:val="superscript"/>
        </w:rPr>
      </w:pPr>
      <w:r>
        <w:rPr>
          <w:rFonts w:ascii="Arial" w:cs="Arial" w:eastAsia="Arial" w:hAnsi="Arial"/>
          <w:sz w:val="16"/>
          <w:szCs w:val="16"/>
          <w:color w:val="auto"/>
        </w:rPr>
        <w:t>The core income of Credicorp Capital includes all the accounts consider in the operating income of Credicorp and the net gain on sales of securities.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8. Regulatory Capital</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8.1. Regulatory Capital – BAP</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S/ 000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 17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 18</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 18</w:t>
            </w:r>
          </w:p>
        </w:tc>
        <w:tc>
          <w:tcPr>
            <w:tcW w:w="1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Treasury Stocks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(208,952)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(210,310)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(208,754)</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271,561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199,996</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248,535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15,865,972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17,578,906</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17,555,309</w:t>
            </w:r>
          </w:p>
        </w:tc>
        <w:tc>
          <w:tcPr>
            <w:tcW w:w="200" w:type="dxa"/>
            <w:vAlign w:val="bottom"/>
          </w:tcPr>
          <w:p>
            <w:pPr>
              <w:spacing w:after="0"/>
              <w:rPr>
                <w:sz w:val="22"/>
                <w:szCs w:val="22"/>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349,354</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376,990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313,149</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1,288,931</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1,355,885</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1,389,348</w:t>
            </w:r>
          </w:p>
        </w:tc>
        <w:tc>
          <w:tcPr>
            <w:tcW w:w="200" w:type="dxa"/>
            <w:vAlign w:val="bottom"/>
          </w:tcPr>
          <w:p>
            <w:pPr>
              <w:spacing w:after="0"/>
              <w:rPr>
                <w:sz w:val="22"/>
                <w:szCs w:val="22"/>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813,250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806,750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jc w:val="right"/>
              <w:spacing w:after="0"/>
              <w:rPr>
                <w:sz w:val="20"/>
                <w:szCs w:val="20"/>
                <w:color w:val="auto"/>
              </w:rPr>
            </w:pPr>
            <w:r>
              <w:rPr>
                <w:rFonts w:ascii="Arial" w:cs="Arial" w:eastAsia="Arial" w:hAnsi="Arial"/>
                <w:sz w:val="18"/>
                <w:szCs w:val="18"/>
                <w:color w:val="auto"/>
              </w:rPr>
              <w:t>5,001,933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4,421,708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4,479,672</w:t>
            </w:r>
          </w:p>
        </w:tc>
        <w:tc>
          <w:tcPr>
            <w:tcW w:w="2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Investments in equity and subordinated debt of financial and insurance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companies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(751,329)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(613,241)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(584,750)</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(632,707)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(641,505)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(635,829)</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7"/>
              </w:rPr>
              <w:t xml:space="preserve">Deduction for subordinated debt limit (50% of Tier I excluding deductions) </w:t>
            </w:r>
            <w:r>
              <w:rPr>
                <w:rFonts w:ascii="Arial" w:cs="Arial" w:eastAsia="Arial" w:hAnsi="Arial"/>
                <w:sz w:val="29"/>
                <w:szCs w:val="29"/>
                <w:color w:val="auto"/>
                <w:w w:val="97"/>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30"/>
                <w:szCs w:val="30"/>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23,317,006</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24,594,173</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24,693,674</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I </w:t>
            </w:r>
            <w:r>
              <w:rPr>
                <w:rFonts w:ascii="Arial" w:cs="Arial" w:eastAsia="Arial" w:hAnsi="Arial"/>
                <w:sz w:val="29"/>
                <w:szCs w:val="29"/>
                <w:color w:val="auto"/>
                <w:vertAlign w:val="superscript"/>
              </w:rPr>
              <w:t>(5)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12,603,980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13,615,257</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13,632,682</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 Tier III </w:t>
            </w:r>
            <w:r>
              <w:rPr>
                <w:rFonts w:ascii="Arial" w:cs="Arial" w:eastAsia="Arial" w:hAnsi="Arial"/>
                <w:sz w:val="29"/>
                <w:szCs w:val="29"/>
                <w:color w:val="auto"/>
                <w:vertAlign w:val="superscript"/>
              </w:rPr>
              <w:t>(7)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10,713,027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10,978,916</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11,060,992</w:t>
            </w:r>
          </w:p>
        </w:tc>
        <w:tc>
          <w:tcPr>
            <w:tcW w:w="200" w:type="dxa"/>
            <w:vAlign w:val="bottom"/>
          </w:tcPr>
          <w:p>
            <w:pPr>
              <w:spacing w:after="0"/>
              <w:rPr>
                <w:sz w:val="22"/>
                <w:szCs w:val="22"/>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Financial Consolidated Group (FCG) Regulatory Capital Requirements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16,583,872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17,683,008</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18,561,511</w:t>
            </w:r>
          </w:p>
        </w:tc>
        <w:tc>
          <w:tcPr>
            <w:tcW w:w="2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Consolidated Group (ICG) Capital Requirements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926,264</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952,127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FCG Capital Requirements related to operations with ICG </w:t>
            </w:r>
            <w:r>
              <w:rPr>
                <w:rFonts w:ascii="Arial" w:cs="Arial" w:eastAsia="Arial" w:hAnsi="Arial"/>
                <w:sz w:val="29"/>
                <w:szCs w:val="29"/>
                <w:color w:val="auto"/>
                <w:vertAlign w:val="superscript"/>
              </w:rPr>
              <w:t>(8)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(259,450)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(256,143)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(296,132)</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ICG Capital Requirements related to operations with FCG </w:t>
            </w:r>
            <w:r>
              <w:rPr>
                <w:rFonts w:ascii="Arial" w:cs="Arial" w:eastAsia="Arial" w:hAnsi="Arial"/>
                <w:sz w:val="30"/>
                <w:szCs w:val="30"/>
                <w:color w:val="auto"/>
                <w:vertAlign w:val="superscript"/>
              </w:rPr>
              <w:t>(9)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17,298,629</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18,353,128</w:t>
            </w:r>
          </w:p>
        </w:tc>
        <w:tc>
          <w:tcPr>
            <w:tcW w:w="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19,217,507</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12,071 million) and optional capital reserves (S/ 5,484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Minority interest includes Tier I (S/ 313 million).</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Tier II = subordinated debt + Tier II minority interest tier + loan loss reserves - (0.5 x investment in equity and subordinated debt of financial and insurance companies).</w:t>
      </w: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Credicorp maintained a comfortable capitalization level at the end of 2Q18, which represented 1.28 times the capital required by the regulator in Peru. This ratio fell slightly QoQ due to an increase in the total regulatory capital requirement (+4.7% QoQ), which was partially attenuated by an increase in Credicorp’s capital level (0.4% QoQ). In the first case, the QoQ increase in the requirement was due primarily to expansion in the financial business due to favorable loan growth at BCP Consolidated. Capital generation at Credicorp reflected net income in 2Q18, which increased retained earnings for the period.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YoY analysis reveals a reduction in the regulatory capital ratio, which fell from 1.35 in 2Q17 to 1.28 in 2Q18. This drop was attributable to an increase in Credicorp’s regulatory capital requirement, which rose +11.1% YoY due to growth in the banking business. Regulatory capital grew only 5.9% YoY, which was mainly attributable to an increase in special reserves and restricted special reserves of +10.6% YoY as part of the distribution of net income attained in 2017.</w:t>
      </w:r>
    </w:p>
    <w:p>
      <w:pPr>
        <w:spacing w:after="0" w:line="1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8.2. Regulatory Capital – BCP Stand-alone based on Peru GAAP</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S/ 000</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 17</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 18</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 18</w:t>
            </w:r>
          </w:p>
        </w:tc>
        <w:tc>
          <w:tcPr>
            <w:tcW w:w="9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3,885,494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4,184,303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4,184,303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1,135,491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1,146,746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1,175,836</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731,925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645,400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654,400</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4,478,286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4,041,960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4,098,116</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w w:val="92"/>
              </w:rPr>
              <w:t>Investment in subsidiaries and others, net of unrealized profit and net income</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(1,242,614)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(1,275,333)</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(1,323,742)</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subsidiaries and others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(1,388,099)</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(1,567,782)</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(1,728,854)</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Unrealized profit and net income in subsidiaries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145,486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292,449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405,113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16,799,842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17,391,358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17,437,194</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0.3%</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30,829,912</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32,849,193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81,688,289</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11,807,371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12,840,318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12,825,113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4,992,471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4,551,040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4,612,081</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risk-weighted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100,527,444</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109,285,520</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115,681,027</w:t>
            </w:r>
          </w:p>
        </w:tc>
        <w:tc>
          <w:tcPr>
            <w:tcW w:w="2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1,198,004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1,870,259</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1,118,132</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Credit risk-weighted assets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90,839,316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98,592,033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105,677,561</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8,490,124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8,823,228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8,885,333</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 Risk-Weighted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99,945,976</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108,539,396</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114,929,164</w:t>
            </w:r>
          </w:p>
        </w:tc>
        <w:tc>
          <w:tcPr>
            <w:tcW w:w="2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100,527,444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109,285,520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115,681,027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 RWA Intangible assets, excluding goodwill.</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581,469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1,304,099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1,334,862</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 RWA Deferred tax assets generated as a result of temporary differences</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income tax, in excess of 10% of CET1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557,976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582,998</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 RWA Deferred tax assets generated as a result of past losses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12,465,353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13,662,112</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14,402,739</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119,800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187,026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111,813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-40.2%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9,083,932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9,859,203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10,567,756</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849,012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882,323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888,533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2,412,609</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2,733,560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2,834,636</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w:t>
            </w: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firstLine="8"/>
        <w:spacing w:after="0" w:line="250" w:lineRule="auto"/>
        <w:tabs>
          <w:tab w:leader="none" w:pos="2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20"/>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firstLine="8"/>
        <w:spacing w:after="0" w:line="250" w:lineRule="auto"/>
        <w:tabs>
          <w:tab w:leader="none" w:pos="2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w:t>
      </w:r>
    </w:p>
    <w:p>
      <w:pPr>
        <w:spacing w:after="0"/>
        <w:rPr>
          <w:rFonts w:ascii="Arial" w:cs="Arial" w:eastAsia="Arial" w:hAnsi="Arial"/>
          <w:sz w:val="18"/>
          <w:szCs w:val="18"/>
          <w:color w:val="auto"/>
        </w:rPr>
      </w:pPr>
      <w:r>
        <w:rPr>
          <w:rFonts w:ascii="Arial" w:cs="Arial" w:eastAsia="Arial" w:hAnsi="Arial"/>
          <w:sz w:val="18"/>
          <w:szCs w:val="18"/>
          <w:color w:val="auto"/>
        </w:rPr>
        <w:t>risk * 10 * 1.00 (since July 2014).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17"/>
          <w:szCs w:val="17"/>
          <w:color w:val="auto"/>
        </w:rPr>
        <w:t>At the end of 2Q18, the BIS ratio was situated at 15.07%, which is lower than the figure registered at the end of 1Q18 (15.91%). It is important to note that this ratio reaches its highest point every 1Q when the Annual General Meeting of Shareholders approves the capitalization of retained earnings and the constitution of special reserves and restricted special reserves as part of the plan to distribute the net income attained in 2017. The reduction in the BIS ratio was due to a significant increase in risk-weighted assets (+5.9% QoQ), which was attributable to loan growth.</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Tier 1 ratio dropped from 11.75% in 1Q18 to 11.09% in 2Q18 due to a slight drop in Tier 1 (-0.1% QoQ) versus significant growth in RWAs (5.9%). It is important to remember that this ratio reaches its highest level in 1Q every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Common equity tier 1 ratio (CET1), which is considered the most rigorous ratio with which to measure capitalization levels, registered a contraction of -11 bps QoQ after significant growth was reported in adjusted risk-weighted assets (5.9%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consider that from this quarter and on the adjusted RWAs consider a new requirement from the Supervisor. The adjustment implies the inclusion of undrawn credit facilities for the calculation of RWAs. Without the adjustment required by the Supervisor, the BIS ratio would have decreased less than the reported figure and the CET1 ratio would have increased, as shown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Reported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8"/>
                <w:szCs w:val="18"/>
                <w:b w:val="1"/>
                <w:bCs w:val="1"/>
                <w:color w:val="auto"/>
                <w:w w:val="97"/>
              </w:rPr>
              <w:t>Without SBS change requirement</w:t>
            </w:r>
          </w:p>
        </w:tc>
      </w:tr>
      <w:tr>
        <w:trPr>
          <w:trHeight w:val="230"/>
        </w:trPr>
        <w:tc>
          <w:tcPr>
            <w:tcW w:w="3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5"/>
          </w:tcPr>
          <w:p>
            <w:pPr>
              <w:ind w:left="620"/>
              <w:spacing w:after="0"/>
              <w:rPr>
                <w:sz w:val="20"/>
                <w:szCs w:val="20"/>
                <w:color w:val="auto"/>
              </w:rPr>
            </w:pPr>
            <w:r>
              <w:rPr>
                <w:rFonts w:ascii="Arial" w:cs="Arial" w:eastAsia="Arial" w:hAnsi="Arial"/>
                <w:sz w:val="18"/>
                <w:szCs w:val="18"/>
                <w:b w:val="1"/>
                <w:bCs w:val="1"/>
                <w:color w:val="auto"/>
              </w:rPr>
              <w:t>% change</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As of</w:t>
            </w:r>
          </w:p>
        </w:tc>
        <w:tc>
          <w:tcPr>
            <w:tcW w:w="1900" w:type="dxa"/>
            <w:vAlign w:val="bottom"/>
            <w:gridSpan w:val="4"/>
          </w:tcPr>
          <w:p>
            <w:pPr>
              <w:ind w:left="52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0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Jun 17</w:t>
            </w: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 18</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Jun 18</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YoY</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Jun 18</w:t>
            </w: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YoY</w:t>
            </w:r>
          </w:p>
        </w:tc>
        <w:tc>
          <w:tcPr>
            <w:tcW w:w="100" w:type="dxa"/>
            <w:vAlign w:val="bottom"/>
            <w:tcBorders>
              <w:bottom w:val="single" w:sz="8" w:color="CCEEFF"/>
            </w:tcBorders>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ratio</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-11 bps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bps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bps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5"/>
              </w:rPr>
              <w:t>26 bps</w:t>
            </w:r>
          </w:p>
        </w:tc>
        <w:tc>
          <w:tcPr>
            <w:tcW w:w="100" w:type="dxa"/>
            <w:vAlign w:val="bottom"/>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BIS ratio</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16.71%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15.91%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-84 bps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-163 bps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15.42%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 bps</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35 bps</w:t>
            </w:r>
          </w:p>
        </w:tc>
      </w:tr>
      <w:tr>
        <w:trPr>
          <w:trHeight w:val="20"/>
        </w:trPr>
        <w:tc>
          <w:tcPr>
            <w:tcW w:w="3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080" w:type="dxa"/>
            <w:vAlign w:val="bottom"/>
          </w:tcPr>
          <w:p>
            <w:pPr>
              <w:spacing w:after="0"/>
              <w:rPr>
                <w:sz w:val="24"/>
                <w:szCs w:val="24"/>
                <w:color w:val="auto"/>
              </w:rPr>
            </w:pPr>
          </w:p>
        </w:tc>
        <w:tc>
          <w:tcPr>
            <w:tcW w:w="4520" w:type="dxa"/>
            <w:vAlign w:val="bottom"/>
            <w:gridSpan w:val="9"/>
          </w:tcPr>
          <w:p>
            <w:pPr>
              <w:ind w:left="760"/>
              <w:spacing w:after="0"/>
              <w:rPr>
                <w:sz w:val="20"/>
                <w:szCs w:val="20"/>
                <w:color w:val="auto"/>
              </w:rPr>
            </w:pPr>
            <w:r>
              <w:rPr>
                <w:rFonts w:ascii="Arial" w:cs="Arial" w:eastAsia="Arial" w:hAnsi="Arial"/>
                <w:sz w:val="18"/>
                <w:szCs w:val="18"/>
                <w:b w:val="1"/>
                <w:bCs w:val="1"/>
                <w:color w:val="auto"/>
                <w:w w:val="91"/>
              </w:rPr>
              <w:t>Common Equity Tier 1 Ratio – BCP Stand-alone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80" w:type="dxa"/>
            <w:vAlign w:val="bottom"/>
          </w:tcPr>
          <w:p>
            <w:pPr>
              <w:ind w:left="1820"/>
              <w:spacing w:after="0"/>
              <w:rPr>
                <w:sz w:val="20"/>
                <w:szCs w:val="20"/>
                <w:color w:val="auto"/>
              </w:rPr>
            </w:pPr>
            <w:r>
              <w:rPr>
                <w:rFonts w:ascii="Arial" w:cs="Arial" w:eastAsia="Arial" w:hAnsi="Arial"/>
                <w:sz w:val="18"/>
                <w:szCs w:val="18"/>
                <w:b w:val="1"/>
                <w:bCs w:val="1"/>
                <w:color w:val="auto"/>
              </w:rPr>
              <w:t>March 2018</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8"/>
              </w:rPr>
              <w:t>June 2018</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137160</wp:posOffset>
            </wp:positionV>
            <wp:extent cx="6011545" cy="131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1154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9. Banking business’s Distribution channels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 change (units)</w:t>
            </w:r>
          </w:p>
        </w:tc>
      </w:tr>
      <w:tr>
        <w:trPr>
          <w:trHeight w:val="234"/>
        </w:trPr>
        <w:tc>
          <w:tcPr>
            <w:tcW w:w="5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 17</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Mar 18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Jun 18</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QoQ</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YoY</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ATMs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2,339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2,321</w:t>
            </w:r>
          </w:p>
        </w:tc>
        <w:tc>
          <w:tcPr>
            <w:tcW w:w="640" w:type="dxa"/>
            <w:vAlign w:val="bottom"/>
          </w:tcPr>
          <w:p>
            <w:pPr>
              <w:jc w:val="right"/>
              <w:spacing w:after="0"/>
              <w:rPr>
                <w:sz w:val="20"/>
                <w:szCs w:val="20"/>
                <w:color w:val="auto"/>
              </w:rPr>
            </w:pPr>
            <w:r>
              <w:rPr>
                <w:rFonts w:ascii="Arial" w:cs="Arial" w:eastAsia="Arial" w:hAnsi="Arial"/>
                <w:sz w:val="18"/>
                <w:szCs w:val="18"/>
                <w:color w:val="auto"/>
              </w:rPr>
              <w:t>2,326</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8,807</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8,950</w:t>
            </w:r>
          </w:p>
        </w:tc>
        <w:tc>
          <w:tcPr>
            <w:tcW w:w="1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9,217</w:t>
            </w: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80" w:type="dxa"/>
            <w:vAlign w:val="bottom"/>
            <w:tcBorders>
              <w:bottom w:val="single" w:sz="8" w:color="CCEEFF"/>
            </w:tcBorders>
          </w:tcPr>
          <w:p>
            <w:pPr>
              <w:spacing w:after="0"/>
              <w:rPr>
                <w:sz w:val="18"/>
                <w:szCs w:val="18"/>
                <w:color w:val="auto"/>
              </w:rPr>
            </w:pPr>
          </w:p>
        </w:tc>
      </w:tr>
      <w:tr>
        <w:trPr>
          <w:trHeight w:val="250"/>
        </w:trPr>
        <w:tc>
          <w:tcPr>
            <w:tcW w:w="512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8"/>
                <w:szCs w:val="28"/>
                <w:b w:val="1"/>
                <w:bCs w:val="1"/>
                <w:color w:val="auto"/>
                <w:vertAlign w:val="superscript"/>
              </w:rPr>
              <w:t>(1)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9,127</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9,275</w:t>
            </w:r>
          </w:p>
        </w:tc>
        <w:tc>
          <w:tcPr>
            <w:tcW w:w="1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9,544</w:t>
            </w: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w:t>
            </w:r>
          </w:p>
        </w:tc>
        <w:tc>
          <w:tcPr>
            <w:tcW w:w="8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ATMs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1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80" w:type="dxa"/>
            <w:vAlign w:val="bottom"/>
            <w:tcBorders>
              <w:bottom w:val="single" w:sz="8" w:color="CCEEFF"/>
            </w:tcBorders>
          </w:tcPr>
          <w:p>
            <w:pPr>
              <w:spacing w:after="0"/>
              <w:rPr>
                <w:sz w:val="18"/>
                <w:szCs w:val="18"/>
                <w:color w:val="auto"/>
              </w:rPr>
            </w:pPr>
          </w:p>
        </w:tc>
      </w:tr>
      <w:tr>
        <w:trPr>
          <w:trHeight w:val="250"/>
        </w:trPr>
        <w:tc>
          <w:tcPr>
            <w:tcW w:w="512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Banking Business Network </w:t>
            </w:r>
            <w:r>
              <w:rPr>
                <w:rFonts w:ascii="Arial" w:cs="Arial" w:eastAsia="Arial" w:hAnsi="Arial"/>
                <w:sz w:val="28"/>
                <w:szCs w:val="28"/>
                <w:b w:val="1"/>
                <w:bCs w:val="1"/>
                <w:color w:val="auto"/>
                <w:vertAlign w:val="superscript"/>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9,619</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9,853</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10,161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542</w:t>
            </w:r>
          </w:p>
        </w:tc>
      </w:tr>
      <w:tr>
        <w:trPr>
          <w:trHeight w:val="20"/>
        </w:trPr>
        <w:tc>
          <w:tcPr>
            <w:tcW w:w="5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right="1580" w:firstLine="8"/>
        <w:spacing w:after="0" w:line="250"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Jun 17, Mar 18 and Jun 18 were 40, 38 and 38 respectively.</w:t>
      </w: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ASB not included.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Stand-alone, Mibanco and BCP Bolivia boasted 10,161 points of contact at the end of 2Q18. This reflects an increase of 308 points QoQ.</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 Stand-alone posted a total of 9,217 points of contact at the end of 2Q18, which represented an increase of 267 points QoQ. This was due primarily to an increase in Agentes BCP (+265 QoQ) given that during the first quarter, the portfolio of Agentes is cleaned up and new incorporations are reflected in the second quarter of every year. Growth in this channel is part of the bank’s strategy to grow cost-efficient channels to reach a goal of 6600 Agentes BCP.</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Mibanco, the number of offices remained stable QoQ. It is important to note that Mibanco has an agreement with the Banco de la Nacion to use its branches throughout the country to reduce operating costs. At the end of 2Q18, these branches represented 12% (38) of the total of 327 offices.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increased its points of contact by 39 QoQ in 2Q18. This was attributable to an increase in the number of Agentes BCP Bolivia as part of a growth strategy to reach a total of 300 Agentes at the end of 2018.</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YoY analysis, the total number of points of contact at BCP Stand-alone increased 410 units, mainly due to growth in Agentes BCP (+439). The number of branches fell by 16 YoY, in line with the banking penetration strategy and with efforts to promote client migration to lower-cost channels.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Mibanco increased the total number of branches (+7 YoY) due to on-going expansion. BCP Bolivia posted growth in its points of access (+125 YoY), which was due primarily to an increase in Agentes.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Points of contact – BCP Stand-alone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4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As of</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Arial" w:cs="Arial" w:eastAsia="Arial" w:hAnsi="Arial"/>
                <w:sz w:val="18"/>
                <w:szCs w:val="18"/>
                <w:b w:val="1"/>
                <w:bCs w:val="1"/>
                <w:color w:val="auto"/>
                <w:w w:val="95"/>
              </w:rPr>
              <w:t>% change (units)</w:t>
            </w:r>
          </w:p>
        </w:tc>
      </w:tr>
      <w:tr>
        <w:trPr>
          <w:trHeight w:val="234"/>
        </w:trPr>
        <w:tc>
          <w:tcPr>
            <w:tcW w:w="48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Jun 17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Mar 18</w:t>
            </w: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 18</w:t>
            </w:r>
          </w:p>
        </w:tc>
        <w:tc>
          <w:tcPr>
            <w:tcW w:w="740" w:type="dxa"/>
            <w:vAlign w:val="bottom"/>
            <w:gridSpan w:val="2"/>
          </w:tcPr>
          <w:p>
            <w:pPr>
              <w:ind w:left="100"/>
              <w:spacing w:after="0"/>
              <w:rPr>
                <w:sz w:val="20"/>
                <w:szCs w:val="20"/>
                <w:color w:val="auto"/>
              </w:rPr>
            </w:pPr>
            <w:r>
              <w:rPr>
                <w:rFonts w:ascii="Arial" w:cs="Arial" w:eastAsia="Arial" w:hAnsi="Arial"/>
                <w:sz w:val="18"/>
                <w:szCs w:val="18"/>
                <w:b w:val="1"/>
                <w:bCs w:val="1"/>
                <w:color w:val="auto"/>
              </w:rPr>
              <w:t>QoQ</w:t>
            </w:r>
          </w:p>
        </w:tc>
        <w:tc>
          <w:tcPr>
            <w:tcW w:w="660" w:type="dxa"/>
            <w:vAlign w:val="bottom"/>
            <w:gridSpan w:val="3"/>
          </w:tcPr>
          <w:p>
            <w:pPr>
              <w:ind w:left="120"/>
              <w:spacing w:after="0"/>
              <w:rPr>
                <w:sz w:val="20"/>
                <w:szCs w:val="20"/>
                <w:color w:val="auto"/>
              </w:rPr>
            </w:pPr>
            <w:r>
              <w:rPr>
                <w:rFonts w:ascii="Arial" w:cs="Arial" w:eastAsia="Arial" w:hAnsi="Arial"/>
                <w:sz w:val="18"/>
                <w:szCs w:val="18"/>
                <w:b w:val="1"/>
                <w:bCs w:val="1"/>
                <w:color w:val="auto"/>
              </w:rPr>
              <w:t>YoY</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Provinces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Lima</w:t>
            </w:r>
          </w:p>
        </w:tc>
        <w:tc>
          <w:tcPr>
            <w:tcW w:w="600" w:type="dxa"/>
            <w:vAlign w:val="bottom"/>
          </w:tcPr>
          <w:p>
            <w:pPr>
              <w:jc w:val="right"/>
              <w:spacing w:after="0"/>
              <w:rPr>
                <w:sz w:val="20"/>
                <w:szCs w:val="20"/>
                <w:color w:val="auto"/>
              </w:rPr>
            </w:pPr>
            <w:r>
              <w:rPr>
                <w:rFonts w:ascii="Arial" w:cs="Arial" w:eastAsia="Arial" w:hAnsi="Arial"/>
                <w:sz w:val="18"/>
                <w:szCs w:val="18"/>
                <w:color w:val="auto"/>
              </w:rPr>
              <w:t>1,578</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2,339</w:t>
            </w:r>
          </w:p>
        </w:tc>
        <w:tc>
          <w:tcPr>
            <w:tcW w:w="2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w:t>
            </w:r>
          </w:p>
        </w:tc>
        <w:tc>
          <w:tcPr>
            <w:tcW w:w="1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2,326</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Provinces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2,862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2,922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3,105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9"/>
                <w:szCs w:val="19"/>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6,017</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6,191</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6,456</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points of contact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8,807</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8,950</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9,217</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This quarter, points of contact at BCP Stand-alone increased by 267; Lima registered an increase of 81 points and the provinces, 186.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YoY analysis, the significant growth in total points of contact is due mainly to the increase of 439 Agentes BCP, both in Lima (+196) and in the Provinces (+243). It is important to note that the plan for expansion is based on the historic evolution of this channel in each territory with an eye on achieving growth targets at the national level. Higher growth has been planned for the provinces given that profit margins are higher there.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offset the reduction in Branches and ATMs. Branches were eliminated in both Lima and the provinces due to migration to most cost-effective channels. In terms of ATMs, Lima reported a drop YoY (-45) after ATMS at the branch level were removed. In the provinces, the number of ATMs increased (+32) as new sites were set up in branches and at neutral points.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N° of Transactions per channel </w:t>
            </w:r>
            <w:r>
              <w:rPr>
                <w:rFonts w:ascii="Arial" w:cs="Arial" w:eastAsia="Arial" w:hAnsi="Arial"/>
                <w:sz w:val="23"/>
                <w:szCs w:val="23"/>
                <w:b w:val="1"/>
                <w:bCs w:val="1"/>
                <w:color w:val="auto"/>
                <w:w w:val="93"/>
                <w:vertAlign w:val="superscript"/>
              </w:rPr>
              <w:t>(1)</w:t>
            </w:r>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4"/>
              </w:rPr>
              <w:t>Monthly average in each quarter</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2Q17</w:t>
            </w: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1Q18</w:t>
            </w: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2Q18</w:t>
            </w: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8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b w:val="1"/>
                <w:bCs w:val="1"/>
                <w:color w:val="auto"/>
              </w:rPr>
              <w:t>Traditional</w:t>
            </w:r>
          </w:p>
        </w:tc>
        <w:tc>
          <w:tcPr>
            <w:tcW w:w="8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Teller</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8,032,558</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7,989,543</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6.2%</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8,029,752</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6.1%</w:t>
            </w: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0.5%</w:t>
            </w:r>
          </w:p>
        </w:tc>
        <w:tc>
          <w:tcPr>
            <w:tcW w:w="2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5"/>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channels</w:t>
            </w:r>
          </w:p>
        </w:tc>
        <w:tc>
          <w:tcPr>
            <w:tcW w:w="8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Telephone banking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3,444,444</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4,502,039</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4,738,082</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Cost-efficient</w:t>
            </w:r>
          </w:p>
        </w:tc>
        <w:tc>
          <w:tcPr>
            <w:tcW w:w="80" w:type="dxa"/>
            <w:vAlign w:val="bottom"/>
          </w:tcPr>
          <w:p>
            <w:pPr>
              <w:spacing w:after="0" w:line="20" w:lineRule="exact"/>
              <w:rPr>
                <w:sz w:val="1"/>
                <w:szCs w:val="1"/>
                <w:color w:val="auto"/>
              </w:rPr>
            </w:pPr>
          </w:p>
        </w:tc>
        <w:tc>
          <w:tcPr>
            <w:tcW w:w="2280" w:type="dxa"/>
            <w:vAlign w:val="bottom"/>
            <w:gridSpan w:val="2"/>
            <w:vMerge w:val="restart"/>
          </w:tcPr>
          <w:p>
            <w:pPr>
              <w:spacing w:after="0" w:line="139" w:lineRule="exact"/>
              <w:rPr>
                <w:sz w:val="20"/>
                <w:szCs w:val="20"/>
                <w:color w:val="auto"/>
              </w:rPr>
            </w:pPr>
            <w:r>
              <w:rPr>
                <w:rFonts w:ascii="Arial" w:cs="Arial" w:eastAsia="Arial" w:hAnsi="Arial"/>
                <w:sz w:val="14"/>
                <w:szCs w:val="14"/>
                <w:color w:val="auto"/>
              </w:rPr>
              <w:t>Agentes BCP</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color w:val="auto"/>
              </w:rPr>
              <w:t>16,756,666</w:t>
            </w:r>
          </w:p>
        </w:tc>
        <w:tc>
          <w:tcPr>
            <w:tcW w:w="22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14.7%</w:t>
            </w:r>
          </w:p>
        </w:tc>
        <w:tc>
          <w:tcPr>
            <w:tcW w:w="100" w:type="dxa"/>
            <w:vAlign w:val="bottom"/>
            <w:vMerge w:val="continue"/>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19,147,059</w:t>
            </w:r>
          </w:p>
        </w:tc>
        <w:tc>
          <w:tcPr>
            <w:tcW w:w="220" w:type="dxa"/>
            <w:vAlign w:val="bottom"/>
          </w:tcPr>
          <w:p>
            <w:pPr>
              <w:spacing w:after="0"/>
              <w:rPr>
                <w:sz w:val="10"/>
                <w:szCs w:val="10"/>
                <w:color w:val="auto"/>
              </w:rPr>
            </w:pPr>
          </w:p>
        </w:tc>
        <w:tc>
          <w:tcPr>
            <w:tcW w:w="102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14.8%</w:t>
            </w: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20,936,116</w:t>
            </w:r>
          </w:p>
        </w:tc>
        <w:tc>
          <w:tcPr>
            <w:tcW w:w="220" w:type="dxa"/>
            <w:vAlign w:val="bottom"/>
            <w:vMerge w:val="continue"/>
          </w:tcPr>
          <w:p>
            <w:pPr>
              <w:spacing w:after="0"/>
              <w:rPr>
                <w:sz w:val="10"/>
                <w:szCs w:val="10"/>
                <w:color w:val="auto"/>
              </w:rPr>
            </w:pPr>
          </w:p>
        </w:tc>
        <w:tc>
          <w:tcPr>
            <w:tcW w:w="102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15.9%</w:t>
            </w:r>
          </w:p>
        </w:tc>
        <w:tc>
          <w:tcPr>
            <w:tcW w:w="102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9.3%</w:t>
            </w:r>
          </w:p>
        </w:tc>
        <w:tc>
          <w:tcPr>
            <w:tcW w:w="24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85"/>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channels</w:t>
            </w:r>
          </w:p>
        </w:tc>
        <w:tc>
          <w:tcPr>
            <w:tcW w:w="8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ATMs</w:t>
            </w:r>
          </w:p>
        </w:tc>
        <w:tc>
          <w:tcPr>
            <w:tcW w:w="820" w:type="dxa"/>
            <w:vAlign w:val="bottom"/>
          </w:tcPr>
          <w:p>
            <w:pPr>
              <w:jc w:val="right"/>
              <w:spacing w:after="0"/>
              <w:rPr>
                <w:sz w:val="20"/>
                <w:szCs w:val="20"/>
                <w:color w:val="auto"/>
              </w:rPr>
            </w:pPr>
            <w:r>
              <w:rPr>
                <w:rFonts w:ascii="Arial" w:cs="Arial" w:eastAsia="Arial" w:hAnsi="Arial"/>
                <w:sz w:val="14"/>
                <w:szCs w:val="14"/>
                <w:color w:val="auto"/>
              </w:rPr>
              <w:t>20,322,610</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21,733,218</w:t>
            </w:r>
          </w:p>
        </w:tc>
        <w:tc>
          <w:tcPr>
            <w:tcW w:w="22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16.8%</w:t>
            </w:r>
          </w:p>
        </w:tc>
        <w:tc>
          <w:tcPr>
            <w:tcW w:w="840" w:type="dxa"/>
            <w:vAlign w:val="bottom"/>
          </w:tcPr>
          <w:p>
            <w:pPr>
              <w:jc w:val="right"/>
              <w:spacing w:after="0"/>
              <w:rPr>
                <w:sz w:val="20"/>
                <w:szCs w:val="20"/>
                <w:color w:val="auto"/>
              </w:rPr>
            </w:pPr>
            <w:r>
              <w:rPr>
                <w:rFonts w:ascii="Arial" w:cs="Arial" w:eastAsia="Arial" w:hAnsi="Arial"/>
                <w:sz w:val="14"/>
                <w:szCs w:val="14"/>
                <w:color w:val="auto"/>
              </w:rPr>
              <w:t>20,892,105</w:t>
            </w:r>
          </w:p>
        </w:tc>
        <w:tc>
          <w:tcPr>
            <w:tcW w:w="220" w:type="dxa"/>
            <w:vAlign w:val="bottom"/>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15.9%</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880" w:type="dxa"/>
            <w:vAlign w:val="bottom"/>
            <w:vMerge w:val="restart"/>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3"/>
              </w:rPr>
              <w:t>Digital</w:t>
            </w:r>
          </w:p>
        </w:tc>
        <w:tc>
          <w:tcPr>
            <w:tcW w:w="80" w:type="dxa"/>
            <w:vAlign w:val="bottom"/>
            <w:shd w:val="clear" w:color="auto" w:fill="CCEEFF"/>
          </w:tcPr>
          <w:p>
            <w:pPr>
              <w:spacing w:after="0" w:line="20" w:lineRule="exact"/>
              <w:rPr>
                <w:sz w:val="1"/>
                <w:szCs w:val="1"/>
                <w:color w:val="auto"/>
              </w:rPr>
            </w:pPr>
          </w:p>
        </w:tc>
        <w:tc>
          <w:tcPr>
            <w:tcW w:w="2280" w:type="dxa"/>
            <w:vAlign w:val="bottom"/>
            <w:gridSpan w:val="2"/>
            <w:vMerge w:val="restart"/>
            <w:shd w:val="clear" w:color="auto" w:fill="CCEEFF"/>
          </w:tcPr>
          <w:p>
            <w:pPr>
              <w:spacing w:after="0" w:line="139" w:lineRule="exact"/>
              <w:rPr>
                <w:sz w:val="20"/>
                <w:szCs w:val="20"/>
                <w:color w:val="auto"/>
              </w:rPr>
            </w:pPr>
            <w:r>
              <w:rPr>
                <w:rFonts w:ascii="Arial" w:cs="Arial" w:eastAsia="Arial" w:hAnsi="Arial"/>
                <w:sz w:val="14"/>
                <w:szCs w:val="14"/>
                <w:color w:val="auto"/>
              </w:rPr>
              <w:t>Mobile banking</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80" w:type="dxa"/>
            <w:vAlign w:val="bottom"/>
            <w:gridSpan w:val="2"/>
            <w:vMerge w:val="continue"/>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22,820,770</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20.0%</w:t>
            </w:r>
          </w:p>
        </w:tc>
        <w:tc>
          <w:tcPr>
            <w:tcW w:w="1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35,607,617</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27.5%</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41,967,471</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32.0%</w:t>
            </w: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17.9%</w:t>
            </w:r>
          </w:p>
        </w:tc>
        <w:tc>
          <w:tcPr>
            <w:tcW w:w="2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83.9%</w:t>
            </w:r>
          </w:p>
        </w:tc>
        <w:tc>
          <w:tcPr>
            <w:tcW w:w="0" w:type="dxa"/>
            <w:vAlign w:val="bottom"/>
          </w:tcPr>
          <w:p>
            <w:pPr>
              <w:spacing w:after="0"/>
              <w:rPr>
                <w:sz w:val="1"/>
                <w:szCs w:val="1"/>
                <w:color w:val="auto"/>
              </w:rPr>
            </w:pPr>
          </w:p>
        </w:tc>
      </w:tr>
      <w:tr>
        <w:trPr>
          <w:trHeight w:val="153"/>
        </w:trPr>
        <w:tc>
          <w:tcPr>
            <w:tcW w:w="8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5"/>
              </w:rPr>
              <w:t>channels</w:t>
            </w:r>
          </w:p>
        </w:tc>
        <w:tc>
          <w:tcPr>
            <w:tcW w:w="8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Internet banking Via BCP</w:t>
            </w:r>
          </w:p>
        </w:tc>
        <w:tc>
          <w:tcPr>
            <w:tcW w:w="8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19,063,071</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16.7%</w:t>
            </w:r>
          </w:p>
        </w:tc>
        <w:tc>
          <w:tcPr>
            <w:tcW w:w="9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14,087,742</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10.9%</w:t>
            </w:r>
          </w:p>
        </w:tc>
        <w:tc>
          <w:tcPr>
            <w:tcW w:w="8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7,330,994</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5.6%</w:t>
            </w:r>
          </w:p>
        </w:tc>
        <w:tc>
          <w:tcPr>
            <w:tcW w:w="102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-48.0%</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81"/>
        </w:trPr>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inquiries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2,252,493</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1,716,853</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1,754,730</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vMerge w:val="restart"/>
          </w:tcPr>
          <w:p>
            <w:pPr>
              <w:spacing w:after="0" w:line="143" w:lineRule="exact"/>
              <w:rPr>
                <w:sz w:val="20"/>
                <w:szCs w:val="20"/>
                <w:color w:val="auto"/>
              </w:rPr>
            </w:pPr>
            <w:r>
              <w:rPr>
                <w:rFonts w:ascii="Arial" w:cs="Arial" w:eastAsia="Arial" w:hAnsi="Arial"/>
                <w:sz w:val="14"/>
                <w:szCs w:val="14"/>
                <w:color w:val="auto"/>
              </w:rPr>
              <w:t>Telecrédito</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Others</w:t>
            </w:r>
          </w:p>
        </w:tc>
        <w:tc>
          <w:tcPr>
            <w:tcW w:w="80" w:type="dxa"/>
            <w:vAlign w:val="bottom"/>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rPr>
              <w:t>9,642,090</w:t>
            </w:r>
          </w:p>
        </w:tc>
        <w:tc>
          <w:tcPr>
            <w:tcW w:w="220" w:type="dxa"/>
            <w:vAlign w:val="bottom"/>
          </w:tcPr>
          <w:p>
            <w:pPr>
              <w:spacing w:after="0"/>
              <w:rPr>
                <w:sz w:val="10"/>
                <w:szCs w:val="10"/>
                <w:color w:val="auto"/>
              </w:rPr>
            </w:pP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8.4%</w:t>
            </w:r>
          </w:p>
        </w:tc>
        <w:tc>
          <w:tcPr>
            <w:tcW w:w="100" w:type="dxa"/>
            <w:vAlign w:val="bottom"/>
            <w:vMerge w:val="continue"/>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10,415,356</w:t>
            </w:r>
          </w:p>
        </w:tc>
        <w:tc>
          <w:tcPr>
            <w:tcW w:w="220" w:type="dxa"/>
            <w:vAlign w:val="bottom"/>
          </w:tcPr>
          <w:p>
            <w:pPr>
              <w:spacing w:after="0"/>
              <w:rPr>
                <w:sz w:val="10"/>
                <w:szCs w:val="10"/>
                <w:color w:val="auto"/>
              </w:rPr>
            </w:pPr>
          </w:p>
        </w:tc>
        <w:tc>
          <w:tcPr>
            <w:tcW w:w="102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8.1%</w:t>
            </w: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10,744,973</w:t>
            </w:r>
          </w:p>
        </w:tc>
        <w:tc>
          <w:tcPr>
            <w:tcW w:w="220" w:type="dxa"/>
            <w:vAlign w:val="bottom"/>
          </w:tcPr>
          <w:p>
            <w:pPr>
              <w:spacing w:after="0"/>
              <w:rPr>
                <w:sz w:val="10"/>
                <w:szCs w:val="10"/>
                <w:color w:val="auto"/>
              </w:rPr>
            </w:pPr>
          </w:p>
        </w:tc>
        <w:tc>
          <w:tcPr>
            <w:tcW w:w="102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8.2%</w:t>
            </w:r>
          </w:p>
        </w:tc>
        <w:tc>
          <w:tcPr>
            <w:tcW w:w="102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0"/>
                <w:szCs w:val="10"/>
                <w:color w:val="auto"/>
              </w:rPr>
            </w:pPr>
          </w:p>
        </w:tc>
        <w:tc>
          <w:tcPr>
            <w:tcW w:w="7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Direct debit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650,734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615,195</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667,155</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8.4%</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11,161,763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13,251,916</w:t>
            </w:r>
          </w:p>
        </w:tc>
        <w:tc>
          <w:tcPr>
            <w:tcW w:w="22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14,035,053</w:t>
            </w:r>
          </w:p>
        </w:tc>
        <w:tc>
          <w:tcPr>
            <w:tcW w:w="22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10.7%</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1"/>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Other ATMs netw ork</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202,417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201,712</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206,892</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transactions</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114,349,615</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129,268,250</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131,303,325</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monthly average of transactions remained stable QoQ while an increase of 14.8% was evident in the YoY analysis. It is important to note that in 2Q18, the increase in the transactions volume was associated mainly with Mobile Banking (+17.9%), which continued to significantly increase its share of total transactions, reaching a level lof 32.0% in 2Q18; this reflects our strategy to migrate to digital channels.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Internet Banking Vía BCP posted the largest drop in its transaction volume (-48.0% QoQ), followed by ATMs (-3.9% QoQ).</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there was an increase in the monthly average of transactions, which was due mainly to an increase in the volume in the following channels:</w:t>
      </w:r>
    </w:p>
    <w:p>
      <w:pPr>
        <w:spacing w:after="0" w:line="170" w:lineRule="exact"/>
        <w:rPr>
          <w:sz w:val="20"/>
          <w:szCs w:val="20"/>
          <w:color w:val="auto"/>
        </w:rPr>
      </w:pPr>
    </w:p>
    <w:p>
      <w:pPr>
        <w:ind w:left="880" w:hanging="494"/>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Mobile Banking (+83.9% YoY) continues to increase its through mobile applications “Banca Celular BCP” and “Tus Beneficios BCP” via growth in time deposits, confirmation operations with digital tokens, and loan or service payments.</w:t>
      </w:r>
    </w:p>
    <w:p>
      <w:pPr>
        <w:spacing w:after="0" w:line="170"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Agentes BCP (+24.9% YoY), due to growth in drafts that was driven by a radio campaign (national and provisions radio stations) in the month of May and June. This channel also experienced growth in deposits, withdrawals and service payments (an option to pay light bills in the provinces was set up) as part of our World Cup campaign.</w:t>
      </w:r>
    </w:p>
    <w:p>
      <w:pPr>
        <w:spacing w:after="0" w:line="181" w:lineRule="exact"/>
        <w:rPr>
          <w:rFonts w:ascii="Arial" w:cs="Arial" w:eastAsia="Arial" w:hAnsi="Arial"/>
          <w:sz w:val="18"/>
          <w:szCs w:val="18"/>
          <w:color w:val="auto"/>
        </w:rPr>
      </w:pPr>
    </w:p>
    <w:p>
      <w:pPr>
        <w:ind w:left="880" w:hanging="494"/>
        <w:spacing w:after="0" w:line="308"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Points of sale P.O.S (+25.7% YoY), where the increase was due primarily to World Cup campaigns for debit card clients and to a higher penetration of VISANET. This venue’s share of total the total monthly transactions average increased to 10.7% in 2Q18 vs. 9.8% in 2Q17.</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channels that experienced a drop in transactions YoY were: (i) Internet Banking VíaBCP (-61.5%), which was due to an increase in Mobile Banking, which offers similar functions to those found in Internet Banking and (ii) Balance Inquiry (-22.1%).</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Transformation Strategy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154940</wp:posOffset>
            </wp:positionV>
            <wp:extent cx="4845050" cy="259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4505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20" w:hanging="246"/>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including Telecredito, Direct debit, POS and Other ATMs network</w:t>
      </w:r>
    </w:p>
    <w:p>
      <w:pPr>
        <w:spacing w:after="0" w:line="23" w:lineRule="exact"/>
        <w:rPr>
          <w:rFonts w:ascii="Arial" w:cs="Arial" w:eastAsia="Arial" w:hAnsi="Arial"/>
          <w:sz w:val="18"/>
          <w:szCs w:val="18"/>
          <w:color w:val="auto"/>
        </w:rPr>
      </w:pPr>
    </w:p>
    <w:p>
      <w:pPr>
        <w:ind w:left="1020" w:hanging="246"/>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Internet banking Via BCP, Mobile banking and Balance inquiries</w:t>
      </w:r>
    </w:p>
    <w:p>
      <w:pPr>
        <w:spacing w:after="0" w:line="9" w:lineRule="exact"/>
        <w:rPr>
          <w:rFonts w:ascii="Arial" w:cs="Arial" w:eastAsia="Arial" w:hAnsi="Arial"/>
          <w:sz w:val="18"/>
          <w:szCs w:val="18"/>
          <w:color w:val="auto"/>
        </w:rPr>
      </w:pPr>
    </w:p>
    <w:p>
      <w:pPr>
        <w:ind w:left="1020" w:hanging="246"/>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Numbers as of June 2018</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future growth in banking in the region will be concentrated mainly in digital channels; as such, Credicorp will continue to increase its strategic position in these cost-effective venues. This is in line with Credicorp’s Transformation Strategy and is the driving force behind the fact that Mobile Banking posted the highest growth in the total transactions volume.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5860" w:type="dxa"/>
            <w:vAlign w:val="bottom"/>
            <w:gridSpan w:val="2"/>
          </w:tcPr>
          <w:p>
            <w:pPr>
              <w:ind w:left="140"/>
              <w:spacing w:after="0"/>
              <w:rPr>
                <w:sz w:val="20"/>
                <w:szCs w:val="20"/>
                <w:color w:val="auto"/>
              </w:rPr>
            </w:pPr>
            <w:r>
              <w:rPr>
                <w:rFonts w:ascii="Arial" w:cs="Arial" w:eastAsia="Arial" w:hAnsi="Arial"/>
                <w:sz w:val="18"/>
                <w:szCs w:val="18"/>
                <w:b w:val="1"/>
                <w:bCs w:val="1"/>
                <w:color w:val="auto"/>
              </w:rPr>
              <w:t>Economic Perspectives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10.1. Peru Economic Forecasts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0" w:type="dxa"/>
            <w:vAlign w:val="bottom"/>
          </w:tcPr>
          <w:p>
            <w:pPr>
              <w:spacing w:after="0"/>
              <w:rPr>
                <w:sz w:val="24"/>
                <w:szCs w:val="24"/>
                <w:color w:val="auto"/>
              </w:rPr>
            </w:pPr>
          </w:p>
        </w:tc>
        <w:tc>
          <w:tcPr>
            <w:tcW w:w="5860" w:type="dxa"/>
            <w:vAlign w:val="bottom"/>
            <w:gridSpan w:val="2"/>
          </w:tcPr>
          <w:p>
            <w:pPr>
              <w:ind w:left="2500"/>
              <w:spacing w:after="0"/>
              <w:rPr>
                <w:sz w:val="20"/>
                <w:szCs w:val="20"/>
                <w:color w:val="auto"/>
              </w:rPr>
            </w:pPr>
            <w:r>
              <w:rPr>
                <w:rFonts w:ascii="Arial" w:cs="Arial" w:eastAsia="Arial" w:hAnsi="Arial"/>
                <w:sz w:val="18"/>
                <w:szCs w:val="18"/>
                <w:b w:val="1"/>
                <w:bCs w:val="1"/>
                <w:color w:val="auto"/>
              </w:rPr>
              <w:t>Peru</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192,353</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195,707</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215,411</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230,506</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243,222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Real GDP (% change)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Domestic demand (% change)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consumption (% change)</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260" w:type="dxa"/>
            <w:vAlign w:val="bottom"/>
            <w:gridSpan w:val="3"/>
          </w:tcPr>
          <w:p>
            <w:pPr>
              <w:ind w:left="180"/>
              <w:spacing w:after="0"/>
              <w:rPr>
                <w:sz w:val="20"/>
                <w:szCs w:val="20"/>
                <w:color w:val="auto"/>
              </w:rPr>
            </w:pPr>
            <w:r>
              <w:rPr>
                <w:rFonts w:ascii="Arial" w:cs="Arial" w:eastAsia="Arial" w:hAnsi="Arial"/>
                <w:sz w:val="18"/>
                <w:szCs w:val="18"/>
                <w:color w:val="auto"/>
              </w:rPr>
              <w:t>Private Consumption (% change)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6260" w:type="dxa"/>
            <w:vAlign w:val="bottom"/>
            <w:gridSpan w:val="3"/>
          </w:tcPr>
          <w:p>
            <w:pPr>
              <w:ind w:left="180"/>
              <w:spacing w:after="0"/>
              <w:rPr>
                <w:sz w:val="20"/>
                <w:szCs w:val="20"/>
                <w:color w:val="auto"/>
              </w:rPr>
            </w:pPr>
            <w:r>
              <w:rPr>
                <w:rFonts w:ascii="Arial" w:cs="Arial" w:eastAsia="Arial" w:hAnsi="Arial"/>
                <w:sz w:val="18"/>
                <w:szCs w:val="18"/>
                <w:color w:val="auto"/>
              </w:rPr>
              <w:t>Private Investment (% change)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6260" w:type="dxa"/>
            <w:vAlign w:val="bottom"/>
            <w:gridSpan w:val="3"/>
            <w:shd w:val="clear" w:color="auto" w:fill="CCEEFF"/>
          </w:tcPr>
          <w:p>
            <w:pPr>
              <w:ind w:left="180"/>
              <w:spacing w:after="0" w:line="256" w:lineRule="exact"/>
              <w:rPr>
                <w:sz w:val="20"/>
                <w:szCs w:val="20"/>
                <w:color w:val="auto"/>
              </w:rPr>
            </w:pPr>
            <w:r>
              <w:rPr>
                <w:rFonts w:ascii="Arial" w:cs="Arial" w:eastAsia="Arial" w:hAnsi="Arial"/>
                <w:sz w:val="18"/>
                <w:szCs w:val="18"/>
                <w:color w:val="auto"/>
              </w:rPr>
              <w:t>Public Investment (% change)</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Public Debt (as % GDP)</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626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System loan growth (% change)</w:t>
            </w:r>
            <w:r>
              <w:rPr>
                <w:rFonts w:ascii="Arial" w:cs="Arial" w:eastAsia="Arial" w:hAnsi="Arial"/>
                <w:sz w:val="30"/>
                <w:szCs w:val="30"/>
                <w:color w:val="auto"/>
                <w:vertAlign w:val="superscript"/>
              </w:rPr>
              <w:t>(2)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line="269" w:lineRule="exact"/>
              <w:rPr>
                <w:sz w:val="20"/>
                <w:szCs w:val="20"/>
                <w:color w:val="auto"/>
              </w:rPr>
            </w:pPr>
            <w:r>
              <w:rPr>
                <w:rFonts w:ascii="Arial" w:cs="Arial" w:eastAsia="Arial" w:hAnsi="Arial"/>
                <w:sz w:val="18"/>
                <w:szCs w:val="18"/>
                <w:color w:val="auto"/>
              </w:rPr>
              <w:t>Inflation</w:t>
            </w:r>
            <w:r>
              <w:rPr>
                <w:rFonts w:ascii="Arial" w:cs="Arial" w:eastAsia="Arial" w:hAnsi="Arial"/>
                <w:sz w:val="30"/>
                <w:szCs w:val="30"/>
                <w:color w:val="auto"/>
                <w:vertAlign w:val="superscript"/>
              </w:rPr>
              <w:t>(3)</w:t>
            </w: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gridSpan w:val="3"/>
            <w:vMerge w:val="continue"/>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3.25-</w:t>
            </w:r>
          </w:p>
        </w:tc>
        <w:tc>
          <w:tcPr>
            <w:tcW w:w="2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3.30-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spacing w:after="0"/>
              <w:rPr>
                <w:sz w:val="20"/>
                <w:szCs w:val="20"/>
                <w:color w:val="auto"/>
              </w:rPr>
            </w:pPr>
            <w:r>
              <w:rPr>
                <w:rFonts w:ascii="Arial" w:cs="Arial" w:eastAsia="Arial" w:hAnsi="Arial"/>
                <w:sz w:val="18"/>
                <w:szCs w:val="18"/>
                <w:color w:val="auto"/>
              </w:rPr>
              <w:t>Exchange rate, end of period</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Fiscal balance (% GDP)</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Exports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34,414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44,918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Imports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37,330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35,132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38,652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43,200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46,500</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61,485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64,400</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Multiple Banking, Current Exchange Rate.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Inflation target: 1% - 3%.</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154940</wp:posOffset>
            </wp:positionV>
            <wp:extent cx="3902075" cy="17322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0207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INEI</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1Q18, GDP grew +3.2% YoY due to an increase in domestic demand of +4.0% YoY (1Q17: -0.4%). On the private spending side, private consumption (+3.2%, maximum level in 6 quarters) and private investment (+5.3%, third consecutive quarter of expansion) stood out. It is important to note that non-mining private investment grew +3.2% YoY after having contracted in 4Q17, in line with the increase in internal consumption of cement and in imports of capital goods from non-mining sectors.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2Q18, GDP expanded close to +6% YoY, which represented the highest point reached in the last 18 quarters and almost one fifth of growth is estimated to be attributable to fishing and primary manufacturing. It is important to note that the quota for the first fishing season for anchoveta was 3.3 million metric tons (MT), a record high for the past 7 years. Non-primary sectors are estimated to have grown around +5.5% YoY to post the maximum level seen in 19 quarters.</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154940</wp:posOffset>
            </wp:positionV>
            <wp:extent cx="3816350" cy="1981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1635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INEI, BCRP</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Annual inflation closed at 1.4% YoY in 2Q18 (1Q18: 0.4%), falling within BCRP’s target range (1%-3%) for the first time in 4 months. According to BCRP, the increase in the Selective Consumption Tax (ISC) at the beginning of May had an aggregated effect on inflation of 30 bps; this was a one-off effect. Inflation without food and energy was situated at 2.2% YoY (1Q18: 2.0% YoY), remaining around the mid-point of the target range.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2Q18, BCRP maintained its rate at 2.75% (after having cut the rate 50 bps in 1Q18). The entity announced that the economy was showing signs of improvement, but was still performing below potential. In this context, the Board of BCRP decided it would be best to maintain monetary stimulus in a context marked by converging inflation and inflation expectations that are anchored to the target range.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ind w:left="3600"/>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154940</wp:posOffset>
            </wp:positionV>
            <wp:extent cx="3696335" cy="19983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9633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BCRP</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*BCP estimates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annualized fiscal deficit at the end of 2Q18 was situated at 2.2% of GDP (1T18: 3.0%). The decline in the fiscal deficit is primarily due to a recovery in</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fiscal revenues for the third consecutive quarter; this represented 18.9% of GDP (1Q18: 18.2%). In the first six months of the year, fiscal revenues increased 18% YoY, which was primarily due to an increase in tax revenues (+23%). The components that posted the highest growth in collections were: (i) Income Tax (+22%), (ii) IGV (+13%), and the (iii) Selective Consumption Tax (+8%). Unlike revenue, non-financial expenses at the General Government level have remained stable at 20.0% of GDP (1Q18: 20.0%). Between January and June 2018, current spending increased +8.0% YoY (employee salaries and benefits: +11.4%) while public investment grew +20.9% YoY.</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 end of May 2018, the 12-month rolling trade balance reported a surplus of US$ 7,245 million (highest point since mid-2012). The solid commercial surplus was due primarily to the increase in exports (+18.5%), led by copper exports (+29.4%). It is important to note that in 2Q18, the average copper price increased +21.4% with regard to the same quarter last year. Non-traditional exports also accelerated and grew +12.5% YoY, which represents a record high since 2012. At the end of June 2018, 12-month rolling imports rose +11.8% YoY, mainly due to an increase in imports of inputs (+15.5%).</w:t>
      </w:r>
    </w:p>
    <w:p>
      <w:pPr>
        <w:spacing w:after="0" w:line="15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154940</wp:posOffset>
            </wp:positionV>
            <wp:extent cx="3456305" cy="2006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5630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SBS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In 2Q18, the exchange rate closed at 3.272 Soles per American Dollar; this represented a +1.4% depreciation in the Sol with regard to the figure at the end of 1Q18 and a YTD depreciation of 1% (3.241 Soles per American Dollar). Since May, the exchange rate has oscillated within a range of 3.25-3.30 Soles per US Dollar due to different factors in the international environment, including the reversal of capital flows to emerging countries in May and the escalation of commercial tensions between the USA and China.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2Q18, all of the region’s currencies depreciated. The depreciation of the Sol (+1.4%) was lower than that of the Colombian Peso (+4.9%), Chilean Peso (+8.3%), Mexican Peso (+9.5%) and Brazilian Real (+17.3%). Additionally, in 2Q18, BCRP intervened in the exchange rate market on very few occasions, placing readjustable certificates of deposit (RCD) from BCRP and Sales of Foreign Exchange Swaps for a total of US$ 539 million in a context of high depreciation of currencies throughout the region. Thus far this year, BCRP has accumulated net purchases for US$ 184 million (net purchases 2017: US$ 5,246 million). At the end of 2Q18, Net International Reserves were situated at US$ 59,079 million (1Q18: US$ 62,032 million) while the exchange rate position was situated at US$ 38,120 million (1T18: US$ 38,101 million).</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4860" w:type="dxa"/>
            <w:vAlign w:val="bottom"/>
          </w:tcPr>
          <w:p>
            <w:pPr>
              <w:ind w:left="60"/>
              <w:spacing w:after="0"/>
              <w:rPr>
                <w:sz w:val="20"/>
                <w:szCs w:val="20"/>
                <w:color w:val="auto"/>
              </w:rPr>
            </w:pPr>
            <w:r>
              <w:rPr>
                <w:rFonts w:ascii="Arial" w:cs="Arial" w:eastAsia="Arial" w:hAnsi="Arial"/>
                <w:sz w:val="18"/>
                <w:szCs w:val="18"/>
                <w:b w:val="1"/>
                <w:bCs w:val="1"/>
                <w:color w:val="auto"/>
              </w:rPr>
              <w:t>Appendix</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w w:val="94"/>
              </w:rPr>
              <w:t>11.1.</w:t>
            </w:r>
          </w:p>
        </w:tc>
        <w:tc>
          <w:tcPr>
            <w:tcW w:w="4860" w:type="dxa"/>
            <w:vAlign w:val="bottom"/>
          </w:tcPr>
          <w:p>
            <w:pPr>
              <w:ind w:left="60"/>
              <w:spacing w:after="0"/>
              <w:rPr>
                <w:sz w:val="20"/>
                <w:szCs w:val="20"/>
                <w:color w:val="auto"/>
              </w:rPr>
            </w:pPr>
            <w:r>
              <w:rPr>
                <w:rFonts w:ascii="Arial" w:cs="Arial" w:eastAsia="Arial" w:hAnsi="Arial"/>
                <w:sz w:val="18"/>
                <w:szCs w:val="18"/>
                <w:b w:val="1"/>
                <w:bCs w:val="1"/>
                <w:color w:val="auto"/>
              </w:rPr>
              <w:t>Credicorp</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0" w:type="dxa"/>
            <w:vAlign w:val="bottom"/>
            <w:gridSpan w:val="6"/>
          </w:tcPr>
          <w:p>
            <w:pPr>
              <w:ind w:left="3680"/>
              <w:spacing w:after="0"/>
              <w:rPr>
                <w:sz w:val="20"/>
                <w:szCs w:val="20"/>
                <w:color w:val="auto"/>
              </w:rPr>
            </w:pPr>
            <w:r>
              <w:rPr>
                <w:rFonts w:ascii="Arial" w:cs="Arial" w:eastAsia="Arial" w:hAnsi="Arial"/>
                <w:sz w:val="18"/>
                <w:szCs w:val="18"/>
                <w:b w:val="1"/>
                <w:bCs w:val="1"/>
                <w:color w:val="auto"/>
              </w:rPr>
              <w:t>CREDICORP LTD. AND SUBSIDIARIES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0" w:type="dxa"/>
            <w:vAlign w:val="bottom"/>
            <w:gridSpan w:val="6"/>
          </w:tcPr>
          <w:p>
            <w:pPr>
              <w:ind w:left="3760"/>
              <w:spacing w:after="0"/>
              <w:rPr>
                <w:sz w:val="20"/>
                <w:szCs w:val="20"/>
                <w:color w:val="auto"/>
              </w:rPr>
            </w:pPr>
            <w:r>
              <w:rPr>
                <w:rFonts w:ascii="Arial" w:cs="Arial" w:eastAsia="Arial" w:hAnsi="Arial"/>
                <w:sz w:val="18"/>
                <w:szCs w:val="18"/>
                <w:b w:val="1"/>
                <w:bCs w:val="1"/>
                <w:color w:val="auto"/>
              </w:rPr>
              <w:t>CONSOLIDATED BALANCE SHEETS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60" w:type="dxa"/>
            <w:vAlign w:val="bottom"/>
          </w:tcPr>
          <w:p>
            <w:pPr>
              <w:ind w:left="4340"/>
              <w:spacing w:after="0"/>
              <w:rPr>
                <w:sz w:val="20"/>
                <w:szCs w:val="20"/>
                <w:color w:val="auto"/>
              </w:rPr>
            </w:pPr>
            <w:r>
              <w:rPr>
                <w:rFonts w:ascii="Arial" w:cs="Arial" w:eastAsia="Arial" w:hAnsi="Arial"/>
                <w:sz w:val="18"/>
                <w:szCs w:val="18"/>
                <w:b w:val="1"/>
                <w:bCs w:val="1"/>
                <w:color w:val="auto"/>
              </w:rPr>
              <w:t>(In S/</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thousands, IFRS)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2Q17</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1Q18</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2Q18</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Cash and due from banks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4,471,422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4,888,902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5,271,950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Interest bearing</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25,588,969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22,363,543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19,558,113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cash and due from banks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30,060,391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27,252,445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24,830,063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4,686,995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8,312,081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4,986,068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93,670,216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100,570,511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102,766,633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90,921,169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97,575,294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99,653,619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2,749,047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2,995,217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3,113,014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Less - allow ance for loan losses</w:t>
            </w:r>
          </w:p>
        </w:tc>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rPr>
              <w:t>(4,323,480)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(4,805,105)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(4,819,704)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89,346,736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95,765,406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97,946,929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Fair value through other comprehensive income investments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22,016,939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22,673,306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23,291,981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Amortized cost investments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5,086,185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4,077,491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4,156,770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690,947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674,320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706,419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604,040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707,241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709,294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1,672,321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1,594,786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1,564,188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478,117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721,061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801,248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671,064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705,050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714,836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7,134,327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8,060,598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7,449,443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162,448,062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170,543,785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167,157,239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Non-interest bearing</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24,051,059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26,464,658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24,630,138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67,988,073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71,728,447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72,914,097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92,039,132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98,193,105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97,544,235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BCRP instruments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8,989,728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6,494,792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4,578,878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29"/>
                <w:szCs w:val="29"/>
                <w:b w:val="1"/>
                <w:bCs w:val="1"/>
                <w:color w:val="auto"/>
                <w:vertAlign w:val="superscript"/>
              </w:rPr>
              <w:t>(3)</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2,700,084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2,867,326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2,710,701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8,066,962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7,824,148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8,057,222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15,295,673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15,318,649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15,283,893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Acceptances outstanding</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478,117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721,061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801,248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1,159,300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1,202,608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1,244,312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Reserve for unearned premiums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5,990,833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6,393,957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6,617,540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Reinsurance payable</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377,100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436,901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435,841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6,097,976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9,304,565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7,581,544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141,194,905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148,757,112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144,855,414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20,802,017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21,312,210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21,889,218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Capital stock</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1,318,993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(208,952)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(210,310)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(208,754)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Capital surplus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271,561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199,996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248,535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15,865,972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17,578,906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17,555,308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Unrealized gains (losses)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1,568,865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1,145,570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816,708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1,985,578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1,279,055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2,158,428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451,140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412,607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equity</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21,253,157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21,786,673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22,301,825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162,448,062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170,543,785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167,157,239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Contingent credits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61,671,010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64,544,280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114,863,672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Total performance bonds, stand-by and L/Cs.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17,590,872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18,442,011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18,891,761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Undraw ned credit lines, advised but not committed</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24,296,044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23,211,153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72,238,593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Total derivates (notional) and others</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19,784,094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22,891,115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21,825,244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5"/>
        </w:trPr>
        <w:tc>
          <w:tcPr>
            <w:tcW w:w="5260" w:type="dxa"/>
            <w:vAlign w:val="bottom"/>
            <w:gridSpan w:val="3"/>
          </w:tcPr>
          <w:p>
            <w:pPr>
              <w:spacing w:after="0" w:line="195" w:lineRule="exact"/>
              <w:rPr>
                <w:sz w:val="20"/>
                <w:szCs w:val="20"/>
                <w:color w:val="auto"/>
              </w:rPr>
            </w:pPr>
            <w:r>
              <w:rPr>
                <w:rFonts w:ascii="Arial" w:cs="Arial" w:eastAsia="Arial" w:hAnsi="Arial"/>
                <w:sz w:val="18"/>
                <w:szCs w:val="18"/>
                <w:color w:val="auto"/>
              </w:rPr>
              <w:t>(1) Mainly includes JV between Grupo Pacifico and Banmedica.</w:t>
            </w:r>
          </w:p>
        </w:tc>
        <w:tc>
          <w:tcPr>
            <w:tcW w:w="4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gridSpan w:val="3"/>
          </w:tcPr>
          <w:p>
            <w:pPr>
              <w:spacing w:after="0"/>
              <w:rPr>
                <w:sz w:val="20"/>
                <w:szCs w:val="20"/>
                <w:color w:val="auto"/>
              </w:rPr>
            </w:pPr>
            <w:r>
              <w:rPr>
                <w:rFonts w:ascii="Arial" w:cs="Arial" w:eastAsia="Arial" w:hAnsi="Arial"/>
                <w:sz w:val="18"/>
                <w:szCs w:val="18"/>
                <w:color w:val="auto"/>
              </w:rPr>
              <w:t>(2) Mainly includes receivables, goodwill, tax credit, and others.</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905" w:right="23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(3) Since 2Q18, Repurchase agreements is excluded from Other liabilities and shown in a individual account.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3"/>
          </w:tcPr>
          <w:p>
            <w:pPr>
              <w:ind w:left="780"/>
              <w:spacing w:after="0"/>
              <w:rPr>
                <w:sz w:val="20"/>
                <w:szCs w:val="20"/>
                <w:color w:val="auto"/>
              </w:rPr>
            </w:pPr>
            <w:r>
              <w:rPr>
                <w:rFonts w:ascii="Arial" w:cs="Arial" w:eastAsia="Arial" w:hAnsi="Arial"/>
                <w:sz w:val="18"/>
                <w:szCs w:val="18"/>
                <w:b w:val="1"/>
                <w:bCs w:val="1"/>
                <w:color w:val="auto"/>
                <w:w w:val="99"/>
              </w:rPr>
              <w:t>YTD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2Q17</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1Q18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2Q18</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YoY</w:t>
            </w:r>
          </w:p>
        </w:tc>
        <w:tc>
          <w:tcPr>
            <w:tcW w:w="116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 17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Jun 18</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Jun 18 / Jun 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2,715,901</w:t>
            </w:r>
          </w:p>
        </w:tc>
        <w:tc>
          <w:tcPr>
            <w:tcW w:w="860" w:type="dxa"/>
            <w:vAlign w:val="bottom"/>
          </w:tcPr>
          <w:p>
            <w:pPr>
              <w:jc w:val="right"/>
              <w:spacing w:after="0"/>
              <w:rPr>
                <w:sz w:val="20"/>
                <w:szCs w:val="20"/>
                <w:color w:val="auto"/>
              </w:rPr>
            </w:pPr>
            <w:r>
              <w:rPr>
                <w:rFonts w:ascii="Arial" w:cs="Arial" w:eastAsia="Arial" w:hAnsi="Arial"/>
                <w:sz w:val="18"/>
                <w:szCs w:val="18"/>
                <w:color w:val="auto"/>
              </w:rPr>
              <w:t>2,789,927</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2,812,623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80" w:type="dxa"/>
            <w:vAlign w:val="bottom"/>
          </w:tcPr>
          <w:p>
            <w:pPr>
              <w:jc w:val="right"/>
              <w:spacing w:after="0"/>
              <w:rPr>
                <w:sz w:val="20"/>
                <w:szCs w:val="20"/>
                <w:color w:val="auto"/>
              </w:rPr>
            </w:pPr>
            <w:r>
              <w:rPr>
                <w:rFonts w:ascii="Arial" w:cs="Arial" w:eastAsia="Arial" w:hAnsi="Arial"/>
                <w:sz w:val="18"/>
                <w:szCs w:val="18"/>
                <w:color w:val="auto"/>
              </w:rPr>
              <w:t>5,455,680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5,602,550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9"/>
                <w:szCs w:val="29"/>
                <w:color w:val="auto"/>
                <w:vertAlign w:val="superscript"/>
              </w:rPr>
              <w:t>(1)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(747,989)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(746,240)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(749,805)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(1,474,682)</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(1,496,045)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1,967,912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2,043,687</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2,062,818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3,980,998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4,106,505</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60" w:type="dxa"/>
            <w:vAlign w:val="bottom"/>
          </w:tcPr>
          <w:p>
            <w:pPr>
              <w:spacing w:after="0" w:line="198" w:lineRule="exact"/>
              <w:rPr>
                <w:sz w:val="20"/>
                <w:szCs w:val="20"/>
                <w:color w:val="auto"/>
              </w:rPr>
            </w:pPr>
            <w:r>
              <w:rPr>
                <w:rFonts w:ascii="Arial" w:cs="Arial" w:eastAsia="Arial" w:hAnsi="Arial"/>
                <w:sz w:val="18"/>
                <w:szCs w:val="18"/>
                <w:b w:val="1"/>
                <w:bCs w:val="1"/>
                <w:color w:val="auto"/>
              </w:rPr>
              <w:t>Provision for loan losses, net of</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recoveries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(433,219)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(371,024)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(313,172)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(969,713)</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(684,196)</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Non-financial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Fee income </w:t>
            </w:r>
            <w:r>
              <w:rPr>
                <w:rFonts w:ascii="Arial" w:cs="Arial" w:eastAsia="Arial" w:hAnsi="Arial"/>
                <w:sz w:val="29"/>
                <w:szCs w:val="29"/>
                <w:color w:val="auto"/>
                <w:vertAlign w:val="superscript"/>
              </w:rPr>
              <w:t>(1)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721,983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749,692</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766,994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1,403,031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1,516,686</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ind w:left="160"/>
              <w:spacing w:after="0" w:line="206" w:lineRule="exact"/>
              <w:rPr>
                <w:sz w:val="20"/>
                <w:szCs w:val="20"/>
                <w:color w:val="auto"/>
              </w:rPr>
            </w:pPr>
            <w:r>
              <w:rPr>
                <w:rFonts w:ascii="Arial" w:cs="Arial" w:eastAsia="Arial" w:hAnsi="Arial"/>
                <w:sz w:val="18"/>
                <w:szCs w:val="18"/>
                <w:color w:val="auto"/>
              </w:rPr>
              <w:t>Net gains on foreign exchange</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86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30"/>
                <w:szCs w:val="30"/>
                <w:color w:val="auto"/>
                <w:vertAlign w:val="superscript"/>
              </w:rPr>
              <w:t>(2)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160,256</w:t>
            </w:r>
          </w:p>
        </w:tc>
        <w:tc>
          <w:tcPr>
            <w:tcW w:w="860" w:type="dxa"/>
            <w:vAlign w:val="bottom"/>
          </w:tcPr>
          <w:p>
            <w:pPr>
              <w:jc w:val="right"/>
              <w:spacing w:after="0"/>
              <w:rPr>
                <w:sz w:val="20"/>
                <w:szCs w:val="20"/>
                <w:color w:val="auto"/>
              </w:rPr>
            </w:pPr>
            <w:r>
              <w:rPr>
                <w:rFonts w:ascii="Arial" w:cs="Arial" w:eastAsia="Arial" w:hAnsi="Arial"/>
                <w:sz w:val="18"/>
                <w:szCs w:val="18"/>
                <w:color w:val="auto"/>
              </w:rPr>
              <w:t>162,295</w:t>
            </w:r>
          </w:p>
        </w:tc>
        <w:tc>
          <w:tcPr>
            <w:tcW w:w="20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180,669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326,742</w:t>
            </w:r>
          </w:p>
        </w:tc>
        <w:tc>
          <w:tcPr>
            <w:tcW w:w="10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342,964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on sales of securities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83,151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92,389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140,972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83,633</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Net gains from associates </w:t>
            </w:r>
            <w:r>
              <w:rPr>
                <w:rFonts w:ascii="Arial" w:cs="Arial" w:eastAsia="Arial" w:hAnsi="Arial"/>
                <w:sz w:val="29"/>
                <w:szCs w:val="29"/>
                <w:color w:val="auto"/>
                <w:vertAlign w:val="superscript"/>
              </w:rPr>
              <w:t>(3)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5,974</w:t>
            </w:r>
          </w:p>
        </w:tc>
        <w:tc>
          <w:tcPr>
            <w:tcW w:w="860" w:type="dxa"/>
            <w:vAlign w:val="bottom"/>
          </w:tcPr>
          <w:p>
            <w:pPr>
              <w:jc w:val="right"/>
              <w:spacing w:after="0"/>
              <w:rPr>
                <w:sz w:val="20"/>
                <w:szCs w:val="20"/>
                <w:color w:val="auto"/>
              </w:rPr>
            </w:pPr>
            <w:r>
              <w:rPr>
                <w:rFonts w:ascii="Arial" w:cs="Arial" w:eastAsia="Arial" w:hAnsi="Arial"/>
                <w:sz w:val="18"/>
                <w:szCs w:val="18"/>
                <w:color w:val="auto"/>
              </w:rPr>
              <w:t>8,387</w:t>
            </w:r>
          </w:p>
        </w:tc>
        <w:tc>
          <w:tcPr>
            <w:tcW w:w="20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9,506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880" w:type="dxa"/>
            <w:vAlign w:val="bottom"/>
          </w:tcPr>
          <w:p>
            <w:pPr>
              <w:jc w:val="right"/>
              <w:spacing w:after="0"/>
              <w:rPr>
                <w:sz w:val="20"/>
                <w:szCs w:val="20"/>
                <w:color w:val="auto"/>
              </w:rPr>
            </w:pPr>
            <w:r>
              <w:rPr>
                <w:rFonts w:ascii="Arial" w:cs="Arial" w:eastAsia="Arial" w:hAnsi="Arial"/>
                <w:sz w:val="18"/>
                <w:szCs w:val="18"/>
                <w:color w:val="auto"/>
              </w:rPr>
              <w:t>11,997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17,893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Net gains on derivatives </w:t>
            </w:r>
            <w:r>
              <w:rPr>
                <w:rFonts w:ascii="Arial" w:cs="Arial" w:eastAsia="Arial" w:hAnsi="Arial"/>
                <w:sz w:val="29"/>
                <w:szCs w:val="29"/>
                <w:color w:val="auto"/>
                <w:vertAlign w:val="superscript"/>
              </w:rPr>
              <w:t>(4)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15,313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14,597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-4778.5%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69,654</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14,285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160"/>
              <w:spacing w:after="0" w:line="256" w:lineRule="exact"/>
              <w:rPr>
                <w:sz w:val="20"/>
                <w:szCs w:val="20"/>
                <w:color w:val="auto"/>
              </w:rPr>
            </w:pPr>
            <w:r>
              <w:rPr>
                <w:rFonts w:ascii="Arial" w:cs="Arial" w:eastAsia="Arial" w:hAnsi="Arial"/>
                <w:sz w:val="18"/>
                <w:szCs w:val="18"/>
                <w:color w:val="auto"/>
                <w:w w:val="98"/>
              </w:rPr>
              <w:t xml:space="preserve">Result on exchange difference </w:t>
            </w:r>
            <w:r>
              <w:rPr>
                <w:rFonts w:ascii="Arial" w:cs="Arial" w:eastAsia="Arial" w:hAnsi="Arial"/>
                <w:sz w:val="29"/>
                <w:szCs w:val="29"/>
                <w:color w:val="auto"/>
                <w:w w:val="98"/>
                <w:vertAlign w:val="superscript"/>
              </w:rPr>
              <w:t>(2)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2,305</w:t>
            </w:r>
          </w:p>
        </w:tc>
        <w:tc>
          <w:tcPr>
            <w:tcW w:w="860" w:type="dxa"/>
            <w:vAlign w:val="bottom"/>
          </w:tcPr>
          <w:p>
            <w:pPr>
              <w:jc w:val="right"/>
              <w:spacing w:after="0"/>
              <w:rPr>
                <w:sz w:val="20"/>
                <w:szCs w:val="20"/>
                <w:color w:val="auto"/>
              </w:rPr>
            </w:pPr>
            <w:r>
              <w:rPr>
                <w:rFonts w:ascii="Arial" w:cs="Arial" w:eastAsia="Arial" w:hAnsi="Arial"/>
                <w:sz w:val="18"/>
                <w:szCs w:val="18"/>
                <w:color w:val="auto"/>
              </w:rPr>
              <w:t>5,889</w:t>
            </w:r>
          </w:p>
        </w:tc>
        <w:tc>
          <w:tcPr>
            <w:tcW w:w="20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-55.3%</w:t>
            </w:r>
          </w:p>
        </w:tc>
        <w:tc>
          <w:tcPr>
            <w:tcW w:w="880" w:type="dxa"/>
            <w:vAlign w:val="bottom"/>
          </w:tcPr>
          <w:p>
            <w:pPr>
              <w:jc w:val="right"/>
              <w:spacing w:after="0"/>
              <w:rPr>
                <w:sz w:val="20"/>
                <w:szCs w:val="20"/>
                <w:color w:val="auto"/>
              </w:rPr>
            </w:pPr>
            <w:r>
              <w:rPr>
                <w:rFonts w:ascii="Arial" w:cs="Arial" w:eastAsia="Arial" w:hAnsi="Arial"/>
                <w:sz w:val="18"/>
                <w:szCs w:val="18"/>
                <w:color w:val="auto"/>
              </w:rPr>
              <w:t>11,375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6,920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69,771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82,876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138,516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166,885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b w:val="1"/>
                <w:bCs w:val="1"/>
                <w:color w:val="auto"/>
              </w:rPr>
              <w:t>Total non-financial income, net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1,058,753</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1,101,216</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1,048,050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2,102,287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2,149,266</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Insurance underwriting result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earned premiums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466,375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508,202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511,960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931,679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1,020,162</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Net claims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(278,265)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(294,745)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(300,845)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(559,229)</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(595,590)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(61,665)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(97,548)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(98,556)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(196,104)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Total insurance underwriting</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b w:val="1"/>
                <w:bCs w:val="1"/>
                <w:color w:val="auto"/>
              </w:rPr>
              <w:t>result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126,445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115,909</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112,559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248,724</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228,468</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social benefits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(746,499)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(777,345)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(780,827)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(1,499,765)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(1,558,172)</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60"/>
              <w:spacing w:after="0" w:line="201" w:lineRule="exact"/>
              <w:rPr>
                <w:sz w:val="20"/>
                <w:szCs w:val="20"/>
                <w:color w:val="auto"/>
              </w:rPr>
            </w:pPr>
            <w:r>
              <w:rPr>
                <w:rFonts w:ascii="Arial" w:cs="Arial" w:eastAsia="Arial" w:hAnsi="Arial"/>
                <w:sz w:val="18"/>
                <w:szCs w:val="18"/>
                <w:color w:val="auto"/>
              </w:rPr>
              <w:t>Administrative, general and tax</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(541,054)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(496,375)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(560,514)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(1,029,520)</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(1,056,889)</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(113,958)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(116,699)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(115,729)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(229,845)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(232,428)</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(51,676)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(49,325)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(66,770)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(101,168)</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(116,095)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(1,453,187)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(1,439,744)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(1,523,840)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(2,860,298)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(2,963,584)</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1,266,704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1,450,044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1,386,415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2,501,998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2,836,459</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(324,771)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(385,392)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(388,011)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(650,439)</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(773,403)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941,933</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1,064,652</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998,404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1,851,559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2,063,056</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21,713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26,844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20,566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47,410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w w:val="95"/>
              </w:rPr>
              <w:t>Net income attributed to Credicorp</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920,220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1,037,808</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977,838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1,809,795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2,015,646</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-2540</wp:posOffset>
            </wp:positionV>
            <wp:extent cx="52997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17" w:lineRule="exact"/>
        <w:rPr>
          <w:rFonts w:ascii="Arial" w:cs="Arial" w:eastAsia="Arial" w:hAnsi="Arial"/>
          <w:sz w:val="18"/>
          <w:szCs w:val="18"/>
          <w:color w:val="auto"/>
        </w:rPr>
      </w:pPr>
    </w:p>
    <w:p>
      <w:pPr>
        <w:ind w:right="600" w:firstLine="8"/>
        <w:spacing w:after="0" w:line="250"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the agreement between Grupo Pacifico and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Since 1Q17, “Net gains on derivatives” will be reported as non-financial income rather than net interest income, as was the case in the past.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ind w:left="20"/>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17</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18</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18</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4,056,823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4,487,580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4,848,683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23,566,852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20,551,162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17,844,584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27,623,675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25,038,742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22,693,267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2,675,444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4,190,860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796,848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85,103,689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91,979,338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93,710,313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82,464,098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89,117,161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90,728,345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2,639,591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2,862,177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2,981,968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(4,116,234)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(4,576,672)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(4,590,459)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80,987,455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87,402,666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89,119,854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other comprehensive income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10,003,821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12,111,102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12,640,745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Amortized cost investments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4,779,835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3,754,289</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3,854,695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1,470,418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1,393,298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1,360,172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478,117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721,061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801,248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3,551,153</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3,755,341</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3,230,582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131,569,918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138,367,359</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134,497,411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80,169,363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86,771,759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85,925,517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24,761,053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27,674,773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25,739,587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 deposits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24,467,895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27,881,626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27,730,886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23,721,680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24,336,239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24,990,143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indemnity deposits (CTS)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7,039,767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6,676,449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7,275,824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000" w:type="dxa"/>
            <w:vAlign w:val="bottom"/>
          </w:tcPr>
          <w:p>
            <w:pPr>
              <w:jc w:val="right"/>
              <w:spacing w:after="0"/>
              <w:rPr>
                <w:sz w:val="20"/>
                <w:szCs w:val="20"/>
                <w:color w:val="auto"/>
              </w:rPr>
            </w:pPr>
            <w:r>
              <w:rPr>
                <w:rFonts w:ascii="Arial" w:cs="Arial" w:eastAsia="Arial" w:hAnsi="Arial"/>
                <w:sz w:val="18"/>
                <w:szCs w:val="18"/>
                <w:color w:val="auto"/>
              </w:rPr>
              <w:t>178,968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202,672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189,077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8,989,728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6,494,792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4,578,878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-29.5%</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29"/>
                <w:szCs w:val="29"/>
                <w:b w:val="1"/>
                <w:bCs w:val="1"/>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2,700,084</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2,026,448</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1,977,911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8,512,365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8,069,930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8,368,396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14,244,088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14,528,362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14,524,087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478,117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721,061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801,248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2,510,550</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5,062,028</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2,860,226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117,604,295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123,674,380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119,036,263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13,825,373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14,541,053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15,326,366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7,639,962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8,476,984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8,476,984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000" w:type="dxa"/>
            <w:vAlign w:val="bottom"/>
          </w:tcPr>
          <w:p>
            <w:pPr>
              <w:jc w:val="right"/>
              <w:spacing w:after="0"/>
              <w:rPr>
                <w:sz w:val="20"/>
                <w:szCs w:val="20"/>
                <w:color w:val="auto"/>
              </w:rPr>
            </w:pPr>
            <w:r>
              <w:rPr>
                <w:rFonts w:ascii="Arial" w:cs="Arial" w:eastAsia="Arial" w:hAnsi="Arial"/>
                <w:sz w:val="18"/>
                <w:szCs w:val="18"/>
                <w:color w:val="auto"/>
              </w:rPr>
              <w:t>3,666,632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3,965,441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3,965,441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and losses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56,746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58,754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28,364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000" w:type="dxa"/>
            <w:vAlign w:val="bottom"/>
          </w:tcPr>
          <w:p>
            <w:pPr>
              <w:jc w:val="right"/>
              <w:spacing w:after="0"/>
              <w:rPr>
                <w:sz w:val="20"/>
                <w:szCs w:val="20"/>
                <w:color w:val="auto"/>
              </w:rPr>
            </w:pPr>
            <w:r>
              <w:rPr>
                <w:rFonts w:ascii="Arial" w:cs="Arial" w:eastAsia="Arial" w:hAnsi="Arial"/>
                <w:sz w:val="18"/>
                <w:szCs w:val="18"/>
                <w:color w:val="auto"/>
              </w:rPr>
              <w:t>1,007,086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1,158,354</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1,126,930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for the year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1,454,947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881,520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1,728,647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000" w:type="dxa"/>
            <w:vAlign w:val="bottom"/>
          </w:tcPr>
          <w:p>
            <w:pPr>
              <w:jc w:val="right"/>
              <w:spacing w:after="0"/>
              <w:rPr>
                <w:sz w:val="20"/>
                <w:szCs w:val="20"/>
                <w:color w:val="auto"/>
              </w:rPr>
            </w:pPr>
            <w:r>
              <w:rPr>
                <w:rFonts w:ascii="Arial" w:cs="Arial" w:eastAsia="Arial" w:hAnsi="Arial"/>
                <w:sz w:val="18"/>
                <w:szCs w:val="18"/>
                <w:color w:val="auto"/>
              </w:rPr>
              <w:t>140,250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151,926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134,782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equity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13,965,623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14,692,979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15,461,148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131,569,918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138,367,359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134,497,411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49,765,645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53,750,677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103,835,732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hanging="247"/>
        <w:spacing w:after="0"/>
        <w:tabs>
          <w:tab w:leader="none" w:pos="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Since 2Q18, Repurchase agreements is excluded from Other liabilities and shown in a individual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2Q17</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1Q18</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2Q18</w:t>
            </w: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YoY</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 17</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18</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Jun 18 / Jun 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2,416,342</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2,479,454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2,494,735</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4,833,741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4,974,189</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(672,773)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(651,655)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(648,776)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(1,329,211)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(1,300,431)</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1,743,569</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1,827,799</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1,845,959</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3,504,530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3,673,758</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Provision for loan losses, net of recoveries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(418,322)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(355,118)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(306,993)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-13.6%</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(940,050)</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(662,111)</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571,909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597,425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613,102</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1,136,220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1,210,527</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gains on foreign exchange transactions </w:t>
            </w:r>
            <w:r>
              <w:rPr>
                <w:rFonts w:ascii="Arial" w:cs="Arial" w:eastAsia="Arial" w:hAnsi="Arial"/>
                <w:sz w:val="21"/>
                <w:szCs w:val="21"/>
                <w:color w:val="auto"/>
                <w:vertAlign w:val="superscript"/>
              </w:rPr>
              <w:t>(1)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149,556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155,019</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171,602</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14.7%</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304,442</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326,621</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gains on sales of securities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31,097</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38,288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(30,665)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42,742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7,623</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gains on derivatives </w:t>
            </w:r>
            <w:r>
              <w:rPr>
                <w:rFonts w:ascii="Arial" w:cs="Arial" w:eastAsia="Arial" w:hAnsi="Arial"/>
                <w:sz w:val="21"/>
                <w:szCs w:val="21"/>
                <w:color w:val="auto"/>
                <w:vertAlign w:val="superscript"/>
              </w:rPr>
              <w:t>(2)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15,946</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(3,395)</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6,165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-281.6%</w:t>
            </w:r>
          </w:p>
        </w:tc>
        <w:tc>
          <w:tcPr>
            <w:tcW w:w="2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-61.3%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71,670</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2,770</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Result on exchange difference </w:t>
            </w:r>
            <w:r>
              <w:rPr>
                <w:rFonts w:ascii="Arial" w:cs="Arial" w:eastAsia="Arial" w:hAnsi="Arial"/>
                <w:sz w:val="21"/>
                <w:szCs w:val="21"/>
                <w:color w:val="auto"/>
                <w:vertAlign w:val="superscript"/>
              </w:rPr>
              <w:t>(1)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3,732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5,728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7,638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33.3%</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11,640</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13,366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Other income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51,304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63,930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64,259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86,781</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128,189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823,544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856,995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832,101</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1,653,495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1,689,096</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Salaries and social benefits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(574,284)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(585,848)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(591,780)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(1,150,187)</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(1,177,628)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(436,785)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(388,340)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(441,698)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(826,516)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(830,038)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(88,927)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(91,317)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(89,953)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(175,905)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(181,270)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(39,658)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(38,593)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(54,064)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(73,299)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(92,657)</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(1,139,654)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(1,104,098)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(1,177,495)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6.6%</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(2,225,907)</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(2,281,593)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1,009,137</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1,225,578</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1,193,572</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1,992,068</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2,419,150</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(263,243)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(336,508)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(340,186)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(528,515)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(676,694)</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(4,974)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(7,550)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(6,259)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-17.1%</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(8,606)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(13,809)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continuing operations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740,920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881,520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847,127</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14.3%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1,454,947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1,728,647</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Net income discontinuing operations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740,920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881,520</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847,127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14.3%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1,454,947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1,728,647</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00" w:firstLine="8"/>
        <w:spacing w:after="0" w:line="250"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w:t>
      </w:r>
    </w:p>
    <w:p>
      <w:pPr>
        <w:spacing w:after="0"/>
        <w:rPr>
          <w:rFonts w:ascii="Arial" w:cs="Arial" w:eastAsia="Arial" w:hAnsi="Arial"/>
          <w:sz w:val="18"/>
          <w:szCs w:val="18"/>
          <w:color w:val="auto"/>
        </w:rPr>
      </w:pPr>
      <w:r>
        <w:rPr>
          <w:rFonts w:ascii="Arial" w:cs="Arial" w:eastAsia="Arial" w:hAnsi="Arial"/>
          <w:sz w:val="18"/>
          <w:szCs w:val="18"/>
          <w:color w:val="auto"/>
        </w:rPr>
        <w:t>previously included in net gains on foreign exchange transactions. "</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Since 1Q17, “Net gain on derivatives” is reported as non-financial income rather than net interest income, as was the case in the past.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2Q17</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1T18</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2Q18</w:t>
            </w: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 17</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Jun 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tcPr>
          <w:p>
            <w:pPr>
              <w:spacing w:after="0" w:line="25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0.085</w:t>
            </w:r>
          </w:p>
        </w:tc>
        <w:tc>
          <w:tcPr>
            <w:tcW w:w="740" w:type="dxa"/>
            <w:vAlign w:val="bottom"/>
          </w:tcPr>
          <w:p>
            <w:pPr>
              <w:jc w:val="right"/>
              <w:spacing w:after="0"/>
              <w:rPr>
                <w:sz w:val="20"/>
                <w:szCs w:val="20"/>
                <w:color w:val="auto"/>
              </w:rPr>
            </w:pPr>
            <w:r>
              <w:rPr>
                <w:rFonts w:ascii="Arial" w:cs="Arial" w:eastAsia="Arial" w:hAnsi="Arial"/>
                <w:sz w:val="18"/>
                <w:szCs w:val="18"/>
                <w:color w:val="auto"/>
              </w:rPr>
              <w:t>0.101</w:t>
            </w:r>
          </w:p>
        </w:tc>
        <w:tc>
          <w:tcPr>
            <w:tcW w:w="26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0.097</w:t>
            </w:r>
          </w:p>
        </w:tc>
        <w:tc>
          <w:tcPr>
            <w:tcW w:w="740" w:type="dxa"/>
            <w:vAlign w:val="bottom"/>
          </w:tcPr>
          <w:p>
            <w:pPr>
              <w:jc w:val="right"/>
              <w:spacing w:after="0"/>
              <w:rPr>
                <w:sz w:val="20"/>
                <w:szCs w:val="20"/>
                <w:color w:val="auto"/>
              </w:rPr>
            </w:pPr>
            <w:r>
              <w:rPr>
                <w:rFonts w:ascii="Arial" w:cs="Arial" w:eastAsia="Arial" w:hAnsi="Arial"/>
                <w:sz w:val="18"/>
                <w:szCs w:val="18"/>
                <w:color w:val="auto"/>
              </w:rPr>
              <w:t>0.170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tcPr>
          <w:p>
            <w:pPr>
              <w:spacing w:after="0" w:line="256"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IOL ratio</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Coverage of IOLs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159.9%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155.9%</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(7)</w:t>
            </w: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Total regulatory capital (S/ Million)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16,800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17,391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17,437</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16,800</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17,437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12,840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11.54%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11.22%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11.11%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8,770.36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8,770.36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8,770.36</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8,770.36</w:t>
            </w: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8,770.36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0</wp:posOffset>
            </wp:positionV>
            <wp:extent cx="30441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outstanding of 8,770 million is used for all periods since shares have been issued only for capitalization of profits.</w:t>
      </w:r>
    </w:p>
    <w:p>
      <w:pPr>
        <w:spacing w:after="0" w:line="21"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320" w:firstLine="8"/>
        <w:spacing w:after="0" w:line="281"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right="820" w:firstLine="8"/>
        <w:spacing w:after="0" w:line="281"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40" w:firstLine="8"/>
        <w:spacing w:after="0" w:line="250"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11.3. Mibanco</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MIBANCO</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gridSpan w:val="9"/>
          </w:tcPr>
          <w:p>
            <w:pPr>
              <w:jc w:val="right"/>
              <w:ind w:right="280"/>
              <w:spacing w:after="0"/>
              <w:rPr>
                <w:sz w:val="20"/>
                <w:szCs w:val="20"/>
                <w:color w:val="auto"/>
              </w:rPr>
            </w:pPr>
            <w:r>
              <w:rPr>
                <w:rFonts w:ascii="Arial" w:cs="Arial" w:eastAsia="Arial" w:hAnsi="Arial"/>
                <w:sz w:val="18"/>
                <w:szCs w:val="18"/>
                <w:b w:val="1"/>
                <w:bCs w:val="1"/>
                <w:color w:val="auto"/>
              </w:rPr>
              <w:t>(In S/ thousands, IFRS)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8"/>
              </w:rPr>
              <w:t>Quarter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 change</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YTD</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2Q17</w:t>
            </w:r>
          </w:p>
        </w:tc>
        <w:tc>
          <w:tcPr>
            <w:tcW w:w="3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1Q18</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2Q18</w:t>
            </w: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7"/>
              </w:rPr>
              <w:t>QoQ</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17</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Jun 18</w:t>
            </w:r>
          </w:p>
        </w:tc>
        <w:tc>
          <w:tcPr>
            <w:tcW w:w="2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18 / Jun 17</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438,853</w:t>
            </w:r>
          </w:p>
        </w:tc>
        <w:tc>
          <w:tcPr>
            <w:tcW w:w="3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485,902</w:t>
            </w: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490,270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878,468</w:t>
            </w: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976,172</w:t>
            </w:r>
          </w:p>
        </w:tc>
        <w:tc>
          <w:tcPr>
            <w:tcW w:w="24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Provision for loan losses, net of</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-98,700</w:t>
            </w:r>
          </w:p>
        </w:tc>
        <w:tc>
          <w:tcPr>
            <w:tcW w:w="1020" w:type="dxa"/>
            <w:vAlign w:val="bottom"/>
            <w:gridSpan w:val="3"/>
          </w:tcPr>
          <w:p>
            <w:pPr>
              <w:jc w:val="right"/>
              <w:ind w:right="230"/>
              <w:spacing w:after="0"/>
              <w:rPr>
                <w:sz w:val="20"/>
                <w:szCs w:val="20"/>
                <w:color w:val="auto"/>
              </w:rPr>
            </w:pPr>
            <w:r>
              <w:rPr>
                <w:rFonts w:ascii="Arial" w:cs="Arial" w:eastAsia="Arial" w:hAnsi="Arial"/>
                <w:sz w:val="18"/>
                <w:szCs w:val="18"/>
                <w:color w:val="auto"/>
              </w:rPr>
              <w:t>-78,952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-102,861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30.3%</w:t>
            </w: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4.2%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-209,904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-181,813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interest income after provisions</w:t>
            </w:r>
          </w:p>
        </w:tc>
        <w:tc>
          <w:tcPr>
            <w:tcW w:w="10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340,153</w:t>
            </w:r>
          </w:p>
        </w:tc>
        <w:tc>
          <w:tcPr>
            <w:tcW w:w="7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406,950</w:t>
            </w: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387,409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31.2%</w:t>
            </w:r>
          </w:p>
        </w:tc>
        <w:tc>
          <w:tcPr>
            <w:tcW w:w="11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w:t>
            </w: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668,564</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794,359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Non-financial income</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30,067</w:t>
            </w:r>
          </w:p>
        </w:tc>
        <w:tc>
          <w:tcPr>
            <w:tcW w:w="1020" w:type="dxa"/>
            <w:vAlign w:val="bottom"/>
            <w:gridSpan w:val="3"/>
          </w:tcPr>
          <w:p>
            <w:pPr>
              <w:jc w:val="right"/>
              <w:ind w:right="230"/>
              <w:spacing w:after="0"/>
              <w:rPr>
                <w:sz w:val="20"/>
                <w:szCs w:val="20"/>
                <w:color w:val="auto"/>
              </w:rPr>
            </w:pPr>
            <w:r>
              <w:rPr>
                <w:rFonts w:ascii="Arial" w:cs="Arial" w:eastAsia="Arial" w:hAnsi="Arial"/>
                <w:sz w:val="18"/>
                <w:szCs w:val="18"/>
                <w:color w:val="auto"/>
              </w:rPr>
              <w:t>28,847</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60,365</w:t>
            </w:r>
          </w:p>
        </w:tc>
        <w:tc>
          <w:tcPr>
            <w:tcW w:w="8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109.3%</w:t>
            </w: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100.8%</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50,644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89,212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-251,843</w:t>
            </w:r>
          </w:p>
        </w:tc>
        <w:tc>
          <w:tcPr>
            <w:tcW w:w="1020" w:type="dxa"/>
            <w:vAlign w:val="bottom"/>
            <w:tcBorders>
              <w:left w:val="single" w:sz="8" w:color="CCEEFF"/>
              <w:right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w w:val="95"/>
              </w:rPr>
              <w:t>-257,473</w:t>
            </w: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-270,950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-507,306</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-528,423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Translation result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-28,790</w:t>
            </w:r>
          </w:p>
        </w:tc>
        <w:tc>
          <w:tcPr>
            <w:tcW w:w="1020" w:type="dxa"/>
            <w:vAlign w:val="bottom"/>
            <w:tcBorders>
              <w:left w:val="single" w:sz="8" w:color="CCEEFF"/>
              <w:right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-48,689</w:t>
            </w:r>
          </w:p>
        </w:tc>
        <w:tc>
          <w:tcPr>
            <w:tcW w:w="94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-51,168</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77.7%</w:t>
            </w: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-53,901</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-99,857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89,585</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129,636</w:t>
            </w:r>
          </w:p>
        </w:tc>
        <w:tc>
          <w:tcPr>
            <w:tcW w:w="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125,655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-3.1%</w:t>
            </w:r>
          </w:p>
        </w:tc>
        <w:tc>
          <w:tcPr>
            <w:tcW w:w="11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40.3%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158,000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255,291</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1020" w:type="dxa"/>
            <w:vAlign w:val="bottom"/>
            <w:tcBorders>
              <w:left w:val="single" w:sz="8" w:color="CCEEFF"/>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49.6%</w:t>
            </w:r>
          </w:p>
        </w:tc>
        <w:tc>
          <w:tcPr>
            <w:tcW w:w="9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-60 bps</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5"/>
              </w:rPr>
              <w:t>-500 bps</w:t>
            </w:r>
          </w:p>
        </w:tc>
        <w:tc>
          <w:tcPr>
            <w:tcW w:w="30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pbs</w:t>
            </w: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ROAE</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25.4%</w:t>
            </w:r>
          </w:p>
        </w:tc>
        <w:tc>
          <w:tcPr>
            <w:tcW w:w="1020" w:type="dxa"/>
            <w:vAlign w:val="bottom"/>
            <w:gridSpan w:val="3"/>
          </w:tcPr>
          <w:p>
            <w:pPr>
              <w:jc w:val="right"/>
              <w:ind w:right="70"/>
              <w:spacing w:after="0"/>
              <w:rPr>
                <w:sz w:val="20"/>
                <w:szCs w:val="20"/>
                <w:color w:val="auto"/>
              </w:rPr>
            </w:pPr>
            <w:r>
              <w:rPr>
                <w:rFonts w:ascii="Arial" w:cs="Arial" w:eastAsia="Arial" w:hAnsi="Arial"/>
                <w:sz w:val="18"/>
                <w:szCs w:val="18"/>
                <w:color w:val="auto"/>
              </w:rPr>
              <w:t>30.6%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-200 bps</w:t>
            </w:r>
          </w:p>
        </w:tc>
        <w:tc>
          <w:tcPr>
            <w:tcW w:w="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320 bps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320 pbs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ROAE incl. goow dill</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1020" w:type="dxa"/>
            <w:vAlign w:val="bottom"/>
            <w:tcBorders>
              <w:left w:val="single" w:sz="8" w:color="CCEEFF"/>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28.1%</w:t>
            </w:r>
          </w:p>
        </w:tc>
        <w:tc>
          <w:tcPr>
            <w:tcW w:w="9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-170 pbs</w:t>
            </w: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340 bps</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 pbs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L/D ratio</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127.5%</w:t>
            </w:r>
          </w:p>
        </w:tc>
        <w:tc>
          <w:tcPr>
            <w:tcW w:w="1020" w:type="dxa"/>
            <w:vAlign w:val="bottom"/>
            <w:gridSpan w:val="3"/>
          </w:tcPr>
          <w:p>
            <w:pPr>
              <w:jc w:val="right"/>
              <w:ind w:right="70"/>
              <w:spacing w:after="0"/>
              <w:rPr>
                <w:sz w:val="20"/>
                <w:szCs w:val="20"/>
                <w:color w:val="auto"/>
              </w:rPr>
            </w:pPr>
            <w:r>
              <w:rPr>
                <w:rFonts w:ascii="Arial" w:cs="Arial" w:eastAsia="Arial" w:hAnsi="Arial"/>
                <w:sz w:val="18"/>
                <w:szCs w:val="18"/>
                <w:color w:val="auto"/>
              </w:rPr>
              <w:t>128.4%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-380 bps</w:t>
            </w:r>
          </w:p>
        </w:tc>
        <w:tc>
          <w:tcPr>
            <w:tcW w:w="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-290 bps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020" w:type="dxa"/>
            <w:vAlign w:val="bottom"/>
            <w:tcBorders>
              <w:left w:val="single" w:sz="8" w:color="CCEEFF"/>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9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 bps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6"/>
              </w:rPr>
              <w:t>80 bps</w:t>
            </w:r>
          </w:p>
        </w:tc>
        <w:tc>
          <w:tcPr>
            <w:tcW w:w="7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NPL ratio</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1020" w:type="dxa"/>
            <w:vAlign w:val="bottom"/>
            <w:gridSpan w:val="3"/>
          </w:tcPr>
          <w:p>
            <w:pPr>
              <w:jc w:val="right"/>
              <w:ind w:right="70"/>
              <w:spacing w:after="0"/>
              <w:rPr>
                <w:sz w:val="20"/>
                <w:szCs w:val="20"/>
                <w:color w:val="auto"/>
              </w:rPr>
            </w:pPr>
            <w:r>
              <w:rPr>
                <w:rFonts w:ascii="Arial" w:cs="Arial" w:eastAsia="Arial" w:hAnsi="Arial"/>
                <w:sz w:val="18"/>
                <w:szCs w:val="18"/>
                <w:color w:val="auto"/>
              </w:rPr>
              <w:t>6.4%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30 bps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90 bps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199.8%</w:t>
            </w:r>
          </w:p>
        </w:tc>
        <w:tc>
          <w:tcPr>
            <w:tcW w:w="1020" w:type="dxa"/>
            <w:vAlign w:val="bottom"/>
            <w:tcBorders>
              <w:left w:val="single" w:sz="8" w:color="CCEEFF"/>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179.6%</w:t>
            </w:r>
          </w:p>
        </w:tc>
        <w:tc>
          <w:tcPr>
            <w:tcW w:w="9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9"/>
              </w:rPr>
              <w:t>-1100 bps</w:t>
            </w: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7"/>
              </w:rPr>
              <w:t>-3120 bps</w:t>
            </w:r>
          </w:p>
        </w:tc>
        <w:tc>
          <w:tcPr>
            <w:tcW w:w="7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Coverage of NPLs</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155.8%</w:t>
            </w:r>
          </w:p>
        </w:tc>
        <w:tc>
          <w:tcPr>
            <w:tcW w:w="1020" w:type="dxa"/>
            <w:vAlign w:val="bottom"/>
            <w:gridSpan w:val="3"/>
          </w:tcPr>
          <w:p>
            <w:pPr>
              <w:jc w:val="right"/>
              <w:ind w:right="70"/>
              <w:spacing w:after="0"/>
              <w:rPr>
                <w:sz w:val="20"/>
                <w:szCs w:val="20"/>
                <w:color w:val="auto"/>
              </w:rPr>
            </w:pPr>
            <w:r>
              <w:rPr>
                <w:rFonts w:ascii="Arial" w:cs="Arial" w:eastAsia="Arial" w:hAnsi="Arial"/>
                <w:sz w:val="18"/>
                <w:szCs w:val="18"/>
                <w:color w:val="auto"/>
              </w:rPr>
              <w:t>140.9%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-490 bps</w:t>
            </w:r>
          </w:p>
        </w:tc>
        <w:tc>
          <w:tcPr>
            <w:tcW w:w="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w w:val="97"/>
              </w:rPr>
              <w:t>-1980 bps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10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320</w:t>
            </w:r>
          </w:p>
        </w:tc>
        <w:tc>
          <w:tcPr>
            <w:tcW w:w="1020" w:type="dxa"/>
            <w:vAlign w:val="bottom"/>
            <w:tcBorders>
              <w:left w:val="single" w:sz="8" w:color="CCEEFF"/>
              <w:right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325</w:t>
            </w:r>
          </w:p>
        </w:tc>
        <w:tc>
          <w:tcPr>
            <w:tcW w:w="94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1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Employees</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10,295</w:t>
            </w:r>
          </w:p>
        </w:tc>
        <w:tc>
          <w:tcPr>
            <w:tcW w:w="1020" w:type="dxa"/>
            <w:vAlign w:val="bottom"/>
            <w:gridSpan w:val="3"/>
          </w:tcPr>
          <w:p>
            <w:pPr>
              <w:jc w:val="right"/>
              <w:ind w:right="230"/>
              <w:spacing w:after="0"/>
              <w:rPr>
                <w:sz w:val="20"/>
                <w:szCs w:val="20"/>
                <w:color w:val="auto"/>
              </w:rPr>
            </w:pPr>
            <w:r>
              <w:rPr>
                <w:rFonts w:ascii="Arial" w:cs="Arial" w:eastAsia="Arial" w:hAnsi="Arial"/>
                <w:sz w:val="18"/>
                <w:szCs w:val="18"/>
                <w:color w:val="auto"/>
              </w:rPr>
              <w:t>10,083</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10,165</w:t>
            </w:r>
          </w:p>
        </w:tc>
        <w:tc>
          <w:tcPr>
            <w:tcW w:w="80" w:type="dxa"/>
            <w:vAlign w:val="bottom"/>
          </w:tcPr>
          <w:p>
            <w:pPr>
              <w:spacing w:after="0"/>
              <w:rPr>
                <w:sz w:val="19"/>
                <w:szCs w:val="19"/>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82</w:t>
            </w:r>
          </w:p>
        </w:tc>
        <w:tc>
          <w:tcPr>
            <w:tcW w:w="1180" w:type="dxa"/>
            <w:vAlign w:val="bottom"/>
            <w:gridSpan w:val="5"/>
          </w:tcPr>
          <w:p>
            <w:pPr>
              <w:jc w:val="right"/>
              <w:ind w:right="300"/>
              <w:spacing w:after="0"/>
              <w:rPr>
                <w:sz w:val="20"/>
                <w:szCs w:val="20"/>
                <w:color w:val="auto"/>
              </w:rPr>
            </w:pPr>
            <w:r>
              <w:rPr>
                <w:rFonts w:ascii="Arial" w:cs="Arial" w:eastAsia="Arial" w:hAnsi="Arial"/>
                <w:sz w:val="18"/>
                <w:szCs w:val="18"/>
                <w:color w:val="auto"/>
              </w:rPr>
              <w:t>-130</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rPr>
              <w:t>% change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Jun 17</w:t>
            </w:r>
          </w:p>
        </w:tc>
        <w:tc>
          <w:tcPr>
            <w:tcW w:w="140" w:type="dxa"/>
            <w:vAlign w:val="bottom"/>
          </w:tcPr>
          <w:p>
            <w:pPr>
              <w:spacing w:after="0"/>
              <w:rPr>
                <w:sz w:val="20"/>
                <w:szCs w:val="20"/>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Mar 18</w:t>
            </w:r>
          </w:p>
        </w:tc>
        <w:tc>
          <w:tcPr>
            <w:tcW w:w="14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Jun 18</w:t>
            </w:r>
          </w:p>
        </w:tc>
        <w:tc>
          <w:tcPr>
            <w:tcW w:w="120" w:type="dxa"/>
            <w:vAlign w:val="bottom"/>
          </w:tcPr>
          <w:p>
            <w:pPr>
              <w:spacing w:after="0"/>
              <w:rPr>
                <w:sz w:val="20"/>
                <w:szCs w:val="20"/>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QoQ</w:t>
            </w:r>
          </w:p>
        </w:tc>
        <w:tc>
          <w:tcPr>
            <w:tcW w:w="11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w w:val="74"/>
              </w:rPr>
              <w:t>YoY</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969,097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920,376</w:t>
            </w:r>
          </w:p>
        </w:tc>
        <w:tc>
          <w:tcPr>
            <w:tcW w:w="2480" w:type="dxa"/>
            <w:vAlign w:val="bottom"/>
            <w:gridSpan w:val="11"/>
          </w:tcPr>
          <w:p>
            <w:pPr>
              <w:jc w:val="right"/>
              <w:spacing w:after="0"/>
              <w:rPr>
                <w:sz w:val="20"/>
                <w:szCs w:val="20"/>
                <w:color w:val="auto"/>
              </w:rPr>
            </w:pPr>
            <w:r>
              <w:rPr>
                <w:rFonts w:ascii="Arial" w:cs="Arial" w:eastAsia="Arial" w:hAnsi="Arial"/>
                <w:sz w:val="18"/>
                <w:szCs w:val="18"/>
                <w:color w:val="auto"/>
              </w:rPr>
              <w:t>891,262    -3.2%   -8.0%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1,780,779</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2,066,837</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2,062,243</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8,963,786</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9,650,729</w:t>
            </w: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9,804,137</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1.6%</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9.4%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8,439,846</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9,030,632</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9,146,397</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408,552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486,400</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530,593</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29.9%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115,387</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133,697</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127,147</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-816,489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-873,809</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-894,680</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8,147,296</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8,776,919</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8,909,457</w:t>
            </w:r>
          </w:p>
        </w:tc>
        <w:tc>
          <w:tcPr>
            <w:tcW w:w="9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211,811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184,516</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177,891</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0"/>
              </w:rPr>
              <w:t>-16.0%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518,945</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626,001</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541,482</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11,627,928</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12,574,648</w:t>
            </w: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12,582,334</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0.1%</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8.2%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6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NET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7,029,403</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7,515,338</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7,871,279</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1,724,059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1,956,571</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1,760,587</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646,525</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469,223</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467,469</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0"/>
              </w:rPr>
              <w:t>-27.7%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liabilities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769,344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935,442</w:t>
            </w:r>
          </w:p>
        </w:tc>
        <w:tc>
          <w:tcPr>
            <w:tcW w:w="2480" w:type="dxa"/>
            <w:vAlign w:val="bottom"/>
            <w:gridSpan w:val="11"/>
          </w:tcPr>
          <w:p>
            <w:pPr>
              <w:jc w:val="right"/>
              <w:spacing w:after="0"/>
              <w:rPr>
                <w:sz w:val="20"/>
                <w:szCs w:val="20"/>
                <w:color w:val="auto"/>
              </w:rPr>
            </w:pPr>
            <w:r>
              <w:rPr>
                <w:rFonts w:ascii="Arial" w:cs="Arial" w:eastAsia="Arial" w:hAnsi="Arial"/>
                <w:sz w:val="18"/>
                <w:szCs w:val="18"/>
                <w:color w:val="auto"/>
              </w:rPr>
              <w:t>662,248   -29.2%  -13.9%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10,169,331</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10,876,574</w:t>
            </w:r>
          </w:p>
        </w:tc>
        <w:tc>
          <w:tcPr>
            <w:tcW w:w="2480" w:type="dxa"/>
            <w:vAlign w:val="bottom"/>
            <w:tcBorders>
              <w:left w:val="single" w:sz="8" w:color="CCEEFF"/>
            </w:tcBorders>
            <w:gridSpan w:val="11"/>
            <w:shd w:val="clear" w:color="auto" w:fill="CCEEFF"/>
          </w:tcPr>
          <w:p>
            <w:pPr>
              <w:jc w:val="right"/>
              <w:spacing w:after="0"/>
              <w:rPr>
                <w:sz w:val="20"/>
                <w:szCs w:val="20"/>
                <w:color w:val="auto"/>
              </w:rPr>
            </w:pPr>
            <w:r>
              <w:rPr>
                <w:rFonts w:ascii="Arial" w:cs="Arial" w:eastAsia="Arial" w:hAnsi="Arial"/>
                <w:sz w:val="18"/>
                <w:szCs w:val="18"/>
                <w:b w:val="1"/>
                <w:bCs w:val="1"/>
                <w:color w:val="auto"/>
              </w:rPr>
              <w:t>10,761,582   -1.1%   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1,458,597</w:t>
            </w:r>
          </w:p>
        </w:tc>
        <w:tc>
          <w:tcPr>
            <w:tcW w:w="10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1,698,074</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1,820,752</w:t>
            </w:r>
          </w:p>
        </w:tc>
        <w:tc>
          <w:tcPr>
            <w:tcW w:w="9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 NET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11,627,928</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12,574,648</w:t>
            </w: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12,582,334</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0.1%</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8.2%</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Banco de la Nacion branches, which in June 17 were 40, in March 18 were 38 and in June 18 were 38.</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11.4. BCP Bolivia</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w w:val="99"/>
              </w:rPr>
              <w:t>BCP BOLIVIA</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8"/>
          </w:tcPr>
          <w:p>
            <w:pPr>
              <w:jc w:val="right"/>
              <w:ind w:right="50"/>
              <w:spacing w:after="0"/>
              <w:rPr>
                <w:sz w:val="20"/>
                <w:szCs w:val="20"/>
                <w:color w:val="auto"/>
              </w:rPr>
            </w:pPr>
            <w:r>
              <w:rPr>
                <w:rFonts w:ascii="Arial" w:cs="Arial" w:eastAsia="Arial" w:hAnsi="Arial"/>
                <w:sz w:val="18"/>
                <w:szCs w:val="18"/>
                <w:b w:val="1"/>
                <w:bCs w:val="1"/>
                <w:color w:val="auto"/>
              </w:rPr>
              <w:t>(In S/ thousands, IFRS)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Quarter</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w w:val="92"/>
              </w:rPr>
              <w:t>% change</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YTD</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2Q17</w:t>
            </w:r>
          </w:p>
        </w:tc>
        <w:tc>
          <w:tcPr>
            <w:tcW w:w="260" w:type="dxa"/>
            <w:vAlign w:val="bottom"/>
            <w:tcBorders>
              <w:bottom w:val="single" w:sz="8" w:color="CCEEFF"/>
            </w:tcBorders>
            <w:gridSpan w:val="2"/>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1Q18</w:t>
            </w:r>
          </w:p>
        </w:tc>
        <w:tc>
          <w:tcPr>
            <w:tcW w:w="260" w:type="dxa"/>
            <w:vAlign w:val="bottom"/>
            <w:tcBorders>
              <w:bottom w:val="single" w:sz="8" w:color="CCEEFF"/>
            </w:tcBorders>
            <w:gridSpan w:val="2"/>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2Q18</w:t>
            </w:r>
          </w:p>
        </w:tc>
        <w:tc>
          <w:tcPr>
            <w:tcW w:w="280" w:type="dxa"/>
            <w:vAlign w:val="bottom"/>
            <w:tcBorders>
              <w:bottom w:val="single" w:sz="8" w:color="CCEEFF"/>
            </w:tcBorders>
            <w:gridSpan w:val="2"/>
          </w:tcPr>
          <w:p>
            <w:pPr>
              <w:spacing w:after="0"/>
              <w:rPr>
                <w:sz w:val="20"/>
                <w:szCs w:val="20"/>
                <w:color w:val="auto"/>
              </w:rPr>
            </w:pPr>
          </w:p>
        </w:tc>
        <w:tc>
          <w:tcPr>
            <w:tcW w:w="7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17</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Jun 18</w:t>
            </w:r>
          </w:p>
        </w:tc>
        <w:tc>
          <w:tcPr>
            <w:tcW w:w="2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18 / Jun 17</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73,589</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156,732</w:t>
            </w: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144,376</w:t>
            </w:r>
          </w:p>
        </w:tc>
        <w:tc>
          <w:tcPr>
            <w:tcW w:w="24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5"/>
              </w:rPr>
              <w:t>Provision for loan losses, net of recoveries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-13,664</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-14,872</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-5,072</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-65.9%</w:t>
            </w:r>
          </w:p>
        </w:tc>
        <w:tc>
          <w:tcPr>
            <w:tcW w:w="40" w:type="dxa"/>
            <w:vAlign w:val="bottom"/>
          </w:tcPr>
          <w:p>
            <w:pPr>
              <w:spacing w:after="0"/>
              <w:rPr>
                <w:sz w:val="18"/>
                <w:szCs w:val="18"/>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-62.9%</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-27,144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-19,944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65,813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55,915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68,517</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1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129,588</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124,431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31,161</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35,238</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34,833</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11.8%</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56,946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70,070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-59,613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-69,929</w:t>
            </w: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-118,827</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-132,772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18"/>
                <w:szCs w:val="18"/>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442.6%</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-11,823</w:t>
            </w: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-21,429</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-21,549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18,480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21,544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b w:val="1"/>
                <w:bCs w:val="1"/>
                <w:color w:val="auto"/>
              </w:rPr>
              <w:t>16.6%</w:t>
            </w:r>
          </w:p>
        </w:tc>
        <w:tc>
          <w:tcPr>
            <w:tcW w:w="11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46,264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40,024</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63.8%</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214 bps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 bps</w:t>
            </w:r>
          </w:p>
        </w:tc>
        <w:tc>
          <w:tcPr>
            <w:tcW w:w="30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 bps</w:t>
            </w: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ROAE</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17.9%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11.8%</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13.9%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200 bps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-403 bps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L/D ratio</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80.3%</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bps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302 bps</w:t>
            </w:r>
          </w:p>
        </w:tc>
        <w:tc>
          <w:tcPr>
            <w:tcW w:w="7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IOL ratio</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1.80%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2.03%</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 bps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7 bps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bps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 bps</w:t>
            </w:r>
          </w:p>
        </w:tc>
        <w:tc>
          <w:tcPr>
            <w:tcW w:w="7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Coverage of IOLs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189.7%</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169.6%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173.2%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361 bps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w w:val="97"/>
              </w:rPr>
              <w:t>-1646 bps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152.4%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145.0%</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146.6%</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161 bps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-582 bps</w:t>
            </w:r>
          </w:p>
        </w:tc>
        <w:tc>
          <w:tcPr>
            <w:tcW w:w="7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5"/>
          </w:tcPr>
          <w:p>
            <w:pPr>
              <w:jc w:val="right"/>
              <w:ind w:right="300"/>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7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ATMs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5"/>
          </w:tcPr>
          <w:p>
            <w:pPr>
              <w:jc w:val="right"/>
              <w:ind w:right="30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As of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9"/>
          </w:tcPr>
          <w:p>
            <w:pPr>
              <w:jc w:val="right"/>
              <w:ind w:right="1060"/>
              <w:spacing w:after="0"/>
              <w:rPr>
                <w:sz w:val="20"/>
                <w:szCs w:val="20"/>
                <w:color w:val="auto"/>
              </w:rPr>
            </w:pPr>
            <w:r>
              <w:rPr>
                <w:rFonts w:ascii="Arial" w:cs="Arial" w:eastAsia="Arial" w:hAnsi="Arial"/>
                <w:sz w:val="18"/>
                <w:szCs w:val="18"/>
                <w:b w:val="1"/>
                <w:bCs w:val="1"/>
                <w:color w:val="auto"/>
              </w:rPr>
              <w:t>% change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 17</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Mar 18</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Jun 18</w:t>
            </w:r>
          </w:p>
        </w:tc>
        <w:tc>
          <w:tcPr>
            <w:tcW w:w="7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7"/>
              </w:rPr>
              <w:t>QoQ</w:t>
            </w:r>
          </w:p>
        </w:tc>
        <w:tc>
          <w:tcPr>
            <w:tcW w:w="132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YoY</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1,730,317</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1,228,815</w:t>
            </w:r>
          </w:p>
        </w:tc>
        <w:tc>
          <w:tcPr>
            <w:tcW w:w="1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1,437,539</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7"/>
              </w:rPr>
              <w:t>-16.9%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1,113,964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1,479,436</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1,304,908</w:t>
            </w:r>
          </w:p>
        </w:tc>
        <w:tc>
          <w:tcPr>
            <w:tcW w:w="7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5,856,992</w:t>
            </w: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6,411,458</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6,836,296</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16.7%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5,725,735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6,259,579</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6,685,572</w:t>
            </w:r>
          </w:p>
        </w:tc>
        <w:tc>
          <w:tcPr>
            <w:tcW w:w="7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16.8%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color w:val="auto"/>
              </w:rPr>
              <w:t>Internal overdue loans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105,500</w:t>
            </w: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129,871</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127,607</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21.0%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25,758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22,008</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23,117</w:t>
            </w:r>
          </w:p>
        </w:tc>
        <w:tc>
          <w:tcPr>
            <w:tcW w:w="7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-10.3%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-200,084</w:t>
            </w: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-220,237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-220,997</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10.5%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5,656,909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6,191,221</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6,615,299</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24,083</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54,947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76,561</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39.3%</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w w:val="98"/>
              </w:rPr>
              <w:t>217.9%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84,918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90,105</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90,140</w:t>
            </w:r>
          </w:p>
        </w:tc>
        <w:tc>
          <w:tcPr>
            <w:tcW w:w="7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assets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8,610,191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9,044,524</w:t>
            </w:r>
          </w:p>
        </w:tc>
        <w:tc>
          <w:tcPr>
            <w:tcW w:w="1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9,524,447</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LIABILITIES AND NET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7,576,689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8,045,861</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8,511,654</w:t>
            </w:r>
          </w:p>
        </w:tc>
        <w:tc>
          <w:tcPr>
            <w:tcW w:w="7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172,598</w:t>
            </w: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50,874</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30,156</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7"/>
              </w:rPr>
              <w:t>-82.5%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101,289</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100,562</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102,337</w:t>
            </w:r>
          </w:p>
        </w:tc>
        <w:tc>
          <w:tcPr>
            <w:tcW w:w="7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150,025</w:t>
            </w: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236,150</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247,139</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64.7%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8,000,602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8,433,447</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8,891,285</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609,590</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611,077</w:t>
            </w: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633,162</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TOTAL LIABILITIES AND NET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8,610,191</w:t>
            </w: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9,044,524</w:t>
            </w:r>
          </w:p>
        </w:tc>
        <w:tc>
          <w:tcPr>
            <w:tcW w:w="12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9,524,447</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140" w:type="dxa"/>
            <w:vAlign w:val="bottom"/>
            <w:gridSpan w:val="2"/>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10.6%</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11.5. Credicorp Capital</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1060" w:type="dxa"/>
            <w:vAlign w:val="bottom"/>
            <w:gridSpan w:val="3"/>
          </w:tcPr>
          <w:p>
            <w:pPr>
              <w:ind w:left="680"/>
              <w:spacing w:after="0"/>
              <w:rPr>
                <w:sz w:val="20"/>
                <w:szCs w:val="20"/>
                <w:color w:val="auto"/>
              </w:rPr>
            </w:pPr>
            <w:r>
              <w:rPr>
                <w:rFonts w:ascii="Arial" w:cs="Arial" w:eastAsia="Arial" w:hAnsi="Arial"/>
                <w:sz w:val="18"/>
                <w:szCs w:val="18"/>
                <w:b w:val="1"/>
                <w:bCs w:val="1"/>
                <w:color w:val="auto"/>
                <w:w w:val="99"/>
              </w:rPr>
              <w:t>YTD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9"/>
              </w:rPr>
              <w:t>% change</w:t>
            </w: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2Q17</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1Q18</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2Q18</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17</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Jun 18</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Jun 18 / Jun</w:t>
            </w:r>
          </w:p>
        </w:tc>
        <w:tc>
          <w:tcPr>
            <w:tcW w:w="180" w:type="dxa"/>
            <w:vAlign w:val="bottom"/>
            <w:tcBorders>
              <w:bottom w:val="single" w:sz="8" w:color="CCEEFF"/>
            </w:tcBorders>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80" w:type="dxa"/>
            <w:vAlign w:val="bottom"/>
            <w:shd w:val="clear" w:color="auto" w:fill="CCEEFF"/>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142,444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149,542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142,357</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274,364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291,899</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105,203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101,959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102,284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187,371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204,243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w w:val="99"/>
              </w:rPr>
              <w:t>Net gain on foreign exchange transactions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10,948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5,778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9,576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65.7%</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-12.5%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19,726</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15,354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sales of securities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24,818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33,898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55,614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Derivative Result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2,537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8,886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250.3%</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11,423</w:t>
            </w:r>
          </w:p>
        </w:tc>
        <w:tc>
          <w:tcPr>
            <w:tcW w:w="22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N/A</w:t>
            </w: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Result from exposure to the exchange rate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-6,289</w:t>
            </w: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-3325.1%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-6,515</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1,199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5,596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4,496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-19.7%</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275.0%</w:t>
            </w:r>
          </w:p>
        </w:tc>
        <w:tc>
          <w:tcPr>
            <w:tcW w:w="760" w:type="dxa"/>
            <w:vAlign w:val="bottom"/>
          </w:tcPr>
          <w:p>
            <w:pPr>
              <w:jc w:val="right"/>
              <w:spacing w:after="0"/>
              <w:rPr>
                <w:sz w:val="20"/>
                <w:szCs w:val="20"/>
                <w:color w:val="auto"/>
              </w:rPr>
            </w:pPr>
            <w:r>
              <w:rPr>
                <w:rFonts w:ascii="Arial" w:cs="Arial" w:eastAsia="Arial" w:hAnsi="Arial"/>
                <w:sz w:val="18"/>
                <w:szCs w:val="18"/>
                <w:color w:val="auto"/>
              </w:rPr>
              <w:t>11,303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35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Total expenses </w:t>
            </w:r>
            <w:r>
              <w:rPr>
                <w:rFonts w:ascii="Arial" w:cs="Arial" w:eastAsia="Arial" w:hAnsi="Arial"/>
                <w:sz w:val="30"/>
                <w:szCs w:val="30"/>
                <w:color w:val="auto"/>
                <w:vertAlign w:val="superscript"/>
              </w:rPr>
              <w:t>(1)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-105,851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-112,782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-112,857</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-213,822</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-225,639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38,401</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26,779</w:t>
            </w:r>
          </w:p>
        </w:tc>
        <w:tc>
          <w:tcPr>
            <w:tcW w:w="2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18,504</w:t>
            </w:r>
          </w:p>
        </w:tc>
        <w:tc>
          <w:tcPr>
            <w:tcW w:w="2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62,771</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45,283</w:t>
            </w:r>
          </w:p>
        </w:tc>
        <w:tc>
          <w:tcPr>
            <w:tcW w:w="2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31.1%</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70"/>
        </w:trPr>
        <w:tc>
          <w:tcPr>
            <w:tcW w:w="35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-12.1%</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-12.1%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w:t>
            </w:r>
          </w:p>
        </w:tc>
      </w:tr>
      <w:tr>
        <w:trPr>
          <w:trHeight w:val="210"/>
        </w:trPr>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26,394</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21,074</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32,203</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rPr>
          <w:sz w:val="20"/>
          <w:szCs w:val="20"/>
          <w:color w:val="auto"/>
        </w:rPr>
      </w:pPr>
      <w:r>
        <w:rPr>
          <w:rFonts w:ascii="Arial" w:cs="Arial" w:eastAsia="Arial" w:hAnsi="Arial"/>
          <w:sz w:val="18"/>
          <w:szCs w:val="18"/>
          <w:color w:val="auto"/>
        </w:rPr>
        <w:t>* Unaudited results.</w:t>
      </w:r>
    </w:p>
    <w:p>
      <w:pPr>
        <w:spacing w:after="0" w:line="9" w:lineRule="exact"/>
        <w:rPr>
          <w:sz w:val="20"/>
          <w:szCs w:val="20"/>
          <w:color w:val="auto"/>
        </w:rPr>
      </w:pPr>
    </w:p>
    <w:p>
      <w:pPr>
        <w:ind w:right="280" w:firstLine="8"/>
        <w:spacing w:after="0" w:line="250"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Since 4Q17 Credicorp Capital Holding Colombia and Credicorp Capital Holding Chile have 100% percentage of Correval and IM Trust, respectively.</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11.6. Atlantic Security Bank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7"/>
          </w:tcPr>
          <w:p>
            <w:pPr>
              <w:ind w:left="160"/>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6"/>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2Q17</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0"/>
              </w:rPr>
              <w:t>1Q18</w:t>
            </w:r>
          </w:p>
        </w:tc>
        <w:tc>
          <w:tcPr>
            <w:tcW w:w="12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2Q18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gridSpan w:val="2"/>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942.1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987.3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968.7</w:t>
            </w:r>
          </w:p>
        </w:tc>
        <w:tc>
          <w:tcPr>
            <w:tcW w:w="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2,085.1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2,005.8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2,069.5</w:t>
            </w: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9"/>
              </w:rPr>
              <w:t>1,790.3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1,402.1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3"/>
              </w:rPr>
              <w:t>1,590.3</w:t>
            </w:r>
          </w:p>
        </w:tc>
        <w:tc>
          <w:tcPr>
            <w:tcW w:w="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8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13.3</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6"/>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5"/>
              </w:rPr>
              <w:t>2Q17</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5"/>
              </w:rPr>
              <w:t>1Q18</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2Q18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gridSpan w:val="2"/>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853</w:t>
            </w:r>
          </w:p>
        </w:tc>
        <w:tc>
          <w:tcPr>
            <w:tcW w:w="740" w:type="dxa"/>
            <w:vAlign w:val="bottom"/>
            <w:gridSpan w:val="6"/>
          </w:tcPr>
          <w:p>
            <w:pPr>
              <w:jc w:val="right"/>
              <w:spacing w:after="0"/>
              <w:rPr>
                <w:sz w:val="20"/>
                <w:szCs w:val="20"/>
                <w:color w:val="auto"/>
              </w:rPr>
            </w:pPr>
            <w:r>
              <w:rPr>
                <w:rFonts w:ascii="Arial" w:cs="Arial" w:eastAsia="Arial" w:hAnsi="Arial"/>
                <w:sz w:val="18"/>
                <w:szCs w:val="18"/>
                <w:color w:val="auto"/>
              </w:rPr>
              <w:t>792</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765</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1,913</w:t>
            </w: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4740" w:type="dxa"/>
            <w:vAlign w:val="bottom"/>
            <w:gridSpan w:val="2"/>
          </w:tcPr>
          <w:p>
            <w:pPr>
              <w:spacing w:after="0"/>
              <w:rPr>
                <w:sz w:val="20"/>
                <w:szCs w:val="20"/>
                <w:color w:val="auto"/>
              </w:rPr>
            </w:pPr>
            <w:r>
              <w:rPr>
                <w:rFonts w:ascii="Arial" w:cs="Arial" w:eastAsia="Arial" w:hAnsi="Arial"/>
                <w:sz w:val="18"/>
                <w:szCs w:val="18"/>
                <w:color w:val="auto"/>
              </w:rPr>
              <w:t>* Excludes investments in equities and mutual funds.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2Q17</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1Q18</w:t>
            </w:r>
          </w:p>
        </w:tc>
        <w:tc>
          <w:tcPr>
            <w:tcW w:w="12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2Q18</w:t>
            </w:r>
          </w:p>
        </w:tc>
        <w:tc>
          <w:tcPr>
            <w:tcW w:w="160" w:type="dxa"/>
            <w:vAlign w:val="bottom"/>
            <w:tcBorders>
              <w:bottom w:val="single" w:sz="8" w:color="CCEEFF"/>
            </w:tcBorders>
            <w:gridSpan w:val="2"/>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760" w:type="dxa"/>
            <w:vAlign w:val="bottom"/>
            <w:gridSpan w:val="4"/>
          </w:tcPr>
          <w:p>
            <w:pPr>
              <w:jc w:val="right"/>
              <w:ind w:right="3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1869.0%</w:t>
            </w: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1,839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ind w:left="2420"/>
        <w:spacing w:after="0"/>
        <w:rPr>
          <w:sz w:val="20"/>
          <w:szCs w:val="20"/>
          <w:color w:val="auto"/>
        </w:rPr>
      </w:pPr>
      <w:r>
        <w:rPr>
          <w:rFonts w:ascii="Arial" w:cs="Arial" w:eastAsia="Arial" w:hAnsi="Arial"/>
          <w:sz w:val="18"/>
          <w:szCs w:val="18"/>
          <w:b w:val="1"/>
          <w:bCs w:val="1"/>
          <w:color w:val="auto"/>
        </w:rPr>
        <w:t xml:space="preserve">Assets under management and Deposits </w:t>
      </w: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154940</wp:posOffset>
            </wp:positionV>
            <wp:extent cx="3850640" cy="257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5064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Portfolio distribution as of June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154940</wp:posOffset>
            </wp:positionV>
            <wp:extent cx="3507740" cy="1920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0774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11.7. Grupo Pacifico</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gridSpan w:val="9"/>
          </w:tcPr>
          <w:p>
            <w:pPr>
              <w:jc w:val="right"/>
              <w:ind w:right="320"/>
              <w:spacing w:after="0"/>
              <w:rPr>
                <w:sz w:val="20"/>
                <w:szCs w:val="20"/>
                <w:color w:val="auto"/>
              </w:rPr>
            </w:pPr>
            <w:r>
              <w:rPr>
                <w:rFonts w:ascii="Arial" w:cs="Arial" w:eastAsia="Arial" w:hAnsi="Arial"/>
                <w:sz w:val="18"/>
                <w:szCs w:val="18"/>
                <w:b w:val="1"/>
                <w:bCs w:val="1"/>
                <w:color w:val="auto"/>
              </w:rPr>
              <w:t>GRUPO PACIFICO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8"/>
          </w:tcPr>
          <w:p>
            <w:pPr>
              <w:jc w:val="right"/>
              <w:ind w:right="500"/>
              <w:spacing w:after="0"/>
              <w:rPr>
                <w:sz w:val="20"/>
                <w:szCs w:val="20"/>
                <w:color w:val="auto"/>
              </w:rPr>
            </w:pPr>
            <w:r>
              <w:rPr>
                <w:rFonts w:ascii="Arial" w:cs="Arial" w:eastAsia="Arial" w:hAnsi="Arial"/>
                <w:sz w:val="18"/>
                <w:szCs w:val="18"/>
                <w:b w:val="1"/>
                <w:bCs w:val="1"/>
                <w:color w:val="auto"/>
                <w:w w:val="87"/>
              </w:rPr>
              <w:t>(S/ in thousands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2"/>
              </w:rPr>
              <w:t>Quarter</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 change</w:t>
            </w:r>
          </w:p>
        </w:tc>
        <w:tc>
          <w:tcPr>
            <w:tcW w:w="700" w:type="dxa"/>
            <w:vAlign w:val="bottom"/>
          </w:tcPr>
          <w:p>
            <w:pPr>
              <w:spacing w:after="0"/>
              <w:rPr>
                <w:sz w:val="24"/>
                <w:szCs w:val="24"/>
                <w:color w:val="auto"/>
              </w:rPr>
            </w:pPr>
          </w:p>
        </w:tc>
        <w:tc>
          <w:tcPr>
            <w:tcW w:w="134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YTD</w:t>
            </w:r>
          </w:p>
        </w:tc>
        <w:tc>
          <w:tcPr>
            <w:tcW w:w="4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2Q17</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1Q18</w:t>
            </w:r>
          </w:p>
        </w:tc>
        <w:tc>
          <w:tcPr>
            <w:tcW w:w="3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2Q18</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QoQ</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 17</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 18</w:t>
            </w: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18 / Jun 17</w:t>
            </w:r>
          </w:p>
        </w:tc>
        <w:tc>
          <w:tcPr>
            <w:tcW w:w="180" w:type="dxa"/>
            <w:vAlign w:val="bottom"/>
            <w:tcBorders>
              <w:bottom w:val="single" w:sz="8" w:color="CCEEFF"/>
            </w:tcBorders>
          </w:tcPr>
          <w:p>
            <w:pPr>
              <w:spacing w:after="0"/>
              <w:rPr>
                <w:sz w:val="20"/>
                <w:szCs w:val="20"/>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470,708</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511,859</w:t>
            </w:r>
          </w:p>
        </w:tc>
        <w:tc>
          <w:tcPr>
            <w:tcW w:w="3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512,847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939,713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1,024,706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Net claims</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278,266</w:t>
            </w:r>
          </w:p>
        </w:tc>
        <w:tc>
          <w:tcPr>
            <w:tcW w:w="1000" w:type="dxa"/>
            <w:vAlign w:val="bottom"/>
            <w:gridSpan w:val="3"/>
          </w:tcPr>
          <w:p>
            <w:pPr>
              <w:jc w:val="right"/>
              <w:ind w:right="250"/>
              <w:spacing w:after="0"/>
              <w:rPr>
                <w:sz w:val="20"/>
                <w:szCs w:val="20"/>
                <w:color w:val="auto"/>
              </w:rPr>
            </w:pPr>
            <w:r>
              <w:rPr>
                <w:rFonts w:ascii="Arial" w:cs="Arial" w:eastAsia="Arial" w:hAnsi="Arial"/>
                <w:sz w:val="18"/>
                <w:szCs w:val="18"/>
                <w:color w:val="auto"/>
                <w:w w:val="98"/>
              </w:rPr>
              <w:t>294,744</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300,846</w:t>
            </w: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2.1%</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color w:val="auto"/>
              </w:rPr>
              <w:t>8.1%</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559,230</w:t>
            </w:r>
          </w:p>
        </w:tc>
        <w:tc>
          <w:tcPr>
            <w:tcW w:w="820" w:type="dxa"/>
            <w:vAlign w:val="bottom"/>
          </w:tcPr>
          <w:p>
            <w:pPr>
              <w:jc w:val="right"/>
              <w:spacing w:after="0"/>
              <w:rPr>
                <w:sz w:val="20"/>
                <w:szCs w:val="20"/>
                <w:color w:val="auto"/>
              </w:rPr>
            </w:pPr>
            <w:r>
              <w:rPr>
                <w:rFonts w:ascii="Arial" w:cs="Arial" w:eastAsia="Arial" w:hAnsi="Arial"/>
                <w:sz w:val="18"/>
                <w:szCs w:val="18"/>
                <w:color w:val="auto"/>
              </w:rPr>
              <w:t>595,590</w:t>
            </w:r>
          </w:p>
        </w:tc>
        <w:tc>
          <w:tcPr>
            <w:tcW w:w="2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128,331</w:t>
            </w:r>
          </w:p>
        </w:tc>
        <w:tc>
          <w:tcPr>
            <w:tcW w:w="100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w w:val="98"/>
              </w:rPr>
              <w:t>140,181</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142,596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255,194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282,777</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Net underwriting expenses</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14,683</w:t>
            </w:r>
          </w:p>
        </w:tc>
        <w:tc>
          <w:tcPr>
            <w:tcW w:w="1000" w:type="dxa"/>
            <w:vAlign w:val="bottom"/>
            <w:gridSpan w:val="3"/>
          </w:tcPr>
          <w:p>
            <w:pPr>
              <w:jc w:val="right"/>
              <w:ind w:right="250"/>
              <w:spacing w:after="0"/>
              <w:rPr>
                <w:sz w:val="20"/>
                <w:szCs w:val="20"/>
                <w:color w:val="auto"/>
              </w:rPr>
            </w:pPr>
            <w:r>
              <w:rPr>
                <w:rFonts w:ascii="Arial" w:cs="Arial" w:eastAsia="Arial" w:hAnsi="Arial"/>
                <w:sz w:val="18"/>
                <w:szCs w:val="18"/>
                <w:color w:val="auto"/>
              </w:rPr>
              <w:t>33,274</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33,204</w:t>
            </w: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-0.2%</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color w:val="auto"/>
              </w:rPr>
              <w:t>126.1%</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26,841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66,478</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147.7%</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Underwriting result</w:t>
            </w:r>
          </w:p>
        </w:tc>
        <w:tc>
          <w:tcPr>
            <w:tcW w:w="10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49,428</w:t>
            </w:r>
          </w:p>
        </w:tc>
        <w:tc>
          <w:tcPr>
            <w:tcW w:w="100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43,660</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36,202</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-26.8%</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98,448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79,861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Net financial income</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124,112</w:t>
            </w:r>
          </w:p>
        </w:tc>
        <w:tc>
          <w:tcPr>
            <w:tcW w:w="1000" w:type="dxa"/>
            <w:vAlign w:val="bottom"/>
            <w:gridSpan w:val="3"/>
          </w:tcPr>
          <w:p>
            <w:pPr>
              <w:jc w:val="right"/>
              <w:ind w:right="250"/>
              <w:spacing w:after="0"/>
              <w:rPr>
                <w:sz w:val="20"/>
                <w:szCs w:val="20"/>
                <w:color w:val="auto"/>
              </w:rPr>
            </w:pPr>
            <w:r>
              <w:rPr>
                <w:rFonts w:ascii="Arial" w:cs="Arial" w:eastAsia="Arial" w:hAnsi="Arial"/>
                <w:sz w:val="18"/>
                <w:szCs w:val="18"/>
                <w:color w:val="auto"/>
                <w:w w:val="98"/>
              </w:rPr>
              <w:t>120,026</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119,643</w:t>
            </w: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-0.3%</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245,296</w:t>
            </w:r>
          </w:p>
        </w:tc>
        <w:tc>
          <w:tcPr>
            <w:tcW w:w="820" w:type="dxa"/>
            <w:vAlign w:val="bottom"/>
          </w:tcPr>
          <w:p>
            <w:pPr>
              <w:jc w:val="right"/>
              <w:spacing w:after="0"/>
              <w:rPr>
                <w:sz w:val="20"/>
                <w:szCs w:val="20"/>
                <w:color w:val="auto"/>
              </w:rPr>
            </w:pPr>
            <w:r>
              <w:rPr>
                <w:rFonts w:ascii="Arial" w:cs="Arial" w:eastAsia="Arial" w:hAnsi="Arial"/>
                <w:sz w:val="18"/>
                <w:szCs w:val="18"/>
                <w:color w:val="auto"/>
              </w:rPr>
              <w:t>239,669</w:t>
            </w:r>
          </w:p>
        </w:tc>
        <w:tc>
          <w:tcPr>
            <w:tcW w:w="2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99,358</w:t>
            </w:r>
          </w:p>
        </w:tc>
        <w:tc>
          <w:tcPr>
            <w:tcW w:w="100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w w:val="98"/>
              </w:rPr>
              <w:t>104,117</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104,412</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197,596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208,528</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Other income</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6,806</w:t>
            </w:r>
          </w:p>
        </w:tc>
        <w:tc>
          <w:tcPr>
            <w:tcW w:w="1000" w:type="dxa"/>
            <w:vAlign w:val="bottom"/>
            <w:gridSpan w:val="3"/>
          </w:tcPr>
          <w:p>
            <w:pPr>
              <w:jc w:val="right"/>
              <w:ind w:right="250"/>
              <w:spacing w:after="0"/>
              <w:rPr>
                <w:sz w:val="20"/>
                <w:szCs w:val="20"/>
                <w:color w:val="auto"/>
              </w:rPr>
            </w:pPr>
            <w:r>
              <w:rPr>
                <w:rFonts w:ascii="Arial" w:cs="Arial" w:eastAsia="Arial" w:hAnsi="Arial"/>
                <w:sz w:val="18"/>
                <w:szCs w:val="18"/>
                <w:color w:val="auto"/>
              </w:rPr>
              <w:t>11,471</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-18.1%</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color w:val="auto"/>
              </w:rPr>
              <w:t>38.0%</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17,813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20,865</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0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-491</w:t>
            </w:r>
          </w:p>
        </w:tc>
        <w:tc>
          <w:tcPr>
            <w:tcW w:w="100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552</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235.5%</w:t>
            </w: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-477.0%</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-477.0%</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Gain (loss) from Grupo Pacifico and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Banmedica agreement</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5,974</w:t>
            </w:r>
          </w:p>
        </w:tc>
        <w:tc>
          <w:tcPr>
            <w:tcW w:w="1000" w:type="dxa"/>
            <w:vAlign w:val="bottom"/>
            <w:gridSpan w:val="3"/>
          </w:tcPr>
          <w:p>
            <w:pPr>
              <w:jc w:val="right"/>
              <w:ind w:right="250"/>
              <w:spacing w:after="0"/>
              <w:rPr>
                <w:sz w:val="20"/>
                <w:szCs w:val="20"/>
                <w:color w:val="auto"/>
              </w:rPr>
            </w:pPr>
            <w:r>
              <w:rPr>
                <w:rFonts w:ascii="Arial" w:cs="Arial" w:eastAsia="Arial" w:hAnsi="Arial"/>
                <w:sz w:val="18"/>
                <w:szCs w:val="18"/>
                <w:color w:val="auto"/>
              </w:rPr>
              <w:t>8,388</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9,506</w:t>
            </w:r>
          </w:p>
        </w:tc>
        <w:tc>
          <w:tcPr>
            <w:tcW w:w="100" w:type="dxa"/>
            <w:vAlign w:val="bottom"/>
          </w:tcPr>
          <w:p>
            <w:pPr>
              <w:spacing w:after="0"/>
              <w:rPr>
                <w:sz w:val="20"/>
                <w:szCs w:val="20"/>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13.3%</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color w:val="auto"/>
              </w:rPr>
              <w:t>59.1%</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11,996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17,893</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49.2%</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0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7,763</w:t>
            </w:r>
          </w:p>
        </w:tc>
        <w:tc>
          <w:tcPr>
            <w:tcW w:w="100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1,762</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15,468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78,708</w:t>
            </w:r>
          </w:p>
        </w:tc>
        <w:tc>
          <w:tcPr>
            <w:tcW w:w="10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78,217</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69,891</w:t>
            </w:r>
          </w:p>
        </w:tc>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-10.6%</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-11.2%</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159,851</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148,108</w:t>
            </w: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-7.3%</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9,491</w:t>
            </w:r>
          </w:p>
        </w:tc>
        <w:tc>
          <w:tcPr>
            <w:tcW w:w="100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2,026</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-75.3%</w:t>
            </w:r>
          </w:p>
        </w:tc>
        <w:tc>
          <w:tcPr>
            <w:tcW w:w="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18,708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69,217</w:t>
            </w:r>
          </w:p>
        </w:tc>
        <w:tc>
          <w:tcPr>
            <w:tcW w:w="10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76,192</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67,542</w:t>
            </w:r>
          </w:p>
        </w:tc>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-11.4%</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-2.4%</w:t>
            </w:r>
          </w:p>
        </w:tc>
        <w:tc>
          <w:tcPr>
            <w:tcW w:w="9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141,144</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143,734</w:t>
            </w: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Ceded</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16.1%</w:t>
            </w:r>
          </w:p>
        </w:tc>
        <w:tc>
          <w:tcPr>
            <w:tcW w:w="1000" w:type="dxa"/>
            <w:vAlign w:val="bottom"/>
            <w:gridSpan w:val="3"/>
          </w:tcPr>
          <w:p>
            <w:pPr>
              <w:jc w:val="right"/>
              <w:ind w:right="110"/>
              <w:spacing w:after="0"/>
              <w:rPr>
                <w:sz w:val="20"/>
                <w:szCs w:val="20"/>
                <w:color w:val="auto"/>
              </w:rPr>
            </w:pPr>
            <w:r>
              <w:rPr>
                <w:rFonts w:ascii="Arial" w:cs="Arial" w:eastAsia="Arial" w:hAnsi="Arial"/>
                <w:sz w:val="18"/>
                <w:szCs w:val="18"/>
                <w:color w:val="auto"/>
              </w:rPr>
              <w:t>14.2%</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-70 bps</w:t>
            </w:r>
          </w:p>
        </w:tc>
        <w:tc>
          <w:tcPr>
            <w:tcW w:w="10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w w:val="99"/>
              </w:rPr>
              <w:t>-260 bps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16.9%</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-310 bps</w:t>
            </w:r>
          </w:p>
        </w:tc>
      </w:tr>
      <w:tr>
        <w:trPr>
          <w:trHeight w:val="257"/>
        </w:trPr>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9"/>
                <w:szCs w:val="29"/>
                <w:color w:val="auto"/>
                <w:vertAlign w:val="superscript"/>
              </w:rPr>
              <w:t>(1)</w:t>
            </w: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1000" w:type="dxa"/>
            <w:vAlign w:val="bottom"/>
            <w:tcBorders>
              <w:right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57.6%</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6"/>
              </w:rPr>
              <w:t>110 bps</w:t>
            </w:r>
          </w:p>
        </w:tc>
        <w:tc>
          <w:tcPr>
            <w:tcW w:w="10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-40 bps</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59.5%</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 bps</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w w:val="95"/>
              </w:rPr>
              <w:t>Fees + underwriting expenses, net / net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earned premiums</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30.4%</w:t>
            </w:r>
          </w:p>
        </w:tc>
        <w:tc>
          <w:tcPr>
            <w:tcW w:w="1000" w:type="dxa"/>
            <w:vAlign w:val="bottom"/>
            <w:gridSpan w:val="3"/>
          </w:tcPr>
          <w:p>
            <w:pPr>
              <w:jc w:val="right"/>
              <w:ind w:right="110"/>
              <w:spacing w:after="0"/>
              <w:rPr>
                <w:sz w:val="20"/>
                <w:szCs w:val="20"/>
                <w:color w:val="auto"/>
              </w:rPr>
            </w:pPr>
            <w:r>
              <w:rPr>
                <w:rFonts w:ascii="Arial" w:cs="Arial" w:eastAsia="Arial" w:hAnsi="Arial"/>
                <w:sz w:val="18"/>
                <w:szCs w:val="18"/>
                <w:color w:val="auto"/>
              </w:rPr>
              <w:t>33.9%</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40 bps</w:t>
            </w:r>
          </w:p>
        </w:tc>
        <w:tc>
          <w:tcPr>
            <w:tcW w:w="100" w:type="dxa"/>
            <w:vAlign w:val="bottom"/>
          </w:tcPr>
          <w:p>
            <w:pPr>
              <w:spacing w:after="0"/>
              <w:rPr>
                <w:sz w:val="20"/>
                <w:szCs w:val="20"/>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390 bps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30.0%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410 bps</w:t>
            </w: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Underwriting results / net earned</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premiums</w:t>
            </w: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000" w:type="dxa"/>
            <w:vAlign w:val="bottom"/>
            <w:tcBorders>
              <w:right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-140 bps</w:t>
            </w:r>
          </w:p>
        </w:tc>
        <w:tc>
          <w:tcPr>
            <w:tcW w:w="10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9"/>
              </w:rPr>
              <w:t>-340 bps</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 bps</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Operating expenses / net earned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premiums</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21.1%</w:t>
            </w:r>
          </w:p>
        </w:tc>
        <w:tc>
          <w:tcPr>
            <w:tcW w:w="1000" w:type="dxa"/>
            <w:vAlign w:val="bottom"/>
            <w:gridSpan w:val="3"/>
          </w:tcPr>
          <w:p>
            <w:pPr>
              <w:jc w:val="right"/>
              <w:ind w:right="110"/>
              <w:spacing w:after="0"/>
              <w:rPr>
                <w:sz w:val="20"/>
                <w:szCs w:val="20"/>
                <w:color w:val="auto"/>
              </w:rPr>
            </w:pPr>
            <w:r>
              <w:rPr>
                <w:rFonts w:ascii="Arial" w:cs="Arial" w:eastAsia="Arial" w:hAnsi="Arial"/>
                <w:sz w:val="18"/>
                <w:szCs w:val="18"/>
                <w:color w:val="auto"/>
              </w:rPr>
              <w:t>20.3%</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10 bps</w:t>
            </w:r>
          </w:p>
        </w:tc>
        <w:tc>
          <w:tcPr>
            <w:tcW w:w="100" w:type="dxa"/>
            <w:vAlign w:val="bottom"/>
          </w:tcPr>
          <w:p>
            <w:pPr>
              <w:spacing w:after="0"/>
              <w:rPr>
                <w:sz w:val="20"/>
                <w:szCs w:val="20"/>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-70 bps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21.0%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-60 bps</w:t>
            </w:r>
          </w:p>
        </w:tc>
      </w:tr>
      <w:tr>
        <w:trPr>
          <w:trHeight w:val="257"/>
        </w:trPr>
        <w:tc>
          <w:tcPr>
            <w:tcW w:w="304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000" w:type="dxa"/>
            <w:vAlign w:val="bottom"/>
            <w:tcBorders>
              <w:right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11.3%</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-40 bps</w:t>
            </w:r>
          </w:p>
        </w:tc>
        <w:tc>
          <w:tcPr>
            <w:tcW w:w="10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9"/>
              </w:rPr>
              <w:t>-310 bps</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 bps</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Return on written premiums</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1000" w:type="dxa"/>
            <w:vAlign w:val="bottom"/>
            <w:gridSpan w:val="3"/>
          </w:tcPr>
          <w:p>
            <w:pPr>
              <w:jc w:val="right"/>
              <w:ind w:right="110"/>
              <w:spacing w:after="0"/>
              <w:rPr>
                <w:sz w:val="20"/>
                <w:szCs w:val="20"/>
                <w:color w:val="auto"/>
              </w:rPr>
            </w:pPr>
            <w:r>
              <w:rPr>
                <w:rFonts w:ascii="Arial" w:cs="Arial" w:eastAsia="Arial" w:hAnsi="Arial"/>
                <w:sz w:val="18"/>
                <w:szCs w:val="18"/>
                <w:color w:val="auto"/>
              </w:rPr>
              <w:t>9.8%</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w w:val="88"/>
              </w:rPr>
              <w:t>-170 bps</w:t>
            </w:r>
          </w:p>
        </w:tc>
        <w:tc>
          <w:tcPr>
            <w:tcW w:w="10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w w:val="99"/>
              </w:rPr>
              <w:t>-200 bps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-110 bps</w:t>
            </w:r>
          </w:p>
        </w:tc>
      </w:tr>
      <w:tr>
        <w:trPr>
          <w:trHeight w:val="270"/>
        </w:trPr>
        <w:tc>
          <w:tcPr>
            <w:tcW w:w="30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30"/>
                <w:szCs w:val="30"/>
                <w:color w:val="auto"/>
                <w:vertAlign w:val="superscript"/>
              </w:rPr>
              <w:t>(4)</w:t>
            </w:r>
          </w:p>
        </w:tc>
        <w:tc>
          <w:tcPr>
            <w:tcW w:w="10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97.7%</w:t>
            </w:r>
          </w:p>
        </w:tc>
        <w:tc>
          <w:tcPr>
            <w:tcW w:w="10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105.1%</w:t>
            </w:r>
          </w:p>
        </w:tc>
        <w:tc>
          <w:tcPr>
            <w:tcW w:w="140" w:type="dxa"/>
            <w:vAlign w:val="bottom"/>
            <w:shd w:val="clear" w:color="auto" w:fill="CCEEFF"/>
          </w:tcPr>
          <w:p>
            <w:pPr>
              <w:spacing w:after="0"/>
              <w:rPr>
                <w:sz w:val="23"/>
                <w:szCs w:val="23"/>
                <w:color w:val="auto"/>
              </w:rPr>
            </w:pPr>
          </w:p>
        </w:tc>
        <w:tc>
          <w:tcPr>
            <w:tcW w:w="1700" w:type="dxa"/>
            <w:vAlign w:val="bottom"/>
            <w:tcBorders>
              <w:right w:val="single" w:sz="8" w:color="CCEEFF"/>
            </w:tcBorders>
            <w:gridSpan w:val="7"/>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102.7%  -240 bps</w:t>
            </w:r>
          </w:p>
        </w:tc>
        <w:tc>
          <w:tcPr>
            <w:tcW w:w="100" w:type="dxa"/>
            <w:vAlign w:val="bottom"/>
            <w:shd w:val="clear" w:color="auto" w:fill="CCEEFF"/>
          </w:tcPr>
          <w:p>
            <w:pPr>
              <w:spacing w:after="0"/>
              <w:rPr>
                <w:sz w:val="23"/>
                <w:szCs w:val="23"/>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500 bps</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103.9%</w:t>
            </w:r>
          </w:p>
        </w:tc>
        <w:tc>
          <w:tcPr>
            <w:tcW w:w="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690 bps</w:t>
            </w:r>
          </w:p>
        </w:tc>
      </w:tr>
      <w:tr>
        <w:trPr>
          <w:trHeight w:val="20"/>
        </w:trPr>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1"/>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 change</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0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Jun 17</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Mar 18</w:t>
            </w:r>
          </w:p>
        </w:tc>
        <w:tc>
          <w:tcPr>
            <w:tcW w:w="1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Jun 18</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QoQ</w:t>
            </w:r>
          </w:p>
        </w:tc>
        <w:tc>
          <w:tcPr>
            <w:tcW w:w="260" w:type="dxa"/>
            <w:vAlign w:val="bottom"/>
            <w:tcBorders>
              <w:bottom w:val="single" w:sz="8" w:color="CCEEFF"/>
            </w:tcBorders>
            <w:gridSpan w:val="2"/>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YoY</w:t>
            </w:r>
          </w:p>
        </w:tc>
        <w:tc>
          <w:tcPr>
            <w:tcW w:w="140" w:type="dxa"/>
            <w:vAlign w:val="bottom"/>
            <w:tcBorders>
              <w:bottom w:val="single" w:sz="8" w:color="CCEEFF"/>
            </w:tcBorders>
          </w:tcPr>
          <w:p>
            <w:pPr>
              <w:spacing w:after="0"/>
              <w:rPr>
                <w:sz w:val="20"/>
                <w:szCs w:val="20"/>
                <w:color w:val="auto"/>
              </w:rPr>
            </w:pPr>
          </w:p>
        </w:tc>
        <w:tc>
          <w:tcPr>
            <w:tcW w:w="560" w:type="dxa"/>
            <w:vAlign w:val="bottom"/>
            <w:gridSpan w:val="2"/>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10,731,442</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11,585,825</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11,491,618</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3040" w:type="dxa"/>
            <w:vAlign w:val="bottom"/>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7,832,406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8,292,506</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8,324,108</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0.4%</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Technical reserves</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7,164,208</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7,608,970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7,880,089</w:t>
            </w:r>
          </w:p>
        </w:tc>
        <w:tc>
          <w:tcPr>
            <w:tcW w:w="8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Net equity</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2,339,600</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2,665,814</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2,479,023</w:t>
            </w:r>
          </w:p>
        </w:tc>
        <w:tc>
          <w:tcPr>
            <w:tcW w:w="14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-7.0%</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total expenses)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58"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c>
          <w:tcPr>
            <w:tcW w:w="1080" w:type="dxa"/>
            <w:vAlign w:val="bottom"/>
            <w:gridSpan w:val="3"/>
          </w:tcPr>
          <w:p>
            <w:pPr>
              <w:ind w:left="68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2Q17</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1Q18</w:t>
            </w: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2Q18</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YoY</w:t>
            </w:r>
          </w:p>
        </w:tc>
        <w:tc>
          <w:tcPr>
            <w:tcW w:w="108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 17</w:t>
            </w: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18</w:t>
            </w:r>
          </w:p>
        </w:tc>
        <w:tc>
          <w:tcPr>
            <w:tcW w:w="14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7"/>
              </w:rPr>
              <w:t>Jun 18 / Jun 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earned premiums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226,098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240,425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249,216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457,108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489,641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-187,669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-194,364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-208,490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-402,854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fees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-10,464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-10,825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-10,918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-21,068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-21,743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25,154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31,917</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26,852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54,489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58,769</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financial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1,199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1,261</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1,169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-17,740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-19,134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-17,353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-36,487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-85.1%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Income tax</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-2,615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-4,806</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-3,555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-8,361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6,147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9,386</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7,210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15,763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16,596</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13,343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17,018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19,299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27,296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36,318</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33.1%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19,490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26,404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26,509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43,059</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52,913</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11.8. Prima AFP</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5"/>
              </w:rPr>
              <w:t>Quarter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 change</w:t>
            </w:r>
          </w:p>
        </w:tc>
        <w:tc>
          <w:tcPr>
            <w:tcW w:w="1140" w:type="dxa"/>
            <w:vAlign w:val="bottom"/>
            <w:gridSpan w:val="3"/>
          </w:tcPr>
          <w:p>
            <w:pPr>
              <w:ind w:left="720"/>
              <w:spacing w:after="0"/>
              <w:rPr>
                <w:sz w:val="20"/>
                <w:szCs w:val="20"/>
                <w:color w:val="auto"/>
              </w:rPr>
            </w:pPr>
            <w:r>
              <w:rPr>
                <w:rFonts w:ascii="Arial" w:cs="Arial" w:eastAsia="Arial" w:hAnsi="Arial"/>
                <w:sz w:val="18"/>
                <w:szCs w:val="18"/>
                <w:b w:val="1"/>
                <w:bCs w:val="1"/>
                <w:color w:val="auto"/>
              </w:rPr>
              <w:t>YTD</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7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2Q17</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5"/>
              </w:rPr>
              <w:t>1Q18</w:t>
            </w: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2Q18</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QoQ</w:t>
            </w:r>
          </w:p>
        </w:tc>
        <w:tc>
          <w:tcPr>
            <w:tcW w:w="3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17</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Jun 18</w:t>
            </w: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18 / Jun 17</w:t>
            </w:r>
          </w:p>
        </w:tc>
        <w:tc>
          <w:tcPr>
            <w:tcW w:w="18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commissions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99,346</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92,404</w:t>
            </w: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98,816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(37,376)</w:t>
            </w:r>
          </w:p>
        </w:tc>
        <w:tc>
          <w:tcPr>
            <w:tcW w:w="1100" w:type="dxa"/>
            <w:vAlign w:val="bottom"/>
            <w:gridSpan w:val="5"/>
          </w:tcPr>
          <w:p>
            <w:pPr>
              <w:jc w:val="right"/>
              <w:ind w:right="130"/>
              <w:spacing w:after="0"/>
              <w:rPr>
                <w:sz w:val="20"/>
                <w:szCs w:val="20"/>
                <w:color w:val="auto"/>
              </w:rPr>
            </w:pPr>
            <w:r>
              <w:rPr>
                <w:rFonts w:ascii="Arial" w:cs="Arial" w:eastAsia="Arial" w:hAnsi="Arial"/>
                <w:sz w:val="18"/>
                <w:szCs w:val="18"/>
                <w:color w:val="auto"/>
              </w:rPr>
              <w:t>(41,439)</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(37,650)</w:t>
            </w: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0.7%</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-77,021</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-79,089</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(6,109)</w:t>
            </w:r>
          </w:p>
        </w:tc>
        <w:tc>
          <w:tcPr>
            <w:tcW w:w="110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(4,744)</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(4,816)</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-9,560</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27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55,861</w:t>
            </w:r>
          </w:p>
        </w:tc>
        <w:tc>
          <w:tcPr>
            <w:tcW w:w="11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46,221</w:t>
            </w:r>
          </w:p>
        </w:tc>
        <w:tc>
          <w:tcPr>
            <w:tcW w:w="10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56,350</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21.9%</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0.9%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113,403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102,572</w:t>
            </w: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-9.6%</w:t>
            </w: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income and expenses, net</w:t>
            </w: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(profitability of lace)</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w:t>
            </w:r>
          </w:p>
        </w:tc>
        <w:tc>
          <w:tcPr>
            <w:tcW w:w="110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color w:val="auto"/>
              </w:rPr>
              <w:t>4,812</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(8,045)</w:t>
            </w:r>
          </w:p>
        </w:tc>
        <w:tc>
          <w:tcPr>
            <w:tcW w:w="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-267.2%</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493.9%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-3,233</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1563.4%</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tax</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(15,917)</w:t>
            </w:r>
          </w:p>
        </w:tc>
        <w:tc>
          <w:tcPr>
            <w:tcW w:w="1100" w:type="dxa"/>
            <w:vAlign w:val="bottom"/>
            <w:gridSpan w:val="5"/>
          </w:tcPr>
          <w:p>
            <w:pPr>
              <w:jc w:val="right"/>
              <w:ind w:right="130"/>
              <w:spacing w:after="0"/>
              <w:rPr>
                <w:sz w:val="20"/>
                <w:szCs w:val="20"/>
                <w:color w:val="auto"/>
              </w:rPr>
            </w:pPr>
            <w:r>
              <w:rPr>
                <w:rFonts w:ascii="Arial" w:cs="Arial" w:eastAsia="Arial" w:hAnsi="Arial"/>
                <w:sz w:val="18"/>
                <w:szCs w:val="18"/>
                <w:color w:val="auto"/>
              </w:rPr>
              <w:t>(15,768)</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(15,877)</w:t>
            </w: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0.7%</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-0.3%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-32,976</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-31,645</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198"/>
        </w:trPr>
        <w:tc>
          <w:tcPr>
            <w:tcW w:w="2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before translation</w:t>
            </w: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38,590</w:t>
            </w:r>
          </w:p>
        </w:tc>
        <w:tc>
          <w:tcPr>
            <w:tcW w:w="110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35,265</w:t>
            </w: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32,429</w:t>
            </w:r>
          </w:p>
        </w:tc>
        <w:tc>
          <w:tcPr>
            <w:tcW w:w="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80,233</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67,694</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Translations results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w w:val="90"/>
              </w:rPr>
              <w:t>(8)</w:t>
            </w:r>
          </w:p>
        </w:tc>
        <w:tc>
          <w:tcPr>
            <w:tcW w:w="32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470.3%</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3.3%</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-340.2%</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38,545</w:t>
            </w:r>
          </w:p>
        </w:tc>
        <w:tc>
          <w:tcPr>
            <w:tcW w:w="110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35,257</w:t>
            </w: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32,383</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80,256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67,639</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r>
      <w:tr>
        <w:trPr>
          <w:trHeight w:val="270"/>
        </w:trPr>
        <w:tc>
          <w:tcPr>
            <w:tcW w:w="2740" w:type="dxa"/>
            <w:vAlign w:val="bottom"/>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30.2%</w:t>
            </w:r>
          </w:p>
        </w:tc>
        <w:tc>
          <w:tcPr>
            <w:tcW w:w="11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24.3%</w:t>
            </w:r>
          </w:p>
        </w:tc>
        <w:tc>
          <w:tcPr>
            <w:tcW w:w="32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23.0%</w:t>
            </w:r>
          </w:p>
        </w:tc>
        <w:tc>
          <w:tcPr>
            <w:tcW w:w="80" w:type="dxa"/>
            <w:vAlign w:val="bottom"/>
          </w:tcPr>
          <w:p>
            <w:pPr>
              <w:spacing w:after="0"/>
              <w:rPr>
                <w:sz w:val="23"/>
                <w:szCs w:val="2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-122 pbs</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-716 pbs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28.1%</w:t>
            </w:r>
          </w:p>
        </w:tc>
        <w:tc>
          <w:tcPr>
            <w:tcW w:w="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22.5%</w:t>
            </w:r>
          </w:p>
        </w:tc>
        <w:tc>
          <w:tcPr>
            <w:tcW w:w="4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-555 pbs</w:t>
            </w:r>
          </w:p>
        </w:tc>
      </w:tr>
      <w:tr>
        <w:trPr>
          <w:trHeight w:val="20"/>
        </w:trPr>
        <w:tc>
          <w:tcPr>
            <w:tcW w:w="2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1"/>
        </w:trPr>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As of</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 change</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27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Jun 17</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Mar 18</w:t>
            </w: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Jun 18</w:t>
            </w: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YoY</w:t>
            </w:r>
          </w:p>
        </w:tc>
        <w:tc>
          <w:tcPr>
            <w:tcW w:w="160" w:type="dxa"/>
            <w:vAlign w:val="bottom"/>
            <w:tcBorders>
              <w:bottom w:val="single" w:sz="8" w:color="CCEEFF"/>
            </w:tcBorders>
          </w:tcPr>
          <w:p>
            <w:pPr>
              <w:spacing w:after="0"/>
              <w:rPr>
                <w:sz w:val="20"/>
                <w:szCs w:val="20"/>
                <w:color w:val="auto"/>
              </w:rPr>
            </w:pPr>
          </w:p>
        </w:tc>
        <w:tc>
          <w:tcPr>
            <w:tcW w:w="520" w:type="dxa"/>
            <w:vAlign w:val="bottom"/>
            <w:gridSpan w:val="2"/>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763,745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925,388</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6"/>
              </w:rPr>
              <w:t>791,528</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w w:val="92"/>
              </w:rPr>
              <w:t>227,011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381,755</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210,632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-44.8%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7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536,734</w:t>
            </w:r>
          </w:p>
        </w:tc>
        <w:tc>
          <w:tcPr>
            <w:tcW w:w="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543,633</w:t>
            </w: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6"/>
              </w:rPr>
              <w:t>580,896</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5"/>
              </w:rPr>
              <w:t>Funds under management</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5"/>
              </w:rPr>
              <w:t>Funds under management</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Mar 18</w:t>
            </w:r>
          </w:p>
        </w:tc>
        <w:tc>
          <w:tcPr>
            <w:tcW w:w="120" w:type="dxa"/>
            <w:vAlign w:val="bottom"/>
          </w:tcPr>
          <w:p>
            <w:pPr>
              <w:spacing w:after="0"/>
              <w:rPr>
                <w:sz w:val="24"/>
                <w:szCs w:val="24"/>
                <w:color w:val="auto"/>
              </w:rPr>
            </w:pPr>
          </w:p>
        </w:tc>
        <w:tc>
          <w:tcPr>
            <w:tcW w:w="1040" w:type="dxa"/>
            <w:vAlign w:val="bottom"/>
            <w:gridSpan w:val="6"/>
          </w:tcPr>
          <w:p>
            <w:pPr>
              <w:ind w:left="20"/>
              <w:spacing w:after="0"/>
              <w:rPr>
                <w:sz w:val="20"/>
                <w:szCs w:val="20"/>
                <w:color w:val="auto"/>
              </w:rPr>
            </w:pPr>
            <w:r>
              <w:rPr>
                <w:rFonts w:ascii="Arial" w:cs="Arial" w:eastAsia="Arial" w:hAnsi="Arial"/>
                <w:sz w:val="18"/>
                <w:szCs w:val="18"/>
                <w:b w:val="1"/>
                <w:bCs w:val="1"/>
                <w:color w:val="auto"/>
              </w:rPr>
              <w:t>% share</w:t>
            </w:r>
          </w:p>
        </w:tc>
        <w:tc>
          <w:tcPr>
            <w:tcW w:w="12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 18</w:t>
            </w:r>
          </w:p>
        </w:tc>
        <w:tc>
          <w:tcPr>
            <w:tcW w:w="80" w:type="dxa"/>
            <w:vAlign w:val="bottom"/>
          </w:tcPr>
          <w:p>
            <w:pPr>
              <w:spacing w:after="0"/>
              <w:rPr>
                <w:sz w:val="24"/>
                <w:szCs w:val="24"/>
                <w:color w:val="auto"/>
              </w:rPr>
            </w:pPr>
          </w:p>
        </w:tc>
        <w:tc>
          <w:tcPr>
            <w:tcW w:w="10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8"/>
              </w:rPr>
              <w:t>% share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7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vMerge w:val="continue"/>
            <w:shd w:val="clear" w:color="auto" w:fill="CCEEFF"/>
          </w:tcPr>
          <w:p>
            <w:pPr>
              <w:spacing w:after="0"/>
              <w:rPr>
                <w:sz w:val="18"/>
                <w:szCs w:val="18"/>
                <w:color w:val="auto"/>
              </w:rPr>
            </w:pPr>
          </w:p>
        </w:tc>
        <w:tc>
          <w:tcPr>
            <w:tcW w:w="116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vMerge w:val="continue"/>
            <w:shd w:val="clear" w:color="auto" w:fill="CCEEFF"/>
          </w:tcPr>
          <w:p>
            <w:pPr>
              <w:spacing w:after="0"/>
              <w:rPr>
                <w:sz w:val="18"/>
                <w:szCs w:val="18"/>
                <w:color w:val="auto"/>
              </w:rPr>
            </w:pP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Fund 1</w:t>
            </w:r>
          </w:p>
        </w:tc>
        <w:tc>
          <w:tcPr>
            <w:tcW w:w="720" w:type="dxa"/>
            <w:vAlign w:val="bottom"/>
          </w:tcPr>
          <w:p>
            <w:pPr>
              <w:spacing w:after="0"/>
              <w:rPr>
                <w:sz w:val="18"/>
                <w:szCs w:val="18"/>
                <w:color w:val="auto"/>
              </w:rPr>
            </w:pPr>
          </w:p>
        </w:tc>
        <w:tc>
          <w:tcPr>
            <w:tcW w:w="2300" w:type="dxa"/>
            <w:vAlign w:val="bottom"/>
            <w:gridSpan w:val="6"/>
          </w:tcPr>
          <w:p>
            <w:pPr>
              <w:jc w:val="right"/>
              <w:ind w:right="160"/>
              <w:spacing w:after="0"/>
              <w:rPr>
                <w:sz w:val="20"/>
                <w:szCs w:val="20"/>
                <w:color w:val="auto"/>
              </w:rPr>
            </w:pPr>
            <w:r>
              <w:rPr>
                <w:rFonts w:ascii="Arial" w:cs="Arial" w:eastAsia="Arial" w:hAnsi="Arial"/>
                <w:sz w:val="18"/>
                <w:szCs w:val="18"/>
                <w:color w:val="auto"/>
              </w:rPr>
              <w:t>5,500</w:t>
            </w:r>
          </w:p>
        </w:tc>
        <w:tc>
          <w:tcPr>
            <w:tcW w:w="1160" w:type="dxa"/>
            <w:vAlign w:val="bottom"/>
            <w:gridSpan w:val="7"/>
          </w:tcPr>
          <w:p>
            <w:pPr>
              <w:jc w:val="right"/>
              <w:ind w:right="80"/>
              <w:spacing w:after="0"/>
              <w:rPr>
                <w:sz w:val="20"/>
                <w:szCs w:val="20"/>
                <w:color w:val="auto"/>
              </w:rPr>
            </w:pPr>
            <w:r>
              <w:rPr>
                <w:rFonts w:ascii="Arial" w:cs="Arial" w:eastAsia="Arial" w:hAnsi="Arial"/>
                <w:sz w:val="18"/>
                <w:szCs w:val="18"/>
                <w:color w:val="auto"/>
              </w:rPr>
              <w:t>11.0%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5,291</w:t>
            </w:r>
          </w:p>
        </w:tc>
        <w:tc>
          <w:tcPr>
            <w:tcW w:w="140" w:type="dxa"/>
            <w:vAlign w:val="bottom"/>
          </w:tcPr>
          <w:p>
            <w:pPr>
              <w:spacing w:after="0"/>
              <w:rPr>
                <w:sz w:val="18"/>
                <w:szCs w:val="18"/>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20" w:type="dxa"/>
            <w:vAlign w:val="bottom"/>
            <w:tcBorders>
              <w:right w:val="single" w:sz="8" w:color="CCEEFF"/>
            </w:tcBorders>
            <w:shd w:val="clear" w:color="auto" w:fill="CCEEFF"/>
          </w:tcPr>
          <w:p>
            <w:pPr>
              <w:spacing w:after="0"/>
              <w:rPr>
                <w:sz w:val="18"/>
                <w:szCs w:val="18"/>
                <w:color w:val="auto"/>
              </w:rPr>
            </w:pPr>
          </w:p>
        </w:tc>
        <w:tc>
          <w:tcPr>
            <w:tcW w:w="23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36,010</w:t>
            </w:r>
          </w:p>
        </w:tc>
        <w:tc>
          <w:tcPr>
            <w:tcW w:w="116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72.2%</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35,452</w:t>
            </w:r>
          </w:p>
        </w:tc>
        <w:tc>
          <w:tcPr>
            <w:tcW w:w="1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Fund 3</w:t>
            </w:r>
          </w:p>
        </w:tc>
        <w:tc>
          <w:tcPr>
            <w:tcW w:w="720" w:type="dxa"/>
            <w:vAlign w:val="bottom"/>
          </w:tcPr>
          <w:p>
            <w:pPr>
              <w:spacing w:after="0"/>
              <w:rPr>
                <w:sz w:val="19"/>
                <w:szCs w:val="19"/>
                <w:color w:val="auto"/>
              </w:rPr>
            </w:pPr>
          </w:p>
        </w:tc>
        <w:tc>
          <w:tcPr>
            <w:tcW w:w="2300" w:type="dxa"/>
            <w:vAlign w:val="bottom"/>
            <w:gridSpan w:val="6"/>
          </w:tcPr>
          <w:p>
            <w:pPr>
              <w:jc w:val="right"/>
              <w:ind w:right="160"/>
              <w:spacing w:after="0"/>
              <w:rPr>
                <w:sz w:val="20"/>
                <w:szCs w:val="20"/>
                <w:color w:val="auto"/>
              </w:rPr>
            </w:pPr>
            <w:r>
              <w:rPr>
                <w:rFonts w:ascii="Arial" w:cs="Arial" w:eastAsia="Arial" w:hAnsi="Arial"/>
                <w:sz w:val="18"/>
                <w:szCs w:val="18"/>
                <w:color w:val="auto"/>
              </w:rPr>
              <w:t>7,837</w:t>
            </w:r>
          </w:p>
        </w:tc>
        <w:tc>
          <w:tcPr>
            <w:tcW w:w="1160" w:type="dxa"/>
            <w:vAlign w:val="bottom"/>
            <w:gridSpan w:val="7"/>
          </w:tcPr>
          <w:p>
            <w:pPr>
              <w:jc w:val="right"/>
              <w:ind w:right="80"/>
              <w:spacing w:after="0"/>
              <w:rPr>
                <w:sz w:val="20"/>
                <w:szCs w:val="20"/>
                <w:color w:val="auto"/>
              </w:rPr>
            </w:pPr>
            <w:r>
              <w:rPr>
                <w:rFonts w:ascii="Arial" w:cs="Arial" w:eastAsia="Arial" w:hAnsi="Arial"/>
                <w:sz w:val="18"/>
                <w:szCs w:val="18"/>
                <w:color w:val="auto"/>
              </w:rPr>
              <w:t>15.7%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7,519</w:t>
            </w:r>
          </w:p>
        </w:tc>
        <w:tc>
          <w:tcPr>
            <w:tcW w:w="140" w:type="dxa"/>
            <w:vAlign w:val="bottom"/>
          </w:tcPr>
          <w:p>
            <w:pPr>
              <w:spacing w:after="0"/>
              <w:rPr>
                <w:sz w:val="19"/>
                <w:szCs w:val="19"/>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8"/>
                <w:szCs w:val="18"/>
                <w:color w:val="auto"/>
              </w:rPr>
              <w:t>15.4%</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72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49,877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48,798</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4"/>
              </w:rPr>
              <w: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180" w:type="dxa"/>
            <w:vAlign w:val="bottom"/>
            <w:gridSpan w:val="2"/>
          </w:tcPr>
          <w:p>
            <w:pPr>
              <w:spacing w:after="0"/>
              <w:rPr>
                <w:sz w:val="20"/>
                <w:szCs w:val="20"/>
                <w:color w:val="auto"/>
              </w:rPr>
            </w:pPr>
            <w:r>
              <w:rPr>
                <w:rFonts w:ascii="Arial" w:cs="Arial" w:eastAsia="Arial" w:hAnsi="Arial"/>
                <w:sz w:val="18"/>
                <w:szCs w:val="18"/>
                <w:i w:val="1"/>
                <w:iCs w:val="1"/>
                <w:color w:val="auto"/>
              </w:rPr>
              <w:t>Source: SBS</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9"/>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60" w:type="dxa"/>
            <w:vAlign w:val="bottom"/>
            <w:gridSpan w:val="13"/>
          </w:tcPr>
          <w:p>
            <w:pPr>
              <w:jc w:val="right"/>
              <w:ind w:right="800"/>
              <w:spacing w:after="0"/>
              <w:rPr>
                <w:sz w:val="20"/>
                <w:szCs w:val="20"/>
                <w:color w:val="auto"/>
              </w:rPr>
            </w:pPr>
            <w:r>
              <w:rPr>
                <w:rFonts w:ascii="Arial" w:cs="Arial" w:eastAsia="Arial" w:hAnsi="Arial"/>
                <w:sz w:val="18"/>
                <w:szCs w:val="18"/>
                <w:b w:val="1"/>
                <w:bCs w:val="1"/>
                <w:color w:val="auto"/>
                <w:w w:val="98"/>
              </w:rPr>
              <w:t>Mar 18 / Mar 17  Jun 18 / Jun 17</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87"/>
              </w:rPr>
              <w:t>3.8%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Fund 1</w:t>
            </w:r>
          </w:p>
        </w:tc>
        <w:tc>
          <w:tcPr>
            <w:tcW w:w="72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11.2%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4"/>
          </w:tcPr>
          <w:p>
            <w:pPr>
              <w:ind w:left="120"/>
              <w:spacing w:after="0"/>
              <w:rPr>
                <w:sz w:val="20"/>
                <w:szCs w:val="20"/>
                <w:color w:val="auto"/>
              </w:rPr>
            </w:pPr>
            <w:r>
              <w:rPr>
                <w:rFonts w:ascii="Arial" w:cs="Arial" w:eastAsia="Arial" w:hAnsi="Arial"/>
                <w:sz w:val="18"/>
                <w:szCs w:val="18"/>
                <w:color w:val="auto"/>
                <w:w w:val="87"/>
              </w:rPr>
              <w:t>4.2%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20" w:type="dxa"/>
            <w:vAlign w:val="bottom"/>
            <w:tcBorders>
              <w:right w:val="single" w:sz="8" w:color="CCEEFF"/>
            </w:tcBorders>
            <w:shd w:val="clear" w:color="auto" w:fill="CCEEFF"/>
          </w:tcPr>
          <w:p>
            <w:pPr>
              <w:spacing w:after="0"/>
              <w:rPr>
                <w:sz w:val="18"/>
                <w:szCs w:val="18"/>
                <w:color w:val="auto"/>
              </w:rPr>
            </w:pP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87"/>
              </w:rPr>
              <w:t>6.9%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Fund 3</w:t>
            </w:r>
          </w:p>
        </w:tc>
        <w:tc>
          <w:tcPr>
            <w:tcW w:w="72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15.5%</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4"/>
          </w:tcPr>
          <w:p>
            <w:pPr>
              <w:ind w:left="120"/>
              <w:spacing w:after="0"/>
              <w:rPr>
                <w:sz w:val="20"/>
                <w:szCs w:val="20"/>
                <w:color w:val="auto"/>
              </w:rPr>
            </w:pPr>
            <w:r>
              <w:rPr>
                <w:rFonts w:ascii="Arial" w:cs="Arial" w:eastAsia="Arial" w:hAnsi="Arial"/>
                <w:sz w:val="18"/>
                <w:szCs w:val="18"/>
                <w:color w:val="auto"/>
                <w:w w:val="87"/>
              </w:rPr>
              <w:t>9.7%</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AFP fees</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Fee based on flow</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54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Arial" w:cs="Arial" w:eastAsia="Arial" w:hAnsi="Arial"/>
                <w:sz w:val="18"/>
                <w:szCs w:val="18"/>
                <w:color w:val="auto"/>
              </w:rPr>
              <w:t>Applied to the affiliates' monthly remuneration.</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Mixed fee</w:t>
            </w: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lef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Flow</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540" w:type="dxa"/>
            <w:vAlign w:val="bottom"/>
          </w:tcPr>
          <w:p>
            <w:pPr>
              <w:spacing w:after="0"/>
              <w:rPr>
                <w:sz w:val="18"/>
                <w:szCs w:val="18"/>
                <w:color w:val="auto"/>
              </w:rPr>
            </w:pPr>
          </w:p>
        </w:tc>
        <w:tc>
          <w:tcPr>
            <w:tcW w:w="7140" w:type="dxa"/>
            <w:vAlign w:val="bottom"/>
            <w:gridSpan w:val="24"/>
          </w:tcPr>
          <w:p>
            <w:pPr>
              <w:spacing w:after="0"/>
              <w:rPr>
                <w:sz w:val="20"/>
                <w:szCs w:val="20"/>
                <w:color w:val="auto"/>
              </w:rPr>
            </w:pPr>
            <w:r>
              <w:rPr>
                <w:rFonts w:ascii="Arial" w:cs="Arial" w:eastAsia="Arial" w:hAnsi="Arial"/>
                <w:sz w:val="18"/>
                <w:szCs w:val="18"/>
                <w:color w:val="auto"/>
              </w:rPr>
              <w:t>Applied to the affiliates' monthly remuneration since June 2017. Feb 17- may 17 =0.87%.</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80" w:type="dxa"/>
            <w:vAlign w:val="bottom"/>
            <w:gridSpan w:val="6"/>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7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1.25%</w:t>
            </w:r>
          </w:p>
        </w:tc>
        <w:tc>
          <w:tcPr>
            <w:tcW w:w="540" w:type="dxa"/>
            <w:vAlign w:val="bottom"/>
          </w:tcPr>
          <w:p>
            <w:pPr>
              <w:spacing w:after="0"/>
              <w:rPr>
                <w:sz w:val="17"/>
                <w:szCs w:val="17"/>
                <w:color w:val="auto"/>
              </w:rPr>
            </w:pPr>
          </w:p>
        </w:tc>
        <w:tc>
          <w:tcPr>
            <w:tcW w:w="7980" w:type="dxa"/>
            <w:vAlign w:val="bottom"/>
            <w:gridSpan w:val="26"/>
          </w:tcPr>
          <w:p>
            <w:pPr>
              <w:spacing w:after="0" w:line="201" w:lineRule="exact"/>
              <w:rPr>
                <w:sz w:val="20"/>
                <w:szCs w:val="20"/>
                <w:color w:val="auto"/>
              </w:rPr>
            </w:pPr>
            <w:r>
              <w:rPr>
                <w:rFonts w:ascii="Arial" w:cs="Arial" w:eastAsia="Arial" w:hAnsi="Arial"/>
                <w:sz w:val="18"/>
                <w:szCs w:val="18"/>
                <w:color w:val="auto"/>
                <w:w w:val="94"/>
              </w:rPr>
              <w:t>Applies annualy to the new balance since February 2013 for new affiliates to the system and beginning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20" w:type="dxa"/>
            <w:vAlign w:val="bottom"/>
            <w:gridSpan w:val="20"/>
          </w:tcPr>
          <w:p>
            <w:pPr>
              <w:spacing w:after="0"/>
              <w:rPr>
                <w:sz w:val="20"/>
                <w:szCs w:val="20"/>
                <w:color w:val="auto"/>
              </w:rPr>
            </w:pPr>
            <w:r>
              <w:rPr>
                <w:rFonts w:ascii="Arial" w:cs="Arial" w:eastAsia="Arial" w:hAnsi="Arial"/>
                <w:sz w:val="18"/>
                <w:szCs w:val="18"/>
                <w:color w:val="auto"/>
                <w:w w:val="90"/>
              </w:rPr>
              <w:t>June 2013 for old affiliates who have chosen this commission scheme.</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Main indicators</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Prima</w:t>
            </w:r>
          </w:p>
        </w:tc>
        <w:tc>
          <w:tcPr>
            <w:tcW w:w="12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System</w:t>
            </w:r>
          </w:p>
        </w:tc>
        <w:tc>
          <w:tcPr>
            <w:tcW w:w="80" w:type="dxa"/>
            <w:vAlign w:val="bottom"/>
          </w:tcPr>
          <w:p>
            <w:pPr>
              <w:spacing w:after="0"/>
              <w:rPr>
                <w:sz w:val="24"/>
                <w:szCs w:val="24"/>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89"/>
              </w:rPr>
              <w:t>% share</w:t>
            </w: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Prima</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System</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 share</w:t>
            </w:r>
          </w:p>
        </w:tc>
        <w:tc>
          <w:tcPr>
            <w:tcW w:w="0" w:type="dxa"/>
            <w:vAlign w:val="bottom"/>
          </w:tcPr>
          <w:p>
            <w:pPr>
              <w:spacing w:after="0"/>
              <w:rPr>
                <w:sz w:val="1"/>
                <w:szCs w:val="1"/>
                <w:color w:val="auto"/>
              </w:rPr>
            </w:pPr>
          </w:p>
        </w:tc>
      </w:tr>
      <w:tr>
        <w:trPr>
          <w:trHeight w:val="234"/>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w w:val="99"/>
              </w:rPr>
              <w:t>Main indicators and market share</w:t>
            </w: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1Q18</w:t>
            </w:r>
          </w:p>
        </w:tc>
        <w:tc>
          <w:tcPr>
            <w:tcW w:w="1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1Q18</w:t>
            </w:r>
          </w:p>
        </w:tc>
        <w:tc>
          <w:tcPr>
            <w:tcW w:w="80" w:type="dxa"/>
            <w:vAlign w:val="bottom"/>
          </w:tcPr>
          <w:p>
            <w:pPr>
              <w:spacing w:after="0"/>
              <w:rPr>
                <w:sz w:val="20"/>
                <w:szCs w:val="20"/>
                <w:color w:val="auto"/>
              </w:rPr>
            </w:pPr>
          </w:p>
        </w:tc>
        <w:tc>
          <w:tcPr>
            <w:tcW w:w="10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1Q18</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2Q18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2Q18</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2Q18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7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1,802,184</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6,716,325</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1,907,497</w:t>
            </w:r>
          </w:p>
        </w:tc>
        <w:tc>
          <w:tcPr>
            <w:tcW w:w="20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6,813,590</w:t>
            </w:r>
          </w:p>
        </w:tc>
        <w:tc>
          <w:tcPr>
            <w:tcW w:w="2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6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7"/>
          </w:tcPr>
          <w:p>
            <w:pPr>
              <w:jc w:val="right"/>
              <w:ind w:right="100"/>
              <w:spacing w:after="0"/>
              <w:rPr>
                <w:sz w:val="20"/>
                <w:szCs w:val="20"/>
                <w:color w:val="auto"/>
              </w:rPr>
            </w:pPr>
            <w:r>
              <w:rPr>
                <w:rFonts w:ascii="Arial" w:cs="Arial" w:eastAsia="Arial" w:hAnsi="Arial"/>
                <w:sz w:val="18"/>
                <w:szCs w:val="18"/>
                <w:color w:val="auto"/>
              </w:rPr>
              <w:t>115,427</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115,427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101,038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101,038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Funds under management (S/ Millions)</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49,877</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158,763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48,798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156,009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Collections (S/ Millions)</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7"/>
          </w:tcPr>
          <w:p>
            <w:pPr>
              <w:jc w:val="right"/>
              <w:ind w:right="100"/>
              <w:spacing w:after="0"/>
              <w:rPr>
                <w:sz w:val="20"/>
                <w:szCs w:val="20"/>
                <w:color w:val="auto"/>
              </w:rPr>
            </w:pPr>
            <w:r>
              <w:rPr>
                <w:rFonts w:ascii="Arial" w:cs="Arial" w:eastAsia="Arial" w:hAnsi="Arial"/>
                <w:sz w:val="18"/>
                <w:szCs w:val="18"/>
                <w:color w:val="auto"/>
              </w:rPr>
              <w:t>932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2,876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1,070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3,162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Voluntary contributions (S/ Millions)</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60" w:type="dxa"/>
            <w:vAlign w:val="bottom"/>
          </w:tcPr>
          <w:p>
            <w:pPr>
              <w:spacing w:after="0" w:line="269" w:lineRule="exact"/>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gridSpan w:val="2"/>
          </w:tcPr>
          <w:p>
            <w:pPr>
              <w:spacing w:after="0"/>
              <w:rPr>
                <w:sz w:val="23"/>
                <w:szCs w:val="23"/>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2,398</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7,437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2,563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7,767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April and May AFP Habitat had exclusivity of affiliation. From June Prima AFP it has exclusivity for being a winner of bidding.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11.9.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822950" cy="67748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22950" cy="677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and bonds and subordinated debt.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11.10. Disclosure about the impact of IFRS 9</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2014, the IASB issued the complete version of IFRS 9, which combines the phases of classification and measurement, impairment and hedging accounting of the IASB project to replaces IAS 39 “Financial instruments: Measurement and Recognition”. The new requirements were applied adjusting Credicorp’s consolidated financial statements as of January 1st, 2018, the date of IFRS9 application, without re-stating the information for the year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regards to the classification and measurement defined by IFRS 9, the requirements defined three categories of classification: Amortized cost, fair value through other comprehensive income and fair value through profit or loss. An instrument is classified depending on the objective of its business model, and if the contractual cash flows of the instrument only represent the payment of the principal and interest of the debt.</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combined application of the tests of the characteristics of the contractual cash flows and business models as of January 1</w:t>
      </w:r>
      <w:r>
        <w:rPr>
          <w:rFonts w:ascii="Arial" w:cs="Arial" w:eastAsia="Arial" w:hAnsi="Arial"/>
          <w:sz w:val="30"/>
          <w:szCs w:val="30"/>
          <w:color w:val="auto"/>
          <w:vertAlign w:val="superscript"/>
        </w:rPr>
        <w:t>st</w:t>
      </w:r>
      <w:r>
        <w:rPr>
          <w:rFonts w:ascii="Arial" w:cs="Arial" w:eastAsia="Arial" w:hAnsi="Arial"/>
          <w:sz w:val="18"/>
          <w:szCs w:val="18"/>
          <w:color w:val="auto"/>
        </w:rPr>
        <w:t>, 2018 resulted in certain differences when comparing the financial assets classified under IAS 39 with the same financial assets classified under IFRS 9.</w:t>
      </w:r>
    </w:p>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Approximately S/ 1,593.4 million of financial assets previously classified as available for sale under IAS 39 have been classified as fair value through profit or loss under IFRS 9. These assets had unrealized gains, which have been reclassified as retained earnings in the statement of changes in net equity.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IFRS 9 introduces a new model of impairment based on expected losses of the credit portfolio and other instruments which differ significantly from the current model under IAS 39 of credit losses incurred. In order to comply with the new model, it is necessary to classify each asset in one of the following phases of expected credit losses:</w:t>
      </w:r>
    </w:p>
    <w:p>
      <w:pPr>
        <w:spacing w:after="0" w:line="181" w:lineRule="exact"/>
        <w:rPr>
          <w:sz w:val="20"/>
          <w:szCs w:val="20"/>
          <w:color w:val="auto"/>
        </w:rPr>
      </w:pPr>
    </w:p>
    <w:p>
      <w:pPr>
        <w:ind w:firstLine="8"/>
        <w:spacing w:after="0" w:line="277" w:lineRule="auto"/>
        <w:tabs>
          <w:tab w:leader="none" w:pos="25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1: For financial assets of which the credit risk has not deteriorated significantly since its initial recognition, a reserve for losses will be recognized, equivalent to the credit losses which are expected to occur from defaults in the next 12 months.</w:t>
      </w:r>
    </w:p>
    <w:p>
      <w:pPr>
        <w:spacing w:after="0" w:line="170" w:lineRule="exact"/>
        <w:rPr>
          <w:rFonts w:ascii="Arial" w:cs="Arial" w:eastAsia="Arial" w:hAnsi="Arial"/>
          <w:sz w:val="18"/>
          <w:szCs w:val="18"/>
          <w:color w:val="auto"/>
        </w:rPr>
      </w:pPr>
    </w:p>
    <w:p>
      <w:pPr>
        <w:ind w:right="20" w:firstLine="8"/>
        <w:spacing w:after="0" w:line="277" w:lineRule="auto"/>
        <w:tabs>
          <w:tab w:leader="none" w:pos="2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2: For financial assets which have presented a significant increase in their credit risk, a reserve for losses will be recognized, equivalent to the credit losses which are expected to occur during the remaining life of the asset.</w:t>
      </w:r>
    </w:p>
    <w:p>
      <w:pPr>
        <w:spacing w:after="0" w:line="170" w:lineRule="exact"/>
        <w:rPr>
          <w:rFonts w:ascii="Arial" w:cs="Arial" w:eastAsia="Arial" w:hAnsi="Arial"/>
          <w:sz w:val="18"/>
          <w:szCs w:val="18"/>
          <w:color w:val="auto"/>
        </w:rPr>
      </w:pPr>
    </w:p>
    <w:p>
      <w:pPr>
        <w:ind w:firstLine="8"/>
        <w:spacing w:after="0" w:line="308" w:lineRule="auto"/>
        <w:tabs>
          <w:tab w:leader="none" w:pos="269" w:val="left"/>
        </w:tabs>
        <w:numPr>
          <w:ilvl w:val="0"/>
          <w:numId w:val="83"/>
        </w:numPr>
        <w:rPr>
          <w:rFonts w:ascii="Arial" w:cs="Arial" w:eastAsia="Arial" w:hAnsi="Arial"/>
          <w:sz w:val="17"/>
          <w:szCs w:val="17"/>
          <w:color w:val="auto"/>
        </w:rPr>
      </w:pPr>
      <w:r>
        <w:rPr>
          <w:rFonts w:ascii="Arial" w:cs="Arial" w:eastAsia="Arial" w:hAnsi="Arial"/>
          <w:sz w:val="17"/>
          <w:szCs w:val="17"/>
          <w:color w:val="auto"/>
        </w:rPr>
        <w:t>Phase 3: For financial assets with evidence of impairment at the reporting date a reserve for losses will be recognized, equivalent to the expected credit losses during the entire life of the asset. Interest income will be recognized based on the asset’s carrying amount, net of the loss reserve.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measurement of expected credit loss is mainly based on the product of the probability of default (PD), the loss given default (LGD) and the exposure at the time of default (EAD), discounted at the reporting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for the estimation of the parameters, the current macroeconomic condition is taken into account, as well as the expected macroeconomic conditions, based on three scenarios (base, optimistic and pessimistic), which are weighted to estimate the expected loss.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application of the new model of impairment produced an increase in the reserve for credit losses. The most significant impacts that were recognized 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January 1</w:t>
      </w:r>
      <w:r>
        <w:rPr>
          <w:rFonts w:ascii="Arial" w:cs="Arial" w:eastAsia="Arial" w:hAnsi="Arial"/>
          <w:sz w:val="30"/>
          <w:szCs w:val="30"/>
          <w:color w:val="auto"/>
          <w:vertAlign w:val="superscript"/>
        </w:rPr>
        <w:t>st</w:t>
      </w:r>
      <w:r>
        <w:rPr>
          <w:rFonts w:ascii="Arial" w:cs="Arial" w:eastAsia="Arial" w:hAnsi="Arial"/>
          <w:sz w:val="18"/>
          <w:szCs w:val="18"/>
          <w:color w:val="auto"/>
        </w:rPr>
        <w:t>, 2018 are the following:</w:t>
      </w:r>
    </w:p>
    <w:p>
      <w:pPr>
        <w:spacing w:after="0" w:line="140" w:lineRule="exact"/>
        <w:rPr>
          <w:sz w:val="20"/>
          <w:szCs w:val="20"/>
          <w:color w:val="auto"/>
        </w:rPr>
      </w:pPr>
    </w:p>
    <w:p>
      <w:pPr>
        <w:ind w:right="20" w:firstLine="8"/>
        <w:spacing w:after="0" w:line="277" w:lineRule="auto"/>
        <w:tabs>
          <w:tab w:leader="none" w:pos="2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S/320.7 millions in the provision for credit losses and the correspondent deferred income tax of S/ 94.6 million; resulting in a reduction in retained earnings of S/226.1 millions.</w:t>
      </w:r>
    </w:p>
    <w:p>
      <w:pPr>
        <w:spacing w:after="0" w:line="170" w:lineRule="exact"/>
        <w:rPr>
          <w:rFonts w:ascii="Arial" w:cs="Arial" w:eastAsia="Arial" w:hAnsi="Arial"/>
          <w:sz w:val="18"/>
          <w:szCs w:val="18"/>
          <w:color w:val="auto"/>
        </w:rPr>
      </w:pPr>
    </w:p>
    <w:p>
      <w:pPr>
        <w:ind w:firstLine="8"/>
        <w:spacing w:after="0" w:line="277" w:lineRule="auto"/>
        <w:tabs>
          <w:tab w:leader="none" w:pos="2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S/68.0 millions in the provisions for investments and the correspondent deferred income tax, which is considered non-material, resulting in a reduction in retained earnings.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new model of hedging accounting according to IFRS 9 seeks to simplify hedging accounting, aligning the accounting of the hedging relationships more closely with the risk management activities of an entity.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auto"/>
        </w:rPr>
        <w:t>For more detail about IFRS 9 implementation in Credicorp, please refer to the note 3(ad)(i) of the consolidated financial statements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International Financial Reporting Standards issued but not yet effective -</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Group decided not to early adopt the following standards and interpretations that were issued but are not effective as of December 31, 2017:</w:t>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IFRS 9 “Financial Instruments”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2014, the IASB issued the complete version of IFRS 9, which combines the phases of classification and measurement, impairment and hedging accounting of the IASB project to replaces IAS 39 “Financial instruments: Measurement and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Classification and measurement: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IFRS 9 establishes three categories of classification: Amortized cost, fair value through other comprehensive income and fair value through profit or loss.</w:t>
      </w:r>
    </w:p>
    <w:p>
      <w:pPr>
        <w:spacing w:after="0" w:line="2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debt instrument is classified and measured at amortized cost if: a) the objective of the business model is to maintain the financial asset, to collect the contractual cash flows, and b) the contractual cash flows of the instrument only represent the payment of the principal and interest of the debt.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Likewise, a debt instrument is classified and measured at fair value through other comprehensive income if: a) the objective of the business model is to maintain the financial asset, both to collect the contractual cash flows, as well as to sell them, and b) the contractual cash flows of the instrument only represent the payment of the principal and interest of the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All other debt instruments that do not satisfy the above-mentioned conditions must be classified and measured at fair value through profit or loss.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equity instrument is classified at fair value through profit or loss, unless it is not maintained for trading purposes, in which case, an entity may make an irrevocable choice at its initial recognition, to classify it at fair value through other comprehensive income, without subsequently having to reclassify it to profit or loss.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application of the tests on the characteristics of contractual cash flows and business models as of January 1, 2018, resulted in certain differences when comparing financial assets classified under IAS 39 with financial assets classified under IFRS 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S/1,593.4 million of financial assets previously classified as available for sale under IAS 39, have been classified as investments at fair value through profit or loss under IFRS 9. These financial assets held unrealized gains, which have been reclassified to the item retained earnings of the consolidated statement of changes in equity.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With regard to liabilities, most pre-existing requirements for classification and measurement previously included in IAS 39, have not changed in IFRS 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IFRS 9 introduces a new model of impairment based on expected losses of the credit portfolio and other instruments which differ significantly from the current model “under IAS 39 of credit losses incurred”, and it is expected to result in the early recognition of credit losses.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assets classified or designated at fair value through profit or loss and the capital instruments designated at fair value through other comprehensive income, are not subject to impairment assessment.</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Model of impairment of expected credit losses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IFRS 9, provisions for credit losses will be measured at each reporting date, following a three phase model of expected credit losses:</w:t>
      </w:r>
    </w:p>
    <w:p>
      <w:pPr>
        <w:spacing w:after="0" w:line="225" w:lineRule="exact"/>
        <w:rPr>
          <w:sz w:val="20"/>
          <w:szCs w:val="20"/>
          <w:color w:val="auto"/>
        </w:rPr>
      </w:pPr>
    </w:p>
    <w:p>
      <w:pPr>
        <w:ind w:firstLine="8"/>
        <w:spacing w:after="0" w:line="277" w:lineRule="auto"/>
        <w:tabs>
          <w:tab w:leader="none" w:pos="2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Phase 1: For financial assets of which the credit risk has not deteriorated significantly since its initial recognition, a reserve for losses will be recognized, equivalent to the credit losses which are expected to occur from defaults in the next 12 months.</w:t>
      </w:r>
    </w:p>
    <w:p>
      <w:pPr>
        <w:spacing w:after="0" w:line="170" w:lineRule="exact"/>
        <w:rPr>
          <w:rFonts w:ascii="Arial" w:cs="Arial" w:eastAsia="Arial" w:hAnsi="Arial"/>
          <w:sz w:val="18"/>
          <w:szCs w:val="18"/>
          <w:color w:val="auto"/>
        </w:rPr>
      </w:pPr>
    </w:p>
    <w:p>
      <w:pPr>
        <w:ind w:right="20" w:firstLine="8"/>
        <w:spacing w:after="0" w:line="277" w:lineRule="auto"/>
        <w:tabs>
          <w:tab w:leader="none" w:pos="2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Phase 2: For financial assets which have presented a significant increase in their credit risk, a reserve for losses will be recognized, equivalent to the credit losses which are expected to occur during the remaining life of the asset.</w:t>
      </w:r>
    </w:p>
    <w:p>
      <w:pPr>
        <w:spacing w:after="0" w:line="170" w:lineRule="exact"/>
        <w:rPr>
          <w:rFonts w:ascii="Arial" w:cs="Arial" w:eastAsia="Arial" w:hAnsi="Arial"/>
          <w:sz w:val="18"/>
          <w:szCs w:val="18"/>
          <w:color w:val="auto"/>
        </w:rPr>
      </w:pPr>
    </w:p>
    <w:p>
      <w:pPr>
        <w:ind w:firstLine="8"/>
        <w:spacing w:after="0" w:line="308" w:lineRule="auto"/>
        <w:tabs>
          <w:tab w:leader="none" w:pos="269" w:val="left"/>
        </w:tabs>
        <w:numPr>
          <w:ilvl w:val="0"/>
          <w:numId w:val="85"/>
        </w:numPr>
        <w:rPr>
          <w:rFonts w:ascii="Arial" w:cs="Arial" w:eastAsia="Arial" w:hAnsi="Arial"/>
          <w:sz w:val="17"/>
          <w:szCs w:val="17"/>
          <w:color w:val="auto"/>
        </w:rPr>
      </w:pPr>
      <w:r>
        <w:rPr>
          <w:rFonts w:ascii="Arial" w:cs="Arial" w:eastAsia="Arial" w:hAnsi="Arial"/>
          <w:sz w:val="17"/>
          <w:szCs w:val="17"/>
          <w:color w:val="auto"/>
        </w:rPr>
        <w:t>Phase 3: For financial assets with evidence of impairment at the reporting date a reserve for losses will be recognized, equivalent to the expected credit losses during the entire life of the asset. Interest income will be recognized based on the asset’s carrying amount, net of the loss reserve.</w:t>
      </w:r>
    </w:p>
    <w:p>
      <w:pPr>
        <w:spacing w:after="0" w:line="1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reserves for credit losses of Phase 1 and Phase 2 effectively replace the general reserve determined for loans not yet identified as impaired under IAS 39, although the reserves for credit losses of Phase 3 effectively replace the general reserves determined for impaired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Measurement -</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measurement of expected credit loss is mainly based on the product of the probability of default (PD), the loss given default (LGD) and the exposure at the time of default (EAD), discounted at the reporting date and considering the expected macroeconomic effects, all according to the new regulation.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fundamental difference between the credit loss considered as Phase 1 and Phase 2 is the horizon of PD. The estimates of Phase 1 use a 12-month horizon, while those in Phase 2 use an expected loss calculated with the remaining term of the asset and it considers the effect of the significant increase in the risk. Finally, in Phase 3, the expected loss will be estimated based on the best estimate (“ELBE” from its initials in English), given the situation of the collection process of each asset.</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above method applies to all the portfolios, with the exception of some portfolios of reduced materiality and of which there is insufficient historical depth and/or loss experience.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these cases, simplified approaches will be applied, based on the reality of each portfolio and with reasonable supported and documented criteria.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Changes from one phase to another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classification of an instrument as phase 1 or phase 2 depends on the concept of “significant impairment” on the reporting date in comparison with the origination date. In this sense, the definition used considers the following criteria:</w:t>
      </w:r>
    </w:p>
    <w:p>
      <w:pPr>
        <w:spacing w:after="0" w:line="170" w:lineRule="exact"/>
        <w:rPr>
          <w:sz w:val="20"/>
          <w:szCs w:val="20"/>
          <w:color w:val="auto"/>
        </w:rPr>
      </w:pPr>
    </w:p>
    <w:p>
      <w:pPr>
        <w:ind w:left="200" w:hanging="192"/>
        <w:spacing w:after="0"/>
        <w:tabs>
          <w:tab w:leader="none" w:pos="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account is classified in phase 2 if it has been more than N days in arrears.</w:t>
      </w:r>
    </w:p>
    <w:p>
      <w:pPr>
        <w:spacing w:after="0" w:line="211" w:lineRule="exact"/>
        <w:rPr>
          <w:rFonts w:ascii="Arial" w:cs="Arial" w:eastAsia="Arial" w:hAnsi="Arial"/>
          <w:sz w:val="18"/>
          <w:szCs w:val="18"/>
          <w:color w:val="auto"/>
        </w:rPr>
      </w:pPr>
    </w:p>
    <w:p>
      <w:pPr>
        <w:ind w:firstLine="8"/>
        <w:spacing w:after="0" w:line="277" w:lineRule="auto"/>
        <w:tabs>
          <w:tab w:leader="none" w:pos="2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Risk thresholds have been established based on the internal models and on relative thresholds of differences (by portfolio and risk level) in which the instrument originated.</w:t>
      </w:r>
    </w:p>
    <w:p>
      <w:pPr>
        <w:spacing w:after="0" w:line="156" w:lineRule="exact"/>
        <w:rPr>
          <w:rFonts w:ascii="Arial" w:cs="Arial" w:eastAsia="Arial" w:hAnsi="Arial"/>
          <w:sz w:val="18"/>
          <w:szCs w:val="18"/>
          <w:color w:val="auto"/>
        </w:rPr>
      </w:pPr>
    </w:p>
    <w:p>
      <w:pPr>
        <w:ind w:firstLine="8"/>
        <w:spacing w:after="0" w:line="277" w:lineRule="auto"/>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follow up, warning and monitoring systems of the risk portfolios which depend on the current risk policy in Wholesale and Retail Banking, are integrated.</w:t>
      </w:r>
    </w:p>
    <w:p>
      <w:pPr>
        <w:spacing w:after="0" w:line="15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Additionally, all those accounts which are classified as in default at the reporting date are considered as phase 3. The evaluations of significant risk increase, and credit impairment are carried out independently at each reporting date. Assets can move in both directions from one phase to another.</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Prospective information -</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measurement of expected credit losses for each phase and the evaluation of significant increases in credit risk must consider information regarding previous events and current conditions, as well as forecasts of future economic events and conditions. For the estimation of the risk parameters (PD, LGD, EAD), used in the calculation of the provision in phases 1 and 2, macroeconomic variables were included which vary between portfolios. These forecasts are for a three-year period and, additionally, there is a long-term forecast.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estimation of the expected loss for phases 1, 2 and 3 will be a weighted estimate which considers three future macroeconomic scenarios. The basic, optimistic and pessimistic scenarios are based on macroeconomic forecasts provided by the in-house economic studies team and approved by Senior Management. This same team also provides the probability of occurrence of each scenario. It should be pointed out that the scenario design is adjusted at least once a year and this can be done more frequently if the conditions of the environment require 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Expected life -</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instruments in Phase 2 or 3, the reserves for losses will cover the expected credit losses during the lifetime of the instrument. For most of the instruments, the expected lifetime is limited to the remaining life of the product, adjusted for expected future payments. In the case of revolving products, an analysis was made in order to determine what would be the expected period of life.</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application of the new impairment model generated increases in the reserve for credit losses under the new requirements. Below we present the most significant impacts that were recognized on January 1, 2018:</w:t>
      </w:r>
    </w:p>
    <w:p>
      <w:pPr>
        <w:spacing w:after="0" w:line="170" w:lineRule="exact"/>
        <w:rPr>
          <w:sz w:val="20"/>
          <w:szCs w:val="20"/>
          <w:color w:val="auto"/>
        </w:rPr>
      </w:pPr>
    </w:p>
    <w:p>
      <w:pPr>
        <w:ind w:right="20" w:firstLine="8"/>
        <w:spacing w:after="0" w:line="277" w:lineRule="auto"/>
        <w:tabs>
          <w:tab w:leader="none" w:pos="223"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Increase in the allowance for loan losses for S/320.7 million and its corresponding deferred income tax for S/94.6 million; resulting in a reduction in the retained earnings of S/226.1 million.</w:t>
      </w:r>
    </w:p>
    <w:p>
      <w:pPr>
        <w:spacing w:after="0" w:line="170" w:lineRule="exact"/>
        <w:rPr>
          <w:rFonts w:ascii="Arial" w:cs="Arial" w:eastAsia="Arial" w:hAnsi="Arial"/>
          <w:sz w:val="18"/>
          <w:szCs w:val="18"/>
          <w:color w:val="auto"/>
        </w:rPr>
      </w:pPr>
    </w:p>
    <w:p>
      <w:pPr>
        <w:ind w:right="20" w:firstLine="8"/>
        <w:spacing w:after="0" w:line="277" w:lineRule="auto"/>
        <w:tabs>
          <w:tab w:leader="none" w:pos="2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Increase in the provision for investments for S/68.1 million and its corresponding deferred income tax, which was immaterial, resulting in a reduction in the retained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Hedging accounting: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model of hedging accounting according to IFRS 9 seeks to simplify hedging accounting, align the accounting of the hedging relationships more closely with the risk management activities of an entity and permit hedging accounting to be applied more widely to a greater variety of hedging instruments and risks suitable for hedging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IFRS 9 is effective for accounting periods beginning on or after 1 January 2018. Early adoption is permitted.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classification, measurement and impairment requirements will be applied adjusting our consolidated statement of financial position at January 1, 2018, date of initial application, without restating the financial information of the comparative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8"/>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2"/>
    </w:lvl>
  </w:abstractNum>
  <w:abstractNum w:abstractNumId="7">
    <w:nsid w:val="38437FDB"/>
    <w:multiLevelType w:val="hybridMultilevel"/>
    <w:lvl w:ilvl="0">
      <w:lvlJc w:val="left"/>
      <w:lvlText w:val="(%1)"/>
      <w:numFmt w:val="lowerRoman"/>
      <w:start w:val="1"/>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lowerRoman"/>
      <w:start w:val="1"/>
    </w:lvl>
  </w:abstractNum>
  <w:abstractNum w:abstractNumId="10">
    <w:nsid w:val="684A481A"/>
    <w:multiLevelType w:val="hybridMultilevel"/>
    <w:lvl w:ilvl="0">
      <w:lvlJc w:val="left"/>
      <w:lvlText w:val="(%1)"/>
      <w:numFmt w:val="lowerRoman"/>
      <w:start w:val="1"/>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1)"/>
      <w:numFmt w:val="lowerRoman"/>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1)"/>
      <w:numFmt w:val="lowerRoman"/>
      <w:start w:val="1"/>
    </w:lvl>
  </w:abstractNum>
  <w:abstractNum w:abstractNumId="18">
    <w:nsid w:val="70C6A529"/>
    <w:multiLevelType w:val="hybridMultilevel"/>
    <w:lvl w:ilvl="0">
      <w:lvlJc w:val="left"/>
      <w:lvlText w:val="(%1)"/>
      <w:numFmt w:val="lowerRoman"/>
      <w:start w:val="1"/>
    </w:lvl>
  </w:abstractNum>
  <w:abstractNum w:abstractNumId="19">
    <w:nsid w:val="520EEDD1"/>
    <w:multiLevelType w:val="hybridMultilevel"/>
    <w:lvl w:ilvl="0">
      <w:lvlJc w:val="left"/>
      <w:lvlText w:val="(%1)"/>
      <w:numFmt w:val="lowerRoman"/>
      <w:start w:val="1"/>
    </w:lvl>
  </w:abstractNum>
  <w:abstractNum w:abstractNumId="20">
    <w:nsid w:val="374A3FE6"/>
    <w:multiLevelType w:val="hybridMultilevel"/>
    <w:lvl w:ilvl="0">
      <w:lvlJc w:val="left"/>
      <w:lvlText w:val="(%1)"/>
      <w:numFmt w:val="lowerRoman"/>
      <w:start w:val="1"/>
    </w:lvl>
  </w:abstractNum>
  <w:abstractNum w:abstractNumId="21">
    <w:nsid w:val="4F4EF005"/>
    <w:multiLevelType w:val="hybridMultilevel"/>
    <w:lvl w:ilvl="0">
      <w:lvlJc w:val="left"/>
      <w:lvlText w:val="1"/>
      <w:numFmt w:val="bullet"/>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1)"/>
      <w:numFmt w:val="lowerRoman"/>
      <w:start w:val="1"/>
    </w:lvl>
  </w:abstractNum>
  <w:abstractNum w:abstractNumId="24">
    <w:nsid w:val="275AC794"/>
    <w:multiLevelType w:val="hybridMultilevel"/>
    <w:lvl w:ilvl="0">
      <w:lvlJc w:val="left"/>
      <w:lvlText w:val="(%1)"/>
      <w:numFmt w:val="decimal"/>
      <w:start w:val="1"/>
    </w:lvl>
    <w:lvl w:ilvl="1">
      <w:lvlJc w:val="left"/>
      <w:lvlText w:val="(%2)"/>
      <w:numFmt w:val="lowerRoman"/>
      <w:start w:val="1"/>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lowerRoman"/>
      <w:start w:val="1"/>
    </w:lvl>
  </w:abstractNum>
  <w:abstractNum w:abstractNumId="28">
    <w:nsid w:val="235BA861"/>
    <w:multiLevelType w:val="hybridMultilevel"/>
    <w:lvl w:ilvl="0">
      <w:lvlJc w:val="left"/>
      <w:lvlText w:val="(%1)"/>
      <w:numFmt w:val="lowerRoman"/>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lowerRoman"/>
      <w:start w:val="1"/>
    </w:lvl>
  </w:abstractNum>
  <w:abstractNum w:abstractNumId="31">
    <w:nsid w:val="15B5AF5C"/>
    <w:multiLevelType w:val="hybridMultilevel"/>
    <w:lvl w:ilvl="0">
      <w:lvlJc w:val="left"/>
      <w:lvlText w:val="(%1)"/>
      <w:numFmt w:val="lowerRoman"/>
      <w:start w:val="1"/>
    </w:lvl>
  </w:abstractNum>
  <w:abstractNum w:abstractNumId="32">
    <w:nsid w:val="741226BB"/>
    <w:multiLevelType w:val="hybridMultilevel"/>
    <w:lvl w:ilvl="0">
      <w:lvlJc w:val="left"/>
      <w:lvlText w:val="(%1)"/>
      <w:numFmt w:val="lowerRoman"/>
      <w:start w:val="2"/>
    </w:lvl>
  </w:abstractNum>
  <w:abstractNum w:abstractNumId="33">
    <w:nsid w:val="D34B6A8"/>
    <w:multiLevelType w:val="hybridMultilevel"/>
    <w:lvl w:ilvl="0">
      <w:lvlJc w:val="left"/>
      <w:lvlText w:val="(%1)"/>
      <w:numFmt w:val="lowerRoman"/>
      <w:start w:val="3"/>
    </w:lvl>
  </w:abstractNum>
  <w:abstractNum w:abstractNumId="34">
    <w:nsid w:val="10233C99"/>
    <w:multiLevelType w:val="hybridMultilevel"/>
    <w:lvl w:ilvl="0">
      <w:lvlJc w:val="left"/>
      <w:lvlText w:val="(%1)"/>
      <w:numFmt w:val="lowerRoman"/>
      <w:start w:val="4"/>
    </w:lvl>
  </w:abstractNum>
  <w:abstractNum w:abstractNumId="35">
    <w:nsid w:val="3F6AB60F"/>
    <w:multiLevelType w:val="hybridMultilevel"/>
    <w:lvl w:ilvl="0">
      <w:lvlJc w:val="left"/>
      <w:lvlText w:val="(%1)"/>
      <w:numFmt w:val="lowerRoman"/>
      <w:start w:val="5"/>
    </w:lvl>
  </w:abstractNum>
  <w:abstractNum w:abstractNumId="36">
    <w:nsid w:val="61574095"/>
    <w:multiLevelType w:val="hybridMultilevel"/>
    <w:lvl w:ilvl="0">
      <w:lvlJc w:val="left"/>
      <w:lvlText w:val="(%1)"/>
      <w:numFmt w:val="lowerRoman"/>
      <w:start w:val="6"/>
    </w:lvl>
  </w:abstractNum>
  <w:abstractNum w:abstractNumId="37">
    <w:nsid w:val="7E0C57B1"/>
    <w:multiLevelType w:val="hybridMultilevel"/>
    <w:lvl w:ilvl="0">
      <w:lvlJc w:val="left"/>
      <w:lvlText w:val="(%1)"/>
      <w:numFmt w:val="lowerRoman"/>
      <w:start w:val="7"/>
    </w:lvl>
  </w:abstractNum>
  <w:abstractNum w:abstractNumId="38">
    <w:nsid w:val="77AE35EB"/>
    <w:multiLevelType w:val="hybridMultilevel"/>
    <w:lvl w:ilvl="0">
      <w:lvlJc w:val="left"/>
      <w:lvlText w:val="(%1)"/>
      <w:numFmt w:val="lowerRoman"/>
      <w:start w:val="8"/>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lowerRoman"/>
      <w:start w:val="1"/>
    </w:lvl>
  </w:abstractNum>
  <w:abstractNum w:abstractNumId="41">
    <w:nsid w:val="5FF87E05"/>
    <w:multiLevelType w:val="hybridMultilevel"/>
    <w:lvl w:ilvl="0">
      <w:lvlJc w:val="left"/>
      <w:lvlText w:val="(%1)"/>
      <w:numFmt w:val="lowerRoman"/>
      <w:start w:val="1"/>
    </w:lvl>
  </w:abstractNum>
  <w:abstractNum w:abstractNumId="42">
    <w:nsid w:val="2F305DEF"/>
    <w:multiLevelType w:val="hybridMultilevel"/>
    <w:lvl w:ilvl="0">
      <w:lvlJc w:val="left"/>
      <w:lvlText w:val="(%1)"/>
      <w:numFmt w:val="lowerRoman"/>
      <w:start w:val="1"/>
    </w:lvl>
  </w:abstractNum>
  <w:abstractNum w:abstractNumId="43">
    <w:nsid w:val="25A70BF7"/>
    <w:multiLevelType w:val="hybridMultilevel"/>
    <w:lvl w:ilvl="0">
      <w:lvlJc w:val="left"/>
      <w:lvlText w:val="(%1)"/>
      <w:numFmt w:val="lowerRoman"/>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lowerRoman"/>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3"/>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lowerRoman"/>
      <w:start w:val="1"/>
    </w:lvl>
  </w:abstractNum>
  <w:abstractNum w:abstractNumId="50">
    <w:nsid w:val="6590700B"/>
    <w:multiLevelType w:val="hybridMultilevel"/>
    <w:lvl w:ilvl="0">
      <w:lvlJc w:val="left"/>
      <w:lvlText w:val="(%1)"/>
      <w:numFmt w:val="lowerRoman"/>
      <w:start w:val="1"/>
    </w:lvl>
  </w:abstractNum>
  <w:abstractNum w:abstractNumId="51">
    <w:nsid w:val="15014ACB"/>
    <w:multiLevelType w:val="hybridMultilevel"/>
    <w:lvl w:ilvl="0">
      <w:lvlJc w:val="left"/>
      <w:lvlText w:val="(%1)"/>
      <w:numFmt w:val="lowerRoman"/>
      <w:start w:val="1"/>
    </w:lvl>
  </w:abstractNum>
  <w:abstractNum w:abstractNumId="52">
    <w:nsid w:val="5F5E7FD0"/>
    <w:multiLevelType w:val="hybridMultilevel"/>
    <w:lvl w:ilvl="0">
      <w:lvlJc w:val="left"/>
      <w:lvlText w:val="(%1)"/>
      <w:numFmt w:val="lowerRoman"/>
      <w:start w:val="1"/>
    </w:lvl>
  </w:abstractNum>
  <w:abstractNum w:abstractNumId="53">
    <w:nsid w:val="98A3148"/>
    <w:multiLevelType w:val="hybridMultilevel"/>
    <w:lvl w:ilvl="0">
      <w:lvlJc w:val="left"/>
      <w:lvlText w:val="(%1)"/>
      <w:numFmt w:val="lowerRoman"/>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lowerRoman"/>
      <w:start w:val="1"/>
    </w:lvl>
  </w:abstractNum>
  <w:abstractNum w:abstractNumId="56">
    <w:nsid w:val="42C296BD"/>
    <w:multiLevelType w:val="hybridMultilevel"/>
    <w:lvl w:ilvl="0">
      <w:lvlJc w:val="left"/>
      <w:lvlText w:val="(%1)"/>
      <w:numFmt w:val="lowerRoman"/>
      <w:start w:val="1"/>
    </w:lvl>
  </w:abstractNum>
  <w:abstractNum w:abstractNumId="57">
    <w:nsid w:val="168E121F"/>
    <w:multiLevelType w:val="hybridMultilevel"/>
    <w:lvl w:ilvl="0">
      <w:lvlJc w:val="left"/>
      <w:lvlText w:val="(%1)"/>
      <w:numFmt w:val="lowerRoman"/>
      <w:start w:val="1"/>
    </w:lvl>
  </w:abstractNum>
  <w:abstractNum w:abstractNumId="58">
    <w:nsid w:val="1EBA5D23"/>
    <w:multiLevelType w:val="hybridMultilevel"/>
    <w:lvl w:ilvl="0">
      <w:lvlJc w:val="left"/>
      <w:lvlText w:val="(%1)"/>
      <w:numFmt w:val="lowerRoman"/>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lowerRoman"/>
      <w:start w:val="1"/>
    </w:lvl>
  </w:abstractNum>
  <w:abstractNum w:abstractNumId="61">
    <w:nsid w:val="540A471C"/>
    <w:multiLevelType w:val="hybridMultilevel"/>
    <w:lvl w:ilvl="0">
      <w:lvlJc w:val="left"/>
      <w:lvlText w:val="(%1)"/>
      <w:numFmt w:val="lowerRoman"/>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lowerRoman"/>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4"/>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lowerRoman"/>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1"/>
    </w:lvl>
    <w:lvl w:ilvl="1">
      <w:lvlJc w:val="left"/>
      <w:lvlText w:val="(%2)"/>
      <w:numFmt w:val="decimal"/>
      <w:start w:val="1"/>
    </w:lvl>
  </w:abstractNum>
  <w:abstractNum w:abstractNumId="74">
    <w:nsid w:val="60B6DF70"/>
    <w:multiLevelType w:val="hybridMultilevel"/>
    <w:lvl w:ilvl="0">
      <w:lvlJc w:val="left"/>
      <w:lvlText w:val="(%1)"/>
      <w:numFmt w:val="decimal"/>
      <w:start w:val="2"/>
    </w:lvl>
    <w:lvl w:ilvl="1">
      <w:lvlJc w:val="left"/>
      <w:lvlText w:val="%2"/>
      <w:numFmt w:val="decimal"/>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1)"/>
      <w:numFmt w:val="lowerRoman"/>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2019-12-06T06:29:07Z</dcterms:created>
  <dcterms:modified xsi:type="dcterms:W3CDTF">2019-12-06T06:29:07Z</dcterms:modified>
</cp:coreProperties>
</file>