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248285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October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257810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250825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77" w:right="619" w:bottom="1440" w:gutter="0" w:footer="0" w:header="0"/>
        </w:sectPr>
      </w:pPr>
    </w:p>
    <w:bookmarkStart w:id="1" w:name="page2"/>
    <w:bookmarkEnd w:id="1"/>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2007</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Material Event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company, Credicorp Ltd. in accordance with article 28° of the Peruvian Capital Market Law (TUO-Texto Único Ordenado) approved by the Supreme Decree N° 093-2002-EF and the Material Event Regulation, Private Information and other Communications, approved by the Conasev Resolution N° 107-2002-EF (The Rule), modified by Conasev Resolution N° 009-2003-EF/94.10 (The Regulation), hereby notifies you on the following “Material Event”:</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Credicorp Ltd., in its session held October 25, 2007 was informed of the decision taken by the CEO, Mr. Raimundo Morales Dasso of his resignation, and appointed Mr. Walter Bayly Llona who is currently Chief Financial Officer (CFO), as his replacement. Mr. Bayly´s position will be in turn taken by Mr. Alvaro Correa. These appointments will be effective April 1, 2008.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was also informed of the resignation of the Deputy CEO Mr. Carlos Muñoz Semsch.</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of Directors made public its appreciation to Mr. Morales for his valuable contribution to the corporation throughout the 17 years he performed as CEO.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Represente Bursátil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SIGNAGURE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26, 2007</w:t>
      </w:r>
      <w:r>
        <w:rPr>
          <w:sz w:val="20"/>
          <w:szCs w:val="20"/>
          <w:color w:val="auto"/>
        </w:rPr>
        <w:tab/>
      </w:r>
      <w:r>
        <w:rPr>
          <w:rFonts w:ascii="Arial" w:cs="Arial" w:eastAsia="Arial" w:hAnsi="Arial"/>
          <w:sz w:val="16"/>
          <w:szCs w:val="16"/>
          <w:color w:val="auto"/>
        </w:rPr>
        <w:t>By: /s/ Fernando Palao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2019-12-14T06:45:03Z</dcterms:created>
  <dcterms:modified xsi:type="dcterms:W3CDTF">2019-12-14T06:45:03Z</dcterms:modified>
</cp:coreProperties>
</file>