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2020</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5"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June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notify you as a Material Event that the Board of Directors of Credicorp Ltd. (“Credicorp”), in its session held on June 3, 2020, has approved the new criteria that the company will apply to determine the independence of its directors.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 to the new criteria, which are part of Credicorp Corporate Governance Policies, Credicorp will deem a director as independent for purposes of its internal policies if he/she meets each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6" w:lineRule="exact"/>
        <w:rPr>
          <w:sz w:val="20"/>
          <w:szCs w:val="20"/>
          <w:color w:val="auto"/>
        </w:rPr>
      </w:pPr>
    </w:p>
    <w:p>
      <w:pPr>
        <w:ind w:left="580" w:hanging="333"/>
        <w:spacing w:after="0"/>
        <w:tabs>
          <w:tab w:leader="none" w:pos="580" w:val="left"/>
        </w:tabs>
        <w:numPr>
          <w:ilvl w:val="0"/>
          <w:numId w:val="1"/>
        </w:numPr>
        <w:rPr>
          <w:rFonts w:ascii="Arial" w:cs="Arial" w:eastAsia="Arial" w:hAnsi="Arial"/>
          <w:sz w:val="34"/>
          <w:szCs w:val="34"/>
          <w:color w:val="auto"/>
          <w:vertAlign w:val="subscript"/>
        </w:rPr>
      </w:pPr>
      <w:r>
        <w:rPr>
          <w:rFonts w:ascii="Arial" w:cs="Arial" w:eastAsia="Arial" w:hAnsi="Arial"/>
          <w:sz w:val="17"/>
          <w:szCs w:val="17"/>
          <w:b w:val="1"/>
          <w:bCs w:val="1"/>
          <w:color w:val="auto"/>
        </w:rPr>
        <w:t xml:space="preserve">Employee or Related Director of Credicorp  </w:t>
      </w:r>
      <w:r>
        <w:rPr>
          <w:rFonts w:ascii="Arial" w:cs="Arial" w:eastAsia="Arial" w:hAnsi="Arial"/>
          <w:sz w:val="17"/>
          <w:szCs w:val="17"/>
          <w:color w:val="auto"/>
        </w:rPr>
        <w:t>Not being or having been, in the last three years, a Related Director or employee of Credicorp</w:t>
      </w:r>
    </w:p>
    <w:p>
      <w:pPr>
        <w:spacing w:after="0" w:line="1" w:lineRule="exact"/>
        <w:rPr>
          <w:rFonts w:ascii="Arial" w:cs="Arial" w:eastAsia="Arial" w:hAnsi="Arial"/>
          <w:sz w:val="34"/>
          <w:szCs w:val="34"/>
          <w:color w:val="auto"/>
          <w:vertAlign w:val="subscript"/>
        </w:rPr>
      </w:pPr>
    </w:p>
    <w:p>
      <w:pPr>
        <w:ind w:left="580"/>
        <w:spacing w:after="0"/>
        <w:rPr>
          <w:rFonts w:ascii="Arial" w:cs="Arial" w:eastAsia="Arial" w:hAnsi="Arial"/>
          <w:sz w:val="34"/>
          <w:szCs w:val="34"/>
          <w:color w:val="auto"/>
          <w:vertAlign w:val="subscript"/>
        </w:rPr>
      </w:pPr>
      <w:r>
        <w:rPr>
          <w:rFonts w:ascii="Arial" w:cs="Arial" w:eastAsia="Arial" w:hAnsi="Arial"/>
          <w:sz w:val="18"/>
          <w:szCs w:val="18"/>
          <w:b w:val="1"/>
          <w:bCs w:val="1"/>
          <w:color w:val="auto"/>
        </w:rPr>
        <w:t>and/or Subsidiaries</w:t>
      </w:r>
      <w:r>
        <w:rPr>
          <w:rFonts w:ascii="Arial" w:cs="Arial" w:eastAsia="Arial" w:hAnsi="Arial"/>
          <w:sz w:val="16"/>
          <w:szCs w:val="16"/>
          <w:color w:val="auto"/>
        </w:rPr>
        <w:t>and/or subsidiaries.</w:t>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2</w:t>
            </w:r>
          </w:p>
        </w:tc>
        <w:tc>
          <w:tcPr>
            <w:tcW w:w="33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w w:val="92"/>
              </w:rPr>
              <w:t>Employee or Director of Company holding</w:t>
            </w:r>
          </w:p>
        </w:tc>
        <w:tc>
          <w:tcPr>
            <w:tcW w:w="73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Not being or having been, in the last three years, a director or employee of a company holding</w:t>
            </w:r>
          </w:p>
        </w:tc>
        <w:tc>
          <w:tcPr>
            <w:tcW w:w="0" w:type="dxa"/>
            <w:vAlign w:val="bottom"/>
          </w:tcPr>
          <w:p>
            <w:pPr>
              <w:spacing w:after="0"/>
              <w:rPr>
                <w:sz w:val="1"/>
                <w:szCs w:val="1"/>
                <w:color w:val="auto"/>
              </w:rPr>
            </w:pPr>
          </w:p>
        </w:tc>
      </w:tr>
      <w:tr>
        <w:trPr>
          <w:trHeight w:val="176"/>
        </w:trPr>
        <w:tc>
          <w:tcPr>
            <w:tcW w:w="340" w:type="dxa"/>
            <w:vAlign w:val="bottom"/>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7300" w:type="dxa"/>
            <w:vAlign w:val="bottom"/>
          </w:tcPr>
          <w:p>
            <w:pPr>
              <w:ind w:left="100"/>
              <w:spacing w:after="0" w:line="176" w:lineRule="exact"/>
              <w:rPr>
                <w:sz w:val="20"/>
                <w:szCs w:val="20"/>
                <w:color w:val="auto"/>
              </w:rPr>
            </w:pPr>
            <w:r>
              <w:rPr>
                <w:rFonts w:ascii="Arial" w:cs="Arial" w:eastAsia="Arial" w:hAnsi="Arial"/>
                <w:sz w:val="18"/>
                <w:szCs w:val="18"/>
                <w:color w:val="auto"/>
                <w:w w:val="91"/>
              </w:rPr>
              <w:t>&gt;/=5% interest in Credicorp. This criterion shall not apply to directors with an independent status in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b w:val="1"/>
                <w:bCs w:val="1"/>
                <w:color w:val="auto"/>
              </w:rPr>
              <w:t>&gt;=5% interest in Credicorp</w:t>
            </w:r>
          </w:p>
        </w:tc>
        <w:tc>
          <w:tcPr>
            <w:tcW w:w="7300" w:type="dxa"/>
            <w:vAlign w:val="bottom"/>
            <w:vMerge w:val="restart"/>
          </w:tcPr>
          <w:p>
            <w:pPr>
              <w:ind w:left="100"/>
              <w:spacing w:after="0"/>
              <w:rPr>
                <w:sz w:val="20"/>
                <w:szCs w:val="20"/>
                <w:color w:val="auto"/>
              </w:rPr>
            </w:pPr>
            <w:r>
              <w:rPr>
                <w:rFonts w:ascii="Arial" w:cs="Arial" w:eastAsia="Arial" w:hAnsi="Arial"/>
                <w:sz w:val="18"/>
                <w:szCs w:val="18"/>
                <w:color w:val="auto"/>
              </w:rPr>
              <w:t>Credicorp and/or subsidiaries.</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73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3</w:t>
            </w:r>
          </w:p>
        </w:tc>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Shareholder holding &gt;1% interest in</w:t>
            </w:r>
          </w:p>
        </w:tc>
        <w:tc>
          <w:tcPr>
            <w:tcW w:w="7300" w:type="dxa"/>
            <w:vAlign w:val="bottom"/>
          </w:tcPr>
          <w:p>
            <w:pPr>
              <w:ind w:left="100"/>
              <w:spacing w:after="0" w:line="195" w:lineRule="exact"/>
              <w:rPr>
                <w:sz w:val="20"/>
                <w:szCs w:val="20"/>
                <w:color w:val="auto"/>
              </w:rPr>
            </w:pPr>
            <w:r>
              <w:rPr>
                <w:rFonts w:ascii="Arial" w:cs="Arial" w:eastAsia="Arial" w:hAnsi="Arial"/>
                <w:sz w:val="18"/>
                <w:szCs w:val="18"/>
                <w:color w:val="auto"/>
                <w:w w:val="92"/>
              </w:rPr>
              <w:t>Not being a shareholder with &gt;1% interest in Credicorp, not being entitled to exercise voting rights</w:t>
            </w:r>
          </w:p>
        </w:tc>
        <w:tc>
          <w:tcPr>
            <w:tcW w:w="0" w:type="dxa"/>
            <w:vAlign w:val="bottom"/>
          </w:tcPr>
          <w:p>
            <w:pPr>
              <w:spacing w:after="0"/>
              <w:rPr>
                <w:sz w:val="1"/>
                <w:szCs w:val="1"/>
                <w:color w:val="auto"/>
              </w:rPr>
            </w:pPr>
          </w:p>
        </w:tc>
      </w:tr>
      <w:tr>
        <w:trPr>
          <w:trHeight w:val="104"/>
        </w:trPr>
        <w:tc>
          <w:tcPr>
            <w:tcW w:w="340" w:type="dxa"/>
            <w:vAlign w:val="bottom"/>
            <w:vMerge w:val="continue"/>
          </w:tcPr>
          <w:p>
            <w:pPr>
              <w:spacing w:after="0"/>
              <w:rPr>
                <w:sz w:val="9"/>
                <w:szCs w:val="9"/>
                <w:color w:val="auto"/>
              </w:rPr>
            </w:pPr>
          </w:p>
        </w:tc>
        <w:tc>
          <w:tcPr>
            <w:tcW w:w="3360" w:type="dxa"/>
            <w:vAlign w:val="bottom"/>
            <w:vMerge w:val="continue"/>
          </w:tcPr>
          <w:p>
            <w:pPr>
              <w:spacing w:after="0"/>
              <w:rPr>
                <w:sz w:val="9"/>
                <w:szCs w:val="9"/>
                <w:color w:val="auto"/>
              </w:rPr>
            </w:pPr>
          </w:p>
        </w:tc>
        <w:tc>
          <w:tcPr>
            <w:tcW w:w="7300" w:type="dxa"/>
            <w:vAlign w:val="bottom"/>
            <w:vMerge w:val="restart"/>
          </w:tcPr>
          <w:p>
            <w:pPr>
              <w:ind w:left="100"/>
              <w:spacing w:after="0"/>
              <w:rPr>
                <w:sz w:val="20"/>
                <w:szCs w:val="20"/>
                <w:color w:val="auto"/>
              </w:rPr>
            </w:pPr>
            <w:r>
              <w:rPr>
                <w:rFonts w:ascii="Arial" w:cs="Arial" w:eastAsia="Arial" w:hAnsi="Arial"/>
                <w:sz w:val="18"/>
                <w:szCs w:val="18"/>
                <w:color w:val="auto"/>
                <w:w w:val="91"/>
              </w:rPr>
              <w:t>in excess of such percentage nor have any agreement or agreements allowing such shareholder to</w:t>
            </w:r>
          </w:p>
        </w:tc>
        <w:tc>
          <w:tcPr>
            <w:tcW w:w="0" w:type="dxa"/>
            <w:vAlign w:val="bottom"/>
          </w:tcPr>
          <w:p>
            <w:pPr>
              <w:spacing w:after="0"/>
              <w:rPr>
                <w:sz w:val="1"/>
                <w:szCs w:val="1"/>
                <w:color w:val="auto"/>
              </w:rPr>
            </w:pPr>
          </w:p>
        </w:tc>
      </w:tr>
      <w:tr>
        <w:trPr>
          <w:trHeight w:val="112"/>
        </w:trPr>
        <w:tc>
          <w:tcPr>
            <w:tcW w:w="340" w:type="dxa"/>
            <w:vAlign w:val="bottom"/>
            <w:vMerge w:val="continue"/>
          </w:tcPr>
          <w:p>
            <w:pPr>
              <w:spacing w:after="0"/>
              <w:rPr>
                <w:sz w:val="9"/>
                <w:szCs w:val="9"/>
                <w:color w:val="auto"/>
              </w:rPr>
            </w:pPr>
          </w:p>
        </w:tc>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Credicorp</w:t>
            </w:r>
          </w:p>
        </w:tc>
        <w:tc>
          <w:tcPr>
            <w:tcW w:w="7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7300" w:type="dxa"/>
            <w:vAlign w:val="bottom"/>
            <w:vMerge w:val="restart"/>
          </w:tcPr>
          <w:p>
            <w:pPr>
              <w:ind w:left="100"/>
              <w:spacing w:after="0"/>
              <w:rPr>
                <w:sz w:val="20"/>
                <w:szCs w:val="20"/>
                <w:color w:val="auto"/>
              </w:rPr>
            </w:pPr>
            <w:r>
              <w:rPr>
                <w:rFonts w:ascii="Arial" w:cs="Arial" w:eastAsia="Arial" w:hAnsi="Arial"/>
                <w:sz w:val="18"/>
                <w:szCs w:val="18"/>
                <w:color w:val="auto"/>
              </w:rPr>
              <w:t>exercise the rights to purchase Credicorp shares in excess of such percentage.</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73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4</w:t>
            </w:r>
          </w:p>
        </w:tc>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Cross Directorship</w:t>
            </w:r>
          </w:p>
        </w:tc>
        <w:tc>
          <w:tcPr>
            <w:tcW w:w="7300" w:type="dxa"/>
            <w:vAlign w:val="bottom"/>
          </w:tcPr>
          <w:p>
            <w:pPr>
              <w:ind w:left="100"/>
              <w:spacing w:after="0" w:line="195" w:lineRule="exact"/>
              <w:rPr>
                <w:sz w:val="20"/>
                <w:szCs w:val="20"/>
                <w:color w:val="auto"/>
              </w:rPr>
            </w:pPr>
            <w:r>
              <w:rPr>
                <w:rFonts w:ascii="Arial" w:cs="Arial" w:eastAsia="Arial" w:hAnsi="Arial"/>
                <w:sz w:val="18"/>
                <w:szCs w:val="18"/>
                <w:color w:val="auto"/>
                <w:w w:val="93"/>
              </w:rPr>
              <w:t>Not being a director or a member of the Senior Management of a company in which any Related</w:t>
            </w: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w w:val="91"/>
              </w:rPr>
              <w:t>Director or member of the Senior Management of Credicorp is a member of the Board of Directors.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3"/>
              </w:rPr>
              <w:t>Such restriction shall not apply when cross directorship is with respect to Credicorp subsidiaries.</w:t>
            </w:r>
          </w:p>
        </w:tc>
        <w:tc>
          <w:tcPr>
            <w:tcW w:w="0" w:type="dxa"/>
            <w:vAlign w:val="bottom"/>
          </w:tcPr>
          <w:p>
            <w:pPr>
              <w:spacing w:after="0"/>
              <w:rPr>
                <w:sz w:val="1"/>
                <w:szCs w:val="1"/>
                <w:color w:val="auto"/>
              </w:rPr>
            </w:pPr>
          </w:p>
        </w:tc>
      </w:tr>
      <w:tr>
        <w:trPr>
          <w:trHeight w:val="195"/>
        </w:trPr>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5</w:t>
            </w:r>
          </w:p>
        </w:tc>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Cross-Compensation Committee</w:t>
            </w:r>
          </w:p>
        </w:tc>
        <w:tc>
          <w:tcPr>
            <w:tcW w:w="7300" w:type="dxa"/>
            <w:vAlign w:val="bottom"/>
          </w:tcPr>
          <w:p>
            <w:pPr>
              <w:ind w:left="100"/>
              <w:spacing w:after="0" w:line="195" w:lineRule="exact"/>
              <w:rPr>
                <w:sz w:val="20"/>
                <w:szCs w:val="20"/>
                <w:color w:val="auto"/>
              </w:rPr>
            </w:pPr>
            <w:r>
              <w:rPr>
                <w:rFonts w:ascii="Arial" w:cs="Arial" w:eastAsia="Arial" w:hAnsi="Arial"/>
                <w:sz w:val="18"/>
                <w:szCs w:val="18"/>
                <w:color w:val="auto"/>
                <w:w w:val="91"/>
              </w:rPr>
              <w:t>Not being or having been a member of the Senior Management of a company in which any Related</w:t>
            </w: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w w:val="98"/>
              </w:rPr>
              <w:t>Director or member of the Senior Management of Credicorp is or has been a member of the</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7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Compensation Committee of the board of directors in the last three years.</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7300" w:type="dxa"/>
            <w:vAlign w:val="bottom"/>
          </w:tcPr>
          <w:p>
            <w:pPr>
              <w:ind w:left="100"/>
              <w:spacing w:after="0" w:line="195" w:lineRule="exact"/>
              <w:rPr>
                <w:sz w:val="20"/>
                <w:szCs w:val="20"/>
                <w:color w:val="auto"/>
              </w:rPr>
            </w:pPr>
            <w:r>
              <w:rPr>
                <w:rFonts w:ascii="Arial" w:cs="Arial" w:eastAsia="Arial" w:hAnsi="Arial"/>
                <w:sz w:val="18"/>
                <w:szCs w:val="18"/>
                <w:color w:val="auto"/>
                <w:w w:val="91"/>
              </w:rPr>
              <w:t>Not being a shareholder with &gt;5% interest, partner, director or member of the Senior Management</w:t>
            </w:r>
          </w:p>
        </w:tc>
        <w:tc>
          <w:tcPr>
            <w:tcW w:w="0" w:type="dxa"/>
            <w:vAlign w:val="bottom"/>
          </w:tcPr>
          <w:p>
            <w:pPr>
              <w:spacing w:after="0"/>
              <w:rPr>
                <w:sz w:val="1"/>
                <w:szCs w:val="1"/>
                <w:color w:val="auto"/>
              </w:rPr>
            </w:pPr>
          </w:p>
        </w:tc>
      </w:tr>
      <w:tr>
        <w:trPr>
          <w:trHeight w:val="23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6</w:t>
            </w:r>
          </w:p>
        </w:tc>
        <w:tc>
          <w:tcPr>
            <w:tcW w:w="3360" w:type="dxa"/>
            <w:vAlign w:val="bottom"/>
          </w:tcPr>
          <w:p>
            <w:pPr>
              <w:spacing w:after="0"/>
              <w:rPr>
                <w:sz w:val="20"/>
                <w:szCs w:val="20"/>
                <w:color w:val="auto"/>
              </w:rPr>
            </w:pPr>
            <w:r>
              <w:rPr>
                <w:rFonts w:ascii="Arial" w:cs="Arial" w:eastAsia="Arial" w:hAnsi="Arial"/>
                <w:sz w:val="18"/>
                <w:szCs w:val="18"/>
                <w:b w:val="1"/>
                <w:bCs w:val="1"/>
                <w:color w:val="auto"/>
              </w:rPr>
              <w:t>Significant Business Transactions</w:t>
            </w:r>
          </w:p>
        </w:tc>
        <w:tc>
          <w:tcPr>
            <w:tcW w:w="7300" w:type="dxa"/>
            <w:vAlign w:val="bottom"/>
          </w:tcPr>
          <w:p>
            <w:pPr>
              <w:ind w:left="100"/>
              <w:spacing w:after="0"/>
              <w:rPr>
                <w:sz w:val="20"/>
                <w:szCs w:val="20"/>
                <w:color w:val="auto"/>
              </w:rPr>
            </w:pPr>
            <w:r>
              <w:rPr>
                <w:rFonts w:ascii="Arial" w:cs="Arial" w:eastAsia="Arial" w:hAnsi="Arial"/>
                <w:sz w:val="18"/>
                <w:szCs w:val="18"/>
                <w:color w:val="auto"/>
                <w:w w:val="91"/>
              </w:rPr>
              <w:t>of a third-party company which makes or has made business or contractual transactions for &gt;1% of</w:t>
            </w:r>
          </w:p>
        </w:tc>
        <w:tc>
          <w:tcPr>
            <w:tcW w:w="0" w:type="dxa"/>
            <w:vAlign w:val="bottom"/>
          </w:tcPr>
          <w:p>
            <w:pPr>
              <w:spacing w:after="0"/>
              <w:rPr>
                <w:sz w:val="1"/>
                <w:szCs w:val="1"/>
                <w:color w:val="auto"/>
              </w:rPr>
            </w:pPr>
          </w:p>
        </w:tc>
      </w:tr>
    </w:tbl>
    <w:p>
      <w:pPr>
        <w:ind w:left="4040" w:right="140"/>
        <w:spacing w:after="0" w:line="258" w:lineRule="auto"/>
        <w:rPr>
          <w:sz w:val="20"/>
          <w:szCs w:val="20"/>
          <w:color w:val="auto"/>
        </w:rPr>
      </w:pPr>
      <w:r>
        <w:rPr>
          <w:rFonts w:ascii="Arial" w:cs="Arial" w:eastAsia="Arial" w:hAnsi="Arial"/>
          <w:sz w:val="18"/>
          <w:szCs w:val="18"/>
          <w:color w:val="auto"/>
        </w:rPr>
        <w:t>the annual revenue of Credicorp or &gt;5% of the third-party company, or &gt;5% of the annual income of the proposed director in the last three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772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43" w:lineRule="exact"/>
        <w:rPr>
          <w:sz w:val="20"/>
          <w:szCs w:val="20"/>
          <w:color w:val="auto"/>
        </w:rPr>
      </w:pPr>
    </w:p>
    <w:p>
      <w:pPr>
        <w:ind w:left="580" w:hanging="333"/>
        <w:spacing w:after="0"/>
        <w:tabs>
          <w:tab w:leader="none" w:pos="580" w:val="left"/>
        </w:tabs>
        <w:numPr>
          <w:ilvl w:val="0"/>
          <w:numId w:val="2"/>
        </w:numPr>
        <w:rPr>
          <w:rFonts w:ascii="Arial" w:cs="Arial" w:eastAsia="Arial" w:hAnsi="Arial"/>
          <w:sz w:val="32"/>
          <w:szCs w:val="32"/>
          <w:color w:val="auto"/>
          <w:vertAlign w:val="subscript"/>
        </w:rPr>
      </w:pPr>
      <w:r>
        <w:rPr>
          <w:rFonts w:ascii="Arial" w:cs="Arial" w:eastAsia="Arial" w:hAnsi="Arial"/>
          <w:sz w:val="16"/>
          <w:szCs w:val="16"/>
          <w:b w:val="1"/>
          <w:bCs w:val="1"/>
          <w:color w:val="auto"/>
        </w:rPr>
        <w:t xml:space="preserve">Direct Compensation or Compensation to a  </w:t>
      </w:r>
      <w:r>
        <w:rPr>
          <w:rFonts w:ascii="Arial" w:cs="Arial" w:eastAsia="Arial" w:hAnsi="Arial"/>
          <w:sz w:val="16"/>
          <w:szCs w:val="16"/>
          <w:color w:val="auto"/>
        </w:rPr>
        <w:t>of 12 months during the last three years, excluding directors fees and revenue from investments in</w:t>
      </w:r>
    </w:p>
    <w:p>
      <w:pPr>
        <w:spacing w:after="0" w:line="1" w:lineRule="exact"/>
        <w:rPr>
          <w:rFonts w:ascii="Arial" w:cs="Arial" w:eastAsia="Arial" w:hAnsi="Arial"/>
          <w:sz w:val="32"/>
          <w:szCs w:val="32"/>
          <w:color w:val="auto"/>
          <w:vertAlign w:val="subscript"/>
        </w:rPr>
      </w:pPr>
    </w:p>
    <w:p>
      <w:pPr>
        <w:ind w:left="580"/>
        <w:spacing w:after="0"/>
        <w:rPr>
          <w:rFonts w:ascii="Arial" w:cs="Arial" w:eastAsia="Arial" w:hAnsi="Arial"/>
          <w:sz w:val="32"/>
          <w:szCs w:val="32"/>
          <w:color w:val="auto"/>
          <w:vertAlign w:val="subscript"/>
        </w:rPr>
      </w:pPr>
      <w:r>
        <w:rPr>
          <w:rFonts w:ascii="Arial" w:cs="Arial" w:eastAsia="Arial" w:hAnsi="Arial"/>
          <w:sz w:val="18"/>
          <w:szCs w:val="18"/>
          <w:b w:val="1"/>
          <w:bCs w:val="1"/>
          <w:color w:val="auto"/>
        </w:rPr>
        <w:t>Relative &gt;US$120,000</w:t>
      </w:r>
      <w:r>
        <w:rPr>
          <w:rFonts w:ascii="Arial" w:cs="Arial" w:eastAsia="Arial" w:hAnsi="Arial"/>
          <w:sz w:val="16"/>
          <w:szCs w:val="16"/>
          <w:color w:val="auto"/>
        </w:rPr>
        <w:t>financial instruments (bonds, shares, term deposits, among others) of Credicorp and/or subsidiaries.</w:t>
      </w:r>
    </w:p>
    <w:p>
      <w:pPr>
        <w:spacing w:after="0" w:line="7"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Applies also with respect to Relatives.</w:t>
            </w:r>
          </w:p>
        </w:tc>
        <w:tc>
          <w:tcPr>
            <w:tcW w:w="0" w:type="dxa"/>
            <w:vAlign w:val="bottom"/>
          </w:tcPr>
          <w:p>
            <w:pPr>
              <w:spacing w:after="0"/>
              <w:rPr>
                <w:sz w:val="1"/>
                <w:szCs w:val="1"/>
                <w:color w:val="auto"/>
              </w:rPr>
            </w:pPr>
          </w:p>
        </w:tc>
      </w:tr>
      <w:tr>
        <w:trPr>
          <w:trHeight w:val="216"/>
        </w:trPr>
        <w:tc>
          <w:tcPr>
            <w:tcW w:w="3480" w:type="dxa"/>
            <w:vAlign w:val="bottom"/>
            <w:vMerge w:val="restart"/>
          </w:tcPr>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Auditing Firm Employee or Partner</w:t>
            </w:r>
          </w:p>
        </w:tc>
        <w:tc>
          <w:tcPr>
            <w:tcW w:w="7460" w:type="dxa"/>
            <w:vAlign w:val="bottom"/>
          </w:tcPr>
          <w:p>
            <w:pPr>
              <w:ind w:left="320"/>
              <w:spacing w:after="0"/>
              <w:rPr>
                <w:sz w:val="20"/>
                <w:szCs w:val="20"/>
                <w:color w:val="auto"/>
              </w:rPr>
            </w:pPr>
            <w:r>
              <w:rPr>
                <w:rFonts w:ascii="Arial" w:cs="Arial" w:eastAsia="Arial" w:hAnsi="Arial"/>
                <w:sz w:val="18"/>
                <w:szCs w:val="18"/>
                <w:color w:val="auto"/>
              </w:rPr>
              <w:t>Not being or having been an employee or partner of the auditing firm of Credicorp and/or</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7460" w:type="dxa"/>
            <w:vAlign w:val="bottom"/>
            <w:vMerge w:val="restart"/>
          </w:tcPr>
          <w:p>
            <w:pPr>
              <w:ind w:left="320"/>
              <w:spacing w:after="0"/>
              <w:rPr>
                <w:sz w:val="20"/>
                <w:szCs w:val="20"/>
                <w:color w:val="auto"/>
              </w:rPr>
            </w:pPr>
            <w:r>
              <w:rPr>
                <w:rFonts w:ascii="Arial" w:cs="Arial" w:eastAsia="Arial" w:hAnsi="Arial"/>
                <w:sz w:val="18"/>
                <w:szCs w:val="18"/>
                <w:color w:val="auto"/>
              </w:rPr>
              <w:t>subsidiaries in the last three years.</w:t>
            </w:r>
          </w:p>
        </w:tc>
        <w:tc>
          <w:tcPr>
            <w:tcW w:w="0" w:type="dxa"/>
            <w:vAlign w:val="bottom"/>
          </w:tcPr>
          <w:p>
            <w:pPr>
              <w:spacing w:after="0"/>
              <w:rPr>
                <w:sz w:val="1"/>
                <w:szCs w:val="1"/>
                <w:color w:val="auto"/>
              </w:rPr>
            </w:pPr>
          </w:p>
        </w:tc>
      </w:tr>
      <w:tr>
        <w:trPr>
          <w:trHeight w:val="107"/>
        </w:trPr>
        <w:tc>
          <w:tcPr>
            <w:tcW w:w="34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Relative of Shareholders with &gt;/=5%</w:t>
            </w:r>
          </w:p>
        </w:tc>
        <w:tc>
          <w:tcPr>
            <w:tcW w:w="7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480" w:type="dxa"/>
            <w:vAlign w:val="bottom"/>
            <w:vMerge w:val="continue"/>
          </w:tcPr>
          <w:p>
            <w:pPr>
              <w:spacing w:after="0"/>
              <w:rPr>
                <w:sz w:val="19"/>
                <w:szCs w:val="19"/>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w w:val="91"/>
              </w:rPr>
              <w:t>Not being a Relative of shareholders with &gt;/=5% interest in Credicorp, or of members of the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-137795</wp:posOffset>
            </wp:positionV>
            <wp:extent cx="6772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-420370</wp:posOffset>
            </wp:positionV>
            <wp:extent cx="6772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ind w:left="580" w:hanging="333"/>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interest in Credicorp, of Director or of</w:t>
      </w:r>
      <w:r>
        <w:rPr>
          <w:rFonts w:ascii="Arial" w:cs="Arial" w:eastAsia="Arial" w:hAnsi="Arial"/>
          <w:sz w:val="16"/>
          <w:szCs w:val="16"/>
          <w:color w:val="auto"/>
        </w:rPr>
        <w:t>of Directors or the Senior Management of Credicorp.</w:t>
      </w:r>
    </w:p>
    <w:p>
      <w:pPr>
        <w:spacing w:after="0" w:line="2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color w:val="auto"/>
        </w:rPr>
        <w:t>Senior Management Member</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10</w:t>
            </w:r>
          </w:p>
        </w:tc>
        <w:tc>
          <w:tcPr>
            <w:tcW w:w="32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w w:val="95"/>
              </w:rPr>
              <w:t>Participation in &gt;5 Board of Directors of</w:t>
            </w:r>
          </w:p>
        </w:tc>
        <w:tc>
          <w:tcPr>
            <w:tcW w:w="73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w w:val="99"/>
              </w:rPr>
              <w:t>Not acting as an independent director in &gt;5 boards of directors of companies entered in the</w:t>
            </w:r>
          </w:p>
        </w:tc>
        <w:tc>
          <w:tcPr>
            <w:tcW w:w="0" w:type="dxa"/>
            <w:vAlign w:val="bottom"/>
          </w:tcPr>
          <w:p>
            <w:pPr>
              <w:spacing w:after="0"/>
              <w:rPr>
                <w:sz w:val="1"/>
                <w:szCs w:val="1"/>
                <w:color w:val="auto"/>
              </w:rPr>
            </w:pPr>
          </w:p>
        </w:tc>
      </w:tr>
      <w:tr>
        <w:trPr>
          <w:trHeight w:val="176"/>
        </w:trPr>
        <w:tc>
          <w:tcPr>
            <w:tcW w:w="380" w:type="dxa"/>
            <w:vAlign w:val="bottom"/>
            <w:vMerge w:val="continue"/>
          </w:tcPr>
          <w:p>
            <w:pPr>
              <w:spacing w:after="0"/>
              <w:rPr>
                <w:sz w:val="15"/>
                <w:szCs w:val="15"/>
                <w:color w:val="auto"/>
              </w:rPr>
            </w:pPr>
          </w:p>
        </w:tc>
        <w:tc>
          <w:tcPr>
            <w:tcW w:w="3280" w:type="dxa"/>
            <w:vAlign w:val="bottom"/>
            <w:vMerge w:val="continue"/>
          </w:tcPr>
          <w:p>
            <w:pPr>
              <w:spacing w:after="0"/>
              <w:rPr>
                <w:sz w:val="15"/>
                <w:szCs w:val="15"/>
                <w:color w:val="auto"/>
              </w:rPr>
            </w:pPr>
          </w:p>
        </w:tc>
        <w:tc>
          <w:tcPr>
            <w:tcW w:w="7380" w:type="dxa"/>
            <w:vAlign w:val="bottom"/>
          </w:tcPr>
          <w:p>
            <w:pPr>
              <w:ind w:left="180"/>
              <w:spacing w:after="0" w:line="176" w:lineRule="exact"/>
              <w:rPr>
                <w:sz w:val="20"/>
                <w:szCs w:val="20"/>
                <w:color w:val="auto"/>
              </w:rPr>
            </w:pPr>
            <w:r>
              <w:rPr>
                <w:rFonts w:ascii="Arial" w:cs="Arial" w:eastAsia="Arial" w:hAnsi="Arial"/>
                <w:sz w:val="18"/>
                <w:szCs w:val="18"/>
                <w:color w:val="auto"/>
                <w:w w:val="98"/>
              </w:rPr>
              <w:t>Securities Market Public Registry (RMPV). Excludes boards of directors of Credicorp and/or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b w:val="1"/>
                <w:bCs w:val="1"/>
                <w:color w:val="auto"/>
              </w:rPr>
              <w:t>RPMV</w:t>
            </w:r>
          </w:p>
        </w:tc>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subsidiaries.</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73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11</w:t>
            </w:r>
          </w:p>
        </w:tc>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Tenure &gt; 10 Years</w:t>
            </w:r>
          </w:p>
        </w:tc>
        <w:tc>
          <w:tcPr>
            <w:tcW w:w="7380" w:type="dxa"/>
            <w:vAlign w:val="bottom"/>
          </w:tcPr>
          <w:p>
            <w:pPr>
              <w:ind w:left="180"/>
              <w:spacing w:after="0" w:line="195" w:lineRule="exact"/>
              <w:rPr>
                <w:sz w:val="20"/>
                <w:szCs w:val="20"/>
                <w:color w:val="auto"/>
              </w:rPr>
            </w:pPr>
            <w:r>
              <w:rPr>
                <w:rFonts w:ascii="Arial" w:cs="Arial" w:eastAsia="Arial" w:hAnsi="Arial"/>
                <w:sz w:val="18"/>
                <w:szCs w:val="18"/>
                <w:color w:val="auto"/>
                <w:w w:val="92"/>
              </w:rPr>
              <w:t>Not being or having been an independent director for over 10 continuous or alternate years during</w:t>
            </w:r>
          </w:p>
        </w:tc>
        <w:tc>
          <w:tcPr>
            <w:tcW w:w="0" w:type="dxa"/>
            <w:vAlign w:val="bottom"/>
          </w:tcPr>
          <w:p>
            <w:pPr>
              <w:spacing w:after="0"/>
              <w:rPr>
                <w:sz w:val="1"/>
                <w:szCs w:val="1"/>
                <w:color w:val="auto"/>
              </w:rPr>
            </w:pPr>
          </w:p>
        </w:tc>
      </w:tr>
      <w:tr>
        <w:trPr>
          <w:trHeight w:val="122"/>
        </w:trPr>
        <w:tc>
          <w:tcPr>
            <w:tcW w:w="380" w:type="dxa"/>
            <w:vAlign w:val="bottom"/>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the last 15 years in Credicorp and/or subsidiaries.</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73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12</w:t>
            </w:r>
          </w:p>
        </w:tc>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Other Criteria</w:t>
            </w:r>
          </w:p>
        </w:tc>
        <w:tc>
          <w:tcPr>
            <w:tcW w:w="7380" w:type="dxa"/>
            <w:vAlign w:val="bottom"/>
          </w:tcPr>
          <w:p>
            <w:pPr>
              <w:ind w:left="180"/>
              <w:spacing w:after="0" w:line="195" w:lineRule="exact"/>
              <w:rPr>
                <w:sz w:val="20"/>
                <w:szCs w:val="20"/>
                <w:color w:val="auto"/>
              </w:rPr>
            </w:pPr>
            <w:r>
              <w:rPr>
                <w:rFonts w:ascii="Arial" w:cs="Arial" w:eastAsia="Arial" w:hAnsi="Arial"/>
                <w:sz w:val="18"/>
                <w:szCs w:val="18"/>
                <w:color w:val="auto"/>
                <w:w w:val="93"/>
              </w:rPr>
              <w:t>The Board of Directors shall be entitled to determine the Independence of a director in situations</w:t>
            </w:r>
          </w:p>
        </w:tc>
        <w:tc>
          <w:tcPr>
            <w:tcW w:w="0" w:type="dxa"/>
            <w:vAlign w:val="bottom"/>
          </w:tcPr>
          <w:p>
            <w:pPr>
              <w:spacing w:after="0"/>
              <w:rPr>
                <w:sz w:val="1"/>
                <w:szCs w:val="1"/>
                <w:color w:val="auto"/>
              </w:rPr>
            </w:pPr>
          </w:p>
        </w:tc>
      </w:tr>
      <w:tr>
        <w:trPr>
          <w:trHeight w:val="122"/>
        </w:trPr>
        <w:tc>
          <w:tcPr>
            <w:tcW w:w="380" w:type="dxa"/>
            <w:vAlign w:val="bottom"/>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7380" w:type="dxa"/>
            <w:vAlign w:val="bottom"/>
            <w:vMerge w:val="restart"/>
          </w:tcPr>
          <w:p>
            <w:pPr>
              <w:ind w:left="180"/>
              <w:spacing w:after="0"/>
              <w:rPr>
                <w:sz w:val="20"/>
                <w:szCs w:val="20"/>
                <w:color w:val="auto"/>
              </w:rPr>
            </w:pPr>
            <w:r>
              <w:rPr>
                <w:rFonts w:ascii="Arial" w:cs="Arial" w:eastAsia="Arial" w:hAnsi="Arial"/>
                <w:sz w:val="18"/>
                <w:szCs w:val="18"/>
                <w:color w:val="auto"/>
              </w:rPr>
              <w:t>calling for interpretation or which have not been contemplated in this document.</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73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June 3, 2020</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7"/>
      <w:numFmt w:val="bullet"/>
      <w:start w:val="1"/>
    </w:lvl>
  </w:abstractNum>
  <w:abstractNum w:abstractNumId="2">
    <w:nsid w:val="19495CFF"/>
    <w:multiLevelType w:val="hybridMultilevel"/>
    <w:lvl w:ilvl="0">
      <w:lvlJc w:val="left"/>
      <w:lvlText w:val="9"/>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2020-06-04T05:04:50Z</dcterms:created>
  <dcterms:modified xsi:type="dcterms:W3CDTF">2020-06-04T05:04:50Z</dcterms:modified>
</cp:coreProperties>
</file>