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month of February 2019</w:t>
      </w:r>
    </w:p>
    <w:p>
      <w:pPr>
        <w:spacing w:after="0" w:line="22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jc w:val="center"/>
        <w:ind w:right="-19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725" w:right="4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Feb 7</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2019</w:t>
      </w:r>
    </w:p>
    <w:p>
      <w:pPr>
        <w:spacing w:after="0" w:line="1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 Luis Muñoz</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Jose Luis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168275</wp:posOffset>
            </wp:positionV>
            <wp:extent cx="1569085" cy="7581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9085" cy="7581265"/>
                    </a:xfrm>
                    <a:prstGeom prst="rect">
                      <a:avLst/>
                    </a:prstGeom>
                    <a:noFill/>
                  </pic:spPr>
                </pic:pic>
              </a:graphicData>
            </a:graphic>
          </wp:anchor>
        </w:drawing>
        <w:drawing>
          <wp:anchor simplePos="0" relativeHeight="251657728" behindDoc="1" locked="0" layoutInCell="0" allowOverlap="1">
            <wp:simplePos x="0" y="0"/>
            <wp:positionH relativeFrom="column">
              <wp:posOffset>3248025</wp:posOffset>
            </wp:positionH>
            <wp:positionV relativeFrom="paragraph">
              <wp:posOffset>168275</wp:posOffset>
            </wp:positionV>
            <wp:extent cx="14065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2240"/>
        <w:spacing w:after="0" w:line="213" w:lineRule="auto"/>
        <w:rPr>
          <w:sz w:val="20"/>
          <w:szCs w:val="20"/>
          <w:color w:val="auto"/>
        </w:rPr>
      </w:pPr>
      <w:r>
        <w:rPr>
          <w:rFonts w:ascii="Times New Roman" w:cs="Times New Roman" w:eastAsia="Times New Roman" w:hAnsi="Times New Roman"/>
          <w:sz w:val="18"/>
          <w:szCs w:val="18"/>
          <w:b w:val="1"/>
          <w:bCs w:val="1"/>
          <w:color w:val="auto"/>
        </w:rPr>
        <w:t>Lima, Peru, February 06</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2019 </w:t>
      </w:r>
      <w:r>
        <w:rPr>
          <w:rFonts w:ascii="Times New Roman" w:cs="Times New Roman" w:eastAsia="Times New Roman" w:hAnsi="Times New Roman"/>
          <w:sz w:val="18"/>
          <w:szCs w:val="18"/>
          <w:color w:val="auto"/>
        </w:rPr>
        <w:t>– Credicorp (NYSE: BAP) announced its unaudited results for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2018. These results are consolidated according to IFRS in Soles.</w:t>
      </w:r>
    </w:p>
    <w:p>
      <w:pPr>
        <w:spacing w:after="0" w:line="195" w:lineRule="exact"/>
        <w:rPr>
          <w:sz w:val="20"/>
          <w:szCs w:val="20"/>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Fourth Quarter Results 2018</w:t>
      </w:r>
    </w:p>
    <w:p>
      <w:pPr>
        <w:spacing w:after="0" w:line="229" w:lineRule="exact"/>
        <w:rPr>
          <w:sz w:val="20"/>
          <w:szCs w:val="20"/>
          <w:color w:val="auto"/>
        </w:rPr>
      </w:pPr>
    </w:p>
    <w:p>
      <w:pPr>
        <w:jc w:val="both"/>
        <w:ind w:left="2240"/>
        <w:spacing w:after="0" w:line="255" w:lineRule="auto"/>
        <w:rPr>
          <w:sz w:val="20"/>
          <w:szCs w:val="20"/>
          <w:color w:val="auto"/>
        </w:rPr>
      </w:pPr>
      <w:r>
        <w:rPr>
          <w:rFonts w:ascii="Times New Roman" w:cs="Times New Roman" w:eastAsia="Times New Roman" w:hAnsi="Times New Roman"/>
          <w:sz w:val="18"/>
          <w:szCs w:val="18"/>
          <w:color w:val="auto"/>
        </w:rPr>
        <w:t>In 4Q18, Credicorp reported net income of S/ 956.9 million, which translated into an ROAE and ROAA of 16.3% and 2.2%, respectively. This result represented a drop of 5.4% and 10% QoQ and YoY, respectively. It is important to note that the evolution posted by net interest income (NII), non-financial income and provisions for loan losses was favorable; nevertheless, operating expenses increased due to a higher level of salaries &amp; employee benefits, administrative &amp; general expenses and, in a lesser extent, to the acceleration of budget execution for the strategic initiative “Transformation” at BCP. In the YoY evolution it is important to mention the gain on sale of securities related to the investment in ENEL that amounted to S/ 163.7 million, which was included in the results of 4Q17.</w:t>
      </w:r>
    </w:p>
    <w:p>
      <w:pPr>
        <w:spacing w:after="0" w:line="18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results in 4Q18 show:</w:t>
      </w:r>
    </w:p>
    <w:p>
      <w:pPr>
        <w:spacing w:after="0" w:line="225" w:lineRule="exact"/>
        <w:rPr>
          <w:sz w:val="20"/>
          <w:szCs w:val="20"/>
          <w:color w:val="auto"/>
        </w:rPr>
      </w:pPr>
    </w:p>
    <w:p>
      <w:pPr>
        <w:jc w:val="both"/>
        <w:ind w:left="2240" w:hanging="8"/>
        <w:spacing w:after="0" w:line="258" w:lineRule="auto"/>
        <w:tabs>
          <w:tab w:leader="none" w:pos="23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growth QoQ and 10.8% YoY in average-daily loan balances; these figures top those observed in the previous quarters in 2018. Loan expansion reflects the good dynamic posted by all segments in both Wholesale Banking and Retail Banking, which was particularly favorable in Corporate Banking, Middle-Market Banking and Mortgage in both QoQ and YoY terms. This growth was primarily attributable to expansion in the LC portfolio.</w:t>
      </w:r>
    </w:p>
    <w:p>
      <w:pPr>
        <w:spacing w:after="0" w:line="183" w:lineRule="exact"/>
        <w:rPr>
          <w:rFonts w:ascii="Times New Roman" w:cs="Times New Roman" w:eastAsia="Times New Roman" w:hAnsi="Times New Roman"/>
          <w:sz w:val="18"/>
          <w:szCs w:val="18"/>
          <w:color w:val="auto"/>
        </w:rPr>
      </w:pPr>
    </w:p>
    <w:p>
      <w:pPr>
        <w:ind w:left="2240" w:right="20" w:hanging="8"/>
        <w:spacing w:after="0" w:line="282" w:lineRule="auto"/>
        <w:tabs>
          <w:tab w:leader="none" w:pos="23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line with loan growth, NII increased +4.9% QoQ and +8.6% YoY. In this context, the net interest margin (NIM) rose +11 bps QoQ and +35 bps YoY.</w:t>
      </w:r>
    </w:p>
    <w:p>
      <w:pPr>
        <w:spacing w:after="0" w:line="161" w:lineRule="exact"/>
        <w:rPr>
          <w:rFonts w:ascii="Times New Roman" w:cs="Times New Roman" w:eastAsia="Times New Roman" w:hAnsi="Times New Roman"/>
          <w:sz w:val="18"/>
          <w:szCs w:val="18"/>
          <w:color w:val="auto"/>
        </w:rPr>
      </w:pPr>
    </w:p>
    <w:p>
      <w:pPr>
        <w:jc w:val="both"/>
        <w:ind w:left="2240" w:hanging="8"/>
        <w:spacing w:after="0" w:line="255" w:lineRule="auto"/>
        <w:tabs>
          <w:tab w:leader="none" w:pos="237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risk (CofR) fell -20 bps QoQ to situate at 1.47% in line with the decrease in the provision requirement at BCP due to the improvement of the portfolio risk quality and the reversal of provisions due to the reduction in the exposure to clients related to Lava Jato Case, and a drop in Mibanco’s requirements, which posted normalized levels. The CofR fell -29 bps YoY. This was due to a reduction in the requirement for provisions for loan losses for Retail Banking, particularly Credit Card, Mortgage and Consumer, and the reversal of provisions mentioned before. In this context, the risk-adjusted NIM rose +22 bps QoQ and +45 bps YoY.</w:t>
      </w:r>
    </w:p>
    <w:p>
      <w:pPr>
        <w:spacing w:after="0" w:line="189" w:lineRule="exact"/>
        <w:rPr>
          <w:rFonts w:ascii="Times New Roman" w:cs="Times New Roman" w:eastAsia="Times New Roman" w:hAnsi="Times New Roman"/>
          <w:sz w:val="18"/>
          <w:szCs w:val="18"/>
          <w:color w:val="auto"/>
        </w:rPr>
      </w:pPr>
    </w:p>
    <w:p>
      <w:pPr>
        <w:jc w:val="both"/>
        <w:ind w:left="2240" w:hanging="8"/>
        <w:spacing w:after="0" w:line="256" w:lineRule="auto"/>
        <w:tabs>
          <w:tab w:leader="none" w:pos="238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components of non-financial income, fee income and net gain on FX transactions, reported improvements in 4Q18 (+8.2% and +16.1% QoQ, respectively). The net gain on investments in associates reflected the good results achieved by the association with Banmedica. The aforementioned translated into an increase of +5.3% QoQ in total non-financial income, which posted a contraction of -10% YoY given that 4Q17 registered a net gain in sales of securities related to the equity investment in ENEL, as we mentioned above.</w:t>
      </w:r>
    </w:p>
    <w:p>
      <w:pPr>
        <w:spacing w:after="0" w:line="187" w:lineRule="exact"/>
        <w:rPr>
          <w:rFonts w:ascii="Times New Roman" w:cs="Times New Roman" w:eastAsia="Times New Roman" w:hAnsi="Times New Roman"/>
          <w:sz w:val="18"/>
          <w:szCs w:val="18"/>
          <w:color w:val="auto"/>
        </w:rPr>
      </w:pPr>
    </w:p>
    <w:p>
      <w:pPr>
        <w:jc w:val="both"/>
        <w:ind w:left="2240" w:hanging="8"/>
        <w:spacing w:after="0" w:line="266" w:lineRule="auto"/>
        <w:tabs>
          <w:tab w:leader="none" w:pos="23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underwriting result reported a level similar to that seen last quarter after contracting for three consecutive quarters. Unlike previous quarters, the result was attributable to an increase in claims, while the acquisition cost contracted after increasing in all previous quarters.</w:t>
      </w:r>
    </w:p>
    <w:p>
      <w:pPr>
        <w:spacing w:after="0" w:line="176" w:lineRule="exact"/>
        <w:rPr>
          <w:rFonts w:ascii="Times New Roman" w:cs="Times New Roman" w:eastAsia="Times New Roman" w:hAnsi="Times New Roman"/>
          <w:sz w:val="18"/>
          <w:szCs w:val="18"/>
          <w:color w:val="auto"/>
        </w:rPr>
      </w:pPr>
    </w:p>
    <w:p>
      <w:pPr>
        <w:jc w:val="both"/>
        <w:ind w:left="2240" w:hanging="8"/>
        <w:spacing w:after="0" w:line="266" w:lineRule="auto"/>
        <w:tabs>
          <w:tab w:leader="none" w:pos="23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deteriorated 190 bps QoQ and 30 bps YoY due to an increase in operating expenses in particular salaries &amp; employee benefits, as well as, general &amp; administrative expenses, which was accentuated by the seasonality that is present every 4Q.</w:t>
      </w:r>
    </w:p>
    <w:p>
      <w:pPr>
        <w:spacing w:after="0" w:line="176" w:lineRule="exact"/>
        <w:rPr>
          <w:sz w:val="20"/>
          <w:szCs w:val="20"/>
          <w:color w:val="auto"/>
        </w:rPr>
      </w:pPr>
    </w:p>
    <w:p>
      <w:pPr>
        <w:jc w:val="both"/>
        <w:ind w:left="2240"/>
        <w:spacing w:after="0" w:line="266" w:lineRule="auto"/>
        <w:rPr>
          <w:sz w:val="20"/>
          <w:szCs w:val="20"/>
          <w:color w:val="auto"/>
        </w:rPr>
      </w:pPr>
      <w:r>
        <w:rPr>
          <w:rFonts w:ascii="Times New Roman" w:cs="Times New Roman" w:eastAsia="Times New Roman" w:hAnsi="Times New Roman"/>
          <w:sz w:val="18"/>
          <w:szCs w:val="18"/>
          <w:color w:val="auto"/>
        </w:rPr>
        <w:t>In terms of full-year results, net income in 2018 totaled S/ 3,983.9 million, which represented an ROAE and ROAA of 17.5% and 2.3%, respectively. This result was 2.6% below that registered in 2017, which included S /444.7 million of gains on sales of investments in BCI and Enel. The evolution in 2018 shows:</w:t>
      </w:r>
    </w:p>
    <w:p>
      <w:pPr>
        <w:spacing w:after="0" w:line="176" w:lineRule="exact"/>
        <w:rPr>
          <w:sz w:val="20"/>
          <w:szCs w:val="20"/>
          <w:color w:val="auto"/>
        </w:rPr>
      </w:pPr>
    </w:p>
    <w:p>
      <w:pPr>
        <w:jc w:val="both"/>
        <w:ind w:left="2240" w:hanging="8"/>
        <w:spacing w:after="0" w:line="266" w:lineRule="auto"/>
        <w:tabs>
          <w:tab w:leader="none" w:pos="2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+9.2% in average-daily loan balances, which was led by Wholesale Banking, followed by Retail Banking, where the result for the Mortgage Segment was particularly positive. The aforementioned expansion was also due, although to a lesser extent, to growth at BCP Bolivia and Mibanco.</w:t>
      </w:r>
    </w:p>
    <w:p>
      <w:pPr>
        <w:spacing w:after="0" w:line="176" w:lineRule="exact"/>
        <w:rPr>
          <w:rFonts w:ascii="Times New Roman" w:cs="Times New Roman" w:eastAsia="Times New Roman" w:hAnsi="Times New Roman"/>
          <w:sz w:val="18"/>
          <w:szCs w:val="18"/>
          <w:color w:val="auto"/>
        </w:rPr>
      </w:pPr>
    </w:p>
    <w:p>
      <w:pPr>
        <w:jc w:val="both"/>
        <w:ind w:left="2240" w:hanging="8"/>
        <w:spacing w:after="0" w:line="261" w:lineRule="auto"/>
        <w:tabs>
          <w:tab w:leader="none" w:pos="23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increased +5.2% with regard to 2017, which was due primarily to the increase in interest income on loans, following growth in average daily loan balances, and to a more favorable funding structure, where the share of deposits in total funding increased. The aforementioned translated into an NIM of 5.26%, which represented a relatively stable level compared with that posted in 2017 (5.28%).</w:t>
      </w:r>
    </w:p>
    <w:p>
      <w:pPr>
        <w:spacing w:after="0" w:line="180" w:lineRule="exact"/>
        <w:rPr>
          <w:rFonts w:ascii="Times New Roman" w:cs="Times New Roman" w:eastAsia="Times New Roman" w:hAnsi="Times New Roman"/>
          <w:sz w:val="18"/>
          <w:szCs w:val="18"/>
          <w:color w:val="auto"/>
        </w:rPr>
      </w:pPr>
    </w:p>
    <w:p>
      <w:pPr>
        <w:jc w:val="both"/>
        <w:ind w:left="2240" w:hanging="8"/>
        <w:spacing w:after="0" w:line="258" w:lineRule="auto"/>
        <w:tabs>
          <w:tab w:leader="none" w:pos="23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CofR fell -40 bps to situate at 1.38%. The drop was due primarily to an improvement in the risk quality of BCP portfolio in line with improvements that were made in commercial and risk management over the last 3 years and, to a lesser extent, to reversals of provisions relative to Lava Jato Case clients and to the effect of the provisions’ requirement for the El Nino Phenomenon and the Lava Jato case in 2017. In a scenario marked by a stable NIM and a lower CofR, the risk-adjusted NIM increased 20 bps.</w:t>
      </w:r>
    </w:p>
    <w:p>
      <w:pPr>
        <w:spacing w:after="0" w:line="183" w:lineRule="exact"/>
        <w:rPr>
          <w:rFonts w:ascii="Times New Roman" w:cs="Times New Roman" w:eastAsia="Times New Roman" w:hAnsi="Times New Roman"/>
          <w:sz w:val="18"/>
          <w:szCs w:val="18"/>
          <w:color w:val="auto"/>
        </w:rPr>
      </w:pPr>
    </w:p>
    <w:p>
      <w:pPr>
        <w:jc w:val="both"/>
        <w:ind w:left="2240" w:hanging="8"/>
        <w:spacing w:after="0" w:line="266" w:lineRule="auto"/>
        <w:tabs>
          <w:tab w:leader="none" w:pos="23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fee income, net gain on FX transactions and net gain on investments in associates attenuated the contraction in non-financial income with regard to 2017, this was mainly attributable to i) the gain on sales of shares in BCI and Enel (mentioned above) that was posted in 2017 and, in a lesser extent, ii) to the effect of</w:t>
      </w:r>
    </w:p>
    <w:p>
      <w:pPr>
        <w:sectPr>
          <w:pgSz w:w="11900" w:h="16838" w:orient="portrait"/>
          <w:cols w:equalWidth="0" w:num="1">
            <w:col w:w="10220"/>
          </w:cols>
          <w:pgMar w:left="1440" w:top="351" w:right="239" w:bottom="0" w:gutter="0" w:footer="0" w:header="0"/>
        </w:sectPr>
      </w:pPr>
    </w:p>
    <w:bookmarkStart w:id="4" w:name="page5"/>
    <w:bookmarkEnd w:id="4"/>
    <w:p>
      <w:pPr>
        <w:ind w:left="2240" w:right="20"/>
        <w:spacing w:after="0" w:line="282" w:lineRule="auto"/>
        <w:rPr>
          <w:sz w:val="20"/>
          <w:szCs w:val="20"/>
          <w:color w:val="auto"/>
        </w:rPr>
      </w:pPr>
      <w:r>
        <w:rPr>
          <w:rFonts w:ascii="Times New Roman" w:cs="Times New Roman" w:eastAsia="Times New Roman" w:hAnsi="Times New Roman"/>
          <w:sz w:val="18"/>
          <w:szCs w:val="18"/>
          <w:color w:val="auto"/>
        </w:rPr>
        <w:t>market volatility throughout the year that resulted in a decrease in net gains on sale of securities and in net gain on derivatives.</w:t>
      </w:r>
    </w:p>
    <w:p>
      <w:pPr>
        <w:spacing w:after="0" w:line="162" w:lineRule="exact"/>
        <w:rPr>
          <w:sz w:val="20"/>
          <w:szCs w:val="20"/>
          <w:color w:val="auto"/>
        </w:rPr>
      </w:pPr>
    </w:p>
    <w:p>
      <w:pPr>
        <w:ind w:left="2240" w:right="20" w:hanging="8"/>
        <w:spacing w:after="0" w:line="282" w:lineRule="auto"/>
        <w:tabs>
          <w:tab w:leader="none" w:pos="2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result fell -3.7% despite growth in net earned premiums due to an increase in claims and in the acquisition cost.</w:t>
      </w:r>
    </w:p>
    <w:p>
      <w:pPr>
        <w:spacing w:after="0" w:line="161" w:lineRule="exact"/>
        <w:rPr>
          <w:rFonts w:ascii="Times New Roman" w:cs="Times New Roman" w:eastAsia="Times New Roman" w:hAnsi="Times New Roman"/>
          <w:sz w:val="18"/>
          <w:szCs w:val="18"/>
          <w:color w:val="auto"/>
        </w:rPr>
      </w:pPr>
    </w:p>
    <w:p>
      <w:pPr>
        <w:jc w:val="both"/>
        <w:ind w:left="2240" w:hanging="8"/>
        <w:spacing w:after="0" w:line="266" w:lineRule="auto"/>
        <w:tabs>
          <w:tab w:leader="none" w:pos="23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deteriorated 40 bps to situate at 44.1% due to an increase in the pace of growth of operating expenses, which was in turn registered in particular in the last quarter of the year and changed the downward trend of cost to income ratio observed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415290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Credicorp (NYSE: BAP): Fourth Quarter Results 2018</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Financial Overview</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Credicorp and subsidiaries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Interest-earning assets (IEA)</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Evolution of IEA</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Credicorp Loans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1.2.1. Loan evolution by business segment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1.2.2. Evolution of the level of dollarization by segment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1.2.3. BCRP de-dollarization plan at BCP Stand-alone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1.2.4. Market share in loans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Funding Sources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Structure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2.2.1. Deposits: dollarization level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2.2.2. Market share in Deposits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funding sources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 Deposit (L/D)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Cost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loan losses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Quality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3.2.1. Delinquency indicators by business line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(NIM) and Risk-Adjusted NIM</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5.1.1. By subsidiary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 Banking Business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Credicorp’s Administrative, General and Tax Expenses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 Total Average Assets Ratio</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Regulatory Capital</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Capital – BAP</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Capital – BCP Stand-alone based on Peru GAAP</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 channels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9.1 Points of contact – BCP Stand-alone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9.1.1 Points of contact by location – BCP Stand-alone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9.1.2 Transactions per channel – BCP Stand-alone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9.2 Points of contact – Mibanco</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9.3 Points of contact – BCP Bolivia</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Economic Perspectives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10.1. Peru Economic Forecasts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 Main Economic Variables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Appendix</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11.1. Credicorp</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11.2. BCP Consolidated</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11.3. Mibanco</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11.4. BCP Bolivia</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11.5. Credicorp Capital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 Atlantic Security Bank</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11.7. Grupo Pacifico</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11.8. Prima AFP</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11.9. Table of calculations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Credicorp (NYSE: BAP): Fourth Quarter Results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Credicorp Ltd.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QoQ</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2,065,974</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2,139,133</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2,244,252</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8,071,488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8,489,104</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26"/>
        </w:trPr>
        <w:tc>
          <w:tcPr>
            <w:tcW w:w="23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Provision for loan losses, net of</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(441,250)</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(439,558)</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(407,954)</w:t>
            </w:r>
          </w:p>
        </w:tc>
        <w:tc>
          <w:tcPr>
            <w:tcW w:w="62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600" w:type="dxa"/>
            <w:vAlign w:val="bottom"/>
          </w:tcPr>
          <w:p>
            <w:pPr>
              <w:spacing w:after="0"/>
              <w:rPr>
                <w:sz w:val="10"/>
                <w:szCs w:val="1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-7.5%</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(1,789,165)</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(1,531,708)</w:t>
            </w: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recoveries</w:t>
            </w:r>
          </w:p>
        </w:tc>
        <w:tc>
          <w:tcPr>
            <w:tcW w:w="11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 after provisions</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1,624,724</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1,699,575</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1,836,298</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8.0%</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13.0%</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6,282,323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6,957,396</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Non-financial income</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1,278,590</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1,093,167</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1,151,080</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7"/>
              </w:rPr>
              <w:t>-10.0%</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4,671,260</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4,394,299</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Insurance services underwriting result</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129,527</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121,251</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121,155</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505,288</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471,420</w:t>
            </w:r>
          </w:p>
        </w:tc>
        <w:tc>
          <w:tcPr>
            <w:tcW w:w="10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Total expenses</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(1,574,424)</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(1,519,744)</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(1,747,028)</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(5,883,936)</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(6,230,902)</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1,458,417</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1,394,249</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1,361,505</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-2.3%</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-6.6%</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5,574,935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5,592,213</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0.3%</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(371,284)</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(363,154)</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(384,352)</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1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(1,393,286)</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(1,520,909)</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1,087,133</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1,031,095</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977,153</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-10.1%</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4,181,649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4,071,304</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23,475</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19,809</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20,220</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w w:val="97"/>
              </w:rPr>
              <w:t>-13.9%</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89,895</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87,439</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11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1,063,658</w:t>
            </w: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1,011,286</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956,933</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-5.4%</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-10.0%</w:t>
            </w: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4,091,754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3,983,865</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 share (S/)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12.00</w:t>
            </w:r>
          </w:p>
        </w:tc>
        <w:tc>
          <w:tcPr>
            <w:tcW w:w="6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6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7"/>
              </w:rPr>
              <w:t>-10.0%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51.30</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49.95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23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w:t>
            </w: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100,477,774</w:t>
            </w:r>
          </w:p>
        </w:tc>
        <w:tc>
          <w:tcPr>
            <w:tcW w:w="22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105,028,343</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110,759,390</w:t>
            </w:r>
          </w:p>
        </w:tc>
        <w:tc>
          <w:tcPr>
            <w:tcW w:w="240" w:type="dxa"/>
            <w:vAlign w:val="bottom"/>
            <w:vMerge w:val="continue"/>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100,477,774</w:t>
            </w:r>
          </w:p>
        </w:tc>
        <w:tc>
          <w:tcPr>
            <w:tcW w:w="2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110,759,390</w:t>
            </w:r>
          </w:p>
        </w:tc>
        <w:tc>
          <w:tcPr>
            <w:tcW w:w="2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Deposits and obligations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97,170,411</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97,375,411</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104,554,868</w:t>
            </w:r>
          </w:p>
        </w:tc>
        <w:tc>
          <w:tcPr>
            <w:tcW w:w="6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97,170,411</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104,554,868</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equity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21,756,568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23,006,133</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23,839,243</w:t>
            </w:r>
          </w:p>
        </w:tc>
        <w:tc>
          <w:tcPr>
            <w:tcW w:w="6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6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21,756,568</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23,839,243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Profitability</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interest margin</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11 bps</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35 bps</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06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 bps</w:t>
            </w: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Risk adjusted Net interest margin</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11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22 bps</w:t>
            </w:r>
          </w:p>
        </w:tc>
        <w:tc>
          <w:tcPr>
            <w:tcW w:w="11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45 bps</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1060" w:type="dxa"/>
            <w:vAlign w:val="bottom"/>
            <w:gridSpan w:val="2"/>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20 bps</w:t>
            </w:r>
          </w:p>
        </w:tc>
      </w:tr>
      <w:tr>
        <w:trPr>
          <w:trHeight w:val="189"/>
        </w:trPr>
        <w:tc>
          <w:tcPr>
            <w:tcW w:w="2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Funding cost </w:t>
            </w:r>
            <w:r>
              <w:rPr>
                <w:rFonts w:ascii="Times New Roman" w:cs="Times New Roman" w:eastAsia="Times New Roman" w:hAnsi="Times New Roman"/>
                <w:sz w:val="21"/>
                <w:szCs w:val="21"/>
                <w:color w:val="auto"/>
                <w:vertAlign w:val="superscript"/>
              </w:rPr>
              <w:t>(1)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2.39%</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-10 bps</w:t>
            </w: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ROAE</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1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-170 bps</w:t>
            </w:r>
          </w:p>
        </w:tc>
        <w:tc>
          <w:tcPr>
            <w:tcW w:w="116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-320 bps</w:t>
            </w:r>
          </w:p>
        </w:tc>
        <w:tc>
          <w:tcPr>
            <w:tcW w:w="1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060" w:type="dxa"/>
            <w:vAlign w:val="bottom"/>
            <w:gridSpan w:val="2"/>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-230 bps</w:t>
            </w:r>
          </w:p>
        </w:tc>
      </w:tr>
      <w:tr>
        <w:trPr>
          <w:trHeight w:val="162"/>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ROAA</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-20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-30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-20 bps</w:t>
            </w: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Loan portfolio quality</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Delinquency ratio over 90 days</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-17 bps</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-14 bps</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106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-14 bps</w:t>
            </w: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Internal overdue ratio </w:t>
            </w:r>
            <w:r>
              <w:rPr>
                <w:rFonts w:ascii="Times New Roman" w:cs="Times New Roman" w:eastAsia="Times New Roman" w:hAnsi="Times New Roman"/>
                <w:sz w:val="21"/>
                <w:szCs w:val="21"/>
                <w:color w:val="auto"/>
                <w:vertAlign w:val="superscript"/>
              </w:rPr>
              <w:t>(2)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2.81%</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-23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-19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-19 bps</w:t>
            </w:r>
          </w:p>
        </w:tc>
      </w:tr>
      <w:tr>
        <w:trPr>
          <w:trHeight w:val="189"/>
        </w:trPr>
        <w:tc>
          <w:tcPr>
            <w:tcW w:w="2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NPL ratio </w:t>
            </w:r>
            <w:r>
              <w:rPr>
                <w:rFonts w:ascii="Times New Roman" w:cs="Times New Roman" w:eastAsia="Times New Roman" w:hAnsi="Times New Roman"/>
                <w:sz w:val="21"/>
                <w:szCs w:val="21"/>
                <w:color w:val="auto"/>
                <w:vertAlign w:val="superscript"/>
              </w:rPr>
              <w:t>(3)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3.97%</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-18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5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3.97%</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5 bps</w:t>
            </w: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Cost of risk </w:t>
            </w:r>
            <w:r>
              <w:rPr>
                <w:rFonts w:ascii="Times New Roman" w:cs="Times New Roman" w:eastAsia="Times New Roman" w:hAnsi="Times New Roman"/>
                <w:sz w:val="21"/>
                <w:szCs w:val="21"/>
                <w:color w:val="auto"/>
                <w:vertAlign w:val="superscript"/>
              </w:rPr>
              <w:t>(4)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-29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-40 bps</w:t>
            </w:r>
          </w:p>
        </w:tc>
      </w:tr>
      <w:tr>
        <w:trPr>
          <w:trHeight w:val="149"/>
        </w:trPr>
        <w:tc>
          <w:tcPr>
            <w:tcW w:w="2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Coverage of internal overdue loans</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460 bps</w:t>
            </w:r>
          </w:p>
        </w:tc>
        <w:tc>
          <w:tcPr>
            <w:tcW w:w="116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980 bps</w:t>
            </w: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1060" w:type="dxa"/>
            <w:vAlign w:val="bottom"/>
            <w:gridSpan w:val="2"/>
            <w:shd w:val="clear" w:color="auto" w:fill="CCEEFF"/>
          </w:tcPr>
          <w:p>
            <w:pPr>
              <w:jc w:val="right"/>
              <w:ind w:right="73"/>
              <w:spacing w:after="0" w:line="149" w:lineRule="exact"/>
              <w:rPr>
                <w:sz w:val="20"/>
                <w:szCs w:val="20"/>
                <w:color w:val="auto"/>
              </w:rPr>
            </w:pPr>
            <w:r>
              <w:rPr>
                <w:rFonts w:ascii="Times New Roman" w:cs="Times New Roman" w:eastAsia="Times New Roman" w:hAnsi="Times New Roman"/>
                <w:sz w:val="14"/>
                <w:szCs w:val="14"/>
                <w:color w:val="auto"/>
              </w:rPr>
              <w:t>980 bps</w:t>
            </w:r>
          </w:p>
        </w:tc>
      </w:tr>
      <w:tr>
        <w:trPr>
          <w:trHeight w:val="16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Coverage of NPLs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112.7%</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-10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-170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112.7%</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-170 bps</w:t>
            </w: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efficiency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21"/>
                <w:szCs w:val="21"/>
                <w:color w:val="auto"/>
                <w:vertAlign w:val="superscript"/>
              </w:rPr>
              <w:t>(5)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45.7%</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190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30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44.1%</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40 bps</w:t>
            </w:r>
          </w:p>
        </w:tc>
      </w:tr>
      <w:tr>
        <w:trPr>
          <w:trHeight w:val="126"/>
        </w:trPr>
        <w:tc>
          <w:tcPr>
            <w:tcW w:w="2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Operating expenses / Total average</w:t>
            </w: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8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4.06%</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26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25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3.68%</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0 bps</w:t>
            </w: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Insurance ratios</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2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Combined ratio of P&amp;C </w:t>
            </w:r>
            <w:r>
              <w:rPr>
                <w:rFonts w:ascii="Times New Roman" w:cs="Times New Roman" w:eastAsia="Times New Roman" w:hAnsi="Times New Roman"/>
                <w:sz w:val="21"/>
                <w:szCs w:val="21"/>
                <w:color w:val="auto"/>
                <w:vertAlign w:val="superscript"/>
              </w:rPr>
              <w:t>(6)(7)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101.6%</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410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360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101.6%</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450 bps</w:t>
            </w: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Loss ratio </w:t>
            </w:r>
            <w:r>
              <w:rPr>
                <w:rFonts w:ascii="Times New Roman" w:cs="Times New Roman" w:eastAsia="Times New Roman" w:hAnsi="Times New Roman"/>
                <w:sz w:val="21"/>
                <w:szCs w:val="21"/>
                <w:color w:val="auto"/>
                <w:vertAlign w:val="superscript"/>
              </w:rPr>
              <w:t>(7)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58.6%</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60.6%</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150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200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59.0%</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20 bps</w:t>
            </w:r>
          </w:p>
        </w:tc>
      </w:tr>
      <w:tr>
        <w:trPr>
          <w:trHeight w:val="138"/>
        </w:trPr>
        <w:tc>
          <w:tcPr>
            <w:tcW w:w="2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Underwriting result / net earned</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213"/>
        </w:trPr>
        <w:tc>
          <w:tcPr>
            <w:tcW w:w="238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4"/>
                <w:szCs w:val="14"/>
                <w:color w:val="auto"/>
              </w:rPr>
              <w:t xml:space="preserve">premiums </w:t>
            </w:r>
            <w:r>
              <w:rPr>
                <w:rFonts w:ascii="Times New Roman" w:cs="Times New Roman" w:eastAsia="Times New Roman" w:hAnsi="Times New Roman"/>
                <w:sz w:val="23"/>
                <w:szCs w:val="23"/>
                <w:color w:val="auto"/>
                <w:vertAlign w:val="superscript"/>
              </w:rPr>
              <w:t>(7)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-170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-210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-220 bps</w:t>
            </w:r>
          </w:p>
        </w:tc>
      </w:tr>
      <w:tr>
        <w:trPr>
          <w:trHeight w:val="114"/>
        </w:trPr>
        <w:tc>
          <w:tcPr>
            <w:tcW w:w="2380" w:type="dxa"/>
            <w:vAlign w:val="bottom"/>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Capital adequacy - BCP Stand-alone</w:t>
            </w: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59"/>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7"/>
        </w:trPr>
        <w:tc>
          <w:tcPr>
            <w:tcW w:w="23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 xml:space="preserve">BIS ratio </w:t>
            </w:r>
            <w:r>
              <w:rPr>
                <w:rFonts w:ascii="Times New Roman" w:cs="Times New Roman" w:eastAsia="Times New Roman" w:hAnsi="Times New Roman"/>
                <w:sz w:val="23"/>
                <w:szCs w:val="23"/>
                <w:color w:val="auto"/>
                <w:vertAlign w:val="superscript"/>
              </w:rPr>
              <w:t>(9)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14.17%</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-77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-88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14.17%</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-88 bps</w:t>
            </w:r>
          </w:p>
        </w:tc>
      </w:tr>
      <w:tr>
        <w:trPr>
          <w:trHeight w:val="189"/>
        </w:trPr>
        <w:tc>
          <w:tcPr>
            <w:tcW w:w="238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Tier 1 Ratio </w:t>
            </w:r>
            <w:r>
              <w:rPr>
                <w:rFonts w:ascii="Times New Roman" w:cs="Times New Roman" w:eastAsia="Times New Roman" w:hAnsi="Times New Roman"/>
                <w:sz w:val="21"/>
                <w:szCs w:val="21"/>
                <w:color w:val="auto"/>
                <w:vertAlign w:val="superscript"/>
              </w:rPr>
              <w:t>(10)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10.28%</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-68 bps</w:t>
            </w:r>
          </w:p>
        </w:tc>
        <w:tc>
          <w:tcPr>
            <w:tcW w:w="11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-56 bps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10.84%</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10.28%</w:t>
            </w:r>
          </w:p>
        </w:tc>
        <w:tc>
          <w:tcPr>
            <w:tcW w:w="1060" w:type="dxa"/>
            <w:vAlign w:val="bottom"/>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-56 bps</w:t>
            </w:r>
          </w:p>
        </w:tc>
      </w:tr>
      <w:tr>
        <w:trPr>
          <w:trHeight w:val="203"/>
        </w:trPr>
        <w:tc>
          <w:tcPr>
            <w:tcW w:w="2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Common equity tier 1 ratio </w:t>
            </w:r>
            <w:r>
              <w:rPr>
                <w:rFonts w:ascii="Times New Roman" w:cs="Times New Roman" w:eastAsia="Times New Roman" w:hAnsi="Times New Roman"/>
                <w:sz w:val="23"/>
                <w:szCs w:val="23"/>
                <w:color w:val="auto"/>
                <w:vertAlign w:val="superscript"/>
              </w:rPr>
              <w:t>(11)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11.55%</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 bps</w:t>
            </w:r>
          </w:p>
        </w:tc>
        <w:tc>
          <w:tcPr>
            <w:tcW w:w="11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-28 bps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11.55%</w:t>
            </w:r>
          </w:p>
        </w:tc>
        <w:tc>
          <w:tcPr>
            <w:tcW w:w="10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-28 bps</w:t>
            </w:r>
          </w:p>
        </w:tc>
      </w:tr>
      <w:tr>
        <w:trPr>
          <w:trHeight w:val="142"/>
        </w:trPr>
        <w:tc>
          <w:tcPr>
            <w:tcW w:w="23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Employees</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33,636</w:t>
            </w: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33,643</w:t>
            </w:r>
          </w:p>
        </w:tc>
        <w:tc>
          <w:tcPr>
            <w:tcW w:w="2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34,024</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33,636</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34,024</w:t>
            </w:r>
          </w:p>
        </w:tc>
        <w:tc>
          <w:tcPr>
            <w:tcW w:w="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r>
      <w:tr>
        <w:trPr>
          <w:trHeight w:val="142"/>
        </w:trPr>
        <w:tc>
          <w:tcPr>
            <w:tcW w:w="23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 Information</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Outstanding Shares</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94,382</w:t>
            </w: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94,382</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94,382</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94,382</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94,382</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r>
      <w:tr>
        <w:trPr>
          <w:trHeight w:val="189"/>
        </w:trPr>
        <w:tc>
          <w:tcPr>
            <w:tcW w:w="23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Treasury Shares </w:t>
            </w:r>
            <w:r>
              <w:rPr>
                <w:rFonts w:ascii="Times New Roman" w:cs="Times New Roman" w:eastAsia="Times New Roman" w:hAnsi="Times New Roman"/>
                <w:sz w:val="21"/>
                <w:szCs w:val="21"/>
                <w:color w:val="auto"/>
                <w:vertAlign w:val="superscript"/>
              </w:rPr>
              <w:t>(12)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14,621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14,621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14,621</w:t>
            </w:r>
          </w:p>
        </w:tc>
        <w:tc>
          <w:tcPr>
            <w:tcW w:w="11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w:t>
            </w:r>
          </w:p>
        </w:tc>
        <w:tc>
          <w:tcPr>
            <w:tcW w:w="11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14,621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14,621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62"/>
        </w:trPr>
        <w:tc>
          <w:tcPr>
            <w:tcW w:w="2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Floating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79,761</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79,761</w:t>
            </w:r>
          </w:p>
        </w:tc>
        <w:tc>
          <w:tcPr>
            <w:tcW w:w="2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79,761</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0.0%</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0.0%</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79,761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79,761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20"/>
        </w:trPr>
        <w:tc>
          <w:tcPr>
            <w:tcW w:w="2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8"/>
        <w:spacing w:after="0" w:line="261"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firstLine="8"/>
        <w:spacing w:after="0" w:line="25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overdue loans: includes overdue loans and loans under legal collection, according to our internal policy for overdue loans. Internal Overdue Ratio: Internal Overdue Loans / Total Loans</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(NPL): Internal overdue loans + Refinanced loans. NPL ratio: NPL / Total loans.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Annualized provision for loan losses, net of recoveries / Total loans.</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2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Efficiency ratio = [Total Expenses + Acquisition Cost - Other expenses] / [Net Interest Income + Fee Income + Net Gain on Foreign Exchange Transactions + Net Gain from associates + Net gain on derivatives + Result on exchange difference + Net Premiums Earned].</w:t>
      </w:r>
    </w:p>
    <w:p>
      <w:pPr>
        <w:ind w:right="20" w:firstLine="8"/>
        <w:spacing w:after="0" w:line="25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(Net claims / Net earned premiums) + [(Acquisition cost + Operating expenses) / Net earned premiums]. Does not include Life insurance business.</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Grupo Pacifico's figures before eliminations for consolidation to Credicorp.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ratios are for BCP Stand-alone and based on Peru GAAP.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 Risk-weighted assets (legal minimum = 10% since July 2011).</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3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3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Atlantic Security Holding Corporation (ASHC).</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941"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Credicorp and subsidiaries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contribution *</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3Q18</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4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QoQ</w:t>
            </w:r>
          </w:p>
        </w:tc>
        <w:tc>
          <w:tcPr>
            <w:tcW w:w="9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2018 / 2017</w:t>
            </w:r>
          </w:p>
        </w:tc>
        <w:tc>
          <w:tcPr>
            <w:tcW w:w="180" w:type="dxa"/>
            <w:vAlign w:val="bottom"/>
          </w:tcPr>
          <w:p>
            <w:pPr>
              <w:spacing w:after="0"/>
              <w:rPr>
                <w:sz w:val="20"/>
                <w:szCs w:val="20"/>
                <w:color w:val="auto"/>
              </w:rPr>
            </w:pP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Universal Banking</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619,639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712,427</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694,560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2,565,171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2,858,164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Bolivia</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75,390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78,260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Microfinance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23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Mibanco </w:t>
            </w:r>
            <w:r>
              <w:rPr>
                <w:rFonts w:ascii="Times New Roman" w:cs="Times New Roman" w:eastAsia="Times New Roman" w:hAnsi="Times New Roman"/>
                <w:sz w:val="29"/>
                <w:szCs w:val="29"/>
                <w:color w:val="auto"/>
                <w:vertAlign w:val="superscript"/>
              </w:rPr>
              <w:t>(1)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114,196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102,426</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99,778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371,931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445,169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Encumbra</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5,123</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Insurance and Pensions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23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Grupo Pacifico </w:t>
            </w:r>
            <w:r>
              <w:rPr>
                <w:rFonts w:ascii="Times New Roman" w:cs="Times New Roman" w:eastAsia="Times New Roman" w:hAnsi="Times New Roman"/>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80,583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97,269</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105,492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349,130</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 AFP</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30,425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41,476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30,471</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139,586</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194"/>
        </w:trPr>
        <w:tc>
          <w:tcPr>
            <w:tcW w:w="2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Investment Banking and</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Wealth Management</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Credicorp Capital</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69,430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34,261</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Security Bank</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48,904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35,089</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111,965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r>
      <w:tr>
        <w:trPr>
          <w:trHeight w:val="270"/>
        </w:trPr>
        <w:tc>
          <w:tcPr>
            <w:tcW w:w="23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30"/>
                <w:szCs w:val="30"/>
                <w:b w:val="1"/>
                <w:bCs w:val="1"/>
                <w:color w:val="auto"/>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136,625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(11,843)</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374,247</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(37,793)</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174"/>
        </w:trPr>
        <w:tc>
          <w:tcPr>
            <w:tcW w:w="23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attributed to</w:t>
            </w: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52"/>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1,063,659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956,935</w:t>
            </w: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4,091,753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3,983,865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*Contributions to Credicorp reflect the eliminations for consolidation purposes (e.g. eliminations for transactions among Credicorp’s subsidiaries or between Credicorp and its subsidiaries).</w:t>
      </w: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 is lower than the net income of Mibanco because Credicorp owns 97.74% of Mibanco (directly and indirectly).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is higher than Grupo Pacifico’s net income because Credicorp owns 65.20% directly, and 33.59% through Grupo Credito.</w:t>
      </w:r>
    </w:p>
    <w:p>
      <w:pPr>
        <w:spacing w:after="0" w:line="9" w:lineRule="exact"/>
        <w:rPr>
          <w:rFonts w:ascii="Times New Roman" w:cs="Times New Roman" w:eastAsia="Times New Roman" w:hAnsi="Times New Roman"/>
          <w:sz w:val="18"/>
          <w:szCs w:val="18"/>
          <w:color w:val="auto"/>
        </w:rPr>
      </w:pPr>
    </w:p>
    <w:p>
      <w:pPr>
        <w:ind w:right="20" w:firstLine="8"/>
        <w:spacing w:after="0" w:line="261"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Grupo Credito excluding Prima (Servicorp and Emisiones BCP Latam), others of Atlantic Security Holding Corporation and others of Credicorp Ltd.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43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ROAE</w:t>
            </w:r>
          </w:p>
        </w:tc>
        <w:tc>
          <w:tcPr>
            <w:tcW w:w="9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4Q17</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3Q18</w:t>
            </w:r>
          </w:p>
        </w:tc>
        <w:tc>
          <w:tcPr>
            <w:tcW w:w="9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4Q18</w:t>
            </w: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Universal Banking</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Bolivia</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Microfinance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43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Mibanco </w:t>
            </w:r>
            <w:r>
              <w:rPr>
                <w:rFonts w:ascii="Times New Roman" w:cs="Times New Roman" w:eastAsia="Times New Roman" w:hAnsi="Times New Roman"/>
                <w:sz w:val="29"/>
                <w:szCs w:val="29"/>
                <w:color w:val="auto"/>
                <w:vertAlign w:val="superscript"/>
              </w:rPr>
              <w:t>(1)</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Encumbra</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Insurance and Pensions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7"/>
        </w:trPr>
        <w:tc>
          <w:tcPr>
            <w:tcW w:w="43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Grupo Pacifico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Prima</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Banking and Wealth Management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Credicorp Capital</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Security Bank</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0"/>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8" w:lineRule="exact"/>
        <w:rPr>
          <w:sz w:val="20"/>
          <w:szCs w:val="20"/>
          <w:color w:val="auto"/>
        </w:rPr>
      </w:pPr>
    </w:p>
    <w:p>
      <w:pPr>
        <w:ind w:firstLine="8"/>
        <w:spacing w:after="0" w:line="261"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ROAE including goodwill of BCP from the acquisition of Edyficar (Approximately US$ 50.7 million) was 27.4% in 4Q17, 20.8% in 3Q18 and 19.9% in 4Q18. On an annual basis was 22.3% for 2017 and 23.9% for 2018.</w:t>
      </w:r>
    </w:p>
    <w:p>
      <w:pPr>
        <w:ind w:firstLine="8"/>
        <w:spacing w:after="0" w:line="261" w:lineRule="auto"/>
        <w:tabs>
          <w:tab w:leader="none" w:pos="2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include unrealized gains or losses that are considered in Pacifico’s Net Equity from the investment portfolio of Pacifico Vida. ROAE excluding such unrealized gains was 15.7% in 4Q17, 18.7% in 3Q18 and 19.4% in 4Q18. On an annual basis, was 15.4% for 2017 and 16.1% for 2018.</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Interest-earning assets (IEA)</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At the end of 2018, IEA reported significant expansion of +5.4% QoQ. This was primarily attributable to growth in loans, the most profitable asset. Although the YoY evolution of IEA registered a slight increase of 2.9%, +10.3% growth in loans was noteworthy and led mainly by Wholesale Banking, followed by the Mortgage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18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25,103,566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17,625,814</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19,357,146</w:t>
            </w: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207,559</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357,910</w:t>
            </w:r>
          </w:p>
        </w:tc>
        <w:tc>
          <w:tcPr>
            <w:tcW w:w="16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253,970</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33,415,912</w:t>
            </w:r>
          </w:p>
        </w:tc>
        <w:tc>
          <w:tcPr>
            <w:tcW w:w="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32,346,089</w:t>
            </w: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33,327,976</w:t>
            </w:r>
          </w:p>
        </w:tc>
        <w:tc>
          <w:tcPr>
            <w:tcW w:w="1060" w:type="dxa"/>
            <w:vAlign w:val="bottom"/>
            <w:tcBorders>
              <w:right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4700" w:type="dxa"/>
            <w:vAlign w:val="bottom"/>
            <w:gridSpan w:val="2"/>
          </w:tcPr>
          <w:p>
            <w:pPr>
              <w:spacing w:after="0" w:line="269" w:lineRule="exact"/>
              <w:rPr>
                <w:sz w:val="20"/>
                <w:szCs w:val="20"/>
                <w:color w:val="auto"/>
              </w:rPr>
            </w:pPr>
            <w:r>
              <w:rPr>
                <w:rFonts w:ascii="Times New Roman" w:cs="Times New Roman" w:eastAsia="Times New Roman" w:hAnsi="Times New Roman"/>
                <w:sz w:val="18"/>
                <w:szCs w:val="18"/>
                <w:color w:val="auto"/>
              </w:rPr>
              <w:t xml:space="preserve">Total loans </w:t>
            </w:r>
            <w:r>
              <w:rPr>
                <w:rFonts w:ascii="Times New Roman" w:cs="Times New Roman" w:eastAsia="Times New Roman" w:hAnsi="Times New Roman"/>
                <w:sz w:val="30"/>
                <w:szCs w:val="30"/>
                <w:color w:val="auto"/>
                <w:vertAlign w:val="superscript"/>
              </w:rPr>
              <w:t>(1)</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100,477,774</w:t>
            </w:r>
          </w:p>
        </w:tc>
        <w:tc>
          <w:tcPr>
            <w:tcW w:w="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105,028,343</w:t>
            </w:r>
          </w:p>
        </w:tc>
        <w:tc>
          <w:tcPr>
            <w:tcW w:w="160" w:type="dxa"/>
            <w:vAlign w:val="bottom"/>
          </w:tcPr>
          <w:p>
            <w:pPr>
              <w:spacing w:after="0"/>
              <w:rPr>
                <w:sz w:val="23"/>
                <w:szCs w:val="23"/>
                <w:color w:val="auto"/>
              </w:rPr>
            </w:pP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110,759,390</w:t>
            </w: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159,204,811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155,358,156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163,698,482</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88"/>
              </w:rPr>
              <w:t>5.4</w:t>
            </w:r>
          </w:p>
        </w:tc>
        <w:tc>
          <w:tcPr>
            <w:tcW w:w="30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42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Quarter-end balance.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Investments </w:t>
            </w:r>
            <w:r>
              <w:rPr>
                <w:rFonts w:ascii="Times New Roman" w:cs="Times New Roman" w:eastAsia="Times New Roman" w:hAnsi="Times New Roman"/>
                <w:sz w:val="30"/>
                <w:szCs w:val="30"/>
                <w:b w:val="1"/>
                <w:bCs w:val="1"/>
                <w:color w:val="auto"/>
                <w:vertAlign w:val="superscript"/>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40" w:type="dxa"/>
            <w:vAlign w:val="bottom"/>
            <w:tcBorders>
              <w:bottom w:val="single" w:sz="8" w:color="CCEEFF"/>
            </w:tcBorders>
            <w:gridSpan w:val="2"/>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QoQ</w:t>
            </w:r>
          </w:p>
        </w:tc>
        <w:tc>
          <w:tcPr>
            <w:tcW w:w="320" w:type="dxa"/>
            <w:vAlign w:val="bottom"/>
            <w:tcBorders>
              <w:bottom w:val="single" w:sz="8" w:color="CCEEFF"/>
            </w:tcBorders>
            <w:gridSpan w:val="2"/>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through profit or loss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4,549,050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4,722,191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3,974,003</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through other comprehensive income investments</w:t>
            </w: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24,437,263</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23,516,932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25,199,135</w:t>
            </w:r>
          </w:p>
        </w:tc>
        <w:tc>
          <w:tcPr>
            <w:tcW w:w="180" w:type="dxa"/>
            <w:vAlign w:val="bottom"/>
          </w:tcPr>
          <w:p>
            <w:pPr>
              <w:spacing w:after="0"/>
              <w:rPr>
                <w:sz w:val="18"/>
                <w:szCs w:val="18"/>
                <w:color w:val="auto"/>
              </w:rPr>
            </w:pPr>
          </w:p>
        </w:tc>
        <w:tc>
          <w:tcPr>
            <w:tcW w:w="10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 investments</w:t>
            </w: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4,429,599</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4,106,966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4,154,838</w:t>
            </w:r>
          </w:p>
        </w:tc>
        <w:tc>
          <w:tcPr>
            <w:tcW w:w="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60" w:type="dxa"/>
            <w:vAlign w:val="bottom"/>
            <w:tcBorders>
              <w:right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33,415,912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32,346,089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33,327,976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mandated by the IFRS9 norm are used in this chart. The former names, in the order presented in chart, are: Trading securities, Investments available for sale and Investments held to maturity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Evolution of IEA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loans measured in quarter-end balances accelerated their pace of growth QoQ (5.5% vs 2.2% in 3Q18), which reflects:</w:t>
      </w:r>
    </w:p>
    <w:p>
      <w:pPr>
        <w:spacing w:after="0" w:line="225" w:lineRule="exact"/>
        <w:rPr>
          <w:sz w:val="20"/>
          <w:szCs w:val="20"/>
          <w:color w:val="auto"/>
        </w:rPr>
      </w:pPr>
    </w:p>
    <w:p>
      <w:pPr>
        <w:ind w:left="880" w:hanging="49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expansion in Wholesale Banking in both Corporate Banking and Middle-Market Banking;</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growth in Retail Banking, mainly in the Mortgage and Credit Card segments; and</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loans at Mibanco and BCP Bolivia.</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YoY evolution of loans maintained the pace of growth reported last quarter and posted loan expansion of 10.3%. It is important to note that the YoY loan growth was due to expansion achieved in all business segments and subsidiaries, with the exception of loans at 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investments increased slightly QoQ, which mainly reflects purchases of CDs from BCRP at BCP Stand-alone from the fair value through comprehensive income investments portfolio (formerly securities available for sale)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YoY evolution, total investments remained at levels similar to those seen at the end of 2017, showing a slight re-composition in which the fair value through comprehensive income investments portfolio (formerly securities available for sale) increased its share of total investments.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IEA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due from banks increased 9.8% QoQ due to growth in balances held with BCRP, which in turn corresponds to an increase in the reserve requirement. The latter is mainly attributable to the expansion of FC deposits, which are subject to a higher reserve requirement than that of LC deposits.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YoY reduction in cash and due from banks reflects a decrease in the balance of the restricted funds that must be held with BCRP, which was in turn attributable to the contraction in BCRP instruments after payments were made upon maturity.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Loan evolution by business segment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shows loan composition by subsidiary and business segment measured in average daily balances, which provide a clearer picture of interest income generation relative to loans, Credicorp’s primary source of income. These balances reflect trends or variations to a different degree than quarter-end balances, which may include pre-payments or loans made at the end of the quarter, which affect average daily balances less than quarter-end balances.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average daily loan balances posted higher growth QoQ than that posted last quarter, which is consistent with loan seasonality. Nevertheless, YoY growth improved for the fourth consecutive quarter due to a recovery in the volumes of Wholesale Banking and Retail Banking loans, which was accompanied by higher growth in loans at Mibanco and BCP Bolivia.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evolution measured in average daily balances by segment</w:t>
      </w:r>
      <w:r>
        <w:rPr>
          <w:rFonts w:ascii="Times New Roman" w:cs="Times New Roman" w:eastAsia="Times New Roman" w:hAnsi="Times New Roman"/>
          <w:sz w:val="30"/>
          <w:szCs w:val="30"/>
          <w:b w:val="1"/>
          <w:bCs w:val="1"/>
          <w:color w:val="auto"/>
          <w:vertAlign w:val="superscript"/>
        </w:rPr>
        <w:t>(1)</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10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TOTAL LOANS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98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i w:val="1"/>
                <w:iCs w:val="1"/>
                <w:color w:val="auto"/>
                <w:w w:val="99"/>
              </w:rPr>
              <w:t>Expressed in million S/</w:t>
            </w:r>
          </w:p>
        </w:tc>
        <w:tc>
          <w:tcPr>
            <w:tcW w:w="204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23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 Part. in total loans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20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3Q18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4Q17</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3Q18</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60" w:type="dxa"/>
            <w:vAlign w:val="bottom"/>
            <w:tcBorders>
              <w:bottom w:val="single" w:sz="8" w:color="CCEEFF"/>
            </w:tcBorders>
          </w:tcPr>
          <w:p>
            <w:pPr>
              <w:spacing w:after="0"/>
              <w:rPr>
                <w:sz w:val="20"/>
                <w:szCs w:val="20"/>
                <w:color w:val="auto"/>
              </w:rPr>
            </w:pPr>
          </w:p>
        </w:tc>
      </w:tr>
      <w:tr>
        <w:trPr>
          <w:trHeight w:val="21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79,755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88,708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81.7%</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r>
      <w:tr>
        <w:trPr>
          <w:trHeight w:val="216"/>
        </w:trPr>
        <w:tc>
          <w:tcPr>
            <w:tcW w:w="2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Wholesale Banking</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41,752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44,963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46,476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42.8%</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43.1%</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r>
      <w:tr>
        <w:trPr>
          <w:trHeight w:val="216"/>
        </w:trPr>
        <w:tc>
          <w:tcPr>
            <w:tcW w:w="2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26,722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28,536</w:t>
            </w:r>
          </w:p>
        </w:tc>
        <w:tc>
          <w:tcPr>
            <w:tcW w:w="980" w:type="dxa"/>
            <w:vAlign w:val="bottom"/>
            <w:gridSpan w:val="2"/>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3"/>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Middle - Market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15,030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17,464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17,939</w:t>
            </w:r>
          </w:p>
        </w:tc>
        <w:tc>
          <w:tcPr>
            <w:tcW w:w="980" w:type="dxa"/>
            <w:vAlign w:val="bottom"/>
            <w:gridSpan w:val="2"/>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3"/>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Retail Banking</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38,004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40,326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42,232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1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38.9%</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w:t>
            </w:r>
          </w:p>
        </w:tc>
      </w:tr>
      <w:tr>
        <w:trPr>
          <w:trHeight w:val="216"/>
        </w:trPr>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SME - Business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5,244</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SME - Pyme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8,664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9,396</w:t>
            </w:r>
          </w:p>
        </w:tc>
        <w:tc>
          <w:tcPr>
            <w:tcW w:w="980" w:type="dxa"/>
            <w:vAlign w:val="bottom"/>
            <w:gridSpan w:val="2"/>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gridSpan w:val="3"/>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1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13,055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14,159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14,714</w:t>
            </w:r>
          </w:p>
        </w:tc>
        <w:tc>
          <w:tcPr>
            <w:tcW w:w="980" w:type="dxa"/>
            <w:vAlign w:val="bottom"/>
            <w:gridSpan w:val="2"/>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3"/>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2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Consumer</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6,672</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1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Card</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5,029</w:t>
            </w:r>
          </w:p>
        </w:tc>
        <w:tc>
          <w:tcPr>
            <w:tcW w:w="980" w:type="dxa"/>
            <w:vAlign w:val="bottom"/>
            <w:gridSpan w:val="2"/>
            <w:shd w:val="clear" w:color="auto" w:fill="C5D9F1"/>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9,078</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9,585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9,763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1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Bolivia</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6,153</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6,888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30"/>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ASB</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2,663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2,551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2,547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1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BAP's total loans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97,648</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104,313</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108,170</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2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4114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consolidation purposes, loans generated in FC are converted to 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Work out unit, and other banking.</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Loan Growth QoQ in Average Daily Balances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2109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11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analysis by segment, QoQ expansion in loans measured in average daily balances reflects:</w:t>
      </w:r>
    </w:p>
    <w:p>
      <w:pPr>
        <w:spacing w:after="0" w:line="225"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Retail Banking loans, mainly in the Mortgage, Credit Card and SME-Pyme segments.</w:t>
      </w:r>
    </w:p>
    <w:p>
      <w:pPr>
        <w:spacing w:after="0" w:line="225"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expansion in Wholesale Banking, mainly in Corporate Banking (3.8% QoQ) due to growth in loans for working capital and, to a lesser extent, for medium and long-term loans.</w:t>
      </w:r>
    </w:p>
    <w:p>
      <w:pPr>
        <w:spacing w:after="0" w:line="16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loans at BCP Bolivia, which reported growth of +3.8% in 4Q18. This evolution was attributable to growth in the Mortgage segment (regulated portfolio) and in Middle-Market Banking.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Growth YoY in Average Daily Balances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2143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11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YoY analysis of growth by segment measured in average daily balances shows: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jc w:val="both"/>
        <w:ind w:left="446" w:hanging="446"/>
        <w:spacing w:after="0" w:line="266"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growth in Wholesale Banking in the both the sub-segment of Middle-Market Banking (+19.4% YoY) and in Corporate Banking (6.8% YoY). In Middle-Market Banking, growth was attributable to expansion in medium and long-term loans while in Corporate Banking, the increase was due to growth in medium and long-term loans and financing for sales.</w:t>
      </w:r>
    </w:p>
    <w:p>
      <w:pPr>
        <w:spacing w:after="0" w:line="176"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growth in the Mortgage, Consumer and SME-Pyme segment in Retail Banking.</w:t>
      </w:r>
    </w:p>
    <w:p>
      <w:pPr>
        <w:spacing w:after="0" w:line="225" w:lineRule="exact"/>
        <w:rPr>
          <w:rFonts w:ascii="Times New Roman" w:cs="Times New Roman" w:eastAsia="Times New Roman" w:hAnsi="Times New Roman"/>
          <w:sz w:val="18"/>
          <w:szCs w:val="18"/>
          <w:color w:val="auto"/>
        </w:rPr>
      </w:pPr>
    </w:p>
    <w:p>
      <w:pPr>
        <w:ind w:left="446" w:hanging="446"/>
        <w:spacing w:after="0" w:line="282"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loans at BCP Bolivia, which reported an increase of +16.2% in 4Q18. This evolution was attributable to loan expansion in Corporate Banking and in the Mortgage segment (regulated portfolio).</w:t>
      </w:r>
    </w:p>
    <w:p>
      <w:pPr>
        <w:spacing w:after="0" w:line="161" w:lineRule="exact"/>
        <w:rPr>
          <w:rFonts w:ascii="Times New Roman" w:cs="Times New Roman" w:eastAsia="Times New Roman" w:hAnsi="Times New Roman"/>
          <w:sz w:val="18"/>
          <w:szCs w:val="18"/>
          <w:color w:val="auto"/>
        </w:rPr>
      </w:pPr>
    </w:p>
    <w:p>
      <w:pPr>
        <w:ind w:left="446" w:right="20" w:hanging="446"/>
        <w:spacing w:after="0" w:line="282"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loans at Mibanco (+7.6% YoY), in line with an improvement in the productivity of the sales force as this subsidiary continued to implement its strategy for financial inclusion (new clients in the System) while accompanying clients that are growing their businesses.</w:t>
      </w:r>
    </w:p>
    <w:p>
      <w:pPr>
        <w:spacing w:after="0" w:line="158"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b w:val="1"/>
          <w:bCs w:val="1"/>
          <w:color w:val="auto"/>
        </w:rPr>
        <w:t>Year-to-date growth in average daily balances per segment</w:t>
      </w:r>
    </w:p>
    <w:p>
      <w:pPr>
        <w:spacing w:after="0" w:line="31"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i w:val="1"/>
          <w:iCs w:val="1"/>
          <w:color w:val="auto"/>
        </w:rPr>
        <w:t>Expressed in millions of S/</w:t>
      </w:r>
    </w:p>
    <w:p>
      <w:pPr>
        <w:spacing w:after="0" w:line="203" w:lineRule="exact"/>
        <w:rPr>
          <w:sz w:val="20"/>
          <w:szCs w:val="20"/>
          <w:color w:val="auto"/>
        </w:rPr>
      </w:pPr>
    </w:p>
    <w:tbl>
      <w:tblPr>
        <w:tblLayout w:type="fixed"/>
        <w:tblInd w:w="526"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9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060" w:type="dxa"/>
            <w:vAlign w:val="bottom"/>
          </w:tcPr>
          <w:p>
            <w:pPr>
              <w:spacing w:after="0"/>
              <w:rPr>
                <w:sz w:val="19"/>
                <w:szCs w:val="19"/>
                <w:color w:val="auto"/>
              </w:rPr>
            </w:pPr>
          </w:p>
        </w:tc>
        <w:tc>
          <w:tcPr>
            <w:tcW w:w="196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i w:val="1"/>
                <w:iCs w:val="1"/>
                <w:color w:val="auto"/>
              </w:rPr>
              <w:t>In millions of S/</w:t>
            </w: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7"/>
              </w:rPr>
              <w:t>Share %</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0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Borders>
              <w:bottom w:val="single" w:sz="8" w:color="CCEEFF"/>
            </w:tcBorders>
          </w:tcPr>
          <w:p>
            <w:pPr>
              <w:spacing w:after="0"/>
              <w:rPr>
                <w:sz w:val="20"/>
                <w:szCs w:val="20"/>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BCP Stand-alone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77,796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85,043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r>
      <w:tr>
        <w:trPr>
          <w:trHeight w:val="216"/>
        </w:trPr>
        <w:tc>
          <w:tcPr>
            <w:tcW w:w="30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Wholesale Banking</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41,004</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44,999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3,995</w:t>
            </w:r>
          </w:p>
        </w:tc>
        <w:tc>
          <w:tcPr>
            <w:tcW w:w="40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r>
      <w:tr>
        <w:trPr>
          <w:trHeight w:val="216"/>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26,616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28,037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3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Middle - Market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16,963</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2,574</w:t>
            </w:r>
          </w:p>
        </w:tc>
        <w:tc>
          <w:tcPr>
            <w:tcW w:w="4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Retail Banking</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36,792</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40,044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3,252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r>
      <w:tr>
        <w:trPr>
          <w:trHeight w:val="216"/>
        </w:trPr>
        <w:tc>
          <w:tcPr>
            <w:tcW w:w="3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SME - Business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SME - Pyme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8,903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13,977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w:t>
            </w:r>
          </w:p>
        </w:tc>
        <w:tc>
          <w:tcPr>
            <w:tcW w:w="4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Consumer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7,218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Credit Card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9,567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Bolivia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5,803</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6,712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910</w:t>
            </w:r>
          </w:p>
        </w:tc>
        <w:tc>
          <w:tcPr>
            <w:tcW w:w="400" w:type="dxa"/>
            <w:vAlign w:val="bottom"/>
          </w:tcPr>
          <w:p>
            <w:pPr>
              <w:spacing w:after="0"/>
              <w:rPr>
                <w:sz w:val="18"/>
                <w:szCs w:val="18"/>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3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ASB</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-170</w:t>
            </w:r>
          </w:p>
        </w:tc>
        <w:tc>
          <w:tcPr>
            <w:tcW w:w="4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BAP's total loans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95,165</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103,919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8,754</w:t>
            </w: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b w:val="1"/>
          <w:bCs w:val="1"/>
          <w:color w:val="auto"/>
        </w:rPr>
        <w:t>+9.2% FY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157480</wp:posOffset>
            </wp:positionV>
            <wp:extent cx="5746115" cy="206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115"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6"/>
          </w:cols>
          <w:pgMar w:left="694" w:top="904" w:right="2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Finally, the level of average daily balances for 2018 registered an increase of +9.2% with regard to the average daily loan balance posted for 2017. This expansion was due primarily to growth in Middle-Market loans, primarily due to medium and long-term financing and to a lesser extent, to the increase posted by loans for working capital. The others segments that significantly contributed to loan growth were Corporate Banking, where expansion was generated primarily by loans for working capital, and Mortgage loans, which were mainly denominated in 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evolution by currency - average daily balances</w:t>
      </w:r>
      <w:r>
        <w:rPr>
          <w:rFonts w:ascii="Times New Roman" w:cs="Times New Roman" w:eastAsia="Times New Roman" w:hAnsi="Times New Roman"/>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DOMESTIC CURRENCY LOANS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7"/>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FOREIGN CURRENCY LOANS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part. by currency</w:t>
            </w:r>
          </w:p>
        </w:tc>
      </w:tr>
      <w:tr>
        <w:trPr>
          <w:trHeight w:val="164"/>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7"/>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Expressed in million 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7"/>
          </w:tcPr>
          <w:p>
            <w:pPr>
              <w:jc w:val="center"/>
              <w:ind w:right="128"/>
              <w:spacing w:after="0"/>
              <w:rPr>
                <w:sz w:val="20"/>
                <w:szCs w:val="20"/>
                <w:color w:val="auto"/>
              </w:rPr>
            </w:pPr>
            <w:r>
              <w:rPr>
                <w:rFonts w:ascii="Times New Roman" w:cs="Times New Roman" w:eastAsia="Times New Roman" w:hAnsi="Times New Roman"/>
                <w:sz w:val="14"/>
                <w:szCs w:val="14"/>
                <w:b w:val="1"/>
                <w:bCs w:val="1"/>
                <w:i w:val="1"/>
                <w:iCs w:val="1"/>
                <w:color w:val="auto"/>
              </w:rPr>
              <w:t>Expressed in million US$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4Q18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9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4Q17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4Q18</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QoQ</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4Q18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LC</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FC</w:t>
            </w:r>
          </w:p>
        </w:tc>
        <w:tc>
          <w:tcPr>
            <w:tcW w:w="120" w:type="dxa"/>
            <w:vAlign w:val="bottom"/>
            <w:tcBorders>
              <w:bottom w:val="single" w:sz="8" w:color="CCEEFF"/>
            </w:tcBorders>
          </w:tcPr>
          <w:p>
            <w:pPr>
              <w:spacing w:after="0"/>
              <w:rPr>
                <w:sz w:val="15"/>
                <w:szCs w:val="15"/>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49,337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52,659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54,850</w:t>
            </w: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9,387</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9,919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10,039</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1.2%</w:t>
            </w: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61.8%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w:t>
            </w:r>
          </w:p>
        </w:tc>
      </w:tr>
      <w:tr>
        <w:trPr>
          <w:trHeight w:val="149"/>
        </w:trPr>
        <w:tc>
          <w:tcPr>
            <w:tcW w:w="1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19,272</w:t>
            </w:r>
          </w:p>
        </w:tc>
        <w:tc>
          <w:tcPr>
            <w:tcW w:w="9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20,149</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20,640</w:t>
            </w:r>
          </w:p>
        </w:tc>
        <w:tc>
          <w:tcPr>
            <w:tcW w:w="7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7.1%</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6,937</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7,544</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7,660</w:t>
            </w:r>
          </w:p>
        </w:tc>
        <w:tc>
          <w:tcPr>
            <w:tcW w:w="8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9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44.4%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55.6%</w:t>
            </w:r>
          </w:p>
        </w:tc>
      </w:tr>
      <w:tr>
        <w:trPr>
          <w:trHeight w:val="129"/>
        </w:trPr>
        <w:tc>
          <w:tcPr>
            <w:tcW w:w="1960" w:type="dxa"/>
            <w:vAlign w:val="bottom"/>
            <w:tcBorders>
              <w:bottom w:val="single" w:sz="8" w:color="CCEEFF"/>
            </w:tcBorders>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Corporate</w:t>
            </w:r>
          </w:p>
        </w:tc>
        <w:tc>
          <w:tcPr>
            <w:tcW w:w="58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11,965</w:t>
            </w:r>
          </w:p>
        </w:tc>
        <w:tc>
          <w:tcPr>
            <w:tcW w:w="1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11,775</w:t>
            </w:r>
          </w:p>
        </w:tc>
        <w:tc>
          <w:tcPr>
            <w:tcW w:w="780" w:type="dxa"/>
            <w:vAlign w:val="bottom"/>
            <w:tcBorders>
              <w:bottom w:val="single" w:sz="8" w:color="CCEEFF"/>
            </w:tcBorders>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12,308</w:t>
            </w:r>
          </w:p>
        </w:tc>
        <w:tc>
          <w:tcPr>
            <w:tcW w:w="700" w:type="dxa"/>
            <w:vAlign w:val="bottom"/>
            <w:tcBorders>
              <w:bottom w:val="single" w:sz="8" w:color="C5D9F1"/>
            </w:tcBorders>
            <w:gridSpan w:val="3"/>
            <w:shd w:val="clear" w:color="auto" w:fill="C5D9F1"/>
          </w:tcPr>
          <w:p>
            <w:pPr>
              <w:jc w:val="right"/>
              <w:spacing w:after="0" w:line="126" w:lineRule="exact"/>
              <w:rPr>
                <w:sz w:val="20"/>
                <w:szCs w:val="20"/>
                <w:color w:val="auto"/>
              </w:rPr>
            </w:pPr>
            <w:r>
              <w:rPr>
                <w:rFonts w:ascii="Times New Roman" w:cs="Times New Roman" w:eastAsia="Times New Roman" w:hAnsi="Times New Roman"/>
                <w:sz w:val="14"/>
                <w:szCs w:val="14"/>
                <w:color w:val="auto"/>
              </w:rPr>
              <w:t>4.5%</w:t>
            </w:r>
          </w:p>
        </w:tc>
        <w:tc>
          <w:tcPr>
            <w:tcW w:w="800" w:type="dxa"/>
            <w:vAlign w:val="bottom"/>
            <w:tcBorders>
              <w:bottom w:val="single" w:sz="8" w:color="CCEEFF"/>
            </w:tcBorders>
            <w:gridSpan w:val="3"/>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w:t>
            </w:r>
          </w:p>
        </w:tc>
        <w:tc>
          <w:tcPr>
            <w:tcW w:w="880" w:type="dxa"/>
            <w:vAlign w:val="bottom"/>
            <w:tcBorders>
              <w:bottom w:val="single" w:sz="8" w:color="CCEEFF"/>
            </w:tcBorders>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4,554</w:t>
            </w:r>
          </w:p>
        </w:tc>
        <w:tc>
          <w:tcPr>
            <w:tcW w:w="780" w:type="dxa"/>
            <w:vAlign w:val="bottom"/>
            <w:tcBorders>
              <w:bottom w:val="single" w:sz="8" w:color="CCEEFF"/>
            </w:tcBorders>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4,780</w:t>
            </w:r>
          </w:p>
        </w:tc>
        <w:tc>
          <w:tcPr>
            <w:tcW w:w="760" w:type="dxa"/>
            <w:vAlign w:val="bottom"/>
            <w:tcBorders>
              <w:bottom w:val="single" w:sz="8" w:color="CCEEFF"/>
            </w:tcBorders>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4,812</w:t>
            </w:r>
          </w:p>
        </w:tc>
        <w:tc>
          <w:tcPr>
            <w:tcW w:w="120" w:type="dxa"/>
            <w:vAlign w:val="bottom"/>
            <w:tcBorders>
              <w:bottom w:val="single" w:sz="8" w:color="C5D9F1"/>
            </w:tcBorders>
            <w:shd w:val="clear" w:color="auto" w:fill="C5D9F1"/>
          </w:tcPr>
          <w:p>
            <w:pPr>
              <w:spacing w:after="0"/>
              <w:rPr>
                <w:sz w:val="11"/>
                <w:szCs w:val="11"/>
                <w:color w:val="auto"/>
              </w:rPr>
            </w:pPr>
          </w:p>
        </w:tc>
        <w:tc>
          <w:tcPr>
            <w:tcW w:w="700" w:type="dxa"/>
            <w:vAlign w:val="bottom"/>
            <w:tcBorders>
              <w:bottom w:val="single" w:sz="8" w:color="C5D9F1"/>
            </w:tcBorders>
            <w:gridSpan w:val="2"/>
            <w:shd w:val="clear" w:color="auto" w:fill="C5D9F1"/>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700" w:type="dxa"/>
            <w:vAlign w:val="bottom"/>
            <w:tcBorders>
              <w:bottom w:val="single" w:sz="8" w:color="C5D9F1"/>
            </w:tcBorders>
            <w:gridSpan w:val="2"/>
            <w:shd w:val="clear" w:color="auto" w:fill="C5D9F1"/>
          </w:tcPr>
          <w:p>
            <w:pPr>
              <w:jc w:val="right"/>
              <w:spacing w:after="0" w:line="126" w:lineRule="exact"/>
              <w:rPr>
                <w:sz w:val="20"/>
                <w:szCs w:val="20"/>
                <w:color w:val="auto"/>
              </w:rPr>
            </w:pPr>
            <w:r>
              <w:rPr>
                <w:rFonts w:ascii="Times New Roman" w:cs="Times New Roman" w:eastAsia="Times New Roman" w:hAnsi="Times New Roman"/>
                <w:sz w:val="14"/>
                <w:szCs w:val="14"/>
                <w:color w:val="auto"/>
              </w:rPr>
              <w:t>5.7%</w:t>
            </w:r>
          </w:p>
        </w:tc>
        <w:tc>
          <w:tcPr>
            <w:tcW w:w="920" w:type="dxa"/>
            <w:vAlign w:val="bottom"/>
            <w:tcBorders>
              <w:bottom w:val="single" w:sz="8" w:color="CCEEFF"/>
            </w:tcBorders>
            <w:gridSpan w:val="3"/>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43.1%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56.9%</w:t>
            </w:r>
          </w:p>
        </w:tc>
      </w:tr>
      <w:tr>
        <w:trPr>
          <w:trHeight w:val="149"/>
        </w:trPr>
        <w:tc>
          <w:tcPr>
            <w:tcW w:w="19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9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8,374</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8,332</w:t>
            </w:r>
          </w:p>
        </w:tc>
        <w:tc>
          <w:tcPr>
            <w:tcW w:w="7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2,763</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2,849</w:t>
            </w:r>
          </w:p>
        </w:tc>
        <w:tc>
          <w:tcPr>
            <w:tcW w:w="1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700" w:type="dxa"/>
            <w:vAlign w:val="bottom"/>
            <w:gridSpan w:val="2"/>
            <w:shd w:val="clear" w:color="auto" w:fill="C5D9F1"/>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9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53.6%</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30,065</w:t>
            </w:r>
          </w:p>
        </w:tc>
        <w:tc>
          <w:tcPr>
            <w:tcW w:w="9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32,510</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34,210</w:t>
            </w: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w:t>
            </w:r>
          </w:p>
        </w:tc>
        <w:tc>
          <w:tcPr>
            <w:tcW w:w="8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2,450</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2,376</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2,379</w:t>
            </w:r>
          </w:p>
        </w:tc>
        <w:tc>
          <w:tcPr>
            <w:tcW w:w="8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0.1%</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w:t>
            </w:r>
          </w:p>
        </w:tc>
        <w:tc>
          <w:tcPr>
            <w:tcW w:w="9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81.0%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19.0%</w:t>
            </w:r>
          </w:p>
        </w:tc>
      </w:tr>
      <w:tr>
        <w:trPr>
          <w:trHeight w:val="149"/>
        </w:trPr>
        <w:tc>
          <w:tcPr>
            <w:tcW w:w="19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2,449</w:t>
            </w:r>
          </w:p>
        </w:tc>
        <w:tc>
          <w:tcPr>
            <w:tcW w:w="9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2,484</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2,556</w:t>
            </w:r>
          </w:p>
        </w:tc>
        <w:tc>
          <w:tcPr>
            <w:tcW w:w="7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00" w:type="dxa"/>
            <w:vAlign w:val="bottom"/>
          </w:tcPr>
          <w:p>
            <w:pPr>
              <w:spacing w:after="0"/>
              <w:rPr>
                <w:sz w:val="12"/>
                <w:szCs w:val="12"/>
                <w:color w:val="auto"/>
              </w:rPr>
            </w:pPr>
          </w:p>
        </w:tc>
        <w:tc>
          <w:tcPr>
            <w:tcW w:w="8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9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r>
      <w:tr>
        <w:trPr>
          <w:trHeight w:val="129"/>
        </w:trPr>
        <w:tc>
          <w:tcPr>
            <w:tcW w:w="1960" w:type="dxa"/>
            <w:vAlign w:val="bottom"/>
            <w:tcBorders>
              <w:bottom w:val="single" w:sz="8" w:color="CCEEFF"/>
            </w:tcBorders>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SME - Pyme</w:t>
            </w:r>
          </w:p>
        </w:tc>
        <w:tc>
          <w:tcPr>
            <w:tcW w:w="700" w:type="dxa"/>
            <w:vAlign w:val="bottom"/>
            <w:tcBorders>
              <w:bottom w:val="single" w:sz="8" w:color="CCEEFF"/>
            </w:tcBorders>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8,361</w:t>
            </w:r>
          </w:p>
        </w:tc>
        <w:tc>
          <w:tcPr>
            <w:tcW w:w="920" w:type="dxa"/>
            <w:vAlign w:val="bottom"/>
            <w:tcBorders>
              <w:bottom w:val="single" w:sz="8" w:color="CCEEFF"/>
            </w:tcBorders>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8,672</w:t>
            </w:r>
          </w:p>
        </w:tc>
        <w:tc>
          <w:tcPr>
            <w:tcW w:w="780" w:type="dxa"/>
            <w:vAlign w:val="bottom"/>
            <w:tcBorders>
              <w:bottom w:val="single" w:sz="8" w:color="CCEEFF"/>
            </w:tcBorders>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9,124</w:t>
            </w:r>
          </w:p>
        </w:tc>
        <w:tc>
          <w:tcPr>
            <w:tcW w:w="100" w:type="dxa"/>
            <w:vAlign w:val="bottom"/>
            <w:tcBorders>
              <w:bottom w:val="single" w:sz="8" w:color="C5D9F1"/>
            </w:tcBorders>
            <w:shd w:val="clear" w:color="auto" w:fill="C5D9F1"/>
          </w:tcPr>
          <w:p>
            <w:pPr>
              <w:spacing w:after="0"/>
              <w:rPr>
                <w:sz w:val="11"/>
                <w:szCs w:val="11"/>
                <w:color w:val="auto"/>
              </w:rPr>
            </w:pPr>
          </w:p>
        </w:tc>
        <w:tc>
          <w:tcPr>
            <w:tcW w:w="600" w:type="dxa"/>
            <w:vAlign w:val="bottom"/>
            <w:tcBorders>
              <w:bottom w:val="single" w:sz="8" w:color="C5D9F1"/>
            </w:tcBorders>
            <w:gridSpan w:val="2"/>
            <w:shd w:val="clear" w:color="auto" w:fill="C5D9F1"/>
          </w:tcPr>
          <w:p>
            <w:pPr>
              <w:jc w:val="right"/>
              <w:spacing w:after="0" w:line="126"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5D9F1"/>
            </w:tcBorders>
            <w:shd w:val="clear" w:color="auto" w:fill="C5D9F1"/>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9.1%</w:t>
            </w:r>
          </w:p>
        </w:tc>
        <w:tc>
          <w:tcPr>
            <w:tcW w:w="68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81</w:t>
            </w: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81</w:t>
            </w:r>
          </w:p>
        </w:tc>
        <w:tc>
          <w:tcPr>
            <w:tcW w:w="2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3"/>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70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-13.6%</w:t>
            </w:r>
          </w:p>
        </w:tc>
        <w:tc>
          <w:tcPr>
            <w:tcW w:w="920" w:type="dxa"/>
            <w:vAlign w:val="bottom"/>
            <w:tcBorders>
              <w:bottom w:val="single" w:sz="8" w:color="CCEEFF"/>
            </w:tcBorders>
            <w:gridSpan w:val="3"/>
            <w:shd w:val="clear" w:color="auto" w:fill="CCEEFF"/>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97.1%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w:t>
            </w:r>
          </w:p>
        </w:tc>
      </w:tr>
      <w:tr>
        <w:trPr>
          <w:trHeight w:val="149"/>
        </w:trPr>
        <w:tc>
          <w:tcPr>
            <w:tcW w:w="19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Mortgage</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9,914</w:t>
            </w:r>
          </w:p>
        </w:tc>
        <w:tc>
          <w:tcPr>
            <w:tcW w:w="9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11,328</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11,892</w:t>
            </w:r>
          </w:p>
        </w:tc>
        <w:tc>
          <w:tcPr>
            <w:tcW w:w="100" w:type="dxa"/>
            <w:vAlign w:val="bottom"/>
            <w:shd w:val="clear" w:color="auto" w:fill="C5D9F1"/>
          </w:tcPr>
          <w:p>
            <w:pPr>
              <w:spacing w:after="0"/>
              <w:rPr>
                <w:sz w:val="12"/>
                <w:szCs w:val="12"/>
                <w:color w:val="auto"/>
              </w:rPr>
            </w:pPr>
          </w:p>
        </w:tc>
        <w:tc>
          <w:tcPr>
            <w:tcW w:w="600" w:type="dxa"/>
            <w:vAlign w:val="bottom"/>
            <w:gridSpan w:val="2"/>
            <w:shd w:val="clear" w:color="auto" w:fill="C5D9F1"/>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0" w:type="dxa"/>
            <w:vAlign w:val="bottom"/>
            <w:gridSpan w:val="3"/>
            <w:shd w:val="clear" w:color="auto" w:fill="C5D9F1"/>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969</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861</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200" w:type="dxa"/>
            <w:vAlign w:val="bottom"/>
          </w:tcPr>
          <w:p>
            <w:pPr>
              <w:spacing w:after="0"/>
              <w:rPr>
                <w:sz w:val="12"/>
                <w:szCs w:val="12"/>
                <w:color w:val="auto"/>
              </w:rPr>
            </w:pPr>
          </w:p>
        </w:tc>
        <w:tc>
          <w:tcPr>
            <w:tcW w:w="8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700" w:type="dxa"/>
            <w:vAlign w:val="bottom"/>
            <w:gridSpan w:val="2"/>
            <w:shd w:val="clear" w:color="auto" w:fill="FDE9D9"/>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9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5,550</w:t>
            </w:r>
          </w:p>
        </w:tc>
        <w:tc>
          <w:tcPr>
            <w:tcW w:w="9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6,111</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6,315</w:t>
            </w: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3"/>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r>
      <w:tr>
        <w:trPr>
          <w:trHeight w:val="149"/>
        </w:trPr>
        <w:tc>
          <w:tcPr>
            <w:tcW w:w="19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3,791</w:t>
            </w:r>
          </w:p>
        </w:tc>
        <w:tc>
          <w:tcPr>
            <w:tcW w:w="9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3,916</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4,324</w:t>
            </w:r>
          </w:p>
        </w:tc>
        <w:tc>
          <w:tcPr>
            <w:tcW w:w="700" w:type="dxa"/>
            <w:vAlign w:val="bottom"/>
            <w:gridSpan w:val="3"/>
            <w:shd w:val="clear" w:color="auto" w:fill="C5D9F1"/>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2"/>
                <w:szCs w:val="12"/>
                <w:color w:val="auto"/>
              </w:rPr>
            </w:pPr>
          </w:p>
        </w:tc>
        <w:tc>
          <w:tcPr>
            <w:tcW w:w="8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92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r>
      <w:tr>
        <w:trPr>
          <w:trHeight w:val="149"/>
        </w:trPr>
        <w:tc>
          <w:tcPr>
            <w:tcW w:w="1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Mibanco</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8,563</w:t>
            </w:r>
          </w:p>
        </w:tc>
        <w:tc>
          <w:tcPr>
            <w:tcW w:w="9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9,048</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9,223</w:t>
            </w:r>
          </w:p>
        </w:tc>
        <w:tc>
          <w:tcPr>
            <w:tcW w:w="7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7.7%</w:t>
            </w: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160</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0.8%</w:t>
            </w:r>
          </w:p>
        </w:tc>
        <w:tc>
          <w:tcPr>
            <w:tcW w:w="92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94.5%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r>
      <w:tr>
        <w:trPr>
          <w:trHeight w:val="149"/>
        </w:trPr>
        <w:tc>
          <w:tcPr>
            <w:tcW w:w="1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Bolivia</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1,899</w:t>
            </w: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2,094</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2,121</w:t>
            </w:r>
          </w:p>
        </w:tc>
        <w:tc>
          <w:tcPr>
            <w:tcW w:w="820" w:type="dxa"/>
            <w:vAlign w:val="bottom"/>
            <w:gridSpan w:val="3"/>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1.3%</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w:t>
            </w:r>
          </w:p>
        </w:tc>
        <w:tc>
          <w:tcPr>
            <w:tcW w:w="920" w:type="dxa"/>
            <w:vAlign w:val="bottom"/>
            <w:gridSpan w:val="3"/>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100.0%</w:t>
            </w:r>
          </w:p>
        </w:tc>
      </w:tr>
      <w:tr>
        <w:trPr>
          <w:trHeight w:val="16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ASB</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92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r>
      <w:tr>
        <w:trPr>
          <w:trHeight w:val="142"/>
        </w:trPr>
        <w:tc>
          <w:tcPr>
            <w:tcW w:w="1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loans</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57,900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61,707</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64,073</w:t>
            </w:r>
          </w:p>
        </w:tc>
        <w:tc>
          <w:tcPr>
            <w:tcW w:w="22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10.7</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12,266</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12,952</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13,075</w:t>
            </w:r>
          </w:p>
        </w:tc>
        <w:tc>
          <w:tcPr>
            <w:tcW w:w="200" w:type="dxa"/>
            <w:vAlign w:val="bottom"/>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0.9</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59.2</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40.8</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5776595</wp:posOffset>
            </wp:positionH>
            <wp:positionV relativeFrom="paragraph">
              <wp:posOffset>-307975</wp:posOffset>
            </wp:positionV>
            <wp:extent cx="35179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790" cy="94615"/>
                    </a:xfrm>
                    <a:prstGeom prst="rect">
                      <a:avLst/>
                    </a:prstGeom>
                    <a:noFill/>
                  </pic:spPr>
                </pic:pic>
              </a:graphicData>
            </a:graphic>
          </wp:anchor>
        </w:drawing>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1148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1148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Work out unit, and other banking.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analysis of loan growth by currency, it is evident that the QoQ and YoY expansion is due primarily to an increase in the LC portfolio (+3.8% QoQ and +10.7% YoY).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YoY evolution of the level of dollarization by segment </w:t>
      </w:r>
      <w:r>
        <w:rPr>
          <w:rFonts w:ascii="Times New Roman" w:cs="Times New Roman" w:eastAsia="Times New Roman" w:hAnsi="Times New Roman"/>
          <w:sz w:val="30"/>
          <w:szCs w:val="30"/>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92710</wp:posOffset>
            </wp:positionV>
            <wp:extent cx="5746115" cy="1998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611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balances.</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with the historic maximum level of dollarization for Wholesale Banking was 2012, for Mibanco was 2016 and for the rest of segments was 2009.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BCP Stand-alone, the loan dollarization level remained stable YoY at 38%. As expected, the Mortgage segment continued to follow a downward trend in the level of dollarization, which fell from 24% at the end of 2017 to 19% at the end of 2018. The aforementioned reflects the high level of disbursements of mortgage loans in LC in a scenario in which interest-rate differential for new loans continued to fall.</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It is important to note that, as is evident in the following figure, the percentage of the loan portfolio that is highly exposed to FX risk on credit risk remains very 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157480</wp:posOffset>
            </wp:positionV>
            <wp:extent cx="3173095" cy="1534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7309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1.2.3. BCRP de-dollarization plan at BCP Stand-alone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end of 2014, BCRP set up a Loan De-dollarization Program. Among the measures taken, reduction targets were set for loan balances in US Dollars with progressive targets for the end of June 2015, December 2016, December 2017 and December 2018 is as follows:</w:t>
      </w:r>
    </w:p>
    <w:p>
      <w:pPr>
        <w:spacing w:after="0" w:line="162" w:lineRule="exact"/>
        <w:rPr>
          <w:sz w:val="20"/>
          <w:szCs w:val="20"/>
          <w:color w:val="auto"/>
        </w:rPr>
      </w:pPr>
    </w:p>
    <w:p>
      <w:pPr>
        <w:ind w:left="880" w:hanging="494"/>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total FC portfolio, the goal for 2017 remains in effect. Accordingly, the balance at the end of December 2018 must represent no more than 80% of the total loan portfolio in FC reported at the end of September 2013 (excluding loans that fulfill certain specifications).</w:t>
      </w:r>
    </w:p>
    <w:p>
      <w:pPr>
        <w:spacing w:after="0" w:line="16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December 2018, BCP Stand-alone reported a compliance level of 105% with regard to the goal set by BCRP for December 2018.</w:t>
      </w:r>
    </w:p>
    <w:p>
      <w:pPr>
        <w:spacing w:after="0" w:line="225"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FC mortgage and car loan portfolio, the goal for 2017 will remain in effect until November 2018 to subsequently be adjusted by 10% in December. Every year, the goal will be adjusted 10% until a level of at least 5% of Net Equity is reached. The balance at the end of December 2018 must represent maximum 50% of the balance registered at the end of February 2013.</w:t>
      </w:r>
    </w:p>
    <w:p>
      <w:pPr>
        <w:spacing w:after="0" w:line="176"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December 2018, BCP Stand-alone achieved a compliance level of 98% with regard to the dedollarization goal set by BCRP.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1.2.4. Market share in loans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612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611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Banking market shares are different that previously reported because loans from COFIDE are now included in the denominator.</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segment includes Mibanco's market share of 1.1% as of November 2018, September 2018 and December 2017.</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segment includes Mibanco's market share of 1.5% as of November 2018, 1.5% as of September 2018, and 1.8% as of December 2017.</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Shares for Corporate, Middle-market and SME-Business are as of December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Peruvian Financial System</w:t>
      </w:r>
    </w:p>
    <w:p>
      <w:pPr>
        <w:spacing w:after="0" w:line="23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At the end of November 2018, </w:t>
      </w:r>
      <w:r>
        <w:rPr>
          <w:rFonts w:ascii="Times New Roman" w:cs="Times New Roman" w:eastAsia="Times New Roman" w:hAnsi="Times New Roman"/>
          <w:sz w:val="18"/>
          <w:szCs w:val="18"/>
          <w:b w:val="1"/>
          <w:bCs w:val="1"/>
          <w:color w:val="auto"/>
        </w:rPr>
        <w:t>BCP Stand-alone</w:t>
      </w:r>
      <w:r>
        <w:rPr>
          <w:rFonts w:ascii="Times New Roman" w:cs="Times New Roman" w:eastAsia="Times New Roman" w:hAnsi="Times New Roman"/>
          <w:sz w:val="18"/>
          <w:szCs w:val="18"/>
          <w:color w:val="auto"/>
        </w:rPr>
        <w:t xml:space="preserve"> continued to lead the Peruvian financial market</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with a share (MS) of 29.2%, which topped the MS of 17.9% posted by BCP’s closest competitor. This level is an improvement over that obtained in 3Q18 but lower than that posted in 4Q17. </w:t>
      </w:r>
      <w:r>
        <w:rPr>
          <w:rFonts w:ascii="Times New Roman" w:cs="Times New Roman" w:eastAsia="Times New Roman" w:hAnsi="Times New Roman"/>
          <w:sz w:val="18"/>
          <w:szCs w:val="18"/>
          <w:b w:val="1"/>
          <w:bCs w:val="1"/>
          <w:color w:val="auto"/>
        </w:rPr>
        <w:t>Mibanco</w:t>
      </w:r>
      <w:r>
        <w:rPr>
          <w:rFonts w:ascii="Times New Roman" w:cs="Times New Roman" w:eastAsia="Times New Roman" w:hAnsi="Times New Roman"/>
          <w:sz w:val="18"/>
          <w:szCs w:val="18"/>
          <w:color w:val="auto"/>
        </w:rPr>
        <w:t>’s market share of the total financial system remained stable (3.2%).</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Wholesale Banking, the Corporate Banking segment reported growth of +210 bps of MS QoQ while Middle Market Banking increased its MS +70 bps. In the YoY evolution, Corporate Banking reported a decrease of -120 pbs in its MS while Middle-Market Banking posted an increase of +230 bps. It is important to note that both continue to lead in their respective segments.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Retail Banking, BCP reported a relatively stable MS, leading the markets in the mortgage, consumer and credit card segments. In the SME-Business segment, BCP ranks second but has increased its share every quarter (31.9% in 4Q18 vs 30.3% in 3Q18 y 28.8% in 4Q17). It is important to note that Credit Cards resumed leadership in their respective segment via an increase of +60 bps in MS.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SME-Pyme segment, Mibanco continues to lead with a MS of 22.8%, a level that represents an increase of 30 bps with regard to 4Q17’s level. BCP currently ranks second in this segment with a MS of 11.8%.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Bolivian Financial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Finally, </w:t>
      </w:r>
      <w:r>
        <w:rPr>
          <w:rFonts w:ascii="Times New Roman" w:cs="Times New Roman" w:eastAsia="Times New Roman" w:hAnsi="Times New Roman"/>
          <w:sz w:val="18"/>
          <w:szCs w:val="18"/>
          <w:b w:val="1"/>
          <w:bCs w:val="1"/>
          <w:color w:val="auto"/>
        </w:rPr>
        <w:t>BCP Bolivia’s</w:t>
      </w:r>
      <w:r>
        <w:rPr>
          <w:rFonts w:ascii="Times New Roman" w:cs="Times New Roman" w:eastAsia="Times New Roman" w:hAnsi="Times New Roman"/>
          <w:sz w:val="18"/>
          <w:szCs w:val="18"/>
          <w:color w:val="auto"/>
        </w:rPr>
        <w:t xml:space="preserve"> MS fell QoQ and YoY to situate this subsidiary fifth in the Bolivian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4" w:lineRule="exact"/>
        <w:rPr>
          <w:sz w:val="20"/>
          <w:szCs w:val="20"/>
          <w:color w:val="auto"/>
        </w:rPr>
      </w:pPr>
    </w:p>
    <w:p>
      <w:pPr>
        <w:ind w:left="120" w:hanging="112"/>
        <w:spacing w:after="0"/>
        <w:tabs>
          <w:tab w:leader="none" w:pos="1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Multipurpose Banks, Finance Companies, Municipal and Rural Banks, EDPYMEs and Leasing and Mortgages Companies.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 Funding Sources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2018, the funding structure at Credicorp was characterized by on-going growth in total deposits- the main funding source- as they continued to increase their share of total funding at Credicorp. Currently, deposits represent the main source of funding substitution for BCRP Instruments. It is important to note the on-going expansion in savings deposits and non-interest-bearing demand deposits, which represent lower-cost funding sources. All of the aforementioned helped keep Credicorp’s funding cost relatively stable (-10 bps) despite a market scenario marked by rising international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24,193,949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24,975,666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26,609,832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Demand deposits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5,576,327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4,336,695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5,905,332</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36.2%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28,633,099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30,396,175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32,593,978</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31,143,365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30,186,076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31,307,165</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indemnity deposits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7,170,934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6,923,829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7,571,375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452,737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556,970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567,186</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97,170,411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97,375,411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104,554,868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7,996,889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7,509,183</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8,448,139</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12.5%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BCRP instruments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9,467,943</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4,851,806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5,226,870</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Repurchase agreements </w:t>
            </w:r>
            <w:r>
              <w:rPr>
                <w:rFonts w:ascii="Times New Roman" w:cs="Times New Roman" w:eastAsia="Times New Roman" w:hAnsi="Times New Roman"/>
                <w:sz w:val="29"/>
                <w:szCs w:val="29"/>
                <w:color w:val="auto"/>
                <w:vertAlign w:val="superscript"/>
              </w:rPr>
              <w:t>(1)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2,360,763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2,739,629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2,638,231</w:t>
            </w:r>
          </w:p>
        </w:tc>
        <w:tc>
          <w:tcPr>
            <w:tcW w:w="780" w:type="dxa"/>
            <w:vAlign w:val="bottom"/>
          </w:tcPr>
          <w:p>
            <w:pPr>
              <w:spacing w:after="0"/>
              <w:rPr>
                <w:sz w:val="22"/>
                <w:szCs w:val="22"/>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16,242,257</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15,194,775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15,457,540</w:t>
            </w:r>
          </w:p>
        </w:tc>
        <w:tc>
          <w:tcPr>
            <w:tcW w:w="7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line="269" w:lineRule="exact"/>
              <w:rPr>
                <w:sz w:val="20"/>
                <w:szCs w:val="20"/>
                <w:color w:val="auto"/>
              </w:rPr>
            </w:pPr>
            <w:r>
              <w:rPr>
                <w:rFonts w:ascii="Times New Roman" w:cs="Times New Roman" w:eastAsia="Times New Roman" w:hAnsi="Times New Roman"/>
                <w:sz w:val="18"/>
                <w:szCs w:val="18"/>
                <w:b w:val="1"/>
                <w:bCs w:val="1"/>
                <w:color w:val="auto"/>
              </w:rPr>
              <w:t xml:space="preserve">Total funding </w:t>
            </w:r>
            <w:r>
              <w:rPr>
                <w:rFonts w:ascii="Times New Roman" w:cs="Times New Roman" w:eastAsia="Times New Roman" w:hAnsi="Times New Roman"/>
                <w:sz w:val="30"/>
                <w:szCs w:val="30"/>
                <w:b w:val="1"/>
                <w:bCs w:val="1"/>
                <w:color w:val="auto"/>
                <w:vertAlign w:val="superscript"/>
              </w:rPr>
              <w:t>(2)</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133,238,263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127,670,804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136,325,648</w:t>
            </w:r>
          </w:p>
        </w:tc>
        <w:tc>
          <w:tcPr>
            <w:tcW w:w="780" w:type="dxa"/>
            <w:vAlign w:val="bottom"/>
          </w:tcPr>
          <w:p>
            <w:pPr>
              <w:spacing w:after="0"/>
              <w:rPr>
                <w:sz w:val="21"/>
                <w:szCs w:val="21"/>
                <w:color w:val="auto"/>
              </w:rPr>
            </w:pPr>
          </w:p>
        </w:tc>
        <w:tc>
          <w:tcPr>
            <w:tcW w:w="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2Q18, Repurchase agreements is excluded from Other liabilities and shown in an individual account. Also, it is included in the Total funding.</w:t>
      </w:r>
    </w:p>
    <w:p>
      <w:pPr>
        <w:spacing w:after="0" w:line="27" w:lineRule="exact"/>
        <w:rPr>
          <w:rFonts w:ascii="Times New Roman" w:cs="Times New Roman" w:eastAsia="Times New Roman" w:hAnsi="Times New Roman"/>
          <w:sz w:val="18"/>
          <w:szCs w:val="18"/>
          <w:color w:val="auto"/>
        </w:rPr>
      </w:pPr>
    </w:p>
    <w:p>
      <w:pPr>
        <w:ind w:firstLine="8"/>
        <w:spacing w:after="0" w:line="261" w:lineRule="auto"/>
        <w:tabs>
          <w:tab w:leader="none" w:pos="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1Q18, Total Funding excludes the following accounts: acceptances outstanding, reserves for property and casualty claims, reserve for unearned premiums, reinsurance payable and other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of the funding structure and cost – BAP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142875</wp:posOffset>
            </wp:positionV>
            <wp:extent cx="5746115" cy="2452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611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8"/>
        <w:spacing w:after="0" w:line="282" w:lineRule="auto"/>
        <w:tabs>
          <w:tab w:leader="none" w:pos="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costs differs from previously reported due to the methodoloy change of the denominator, which do not includes the following accounts:acceptances outstanding, reserves for property and casualty claims, reserve for unearned premiums, reinsurance payable and other liabilities.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chart for the evolution of the funding cost and structure at Credicorp is calculated based on quarter-end balances. Overall, the funding structure mainly reflects: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ind w:left="880" w:right="20" w:hanging="494"/>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deposits in the funding structure. Deposits continued to increase QoQ and YoY to post a share of 76.7% at the end of 2018 in comparison to 76.3% at the end of 3Q18 and 72.9% at the end of 2017.</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mix continued to report a significant share for savings deposits and non-interest bearing demand deposits, which continued to represent approximately 57% of total deposits at the end of 2018, compared to the 57% at the end of 3Q18 and the 55% at the end of 2017. Both of these deposit types are considered low-cost alternatives within the mix of deposit types.</w:t>
      </w:r>
    </w:p>
    <w:p>
      <w:pPr>
        <w:spacing w:after="0" w:line="176"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other sources of funding, the QoQ and YoY analysis shows an on-going drop in the volume of BCRP instruments since 2016, when they represented 9.1% of total funding. The level of BCRP instruments fell 44.8% at the end of 2018. This funding source as been replaced primarily by lower-cost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has kept the funding cost relatively stable since December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24,193,949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24,975,666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26,609,832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bearing Demand deposits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5,576,327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4,336,695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5,905,332</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8"/>
              </w:rPr>
              <w:t>36.2%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28,633,099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30,396,175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32,593,978</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31,143,365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30,186,076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31,307,165</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indemnity deposits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7,170,934</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6,923,829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7,571,375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452,737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556,970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567,186</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97,170,411</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97,375,411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104,554,868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deposits </w:t>
      </w:r>
      <w:r>
        <w:rPr>
          <w:rFonts w:ascii="Times New Roman" w:cs="Times New Roman" w:eastAsia="Times New Roman" w:hAnsi="Times New Roman"/>
          <w:sz w:val="18"/>
          <w:szCs w:val="18"/>
          <w:color w:val="auto"/>
        </w:rPr>
        <w:t>expanded 7.4% QoQ, mainly through BCP Stand-alone and, to lesser extent, via Mibanco. Within the composition of deposits, the QoQ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evolution shows:</w:t>
      </w:r>
    </w:p>
    <w:p>
      <w:pPr>
        <w:spacing w:after="0" w:line="155" w:lineRule="exact"/>
        <w:rPr>
          <w:sz w:val="20"/>
          <w:szCs w:val="20"/>
          <w:color w:val="auto"/>
        </w:rPr>
      </w:pPr>
    </w:p>
    <w:p>
      <w:pPr>
        <w:jc w:val="both"/>
        <w:ind w:left="880" w:hanging="494"/>
        <w:spacing w:after="0" w:line="268"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Savings deposits </w:t>
      </w:r>
      <w:r>
        <w:rPr>
          <w:rFonts w:ascii="Times New Roman" w:cs="Times New Roman" w:eastAsia="Times New Roman" w:hAnsi="Times New Roman"/>
          <w:sz w:val="18"/>
          <w:szCs w:val="18"/>
          <w:color w:val="auto"/>
        </w:rPr>
        <w:t>increased mainly due to transfers of severance indemnity deposits and bonus payment deposits at BCP Stand-alone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Mibanco. We continued seeing the positive impact of new savings accounts opened through Kioskos and the increase in balances for the use of the payment application Yape.</w:t>
      </w:r>
    </w:p>
    <w:p>
      <w:pPr>
        <w:spacing w:after="0" w:line="170"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w:t>
      </w:r>
      <w:r>
        <w:rPr>
          <w:rFonts w:ascii="Times New Roman" w:cs="Times New Roman" w:eastAsia="Times New Roman" w:hAnsi="Times New Roman"/>
          <w:sz w:val="18"/>
          <w:szCs w:val="18"/>
          <w:b w:val="1"/>
          <w:bCs w:val="1"/>
          <w:color w:val="auto"/>
        </w:rPr>
        <w:t>demand deposits</w:t>
      </w:r>
      <w:r>
        <w:rPr>
          <w:rFonts w:ascii="Times New Roman" w:cs="Times New Roman" w:eastAsia="Times New Roman" w:hAnsi="Times New Roman"/>
          <w:sz w:val="18"/>
          <w:szCs w:val="18"/>
          <w:color w:val="auto"/>
        </w:rPr>
        <w:t xml:space="preserve"> (non-interest bearing and interest bearing) due to an increase in the volume of current accounts in general and Wholesale Banking and BCP Stand-alone clients in particular.</w:t>
      </w:r>
    </w:p>
    <w:p>
      <w:pPr>
        <w:spacing w:after="0" w:line="154"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deposits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Severance indemnity deposits</w:t>
      </w:r>
      <w:r>
        <w:rPr>
          <w:rFonts w:ascii="Times New Roman" w:cs="Times New Roman" w:eastAsia="Times New Roman" w:hAnsi="Times New Roman"/>
          <w:sz w:val="18"/>
          <w:szCs w:val="18"/>
          <w:color w:val="auto"/>
        </w:rPr>
        <w:t>, which are both high-cost deposit types, increased QoQ due to:</w:t>
      </w:r>
    </w:p>
    <w:p>
      <w:pPr>
        <w:spacing w:after="0" w:line="225" w:lineRule="exact"/>
        <w:rPr>
          <w:rFonts w:ascii="Times New Roman" w:cs="Times New Roman" w:eastAsia="Times New Roman" w:hAnsi="Times New Roman"/>
          <w:sz w:val="18"/>
          <w:szCs w:val="18"/>
          <w:color w:val="auto"/>
        </w:rPr>
      </w:pPr>
    </w:p>
    <w:p>
      <w:pPr>
        <w:ind w:left="1280" w:right="20" w:hanging="381"/>
        <w:spacing w:after="0" w:line="286"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Time deposits: </w:t>
      </w:r>
      <w:r>
        <w:rPr>
          <w:rFonts w:ascii="Times New Roman" w:cs="Times New Roman" w:eastAsia="Times New Roman" w:hAnsi="Times New Roman"/>
          <w:sz w:val="18"/>
          <w:szCs w:val="18"/>
          <w:color w:val="auto"/>
        </w:rPr>
        <w:t>the increase was attributable to an increase in balances in Retail Banking and Corporate Banking at BCP Stand-alone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lesser extent at Mibanco. The aforementioned offset the drop at ASB, which was generated by expirations and withdrawals.</w:t>
      </w:r>
    </w:p>
    <w:p>
      <w:pPr>
        <w:spacing w:after="0" w:line="154" w:lineRule="exact"/>
        <w:rPr>
          <w:rFonts w:ascii="Times New Roman" w:cs="Times New Roman" w:eastAsia="Times New Roman" w:hAnsi="Times New Roman"/>
          <w:sz w:val="18"/>
          <w:szCs w:val="18"/>
          <w:color w:val="auto"/>
        </w:rPr>
      </w:pPr>
    </w:p>
    <w:p>
      <w:pPr>
        <w:ind w:left="1280" w:hanging="381"/>
        <w:spacing w:after="0" w:line="286" w:lineRule="auto"/>
        <w:tabs>
          <w:tab w:leader="none" w:pos="12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Severance indemnity Deposits: </w:t>
      </w:r>
      <w:r>
        <w:rPr>
          <w:rFonts w:ascii="Times New Roman" w:cs="Times New Roman" w:eastAsia="Times New Roman" w:hAnsi="Times New Roman"/>
          <w:sz w:val="18"/>
          <w:szCs w:val="18"/>
          <w:color w:val="auto"/>
        </w:rPr>
        <w:t>growth was associated with the second yearly deposit of funds, which takes place every 4Q in the month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terms, total deposits increased +7.6%, mainly due to:</w:t>
      </w:r>
    </w:p>
    <w:p>
      <w:pPr>
        <w:spacing w:after="0" w:line="225" w:lineRule="exact"/>
        <w:rPr>
          <w:sz w:val="20"/>
          <w:szCs w:val="20"/>
          <w:color w:val="auto"/>
        </w:rPr>
      </w:pPr>
    </w:p>
    <w:p>
      <w:pPr>
        <w:ind w:left="880" w:hanging="494"/>
        <w:spacing w:after="0" w:line="286"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w:t>
      </w:r>
      <w:r>
        <w:rPr>
          <w:rFonts w:ascii="Times New Roman" w:cs="Times New Roman" w:eastAsia="Times New Roman" w:hAnsi="Times New Roman"/>
          <w:sz w:val="18"/>
          <w:szCs w:val="18"/>
          <w:b w:val="1"/>
          <w:bCs w:val="1"/>
          <w:color w:val="auto"/>
        </w:rPr>
        <w:t>savings deposits</w:t>
      </w:r>
      <w:r>
        <w:rPr>
          <w:rFonts w:ascii="Times New Roman" w:cs="Times New Roman" w:eastAsia="Times New Roman" w:hAnsi="Times New Roman"/>
          <w:sz w:val="18"/>
          <w:szCs w:val="18"/>
          <w:color w:val="auto"/>
        </w:rPr>
        <w:t>, which accounts for 54% of growth in volumes YoY. This reflects the results of campaigns to capture savings, mainly through digital channels, which have been well accepted and utilized by clients at BCP Stand-alone.</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880" w:hanging="494"/>
        <w:spacing w:after="0" w:line="28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b w:val="1"/>
          <w:bCs w:val="1"/>
          <w:color w:val="auto"/>
        </w:rPr>
        <w:t>non-interest bearing demand deposits</w:t>
      </w:r>
      <w:r>
        <w:rPr>
          <w:rFonts w:ascii="Times New Roman" w:cs="Times New Roman" w:eastAsia="Times New Roman" w:hAnsi="Times New Roman"/>
          <w:sz w:val="18"/>
          <w:szCs w:val="18"/>
          <w:color w:val="auto"/>
        </w:rPr>
        <w:t xml:space="preserve"> due to an increase in the average balances of current accounts held by Wholesale Banking clients.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Dollarization Level of Deposits </w:t>
      </w:r>
      <w:r>
        <w:rPr>
          <w:rFonts w:ascii="Times New Roman" w:cs="Times New Roman" w:eastAsia="Times New Roman" w:hAnsi="Times New Roman"/>
          <w:sz w:val="30"/>
          <w:szCs w:val="30"/>
          <w:b w:val="1"/>
          <w:bCs w:val="1"/>
          <w:color w:val="auto"/>
          <w:vertAlign w:val="superscript"/>
        </w:rPr>
        <w:t>(1)</w:t>
      </w:r>
      <w:r>
        <w:rPr>
          <w:rFonts w:ascii="Times New Roman" w:cs="Times New Roman" w:eastAsia="Times New Roman" w:hAnsi="Times New Roman"/>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92710</wp:posOffset>
            </wp:positionV>
            <wp:extent cx="3344545" cy="1380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4454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861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611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level of deposit dollarization at Credicorp fell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xml:space="preserve"> due to higher growth in volumes in LC than expansion in FC.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in LC doubled that registered by FC. This was due primarily to demand deposits</w:t>
      </w: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8"/>
          <w:szCs w:val="18"/>
          <w:color w:val="auto"/>
        </w:rPr>
        <w:t xml:space="preserve"> and savings deposits and, to a lesser extent, to time deposits.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FC deposits, demand deposits and savings deposits posted the highest increases.</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evolution</w:t>
      </w:r>
      <w:r>
        <w:rPr>
          <w:rFonts w:ascii="Times New Roman" w:cs="Times New Roman" w:eastAsia="Times New Roman" w:hAnsi="Times New Roman"/>
          <w:sz w:val="18"/>
          <w:szCs w:val="18"/>
          <w:color w:val="auto"/>
        </w:rPr>
        <w:t>, the dollarization level followed a similar trend. This was in line with growth in savings and demand deposits in LC. All of the aforementioned reflects efforts to maintain a healthy match between assets and liabilities in each currency in accordance with Credicorp’s appetite.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4"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interest-bearing and non-interest bearing demand deposits.</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2435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611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BCP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Peruvian Financial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August 2018, Credicorp’s subsidiaries in Peru, BCP and Mibanco, continued to lead the market for total deposits with a 32.5% MS compared to 18.9% for its closest competitors.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analysis, total MS at the end of November 2018 fell in comparison with the figure reported at the end of December 2017 (33.6%). This was attributable to a decrease in the MS of demand deposits at BCP Stand-alone due to strong competition, mainly in the corporate segment. It is important to note on-going growth in the Mibanco’s MS and in the level of time deposits in particular, which went from posting growth of 6.1% in December 2017 to reporting an expansion of 6.5% (+48 bps) at the end of November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Bolivian Financial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BCP Bolivia continued to Rank fifth in the Bolivian financial system with an MS of 9.8% at the end of December 2018 in comparison to 9.9% in September 2018. In the YoY analysis, the MS remained stable in comparison to December 2017 (9.8%).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7,996,889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7,509,183</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8,448,139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8"/>
              </w:rPr>
              <w:t>12.5%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9,467,943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4,851,806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5,226,870</w:t>
            </w:r>
          </w:p>
        </w:tc>
        <w:tc>
          <w:tcPr>
            <w:tcW w:w="7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2,360,763</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2,739,629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2,638,231</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16,242,257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15,194,775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15,457,540</w:t>
            </w:r>
          </w:p>
        </w:tc>
        <w:tc>
          <w:tcPr>
            <w:tcW w:w="780" w:type="dxa"/>
            <w:vAlign w:val="bottom"/>
          </w:tcPr>
          <w:p>
            <w:pPr>
              <w:spacing w:after="0"/>
              <w:rPr>
                <w:sz w:val="19"/>
                <w:szCs w:val="19"/>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36,067,852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30,295,393</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31,770,780</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total of other funding sources</w:t>
      </w:r>
      <w:r>
        <w:rPr>
          <w:rFonts w:ascii="Times New Roman" w:cs="Times New Roman" w:eastAsia="Times New Roman" w:hAnsi="Times New Roman"/>
          <w:sz w:val="18"/>
          <w:szCs w:val="18"/>
          <w:color w:val="auto"/>
        </w:rPr>
        <w:t xml:space="preserve"> increased 5.0% QoQ. This was due primarily to an increase in the level of due to banks and correspondents and to a lesser extent, to growth in BCRP instruments.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QoQ increase in due to </w:t>
      </w:r>
      <w:r>
        <w:rPr>
          <w:rFonts w:ascii="Times New Roman" w:cs="Times New Roman" w:eastAsia="Times New Roman" w:hAnsi="Times New Roman"/>
          <w:sz w:val="18"/>
          <w:szCs w:val="18"/>
          <w:b w:val="1"/>
          <w:bCs w:val="1"/>
          <w:color w:val="auto"/>
        </w:rPr>
        <w:t>banks and correspondents</w:t>
      </w:r>
      <w:r>
        <w:rPr>
          <w:rFonts w:ascii="Times New Roman" w:cs="Times New Roman" w:eastAsia="Times New Roman" w:hAnsi="Times New Roman"/>
          <w:sz w:val="18"/>
          <w:szCs w:val="18"/>
          <w:color w:val="auto"/>
        </w:rPr>
        <w:t xml:space="preserve"> was associated with growth in due-to banks with foreign banks, mainly through BCP Stand-alone.</w:t>
      </w:r>
    </w:p>
    <w:p>
      <w:pPr>
        <w:spacing w:after="0" w:line="200" w:lineRule="exact"/>
        <w:rPr>
          <w:sz w:val="20"/>
          <w:szCs w:val="20"/>
          <w:color w:val="auto"/>
        </w:rPr>
      </w:pPr>
    </w:p>
    <w:p>
      <w:pPr>
        <w:spacing w:after="0" w:line="24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both"/>
        <w:ind w:right="58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4265295</wp:posOffset>
            </wp:positionH>
            <wp:positionV relativeFrom="page">
              <wp:posOffset>586105</wp:posOffset>
            </wp:positionV>
            <wp:extent cx="2735580" cy="2006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735580" cy="2006600"/>
                    </a:xfrm>
                    <a:prstGeom prst="rect">
                      <a:avLst/>
                    </a:prstGeom>
                    <a:noFill/>
                  </pic:spPr>
                </pic:pic>
              </a:graphicData>
            </a:graphic>
          </wp:anchor>
        </w:drawing>
        <w:t xml:space="preserve">The QoQ increase in </w:t>
      </w:r>
      <w:r>
        <w:rPr>
          <w:rFonts w:ascii="Times New Roman" w:cs="Times New Roman" w:eastAsia="Times New Roman" w:hAnsi="Times New Roman"/>
          <w:sz w:val="18"/>
          <w:szCs w:val="18"/>
          <w:b w:val="1"/>
          <w:bCs w:val="1"/>
          <w:color w:val="auto"/>
        </w:rPr>
        <w:t>BCRP instruments</w:t>
      </w:r>
      <w:r>
        <w:rPr>
          <w:rFonts w:ascii="Times New Roman" w:cs="Times New Roman" w:eastAsia="Times New Roman" w:hAnsi="Times New Roman"/>
          <w:sz w:val="18"/>
          <w:szCs w:val="18"/>
          <w:color w:val="auto"/>
        </w:rPr>
        <w:t xml:space="preserve"> was generated primarily by an increase in regular repos. As expected, no increase was reported in substitution and expansion repos with BCRP.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Repurchasing agreements </w:t>
      </w:r>
      <w:r>
        <w:rPr>
          <w:rFonts w:ascii="Times New Roman" w:cs="Times New Roman" w:eastAsia="Times New Roman" w:hAnsi="Times New Roman"/>
          <w:sz w:val="18"/>
          <w:szCs w:val="18"/>
          <w:color w:val="auto"/>
        </w:rPr>
        <w:t>fell QoQ due to a drop in volumes at ASB.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Bonds and subordinated debt </w:t>
      </w:r>
      <w:r>
        <w:rPr>
          <w:rFonts w:ascii="Times New Roman" w:cs="Times New Roman" w:eastAsia="Times New Roman" w:hAnsi="Times New Roman"/>
          <w:sz w:val="18"/>
          <w:szCs w:val="18"/>
          <w:color w:val="auto"/>
        </w:rPr>
        <w:t>posted an increase QoQ due to the issuance of a corporate bond in LC at BCP Stand-alone in the month of October.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evolution</w:t>
      </w:r>
      <w:r>
        <w:rPr>
          <w:rFonts w:ascii="Times New Roman" w:cs="Times New Roman" w:eastAsia="Times New Roman" w:hAnsi="Times New Roman"/>
          <w:sz w:val="18"/>
          <w:szCs w:val="18"/>
          <w:color w:val="auto"/>
        </w:rPr>
        <w:t>, the on-going reduction in BCRP instruments, which have been replaced by lower cost and time deposits as explained in section 2.2 Deposits, is noteworthy.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157480</wp:posOffset>
            </wp:positionV>
            <wp:extent cx="4022090" cy="1586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209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L/D ratio at Credicorp fell QoQ to situate at 105.9% after growth in deposits outpaced the expansion in loans (+7.4% vs 5.5%, respectively). The analysis by subsidiary reveals the same trend for BCP Stand-alone and Mibanco.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there was an increase in the L/D ratios at Credicorp and BCP Stand-alone. This was in line with the loan growth, which outpaced that of deposits. This contrasts with the situation at Mibanco, which has registered an on-going reduction in its L/D ratio due to campaigns in 2018 to capture deposits.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3"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Loan / Deposit Ratio by Currency</w:t>
      </w:r>
    </w:p>
    <w:p>
      <w:pPr>
        <w:spacing w:after="0" w:line="225" w:lineRule="exact"/>
        <w:rPr>
          <w:sz w:val="20"/>
          <w:szCs w:val="20"/>
          <w:color w:val="auto"/>
        </w:rPr>
      </w:pPr>
    </w:p>
    <w:p>
      <w:pPr>
        <w:ind w:left="2200"/>
        <w:spacing w:after="0"/>
        <w:tabs>
          <w:tab w:leader="none" w:pos="7920" w:val="left"/>
        </w:tabs>
        <w:rPr>
          <w:sz w:val="20"/>
          <w:szCs w:val="20"/>
          <w:color w:val="auto"/>
        </w:rPr>
      </w:pPr>
      <w:r>
        <w:rPr>
          <w:rFonts w:ascii="Times New Roman" w:cs="Times New Roman" w:eastAsia="Times New Roman" w:hAnsi="Times New Roman"/>
          <w:sz w:val="18"/>
          <w:szCs w:val="18"/>
          <w:b w:val="1"/>
          <w:bCs w:val="1"/>
          <w:color w:val="auto"/>
        </w:rPr>
        <w:t>Local Currency</w:t>
      </w:r>
      <w:r>
        <w:rPr>
          <w:sz w:val="20"/>
          <w:szCs w:val="20"/>
          <w:color w:val="auto"/>
        </w:rPr>
        <w:tab/>
      </w:r>
      <w:r>
        <w:rPr>
          <w:rFonts w:ascii="Times New Roman" w:cs="Times New Roman" w:eastAsia="Times New Roman" w:hAnsi="Times New Roman"/>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157480</wp:posOffset>
            </wp:positionV>
            <wp:extent cx="6543040" cy="172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30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QoQ analysis by currency indicates a drop in Credicorp’s L/D ratio after the increase in deposits (mainly in LC at BCP Stand-alone) outpaced growth in LC loans. The L/D in FC grew 140 bps given that the pace of loan growth in FC was greater than that posted for FC deposits at BCP Stand-alone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YoY analysis shows a significant reduction in the L/D ratio in LC due to an increase in the LC deposits. This contrasts with the L/D in FC, which increased 940 bps due to contraction in volumes of FC deposits in a context in which LC loans expanded.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Funding Cost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Credicorp’s funding cost remained relatively stable QoQ and YoY, growing only +5 bps and +4 bps, respectively. In YTD terms, the funding cost fell 10 bps in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Cost – Credicorp</w:t>
      </w:r>
      <w:r>
        <w:rPr>
          <w:rFonts w:ascii="Times New Roman" w:cs="Times New Roman" w:eastAsia="Times New Roman" w:hAnsi="Times New Roman"/>
          <w:sz w:val="30"/>
          <w:szCs w:val="30"/>
          <w:b w:val="1"/>
          <w:bCs w:val="1"/>
          <w:color w:val="auto"/>
          <w:vertAlign w:val="superscript"/>
        </w:rPr>
        <w:t>(1)</w:t>
      </w:r>
    </w:p>
    <w:p>
      <w:pPr>
        <w:spacing w:after="0" w:line="124" w:lineRule="exact"/>
        <w:rPr>
          <w:sz w:val="20"/>
          <w:szCs w:val="20"/>
          <w:color w:val="auto"/>
        </w:rPr>
      </w:pPr>
    </w:p>
    <w:p>
      <w:pPr>
        <w:ind w:left="3300"/>
        <w:spacing w:after="0"/>
        <w:tabs>
          <w:tab w:leader="none" w:pos="8460" w:val="left"/>
        </w:tabs>
        <w:rPr>
          <w:sz w:val="20"/>
          <w:szCs w:val="20"/>
          <w:color w:val="auto"/>
        </w:rPr>
      </w:pPr>
      <w:r>
        <w:rPr>
          <w:rFonts w:ascii="Times New Roman" w:cs="Times New Roman" w:eastAsia="Times New Roman" w:hAnsi="Times New Roman"/>
          <w:sz w:val="18"/>
          <w:szCs w:val="18"/>
          <w:b w:val="1"/>
          <w:bCs w:val="1"/>
          <w:color w:val="auto"/>
        </w:rPr>
        <w:t>At the quarter level</w:t>
      </w:r>
      <w:r>
        <w:rPr>
          <w:sz w:val="20"/>
          <w:szCs w:val="20"/>
          <w:color w:val="auto"/>
        </w:rPr>
        <w:tab/>
      </w:r>
      <w:r>
        <w:rPr>
          <w:rFonts w:ascii="Times New Roman" w:cs="Times New Roman" w:eastAsia="Times New Roman" w:hAnsi="Times New Roman"/>
          <w:sz w:val="18"/>
          <w:szCs w:val="18"/>
          <w:b w:val="1"/>
          <w:bCs w:val="1"/>
          <w:color w:val="auto"/>
        </w:rPr>
        <w:t>At the accumulated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981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611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540" w:firstLine="8"/>
        <w:spacing w:after="0" w:line="50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 by currency is calculated with the average of period-beginning and period-end balances. The QoQ evolution was generated primarily by:</w:t>
      </w:r>
    </w:p>
    <w:p>
      <w:pPr>
        <w:ind w:left="880" w:hanging="494"/>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the total funding mix, which posted a higher volume of low-cost funding such as deposits. In terms of other high-cost funding, the mix posted slight increases in the volumes of due to banks &amp; correspondents and bonds &amp; subordinated debt.</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ind w:left="880" w:hanging="494"/>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favorable mix of deposits given that low-cost deposits such as savings and non-interest bearing demand deposits grew considerably while high-cost funding posted slight growth.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the funding cost remained stable, which reflected a re-composition of the funding structure where deposits posted a significant increase in their share of total funding (72.9% 4Q17 to 76.7% 4Q18) and replaced BCRP Instruments. This represented a substitution of high-cost funding with low-cost funding.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points were noteworthy in the YTD analysis of the funding cost:</w:t>
      </w:r>
    </w:p>
    <w:p>
      <w:pPr>
        <w:spacing w:after="0" w:line="225" w:lineRule="exact"/>
        <w:rPr>
          <w:sz w:val="20"/>
          <w:szCs w:val="20"/>
          <w:color w:val="auto"/>
        </w:rPr>
      </w:pPr>
    </w:p>
    <w:p>
      <w:pPr>
        <w:ind w:left="880" w:hanging="494"/>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Low-cost funding was obtained, mainly in LC, which when coupled with the reduction in LC rates, had a positive impact on the funding cost;</w:t>
      </w:r>
    </w:p>
    <w:p>
      <w:pPr>
        <w:spacing w:after="0" w:line="22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was attenuated by an increase in the funding cost in FC, which rose due to an increase in interest expenses on bonds &amp; subordinated notes, which we will explain later in section “4. Net Interest Income (NII), 4.2. Interest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translated into a reduction of 10 bps in the funding cost.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funding</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cost by subsidiary is shown in the following table: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Cost by subsidiary– Credicorp</w:t>
      </w:r>
    </w:p>
    <w:p>
      <w:pPr>
        <w:spacing w:after="0" w:line="225" w:lineRule="exact"/>
        <w:rPr>
          <w:sz w:val="20"/>
          <w:szCs w:val="20"/>
          <w:color w:val="auto"/>
        </w:rPr>
      </w:pPr>
    </w:p>
    <w:p>
      <w:pPr>
        <w:ind w:left="240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At the quarter level</w:t>
      </w:r>
      <w:r>
        <w:rPr>
          <w:sz w:val="20"/>
          <w:szCs w:val="20"/>
          <w:color w:val="auto"/>
        </w:rPr>
        <w:tab/>
      </w:r>
      <w:r>
        <w:rPr>
          <w:rFonts w:ascii="Times New Roman" w:cs="Times New Roman" w:eastAsia="Times New Roman" w:hAnsi="Times New Roman"/>
          <w:sz w:val="17"/>
          <w:szCs w:val="17"/>
          <w:b w:val="1"/>
          <w:bCs w:val="1"/>
          <w:color w:val="auto"/>
        </w:rPr>
        <w:t>At the accumulated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157480</wp:posOffset>
            </wp:positionV>
            <wp:extent cx="5325745" cy="1869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2574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 w:hanging="494"/>
        <w:spacing w:after="0" w:line="286"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funding cost at </w:t>
      </w:r>
      <w:r>
        <w:rPr>
          <w:rFonts w:ascii="Times New Roman" w:cs="Times New Roman" w:eastAsia="Times New Roman" w:hAnsi="Times New Roman"/>
          <w:sz w:val="18"/>
          <w:szCs w:val="18"/>
          <w:b w:val="1"/>
          <w:bCs w:val="1"/>
          <w:color w:val="auto"/>
        </w:rPr>
        <w:t>BCP Stand-alone</w:t>
      </w:r>
      <w:r>
        <w:rPr>
          <w:rFonts w:ascii="Times New Roman" w:cs="Times New Roman" w:eastAsia="Times New Roman" w:hAnsi="Times New Roman"/>
          <w:sz w:val="18"/>
          <w:szCs w:val="18"/>
          <w:color w:val="auto"/>
        </w:rPr>
        <w:t xml:space="preserve"> remained stable QoQ and YoY but fell 13 bps in accumulated terms. This drop was due primarily to an increase in the funding volume, which led interest expenses to rise.</w:t>
      </w:r>
    </w:p>
    <w:p>
      <w:pPr>
        <w:spacing w:after="0" w:line="154" w:lineRule="exact"/>
        <w:rPr>
          <w:rFonts w:ascii="Times New Roman" w:cs="Times New Roman" w:eastAsia="Times New Roman" w:hAnsi="Times New Roman"/>
          <w:sz w:val="18"/>
          <w:szCs w:val="18"/>
          <w:color w:val="auto"/>
        </w:rPr>
      </w:pPr>
    </w:p>
    <w:p>
      <w:pPr>
        <w:jc w:val="both"/>
        <w:ind w:left="880" w:hanging="494"/>
        <w:spacing w:after="0" w:line="268"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Mibanco</w:t>
      </w:r>
      <w:r>
        <w:rPr>
          <w:rFonts w:ascii="Times New Roman" w:cs="Times New Roman" w:eastAsia="Times New Roman" w:hAnsi="Times New Roman"/>
          <w:sz w:val="18"/>
          <w:szCs w:val="18"/>
          <w:color w:val="auto"/>
        </w:rPr>
        <w:t>’s funding cost experienced strong upward pressure from 2014-2016; stabilized in 2017; and fell at the beginning of 2018. The drop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on-going reductions in market interest rates in LC and the effect of changes in the funding mix to increase the share of deposits in total funding at Mibanco. YTD, Mibanco reduced its funding cost by 76 bps.</w:t>
      </w:r>
    </w:p>
    <w:p>
      <w:pPr>
        <w:spacing w:after="0" w:line="170"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funding cost at </w:t>
      </w:r>
      <w:r>
        <w:rPr>
          <w:rFonts w:ascii="Times New Roman" w:cs="Times New Roman" w:eastAsia="Times New Roman" w:hAnsi="Times New Roman"/>
          <w:sz w:val="18"/>
          <w:szCs w:val="18"/>
          <w:b w:val="1"/>
          <w:bCs w:val="1"/>
          <w:color w:val="auto"/>
        </w:rPr>
        <w:t>BCP Bolivia</w:t>
      </w:r>
      <w:r>
        <w:rPr>
          <w:rFonts w:ascii="Times New Roman" w:cs="Times New Roman" w:eastAsia="Times New Roman" w:hAnsi="Times New Roman"/>
          <w:sz w:val="18"/>
          <w:szCs w:val="18"/>
          <w:color w:val="auto"/>
        </w:rPr>
        <w:t xml:space="preserve"> continued to increase QoQ, YoY and at the accumulated level, primarily due to an increase in interest expenses on deposits.</w:t>
      </w:r>
    </w:p>
    <w:p>
      <w:pPr>
        <w:spacing w:after="0" w:line="334" w:lineRule="exact"/>
        <w:rPr>
          <w:rFonts w:ascii="Times New Roman" w:cs="Times New Roman" w:eastAsia="Times New Roman" w:hAnsi="Times New Roman"/>
          <w:sz w:val="18"/>
          <w:szCs w:val="18"/>
          <w:color w:val="auto"/>
        </w:rPr>
      </w:pPr>
    </w:p>
    <w:p>
      <w:pPr>
        <w:jc w:val="both"/>
        <w:ind w:firstLine="8"/>
        <w:spacing w:after="0" w:line="214" w:lineRule="auto"/>
        <w:tabs>
          <w:tab w:leader="none" w:pos="238"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funding costs differs from previously reported levels due to a change in the methodology to calculate the denominator, which no longer includes: outstanding account acceptances, reserves for property and casualty claims, reserve for unearned premiums, reinsurance payable and other liabilities. Since 2Q18, the account "Repurchase agreement" was excluded from Other liabilities and was included in the calculation of Total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8097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3. Portfolio quality and Provisions for loan losses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 4Q18, provisions for loan losses fell as BCP’s requirement reduced due to the improvement of the portfolio risk quality and the reversal of provisions due to the reduction in the exposure to clients related to Lava Jato Case, and Mibanco’s requirement “normalized.” In this scenario, the CofR was situated at 1.47%. In 2018, a noteworthy decline was posted in the CofR, which fell -40 bps to situate at 1.38%, in line with a reduction in BCP’s provision requirement. This decrease reflects the improvements made in commercial and risk management over the past 3 years, and to a lesser extent to reversals of provisions relative to Lava Jato Case clients.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543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611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603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611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Provisions for loan losses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Provisions for loan losses, net of recoveries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7"/>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40" w:type="dxa"/>
            <w:vAlign w:val="bottom"/>
            <w:tcBorders>
              <w:bottom w:val="single" w:sz="8" w:color="CCEEFF"/>
            </w:tcBorders>
          </w:tcPr>
          <w:p>
            <w:pPr>
              <w:spacing w:after="0"/>
              <w:rPr>
                <w:sz w:val="16"/>
                <w:szCs w:val="16"/>
                <w:color w:val="auto"/>
              </w:rPr>
            </w:pPr>
          </w:p>
        </w:tc>
      </w:tr>
      <w:tr>
        <w:trPr>
          <w:trHeight w:val="142"/>
        </w:trPr>
        <w:tc>
          <w:tcPr>
            <w:tcW w:w="2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Gross Provisions</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(509,774)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(511,710)</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(479,184)</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6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(2,057,478)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(1,814,898)</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-11.8%</w:t>
            </w:r>
          </w:p>
        </w:tc>
      </w:tr>
      <w:tr>
        <w:trPr>
          <w:trHeight w:val="149"/>
        </w:trPr>
        <w:tc>
          <w:tcPr>
            <w:tcW w:w="2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Loan loss recoveries</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68,524</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72,152</w:t>
            </w: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71,230</w:t>
            </w:r>
          </w:p>
        </w:tc>
        <w:tc>
          <w:tcPr>
            <w:tcW w:w="6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268,314</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283,190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62"/>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loan losses, net of recoveries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(441,250)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(439,558)</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(407,954)</w:t>
            </w:r>
          </w:p>
        </w:tc>
        <w:tc>
          <w:tcPr>
            <w:tcW w:w="6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-7.2%</w:t>
            </w:r>
          </w:p>
        </w:tc>
        <w:tc>
          <w:tcPr>
            <w:tcW w:w="6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(1,789,165)</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(1,531,708)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QoQ analysis shows a -7.2% reduction in provisions for loans losses net recoveries. This drop was primarily due to: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ind w:left="1040" w:hanging="65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provision requirement at BCP due to the improvement of the risk quality of the portfolio and the reversal of provisions in line with the reduction in the exposure to clients related to the Lava Jato Case; and</w:t>
      </w:r>
    </w:p>
    <w:p>
      <w:pPr>
        <w:spacing w:after="0" w:line="161" w:lineRule="exact"/>
        <w:rPr>
          <w:rFonts w:ascii="Times New Roman" w:cs="Times New Roman" w:eastAsia="Times New Roman" w:hAnsi="Times New Roman"/>
          <w:sz w:val="18"/>
          <w:szCs w:val="18"/>
          <w:color w:val="auto"/>
        </w:rPr>
      </w:pPr>
    </w:p>
    <w:p>
      <w:pPr>
        <w:ind w:left="1040" w:hanging="65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provision requirement at Mibanco after the adjustments made at the end of 2Q18 to fine-tune the balance between the time the sales force dedicates to loan origination versus that spent on collections, returning to “business as usual”.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YoY analysis, provisions for loans losses net of recoveries fell due to an improvement in the risk quality of the Retail Banking segments in general and Credit Cards, Mortgage and Consumer in particular, and to the reversal of provisions for Lava Jato Case clients.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YTD analysis, provisions for loans net recoveries fell -14.4%, which mainly reflects:</w:t>
      </w:r>
    </w:p>
    <w:p>
      <w:pPr>
        <w:spacing w:after="0" w:line="225" w:lineRule="exact"/>
        <w:rPr>
          <w:sz w:val="20"/>
          <w:szCs w:val="20"/>
          <w:color w:val="auto"/>
        </w:rPr>
      </w:pPr>
    </w:p>
    <w:p>
      <w:pPr>
        <w:ind w:left="1040" w:hanging="654"/>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BCP’s provision requirement in line with the improvement in the risk quality of the portfolio, in particular in the Consumer and Credit Card segments, and to a lesser extent, the reversal of provisions for Lava Jato Case clients; and</w:t>
      </w:r>
    </w:p>
    <w:p>
      <w:pPr>
        <w:spacing w:after="0" w:line="161" w:lineRule="exact"/>
        <w:rPr>
          <w:rFonts w:ascii="Times New Roman" w:cs="Times New Roman" w:eastAsia="Times New Roman" w:hAnsi="Times New Roman"/>
          <w:sz w:val="18"/>
          <w:szCs w:val="18"/>
          <w:color w:val="auto"/>
        </w:rPr>
      </w:pPr>
    </w:p>
    <w:p>
      <w:pPr>
        <w:ind w:left="1040" w:hanging="65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in 2017 of the provisions’ requirement for the El Nino Phenomenon and the Lava Jato case.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important to remember that on the first of January 2018, Credicorp adopted the requirements of IFRS9 to calculate net provisions for loan losses, whose first effect was a one-off increase of S/206.8 million in the allowance for loan losses on the Balance Sheet on January 01,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Portfolio Quality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Risk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7"/>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Cost of risk and Provisions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4Q17</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4Q18</w:t>
            </w: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QoQ</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80" w:type="dxa"/>
            <w:vAlign w:val="bottom"/>
            <w:tcBorders>
              <w:bottom w:val="single" w:sz="8" w:color="CCEEFF"/>
            </w:tcBorders>
          </w:tcPr>
          <w:p>
            <w:pPr>
              <w:spacing w:after="0"/>
              <w:rPr>
                <w:sz w:val="16"/>
                <w:szCs w:val="16"/>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Cost of risk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1.76%</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1.47%</w:t>
            </w: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auto"/>
              </w:rPr>
              <w:t>-20 bps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 bps</w:t>
            </w:r>
          </w:p>
        </w:tc>
        <w:tc>
          <w:tcPr>
            <w:tcW w:w="6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1.78%</w:t>
            </w:r>
          </w:p>
        </w:tc>
        <w:tc>
          <w:tcPr>
            <w:tcW w:w="6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 bps</w:t>
            </w: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Provisions for loan losses / Net interest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5"/>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18.2%</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color w:val="auto"/>
              </w:rPr>
              <w:t>-230 bps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-320 bps</w:t>
            </w:r>
          </w:p>
        </w:tc>
        <w:tc>
          <w:tcPr>
            <w:tcW w:w="6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22.2%</w:t>
            </w:r>
          </w:p>
        </w:tc>
        <w:tc>
          <w:tcPr>
            <w:tcW w:w="62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-420 bps</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Annualized provisions for loans losses / Total loans.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CofR fell -20 bps QoQ and -29 bps YoY to situate at 1.47%. This reduction mainly reflected, as explained in the previous section, the decrease in the provision requirements at BCP and Mibanco.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YTD, the cost of risk was situated at 1.38%, which was -40 bps lower than the level reported in 2017. This reduction mainly reflected the reduction in BCP’s provision requirement and the effect in 2017 of the provisions’ requirement for the El Nino Phenomenon and the Lava Jato case, as explained in the previous section.</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ratios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quality and Delinquency ratios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4Q17</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3Q18</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4Q18</w:t>
            </w:r>
          </w:p>
        </w:tc>
        <w:tc>
          <w:tcPr>
            <w:tcW w:w="162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QoQ</w:t>
            </w:r>
          </w:p>
        </w:tc>
        <w:tc>
          <w:tcPr>
            <w:tcW w:w="96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YoY</w:t>
            </w:r>
          </w:p>
        </w:tc>
        <w:tc>
          <w:tcPr>
            <w:tcW w:w="0" w:type="dxa"/>
            <w:vAlign w:val="bottom"/>
          </w:tcPr>
          <w:p>
            <w:pPr>
              <w:spacing w:after="0"/>
              <w:rPr>
                <w:sz w:val="1"/>
                <w:szCs w:val="1"/>
                <w:color w:val="auto"/>
              </w:rPr>
            </w:pPr>
          </w:p>
        </w:tc>
      </w:tr>
      <w:tr>
        <w:trPr>
          <w:trHeight w:val="156"/>
        </w:trPr>
        <w:tc>
          <w:tcPr>
            <w:tcW w:w="354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loans (Quarter-end balance)</w:t>
            </w: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100,477,774</w:t>
            </w:r>
          </w:p>
        </w:tc>
        <w:tc>
          <w:tcPr>
            <w:tcW w:w="24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105,028,343</w:t>
            </w:r>
          </w:p>
        </w:tc>
        <w:tc>
          <w:tcPr>
            <w:tcW w:w="2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110,759,390</w:t>
            </w:r>
          </w:p>
        </w:tc>
        <w:tc>
          <w:tcPr>
            <w:tcW w:w="26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w:t>
            </w:r>
          </w:p>
        </w:tc>
        <w:tc>
          <w:tcPr>
            <w:tcW w:w="24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10.2</w:t>
            </w:r>
          </w:p>
        </w:tc>
        <w:tc>
          <w:tcPr>
            <w:tcW w:w="160" w:type="dxa"/>
            <w:vAlign w:val="bottom"/>
            <w:tcBorders>
              <w:top w:val="single" w:sz="8" w:color="CCEEFF"/>
              <w:left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Allowance for loan losses</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4,500,498</w:t>
            </w:r>
          </w:p>
        </w:tc>
        <w:tc>
          <w:tcPr>
            <w:tcW w:w="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4,920,319</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4,952,392</w:t>
            </w:r>
          </w:p>
        </w:tc>
        <w:tc>
          <w:tcPr>
            <w:tcW w:w="2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0.7</w:t>
            </w:r>
          </w:p>
        </w:tc>
        <w:tc>
          <w:tcPr>
            <w:tcW w:w="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6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Write-offs</w:t>
            </w: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357,916</w:t>
            </w:r>
          </w:p>
        </w:tc>
        <w:tc>
          <w:tcPr>
            <w:tcW w:w="240" w:type="dxa"/>
            <w:vAlign w:val="bottom"/>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366,709</w:t>
            </w:r>
          </w:p>
        </w:tc>
        <w:tc>
          <w:tcPr>
            <w:tcW w:w="24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518,558</w:t>
            </w:r>
          </w:p>
        </w:tc>
        <w:tc>
          <w:tcPr>
            <w:tcW w:w="26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41.4</w:t>
            </w:r>
          </w:p>
        </w:tc>
        <w:tc>
          <w:tcPr>
            <w:tcW w:w="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44.9</w:t>
            </w:r>
          </w:p>
        </w:tc>
        <w:tc>
          <w:tcPr>
            <w:tcW w:w="160" w:type="dxa"/>
            <w:vAlign w:val="bottom"/>
            <w:tcBorders>
              <w:lef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620" w:type="dxa"/>
            <w:vAlign w:val="bottom"/>
            <w:gridSpan w:val="2"/>
          </w:tcPr>
          <w:p>
            <w:pPr>
              <w:spacing w:after="0" w:line="169" w:lineRule="exact"/>
              <w:rPr>
                <w:sz w:val="20"/>
                <w:szCs w:val="20"/>
                <w:color w:val="auto"/>
              </w:rPr>
            </w:pPr>
            <w:r>
              <w:rPr>
                <w:rFonts w:ascii="Times New Roman" w:cs="Times New Roman" w:eastAsia="Times New Roman" w:hAnsi="Times New Roman"/>
                <w:sz w:val="12"/>
                <w:szCs w:val="12"/>
                <w:color w:val="auto"/>
              </w:rPr>
              <w:t xml:space="preserve">Internal overdue loans over 90-days </w:t>
            </w:r>
            <w:r>
              <w:rPr>
                <w:rFonts w:ascii="Times New Roman" w:cs="Times New Roman" w:eastAsia="Times New Roman" w:hAnsi="Times New Roman"/>
                <w:sz w:val="19"/>
                <w:szCs w:val="19"/>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2,274,412</w:t>
            </w:r>
          </w:p>
        </w:tc>
        <w:tc>
          <w:tcPr>
            <w:tcW w:w="24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2,399,945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2,353,669</w:t>
            </w:r>
          </w:p>
        </w:tc>
        <w:tc>
          <w:tcPr>
            <w:tcW w:w="2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Internal overdue loans (IOLs) </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3,019,222</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3,188,393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3,117,078</w:t>
            </w:r>
          </w:p>
        </w:tc>
        <w:tc>
          <w:tcPr>
            <w:tcW w:w="1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Refinanced loans</w:t>
            </w:r>
          </w:p>
        </w:tc>
        <w:tc>
          <w:tcPr>
            <w:tcW w:w="13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915,297</w:t>
            </w:r>
          </w:p>
        </w:tc>
        <w:tc>
          <w:tcPr>
            <w:tcW w:w="13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1,172,338</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1,278,169</w:t>
            </w:r>
          </w:p>
        </w:tc>
        <w:tc>
          <w:tcPr>
            <w:tcW w:w="260" w:type="dxa"/>
            <w:vAlign w:val="bottom"/>
          </w:tcPr>
          <w:p>
            <w:pPr>
              <w:spacing w:after="0"/>
              <w:rPr>
                <w:sz w:val="12"/>
                <w:szCs w:val="12"/>
                <w:color w:val="auto"/>
              </w:rPr>
            </w:pPr>
          </w:p>
        </w:tc>
        <w:tc>
          <w:tcPr>
            <w:tcW w:w="13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3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Non-performing loans (NPLs) </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3,934,519</w:t>
            </w: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4,360,731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4,395,247</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IOL over 90-days ratio</w:t>
            </w: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20" w:type="dxa"/>
            <w:vAlign w:val="bottom"/>
            <w:gridSpan w:val="2"/>
            <w:vMerge w:val="continue"/>
          </w:tcPr>
          <w:p>
            <w:pPr>
              <w:spacing w:after="0"/>
              <w:rPr>
                <w:sz w:val="12"/>
                <w:szCs w:val="12"/>
                <w:color w:val="auto"/>
              </w:rPr>
            </w:pPr>
          </w:p>
        </w:tc>
        <w:tc>
          <w:tcPr>
            <w:tcW w:w="136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2.26%</w:t>
            </w:r>
          </w:p>
        </w:tc>
        <w:tc>
          <w:tcPr>
            <w:tcW w:w="13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2.29%</w:t>
            </w:r>
          </w:p>
        </w:tc>
        <w:tc>
          <w:tcPr>
            <w:tcW w:w="13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2.12%</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 bps</w:t>
            </w:r>
          </w:p>
        </w:tc>
        <w:tc>
          <w:tcPr>
            <w:tcW w:w="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 bps</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IOL ratio</w:t>
            </w:r>
          </w:p>
        </w:tc>
        <w:tc>
          <w:tcPr>
            <w:tcW w:w="13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13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3.04%</w:t>
            </w:r>
          </w:p>
        </w:tc>
        <w:tc>
          <w:tcPr>
            <w:tcW w:w="1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2.81%</w:t>
            </w:r>
          </w:p>
        </w:tc>
        <w:tc>
          <w:tcPr>
            <w:tcW w:w="162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-23 bps</w:t>
            </w:r>
          </w:p>
        </w:tc>
        <w:tc>
          <w:tcPr>
            <w:tcW w:w="96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 bps</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NPL ratio</w:t>
            </w:r>
          </w:p>
        </w:tc>
        <w:tc>
          <w:tcPr>
            <w:tcW w:w="13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3.92%</w:t>
            </w: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4.15%</w:t>
            </w:r>
          </w:p>
        </w:tc>
        <w:tc>
          <w:tcPr>
            <w:tcW w:w="1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3.97%</w:t>
            </w:r>
          </w:p>
        </w:tc>
        <w:tc>
          <w:tcPr>
            <w:tcW w:w="162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-18 bps</w:t>
            </w:r>
          </w:p>
        </w:tc>
        <w:tc>
          <w:tcPr>
            <w:tcW w:w="9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 bps</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Coverage ratio of Internal overdue loans</w:t>
            </w:r>
          </w:p>
        </w:tc>
        <w:tc>
          <w:tcPr>
            <w:tcW w:w="13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13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154.3%</w:t>
            </w:r>
          </w:p>
        </w:tc>
        <w:tc>
          <w:tcPr>
            <w:tcW w:w="13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158.9%</w:t>
            </w:r>
          </w:p>
        </w:tc>
        <w:tc>
          <w:tcPr>
            <w:tcW w:w="1620" w:type="dxa"/>
            <w:vAlign w:val="bottom"/>
            <w:gridSpan w:val="3"/>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456 bps</w:t>
            </w:r>
          </w:p>
        </w:tc>
        <w:tc>
          <w:tcPr>
            <w:tcW w:w="96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980 bps</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Coverage ratio of NPLs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112.7%</w:t>
            </w:r>
          </w:p>
        </w:tc>
        <w:tc>
          <w:tcPr>
            <w:tcW w:w="16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-10 bps</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-170 bps</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overdue loans and loans under legal collection. (Quarter-end balances).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include internal overdue loans and refinanced loans. (Quarter-end balances).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terms of delinquency, it is important to note the -2.2% drop QoQ in the balance of the IOL portfolio due to the contraction of IOLs within Wholesale Banking, Consumer, SME-Business, Credit Cards and Mibanco. Nevertheless, the YoY evolution shows an increase in IOLs within Mibanco, SME-Business, Mortgage and SME-Pyme segments, which was partially attenuated by a contraction in IOLs of Wholesale Banking, Consumer and Credit Cards.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refinanced loan book grew +9.0% QoQ, which was mainly attributable to refinancing of performing loans of few clients in Wholesale Banking, which also affected the YoY result.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analyzing the evolution of the delinquency indicators, we must remember that:</w:t>
      </w:r>
    </w:p>
    <w:p>
      <w:pPr>
        <w:spacing w:after="0" w:line="225" w:lineRule="exact"/>
        <w:rPr>
          <w:sz w:val="20"/>
          <w:szCs w:val="20"/>
          <w:color w:val="auto"/>
        </w:rPr>
      </w:pPr>
    </w:p>
    <w:p>
      <w:pPr>
        <w:jc w:val="both"/>
        <w:ind w:left="880" w:hanging="494"/>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76"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157480</wp:posOffset>
            </wp:positionV>
            <wp:extent cx="5274310" cy="1938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7431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80" w:hanging="251"/>
        <w:spacing w:after="0"/>
        <w:tabs>
          <w:tab w:leader="none" w:pos="1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NPL ratio = (Non-performing loans+ Write-offs) / (Total loans + Write-offs)</w:t>
      </w:r>
    </w:p>
    <w:p>
      <w:pPr>
        <w:spacing w:after="0" w:line="27" w:lineRule="exact"/>
        <w:rPr>
          <w:rFonts w:ascii="Times New Roman" w:cs="Times New Roman" w:eastAsia="Times New Roman" w:hAnsi="Times New Roman"/>
          <w:sz w:val="18"/>
          <w:szCs w:val="18"/>
          <w:color w:val="auto"/>
        </w:rPr>
      </w:pPr>
    </w:p>
    <w:p>
      <w:pPr>
        <w:ind w:left="1880" w:hanging="251"/>
        <w:spacing w:after="0"/>
        <w:tabs>
          <w:tab w:leader="none" w:pos="1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 Annualized provisions for loan losses net of recoveries / Total loans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IOL ratio fell QoQ and YoY, the NPL ratio declined QoQ but remained relatively stable YoY. This was due primarily to growth in refinanced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ratios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coverage ratio for the IOL portfolio increased both QoQ and YoY while the coverage ratio for the NPL portfolio remained relatively stable QoQ but fell YoY given that YoY, growth in the refinanced portfolio outpaced the expansion in the IOL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3.2.1. 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2195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611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880" w:hanging="494"/>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QoQ analysis shows a drop in the volume of the IOL portfolio in Wholesale Banking. In contrast, the volume of the NPL portfolio grew. This was due primarily to an increase in refinanced loans for specific clients, as explained in section 3.2. Portfolio Quality. In this context, the IOL ratio fell while the NPL ratio remained stable QoQ and increased +64 bps YoY.</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YoY increase in the NPL ratio shows the effect of refinanced loans registered in 4Q18 as well as the impact of refinanced loans that were granted after the execution of performance bonds in the previous quarters.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5126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611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00" w:hanging="494"/>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that BCP Bolivia reported for its IOL and NPL ratios as well as its cost of risk were relatively stable both QoQ and YoY.</w:t>
      </w:r>
    </w:p>
    <w:p>
      <w:pPr>
        <w:spacing w:after="0" w:line="221"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804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611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500" w:hanging="494"/>
        <w:spacing w:after="0" w:line="25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loan origination in the SME-Business segment is affected by seasonality, it is important to focus on the YoY analysis, which shows that traditional delinquency ratios for the IOL portfolio and the NPL portfolio increased +78 pbs y +101 bps respectively. The aforementioned was due primarily to growth in the IOL portfolio, which reflects the deterioration in the situation of a handful of clients. It is important to note that this segment maintains risk quality indicators that are comfortably within the risk appetite that has been set for this segment, where the objective is to maximize the portfolio’s profitability while seeking an adequate balance between risk quality and portfolio growth.</w:t>
      </w: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27" w:name="page28"/>
    <w:bookmarkEnd w:id="27"/>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157480</wp:posOffset>
            </wp:positionV>
            <wp:extent cx="5711190" cy="2744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119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500" w:hanging="494"/>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76" w:lineRule="exact"/>
        <w:rPr>
          <w:rFonts w:ascii="Times New Roman" w:cs="Times New Roman" w:eastAsia="Times New Roman" w:hAnsi="Times New Roman"/>
          <w:sz w:val="18"/>
          <w:szCs w:val="18"/>
          <w:color w:val="auto"/>
        </w:rPr>
      </w:pPr>
    </w:p>
    <w:p>
      <w:pPr>
        <w:jc w:val="both"/>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beginning of the second half of 2014, early delinquency has followed a downward trend YoY. This is in line with on-going improvement in the risk quality of vintages after adjustments were made in the SME-Pyme business model. The impact of these adjustments became more evident in vintages as of 2015. In 4Q18 in the SME-Pyme segment, portfolio growth outpaced expansion in the IOL portfolio, which led to a drop in early delinquency and in the traditional ratios.</w:t>
      </w:r>
    </w:p>
    <w:p>
      <w:pPr>
        <w:spacing w:after="0" w:line="180" w:lineRule="exact"/>
        <w:rPr>
          <w:rFonts w:ascii="Times New Roman" w:cs="Times New Roman" w:eastAsia="Times New Roman" w:hAnsi="Times New Roman"/>
          <w:sz w:val="18"/>
          <w:szCs w:val="18"/>
          <w:color w:val="auto"/>
        </w:rPr>
      </w:pPr>
    </w:p>
    <w:p>
      <w:pPr>
        <w:jc w:val="both"/>
        <w:ind w:left="5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important to note that since 2017, this segment has situated comfortably within the risk appetite levels set for the segment, where the objective is to maximize the portfolio’s profitability while striking an adequate balance between risk quality and portfolio growth that is in accordance with the organization’s risk framework.</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0" w:right="239" w:bottom="1440" w:gutter="0" w:footer="0" w:header="0"/>
        </w:sectPr>
      </w:pPr>
    </w:p>
    <w:bookmarkStart w:id="28" w:name="page29"/>
    <w:bookmarkEnd w:id="28"/>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1526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611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hanging="494"/>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Mortgage loans, it is important to note that these ratios are also affected by the existence of real estate collateral and foreclosure takes around 5 years. During this period, these loans cannot be written-off, even when they are fully provisioned.</w:t>
      </w:r>
    </w:p>
    <w:p>
      <w:pPr>
        <w:spacing w:after="0" w:line="162"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Traditional delinquency ratios remained relatively stable QoQ and fell YoY given that the pace of growth of total loans increased after mortgage loan origination accelerated. This reflects a strategy to enter segments that are somewhat riskier to maximize the portfolio’s profitability while respecting the organization’s appetite for risk.</w:t>
      </w:r>
    </w:p>
    <w:p>
      <w:pPr>
        <w:spacing w:after="0" w:line="176"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early delinquency ratio, which excludes the effect of loans that are over 150 days overdue, was relatively stable QoQ and YoY. It is important to note that this indicator is situated within both the averages observed for the last two years and the organization’s appetite for risk.</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306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611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500" w:hanging="494"/>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Consumer portfolio, the portfolio’s risk profile continues to improve in comparison to the level posted by vintages from 2015 or before, which led to the delinquency problem. This improvement has been achieved due to the different initiatives for risk management and collections that are in place. The portfolio’s new composition reflects the calibrated profile generated by the change in the risk policy for admissions.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0" w:right="239" w:bottom="1440" w:gutter="0" w:footer="0" w:header="0"/>
        </w:sectPr>
      </w:pPr>
    </w:p>
    <w:bookmarkStart w:id="29" w:name="page30"/>
    <w:bookmarkEnd w:id="29"/>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Early delinquency remained stable QoQ and fell -17 bps YoY to situate at the lowest level reported since 2013 prior to the deterioration in risk quality. It is evident that although the pace of growth of the portfolio accelerated in 2018, we still have room to jump-start growth to fulfill the objective of maximizing portfolio profitability while respecting the organization’s appetite for risk.</w:t>
      </w:r>
    </w:p>
    <w:p>
      <w:pPr>
        <w:spacing w:after="0" w:line="176"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Traditional delinquency indicators posted a drop both QoQ and YoY. This was mainly attributable to a decrease in IOL loans, which was due primarily to on-going improvements in the risk quality of new vintages and to a lesser extent, to an increase in the speed of growth of total loans after adjustments were made in origination guidelines and campaigns were rolled out to offer more advantages to clients. All of these efforts focus on accelerating growth in this segment. It is important to note that the portfolio is within the organization’s appetite for risk.</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538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611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500" w:hanging="494"/>
        <w:spacing w:after="0" w:line="266"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Credit Card segment, early delinquency fell both QoQ and YoY and remained within the organization’s appetite for risk. This reflects (i) an increase in the portfolio’s pace of growth and (ii) an improvement in the quality of risk of new vintages and in the portfolio mix after corrective measures were applied to address the delinquency problem that emerged at the end of 2015.</w:t>
      </w:r>
    </w:p>
    <w:p>
      <w:pPr>
        <w:spacing w:after="0" w:line="1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157480</wp:posOffset>
            </wp:positionV>
            <wp:extent cx="5746115" cy="2204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611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30" w:name="page31"/>
    <w:bookmarkEnd w:id="30"/>
    <w:p>
      <w:pPr>
        <w:ind w:left="500" w:right="20" w:hanging="494"/>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IOL and NPL ratios remained relatively stable QoQ but grew YoY after a deterioration in portfolio risk quality that was identified in previous quarters led the sales force to prioritize collections efforts over origination. These efforts have already begun to show good results.</w:t>
      </w:r>
    </w:p>
    <w:p>
      <w:pPr>
        <w:spacing w:after="0" w:line="161" w:lineRule="exact"/>
        <w:rPr>
          <w:rFonts w:ascii="Times New Roman" w:cs="Times New Roman" w:eastAsia="Times New Roman" w:hAnsi="Times New Roman"/>
          <w:sz w:val="18"/>
          <w:szCs w:val="18"/>
          <w:color w:val="auto"/>
        </w:rPr>
      </w:pPr>
    </w:p>
    <w:p>
      <w:pPr>
        <w:jc w:val="both"/>
        <w:ind w:left="5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cost of risk fell QoQ due to a decrease in the provisions’ requirement, which was due to (i) positive results after adjustments were made to fine-tune the balance between loan origination and collections; and (ii) the calibration of macro variables in the IFRS9 model for provisions. YoY, the cost of risk remained relatively stable. It is important to note that this business’s indicators are within the organization’s appetite for risk.</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620" w:top="90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4. Net Interest Income (NII)</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4Q18 NII, the main source of income, increased +4.9% QoQ and +8.6% YoY, in line with loan growth. The aforementioned translated into an increase in NIM of +11 bps QoQ and +35 bps YoY. In 2018 NII rose 5.2% with regard to 2017’s level. The improvement over 2017’s result was attributable to an increase in interest on loans, which was associated with growth in average daily loan balances, and with a more favorable funding structure, where the share of deposits in total funding increased. In this context, NIM remained stable in 2018 while the risk-adjusted NIM increased 20 bps.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2,832,384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2,887,326</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3,033,544</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5.1%</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7.1%</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11,056,862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11,522,634</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loans</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2,460,935</w:t>
            </w:r>
          </w:p>
        </w:tc>
        <w:tc>
          <w:tcPr>
            <w:tcW w:w="26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2,538,591</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2,625,181</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9,572,633</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10,041,097</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Dividends on investments</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10,030</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2,893</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6,205</w:t>
            </w:r>
          </w:p>
        </w:tc>
        <w:tc>
          <w:tcPr>
            <w:tcW w:w="11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52,906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24,390</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deposits with banks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23,311</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36,448</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63,709</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88,359</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159,381</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securities</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324,082</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304,528</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327,208</w:t>
            </w:r>
          </w:p>
        </w:tc>
        <w:tc>
          <w:tcPr>
            <w:tcW w:w="11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1,299,845</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1,252,799</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interest income</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14,026</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4,866</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11,241</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43,119</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44,967</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766,410</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748,193</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789,292</w:t>
            </w:r>
          </w:p>
        </w:tc>
        <w:tc>
          <w:tcPr>
            <w:tcW w:w="11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2,985,374</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3,033,530</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w:t>
            </w:r>
          </w:p>
        </w:tc>
        <w:tc>
          <w:tcPr>
            <w:tcW w:w="0" w:type="dxa"/>
            <w:vAlign w:val="bottom"/>
          </w:tcPr>
          <w:p>
            <w:pPr>
              <w:spacing w:after="0"/>
              <w:rPr>
                <w:sz w:val="1"/>
                <w:szCs w:val="1"/>
                <w:color w:val="auto"/>
              </w:rPr>
            </w:pPr>
          </w:p>
        </w:tc>
      </w:tr>
      <w:tr>
        <w:trPr>
          <w:trHeight w:val="149"/>
        </w:trPr>
        <w:tc>
          <w:tcPr>
            <w:tcW w:w="2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deposits</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293,368</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293,512</w:t>
            </w:r>
          </w:p>
        </w:tc>
        <w:tc>
          <w:tcPr>
            <w:tcW w:w="11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324,622</w:t>
            </w:r>
          </w:p>
        </w:tc>
        <w:tc>
          <w:tcPr>
            <w:tcW w:w="11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4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1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1,132,041</w:t>
            </w: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1,202,025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borrowed funds</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179,841</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148,565</w:t>
            </w:r>
          </w:p>
        </w:tc>
        <w:tc>
          <w:tcPr>
            <w:tcW w:w="11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157,205</w:t>
            </w:r>
          </w:p>
        </w:tc>
        <w:tc>
          <w:tcPr>
            <w:tcW w:w="11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1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763,436</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623,001</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26"/>
        </w:trPr>
        <w:tc>
          <w:tcPr>
            <w:tcW w:w="22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Interest on bonds and</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213,108</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231,129</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233,233</w:t>
            </w:r>
          </w:p>
        </w:tc>
        <w:tc>
          <w:tcPr>
            <w:tcW w:w="11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240" w:type="dxa"/>
            <w:vAlign w:val="bottom"/>
          </w:tcPr>
          <w:p>
            <w:pPr>
              <w:spacing w:after="0"/>
              <w:rPr>
                <w:sz w:val="10"/>
                <w:szCs w:val="10"/>
                <w:color w:val="auto"/>
              </w:rPr>
            </w:pPr>
          </w:p>
        </w:tc>
        <w:tc>
          <w:tcPr>
            <w:tcW w:w="9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9.4%</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835,255</w:t>
            </w:r>
          </w:p>
        </w:tc>
        <w:tc>
          <w:tcPr>
            <w:tcW w:w="100" w:type="dxa"/>
            <w:vAlign w:val="bottom"/>
          </w:tcPr>
          <w:p>
            <w:pPr>
              <w:spacing w:after="0"/>
              <w:rPr>
                <w:sz w:val="10"/>
                <w:szCs w:val="10"/>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911,006</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1"/>
        </w:trPr>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subordinated notes</w:t>
            </w: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Other interest expense </w:t>
            </w:r>
            <w:r>
              <w:rPr>
                <w:rFonts w:ascii="Times New Roman" w:cs="Times New Roman" w:eastAsia="Times New Roman" w:hAnsi="Times New Roman"/>
                <w:sz w:val="23"/>
                <w:szCs w:val="23"/>
                <w:color w:val="auto"/>
                <w:vertAlign w:val="superscript"/>
              </w:rPr>
              <w:t>(1)</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80,093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74,987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74,232</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254,642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297,498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23"/>
                <w:szCs w:val="23"/>
                <w:b w:val="1"/>
                <w:bCs w:val="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gridSpan w:val="2"/>
            <w:vMerge w:val="continue"/>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2,065,974</w:t>
            </w:r>
          </w:p>
        </w:tc>
        <w:tc>
          <w:tcPr>
            <w:tcW w:w="26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2,139,133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2,244,252</w:t>
            </w: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w:t>
            </w:r>
          </w:p>
        </w:tc>
        <w:tc>
          <w:tcPr>
            <w:tcW w:w="240" w:type="dxa"/>
            <w:vAlign w:val="bottom"/>
          </w:tcPr>
          <w:p>
            <w:pPr>
              <w:spacing w:after="0"/>
              <w:rPr>
                <w:sz w:val="15"/>
                <w:szCs w:val="15"/>
                <w:color w:val="auto"/>
              </w:rPr>
            </w:pP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8,071,488</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8,489,104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0" w:type="dxa"/>
            <w:vAlign w:val="bottom"/>
          </w:tcPr>
          <w:p>
            <w:pPr>
              <w:spacing w:after="0"/>
              <w:rPr>
                <w:sz w:val="1"/>
                <w:szCs w:val="1"/>
                <w:color w:val="auto"/>
              </w:rPr>
            </w:pPr>
          </w:p>
        </w:tc>
      </w:tr>
      <w:tr>
        <w:trPr>
          <w:trHeight w:val="114"/>
        </w:trPr>
        <w:tc>
          <w:tcPr>
            <w:tcW w:w="2260" w:type="dxa"/>
            <w:vAlign w:val="bottom"/>
            <w:tcBorders>
              <w:top w:val="single" w:sz="8" w:color="CCEEFF"/>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Risk-adjusted Net interest income</w:t>
            </w:r>
          </w:p>
        </w:tc>
        <w:tc>
          <w:tcPr>
            <w:tcW w:w="9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1,624,724</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1,699,575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1,836,298</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13.0%</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6,282,323</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6,957,396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Average interest earning assets</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156,414,367</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155,126,661</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159,540,952</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152,823,723</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161,473,694</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9"/>
        </w:trPr>
        <w:tc>
          <w:tcPr>
            <w:tcW w:w="2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 xml:space="preserve">Net interest margin </w:t>
            </w:r>
            <w:r>
              <w:rPr>
                <w:rFonts w:ascii="Times New Roman" w:cs="Times New Roman" w:eastAsia="Times New Roman" w:hAnsi="Times New Roman"/>
                <w:sz w:val="19"/>
                <w:szCs w:val="19"/>
                <w:b w:val="1"/>
                <w:bCs w:val="1"/>
                <w:color w:val="auto"/>
                <w:vertAlign w:val="superscript"/>
              </w:rPr>
              <w:t>(1)(2)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5.28%</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5.52%</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5.63%</w:t>
            </w: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11bps</w:t>
            </w:r>
          </w:p>
        </w:tc>
        <w:tc>
          <w:tcPr>
            <w:tcW w:w="9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35bps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5.28%</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5.26%</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-2bps</w:t>
            </w:r>
          </w:p>
        </w:tc>
        <w:tc>
          <w:tcPr>
            <w:tcW w:w="0" w:type="dxa"/>
            <w:vAlign w:val="bottom"/>
          </w:tcPr>
          <w:p>
            <w:pPr>
              <w:spacing w:after="0"/>
              <w:rPr>
                <w:sz w:val="1"/>
                <w:szCs w:val="1"/>
                <w:color w:val="auto"/>
              </w:rPr>
            </w:pPr>
          </w:p>
        </w:tc>
      </w:tr>
      <w:tr>
        <w:trPr>
          <w:trHeight w:val="189"/>
        </w:trPr>
        <w:tc>
          <w:tcPr>
            <w:tcW w:w="22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NIM on loans </w:t>
            </w:r>
            <w:r>
              <w:rPr>
                <w:rFonts w:ascii="Times New Roman" w:cs="Times New Roman" w:eastAsia="Times New Roman" w:hAnsi="Times New Roman"/>
                <w:sz w:val="21"/>
                <w:szCs w:val="21"/>
                <w:b w:val="1"/>
                <w:bCs w:val="1"/>
                <w:color w:val="auto"/>
                <w:vertAlign w:val="superscript"/>
              </w:rPr>
              <w:t>(1)(2)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7.77%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7.84%</w:t>
            </w: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7bps</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-36bps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8.01%</w:t>
            </w:r>
          </w:p>
        </w:tc>
        <w:tc>
          <w:tcPr>
            <w:tcW w:w="1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7.72%</w:t>
            </w: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-29bps</w:t>
            </w:r>
          </w:p>
        </w:tc>
        <w:tc>
          <w:tcPr>
            <w:tcW w:w="0" w:type="dxa"/>
            <w:vAlign w:val="bottom"/>
          </w:tcPr>
          <w:p>
            <w:pPr>
              <w:spacing w:after="0"/>
              <w:rPr>
                <w:sz w:val="1"/>
                <w:szCs w:val="1"/>
                <w:color w:val="auto"/>
              </w:rPr>
            </w:pPr>
          </w:p>
        </w:tc>
      </w:tr>
      <w:tr>
        <w:trPr>
          <w:trHeight w:val="134"/>
        </w:trPr>
        <w:tc>
          <w:tcPr>
            <w:tcW w:w="226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Risk-adjusted Net interest margin</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(1)(2)</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4.15%</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4.38%</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4.60%</w:t>
            </w:r>
          </w:p>
        </w:tc>
        <w:tc>
          <w:tcPr>
            <w:tcW w:w="14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22bps</w:t>
            </w:r>
          </w:p>
        </w:tc>
        <w:tc>
          <w:tcPr>
            <w:tcW w:w="9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45bps</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4.11%</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4.31%</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20bps</w:t>
            </w:r>
          </w:p>
        </w:tc>
        <w:tc>
          <w:tcPr>
            <w:tcW w:w="0" w:type="dxa"/>
            <w:vAlign w:val="bottom"/>
          </w:tcPr>
          <w:p>
            <w:pPr>
              <w:spacing w:after="0"/>
              <w:rPr>
                <w:sz w:val="1"/>
                <w:szCs w:val="1"/>
                <w:color w:val="auto"/>
              </w:rPr>
            </w:pPr>
          </w:p>
        </w:tc>
      </w:tr>
      <w:tr>
        <w:trPr>
          <w:trHeight w:val="134"/>
        </w:trPr>
        <w:tc>
          <w:tcPr>
            <w:tcW w:w="2260" w:type="dxa"/>
            <w:vAlign w:val="bottom"/>
            <w:gridSpan w:val="2"/>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Net provisions for loan losses / Net</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260" w:type="dxa"/>
            <w:vAlign w:val="bottom"/>
            <w:gridSpan w:val="2"/>
          </w:tcPr>
          <w:p>
            <w:pPr>
              <w:spacing w:after="0" w:line="218" w:lineRule="exact"/>
              <w:rPr>
                <w:sz w:val="20"/>
                <w:szCs w:val="20"/>
                <w:color w:val="auto"/>
              </w:rPr>
            </w:pPr>
            <w:r>
              <w:rPr>
                <w:rFonts w:ascii="Times New Roman" w:cs="Times New Roman" w:eastAsia="Times New Roman" w:hAnsi="Times New Roman"/>
                <w:sz w:val="14"/>
                <w:szCs w:val="14"/>
                <w:b w:val="1"/>
                <w:bCs w:val="1"/>
                <w:color w:val="auto"/>
              </w:rPr>
              <w:t xml:space="preserve">interest income </w:t>
            </w:r>
            <w:r>
              <w:rPr>
                <w:rFonts w:ascii="Times New Roman" w:cs="Times New Roman" w:eastAsia="Times New Roman" w:hAnsi="Times New Roman"/>
                <w:sz w:val="23"/>
                <w:szCs w:val="23"/>
                <w:b w:val="1"/>
                <w:bCs w:val="1"/>
                <w:color w:val="auto"/>
                <w:vertAlign w:val="superscript"/>
              </w:rPr>
              <w:t>(1)(2)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21.36%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20.55%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18.18%</w:t>
            </w: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-237bps</w:t>
            </w:r>
          </w:p>
        </w:tc>
        <w:tc>
          <w:tcPr>
            <w:tcW w:w="9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-318bps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22.17%</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18.04%</w:t>
            </w:r>
          </w:p>
        </w:tc>
        <w:tc>
          <w:tcPr>
            <w:tcW w:w="10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-413bps</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differ from previously reported, please consider the data presented on this report.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Interest Income</w:t>
      </w:r>
    </w:p>
    <w:p>
      <w:pPr>
        <w:sectPr>
          <w:pgSz w:w="11900" w:h="16838" w:orient="portrait"/>
          <w:cols w:equalWidth="0" w:num="1">
            <w:col w:w="11420"/>
          </w:cols>
          <w:pgMar w:left="240" w:top="900" w:right="239" w:bottom="1440" w:gutter="0" w:footer="0" w:header="0"/>
        </w:sectPr>
      </w:pPr>
    </w:p>
    <w:p>
      <w:pPr>
        <w:spacing w:after="0" w:line="225"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Interest Income - LC</w:t>
      </w:r>
    </w:p>
    <w:p>
      <w:pPr>
        <w:spacing w:after="0" w:line="31"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Interest Income – FC</w:t>
      </w:r>
    </w:p>
    <w:p>
      <w:pPr>
        <w:spacing w:after="0" w:line="43"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142875</wp:posOffset>
            </wp:positionV>
            <wp:extent cx="5634355" cy="22294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34355" cy="2229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40" w:space="720"/>
            <w:col w:w="3660"/>
          </w:cols>
          <w:pgMar w:left="240" w:top="9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QoQ analysis, the 5.1% increase in interest income was attributable primarily to growth in interest on loans, which was in turn due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average daily loan balances (+3.7% QoQ), which was led by growth in Retail Banking loans, mainly in the Mortgage and Credit Card segments. The Corporate Banking segment also grew considerably in 4Q18, followed by growth in Middle Market Banking. In this scenario, the volume effect has been the most important driver of growth in interest on loans in 4Q18.</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32" w:name="page33"/>
    <w:bookmarkEnd w:id="32"/>
    <w:p>
      <w:pPr>
        <w:ind w:left="880" w:right="20" w:hanging="494"/>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in average daily loan balances was led by growth in LC loans, whose margins are generally higher than those associated with FC loans. As such, the effect of the currency mix favored growth in interest on loans.</w:t>
      </w:r>
    </w:p>
    <w:p>
      <w:pPr>
        <w:spacing w:after="0" w:line="161"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aforementioned was partially offset by the negative interest rate effect in LC, which was generated by the downward trend in market rates in LC and the competitive environment in which Mibanco operates.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from deposits in other banks also increased QoQ but to a lesser extent. This increase was seen primarily in FC and was associated with an increase in reserve accounts with the Central Bank after BCP posted an increase in its deposit balances. It is important to note that the reserve requirement in FC is higher than that required for LC.</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xml:space="preserve"> interest income rose +7.1%, which represented an improvement over the figure registered in 3Q18. Similar to the scenario in the QoQ analysis, the increase in income generation from interest on loans drove a recovery in this important component.</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2018 interest income grew +4.2% vs 2.9% in 2017. This clear recovery in growth in interest income was due primarily to an increase in interest on loans (+4.9%), which was in turn attributable to:</w:t>
      </w:r>
    </w:p>
    <w:p>
      <w:pPr>
        <w:spacing w:after="0" w:line="162" w:lineRule="exact"/>
        <w:rPr>
          <w:sz w:val="20"/>
          <w:szCs w:val="20"/>
          <w:color w:val="auto"/>
        </w:rPr>
      </w:pPr>
    </w:p>
    <w:p>
      <w:pPr>
        <w:ind w:left="880" w:hanging="494"/>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effect due to the acceleration in the pace of growth of average daily loan balances in all segments.</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currency mix given that the expansion in average daily loan balances in the LC portfolio was the primary driver of growth.</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aforementioned offset the contraction in interest income on securities, which was attributable to the reduction in the fair value for profit or loss investments at BCP, as explained in section 1. Interest-earning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Interest Expenses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Interest Expenses – LC</w:t>
      </w:r>
    </w:p>
    <w:p>
      <w:pPr>
        <w:spacing w:after="0" w:line="4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Interest Expenses – FC</w:t>
      </w:r>
    </w:p>
    <w:p>
      <w:pPr>
        <w:spacing w:after="0" w:line="31"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-4098925</wp:posOffset>
            </wp:positionH>
            <wp:positionV relativeFrom="paragraph">
              <wp:posOffset>142875</wp:posOffset>
            </wp:positionV>
            <wp:extent cx="5711190" cy="1577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1190" cy="15779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7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expenses registered an increase of 5.5% QoQ, which was due primarily to growth in expenses on deposits. The main factors that explain the 10.6%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QoQ increase in interest expenses on deposits are:</w:t>
      </w:r>
    </w:p>
    <w:p>
      <w:pPr>
        <w:spacing w:after="0" w:line="207" w:lineRule="exact"/>
        <w:rPr>
          <w:sz w:val="20"/>
          <w:szCs w:val="20"/>
          <w:color w:val="auto"/>
        </w:rPr>
      </w:pPr>
    </w:p>
    <w:p>
      <w:pPr>
        <w:ind w:left="880" w:hanging="494"/>
        <w:spacing w:after="0" w:line="282" w:lineRule="auto"/>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effect, which was generated by the increase in total deposits and to the deposit mix given that this quarter, the volumes of all deposit types, both lower-cost and deposits that generate the highest interest, such as time deposits and Severance indemnity deposits, increased.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ind w:left="980" w:hanging="648"/>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effect given that deposits in FC continued to experience an upward trend, in line with growth in international rates in 2018, and due to the fact that LC rates also increased, in line with the decision to increase the share of deposits within the funding structure.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aforementioned, interest expenses on borrowed funds increased, mainly in FC, due to growth in the volume of due to banks and correspondents at BCP.</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interest expenses grew +3.0%. This was due primarily to growth in interest expenses on deposits, which was associated with growth in the volume of deposits and in interest expenses on bonds and subordinated notes. The aforementioned was attenuated by a significant drop in interest expenses on borrowed funds.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interest expenses grew +1.6%. Growth in this component was due to:</w:t>
      </w:r>
    </w:p>
    <w:p>
      <w:pPr>
        <w:spacing w:after="0" w:line="225" w:lineRule="exact"/>
        <w:rPr>
          <w:sz w:val="20"/>
          <w:szCs w:val="20"/>
          <w:color w:val="auto"/>
        </w:rPr>
      </w:pPr>
    </w:p>
    <w:p>
      <w:pPr>
        <w:jc w:val="both"/>
        <w:ind w:left="880" w:hanging="494"/>
        <w:spacing w:after="0" w:line="261"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expenses on bonds and subordinated notes, which was associated with the one-off effect of the cancellation of interest rate swaps, which paid variable rates and were used to hedge some issuances in FC. This decision was made in a scenario marked by rising interest rates in US Dollars. It is important to note that this effect increases expenses for this component but reduces volatility down the line given that these issuances are fixed-rate.</w:t>
      </w:r>
    </w:p>
    <w:p>
      <w:pPr>
        <w:spacing w:after="0" w:line="180"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on deposits that was generated by growth in deposits, mainly in LC.</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effect of the two factors mentioned above was significantly attenuated by a decrease in interest expenses on borrowed funds, specifically in LC, given that the volume of BCRP instruments has declined.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Credicorp’s NIM and Risk-Adjusted NIM</w:t>
      </w:r>
      <w:r>
        <w:rPr>
          <w:rFonts w:ascii="Times New Roman" w:cs="Times New Roman" w:eastAsia="Times New Roman" w:hAnsi="Times New Roman"/>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84455</wp:posOffset>
            </wp:positionV>
            <wp:extent cx="5746115" cy="2426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611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firstLine="8"/>
        <w:spacing w:after="0" w:line="282" w:lineRule="auto"/>
        <w:tabs>
          <w:tab w:leader="none" w:pos="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on 1Q17, we exclude derivatives from the NII result. For comparative purposes, figures starting from 1Q16 have been recalculated with the new methodology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NIM </w:t>
      </w:r>
      <w:r>
        <w:rPr>
          <w:rFonts w:ascii="Times New Roman" w:cs="Times New Roman" w:eastAsia="Times New Roman" w:hAnsi="Times New Roman"/>
          <w:sz w:val="18"/>
          <w:szCs w:val="18"/>
          <w:color w:val="auto"/>
        </w:rPr>
        <w:t>posted a positive evolution QoQ and YoY, which was due to:</w:t>
      </w:r>
    </w:p>
    <w:p>
      <w:pPr>
        <w:spacing w:after="0" w:line="229" w:lineRule="exact"/>
        <w:rPr>
          <w:sz w:val="20"/>
          <w:szCs w:val="20"/>
          <w:color w:val="auto"/>
        </w:rPr>
      </w:pPr>
    </w:p>
    <w:p>
      <w:pPr>
        <w:ind w:left="880" w:hanging="494"/>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growth in NII (+4.9% QoQ vs 4.1% in 3Q18 and +8.6% YoY vs +6.0% in 3Q18); this was, as explained earlier, due to an improvement in loan expansion.</w:t>
      </w:r>
    </w:p>
    <w:p>
      <w:pPr>
        <w:spacing w:after="0" w:line="161"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loan growth in a scenario in which investments fell accentuated the change in the composition of IEAs, where the share of loans, the most profitable asset, reached a level of 68% versus 63% in December 2017.</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Risk-adjusted NIM </w:t>
      </w:r>
      <w:r>
        <w:rPr>
          <w:rFonts w:ascii="Times New Roman" w:cs="Times New Roman" w:eastAsia="Times New Roman" w:hAnsi="Times New Roman"/>
          <w:sz w:val="18"/>
          <w:szCs w:val="18"/>
          <w:color w:val="auto"/>
        </w:rPr>
        <w:t>increased +22 bps QoQ and +45pbs YoY due to a drop in provisions for loan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accumulated analysis, NIM remained stable in 2018 given that the growth posted for NII was similar to that registered for average IEAs. Nevertheless, it is important to note the stability of indicator in a context where local rates are following a downward trend and high competition in the local market is pressuring margins.</w:t>
      </w:r>
    </w:p>
    <w:p>
      <w:pPr>
        <w:spacing w:after="0" w:line="176" w:lineRule="exact"/>
        <w:rPr>
          <w:sz w:val="20"/>
          <w:szCs w:val="20"/>
          <w:color w:val="auto"/>
        </w:rPr>
      </w:pPr>
    </w:p>
    <w:p>
      <w:pPr>
        <w:jc w:val="both"/>
        <w:ind w:left="80" w:right="5880"/>
        <w:spacing w:after="0" w:line="255" w:lineRule="auto"/>
        <w:rPr>
          <w:sz w:val="20"/>
          <w:szCs w:val="20"/>
          <w:color w:val="auto"/>
        </w:rPr>
      </w:pPr>
      <w:r>
        <w:rPr>
          <w:rFonts w:ascii="Times New Roman" w:cs="Times New Roman" w:eastAsia="Times New Roman" w:hAnsi="Times New Roman"/>
          <w:sz w:val="18"/>
          <w:szCs w:val="18"/>
          <w:color w:val="auto"/>
        </w:rPr>
        <w:t>NIM on loans posted a slight decrease QoQ. This was due primarily to a drop in Mibanco’s NIM in a highly competitive environment that puts pressure on margins. The drop in NIM on loans of -35 bps YoY and -22 bps at the accumulated level is associated with a drop in margins mainly in LC given that these margins are affected by the pressure generated by a highly competitive local environment. The downward trend in interest rates in LC negatively affected the margins of some segments of Retail Banking, such as Mortgage and 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-1104900</wp:posOffset>
            </wp:positionV>
            <wp:extent cx="2204085" cy="15347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0408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important to analyze NIM by subsidiary. The table below shows the net interest margins for each of Credicorp’s main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BCP</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BCP</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3"/>
              </w:rPr>
              <w:t xml:space="preserve">Credicorp </w:t>
            </w:r>
            <w:r>
              <w:rPr>
                <w:rFonts w:ascii="Times New Roman" w:cs="Times New Roman" w:eastAsia="Times New Roman" w:hAnsi="Times New Roman"/>
                <w:sz w:val="30"/>
                <w:szCs w:val="30"/>
                <w:b w:val="1"/>
                <w:bCs w:val="1"/>
                <w:color w:val="auto"/>
                <w:w w:val="93"/>
                <w:vertAlign w:val="superscript"/>
              </w:rPr>
              <w:t>(1)</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NIM Breakdown</w:t>
            </w: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Stand-alone</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Bolivia</w:t>
            </w:r>
          </w:p>
        </w:tc>
        <w:tc>
          <w:tcPr>
            <w:tcW w:w="1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ASB</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4Q17</w:t>
            </w:r>
          </w:p>
        </w:tc>
        <w:tc>
          <w:tcPr>
            <w:tcW w:w="8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5.28%</w:t>
            </w:r>
          </w:p>
        </w:tc>
        <w:tc>
          <w:tcPr>
            <w:tcW w:w="0" w:type="dxa"/>
            <w:vAlign w:val="bottom"/>
          </w:tcPr>
          <w:p>
            <w:pPr>
              <w:spacing w:after="0"/>
              <w:rPr>
                <w:sz w:val="1"/>
                <w:szCs w:val="1"/>
                <w:color w:val="auto"/>
              </w:rPr>
            </w:pPr>
          </w:p>
        </w:tc>
      </w:tr>
      <w:tr>
        <w:trPr>
          <w:trHeight w:val="216"/>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5.63%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NIM: Annualized Net interest income / Average period end and period beginning interest earning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Credicorp also includes Credicorp Capital, Prima, Grupo Credito and Eliminations for consolidation purposes.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xml:space="preserve"> evolution of global NIM by subsidiary shows an increase in Credicorp’s margin that was mainly attributable to </w:t>
      </w:r>
      <w:r>
        <w:rPr>
          <w:rFonts w:ascii="Times New Roman" w:cs="Times New Roman" w:eastAsia="Times New Roman" w:hAnsi="Times New Roman"/>
          <w:sz w:val="18"/>
          <w:szCs w:val="18"/>
          <w:b w:val="1"/>
          <w:bCs w:val="1"/>
          <w:color w:val="auto"/>
        </w:rPr>
        <w:t>BCP Stand-alone,</w:t>
      </w:r>
      <w:r>
        <w:rPr>
          <w:rFonts w:ascii="Times New Roman" w:cs="Times New Roman" w:eastAsia="Times New Roman" w:hAnsi="Times New Roman"/>
          <w:sz w:val="18"/>
          <w:szCs w:val="18"/>
          <w:color w:val="auto"/>
        </w:rPr>
        <w:t xml:space="preserve"> which, represents around 67% of net interest income. In this context, BCP Stand-alone’s NIM posted a clear recovery in 2018, in line with the recovery in loan growth and with a more favorable funding structure in which the share of deposits within total funding increased .</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Mibanco</w:t>
      </w:r>
      <w:r>
        <w:rPr>
          <w:rFonts w:ascii="Times New Roman" w:cs="Times New Roman" w:eastAsia="Times New Roman" w:hAnsi="Times New Roman"/>
          <w:sz w:val="18"/>
          <w:szCs w:val="18"/>
          <w:color w:val="auto"/>
        </w:rPr>
        <w:t>, which represents around 22% of net interest income, registered a deterioration in its NIM QoQ. This was due primarily to lower rates in LC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highly competitive environment, which affected interest income generation. At the accumulated level, Mibanco’s NIM in 2018 fell in a highly competitive context; additionally, it is important to note that we slowed down loan origination last quarter to fine-tune the balance between loan origination and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8097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9" w:lineRule="exact"/>
        <w:rPr>
          <w:sz w:val="20"/>
          <w:szCs w:val="20"/>
          <w:color w:val="auto"/>
        </w:rPr>
      </w:pPr>
    </w:p>
    <w:p>
      <w:pPr>
        <w:ind w:left="280" w:hanging="227"/>
        <w:spacing w:after="0"/>
        <w:tabs>
          <w:tab w:leader="none" w:pos="28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137160</wp:posOffset>
            </wp:positionV>
            <wp:extent cx="404749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0474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8"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5. Non-Financial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2018, the main components of non-financial income, fee income and the net gain on foreign exchange transactions posted significant growth due to positive business performance levels. The net gain on associates reflected the good results of the association with Banmedica. Nevertheless, non-financial income at the end of 2018 did not reflect the good results achieved in comparison to 2017 due to the net gain that was posted on sales of securities for BCI and Enel shares for S/ 444.7 million; both shares were sold in 2H17.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Non-financial income</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3"/>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20" w:type="dxa"/>
            <w:vAlign w:val="bottom"/>
            <w:tcBorders>
              <w:bottom w:val="single" w:sz="8" w:color="CCEEFF"/>
            </w:tcBorders>
          </w:tcPr>
          <w:p>
            <w:pPr>
              <w:spacing w:after="0"/>
              <w:rPr>
                <w:sz w:val="15"/>
                <w:szCs w:val="15"/>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Fee income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783,976</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773,529</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836,642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2,906,546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3,126,857</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r>
      <w:tr>
        <w:trPr>
          <w:trHeight w:val="149"/>
        </w:trPr>
        <w:tc>
          <w:tcPr>
            <w:tcW w:w="3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172,709</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182,777</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212,213</w:t>
            </w:r>
          </w:p>
        </w:tc>
        <w:tc>
          <w:tcPr>
            <w:tcW w:w="10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22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650,228</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737,954</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 gain from associates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4,747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12,971</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160.8%</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16,216</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35,838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 gain on sales of securities </w:t>
            </w:r>
            <w:r>
              <w:rPr>
                <w:rFonts w:ascii="Times New Roman" w:cs="Times New Roman" w:eastAsia="Times New Roman" w:hAnsi="Times New Roman"/>
                <w:sz w:val="21"/>
                <w:szCs w:val="21"/>
                <w:color w:val="auto"/>
                <w:vertAlign w:val="superscript"/>
              </w:rPr>
              <w:t>(2)(3)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237,705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55,205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52,841</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724,799</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192,465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-73.4%</w:t>
            </w: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on derivatives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8,213</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(1,697)</w:t>
            </w:r>
          </w:p>
        </w:tc>
        <w:tc>
          <w:tcPr>
            <w:tcW w:w="104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-351.8%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103,580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13,262</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-87.2%</w:t>
            </w:r>
          </w:p>
        </w:tc>
      </w:tr>
      <w:tr>
        <w:trPr>
          <w:trHeight w:val="149"/>
        </w:trPr>
        <w:tc>
          <w:tcPr>
            <w:tcW w:w="3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Result on exchange difference</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8,834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-97.0%</w:t>
            </w:r>
          </w:p>
        </w:tc>
        <w:tc>
          <w:tcPr>
            <w:tcW w:w="22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17,394</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16,022</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r>
      <w:tr>
        <w:trPr>
          <w:trHeight w:val="16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non-financial income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69,249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67,174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37,842</w:t>
            </w:r>
          </w:p>
        </w:tc>
        <w:tc>
          <w:tcPr>
            <w:tcW w:w="1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252,497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271,901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42"/>
        </w:trPr>
        <w:tc>
          <w:tcPr>
            <w:tcW w:w="33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 financial income</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1,278,590</w:t>
            </w:r>
          </w:p>
        </w:tc>
        <w:tc>
          <w:tcPr>
            <w:tcW w:w="24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1,093,167</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1,151,080</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4,671,260</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4,394,299</w:t>
            </w:r>
          </w:p>
        </w:tc>
        <w:tc>
          <w:tcPr>
            <w:tcW w:w="20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the agreement between Grupo Pacifico and Banmedica.</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differ from previously reported, please consider the data presented on this report.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Enel shares in 4Q17 (S/ 163 million).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Millions (S/)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gridSpan w:val="2"/>
          </w:tcPr>
          <w:p>
            <w:pPr>
              <w:spacing w:after="0"/>
              <w:rPr>
                <w:sz w:val="16"/>
                <w:szCs w:val="16"/>
                <w:color w:val="auto"/>
              </w:rPr>
            </w:pPr>
          </w:p>
        </w:tc>
        <w:tc>
          <w:tcPr>
            <w:tcW w:w="5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EPS contribution (50%)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62"/>
        </w:trPr>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Private health insurance deduction (50%)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Pr>
          <w:p>
            <w:pPr>
              <w:spacing w:after="0"/>
              <w:rPr>
                <w:sz w:val="14"/>
                <w:szCs w:val="14"/>
                <w:color w:val="auto"/>
              </w:rPr>
            </w:pP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20"/>
        </w:trPr>
        <w:tc>
          <w:tcPr>
            <w:tcW w:w="3460" w:type="dxa"/>
            <w:vAlign w:val="bottom"/>
            <w:gridSpan w:val="3"/>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Net gain from associates excluding</w:t>
            </w: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460" w:type="dxa"/>
            <w:vAlign w:val="bottom"/>
            <w:gridSpan w:val="3"/>
            <w:vMerge w:val="continue"/>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4.75</w:t>
            </w: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4.97</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12.97</w:t>
            </w: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160.8%</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173.2%</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16.2</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35.8</w:t>
            </w:r>
          </w:p>
        </w:tc>
        <w:tc>
          <w:tcPr>
            <w:tcW w:w="9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0" w:type="dxa"/>
            <w:vAlign w:val="bottom"/>
          </w:tcPr>
          <w:p>
            <w:pPr>
              <w:spacing w:after="0"/>
              <w:rPr>
                <w:sz w:val="1"/>
                <w:szCs w:val="1"/>
                <w:color w:val="auto"/>
              </w:rPr>
            </w:pPr>
          </w:p>
        </w:tc>
      </w:tr>
      <w:tr>
        <w:trPr>
          <w:trHeight w:val="173"/>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Non-recurring income / expense</w:t>
            </w: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 Non-recurring income/expense</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Net gain from associates</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160.8</w:t>
            </w:r>
          </w:p>
        </w:tc>
        <w:tc>
          <w:tcPr>
            <w:tcW w:w="2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173.2</w:t>
            </w:r>
          </w:p>
        </w:tc>
        <w:tc>
          <w:tcPr>
            <w:tcW w:w="24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121.0</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QoQ evolution of non-financial income shows:</w:t>
      </w:r>
    </w:p>
    <w:p>
      <w:pPr>
        <w:spacing w:after="0" w:line="221" w:lineRule="exact"/>
        <w:rPr>
          <w:sz w:val="20"/>
          <w:szCs w:val="20"/>
          <w:color w:val="auto"/>
        </w:rPr>
      </w:pPr>
    </w:p>
    <w:p>
      <w:pPr>
        <w:ind w:left="880" w:hanging="494"/>
        <w:spacing w:after="0" w:line="28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 xml:space="preserve"> which was mainly associated with improvements in this component at BCP, which will be explained in section 5.1.2 Banking Business and with higher income from Credicorp Capital from the corporate finance business.</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w:t>
      </w:r>
      <w:r>
        <w:rPr>
          <w:rFonts w:ascii="Times New Roman" w:cs="Times New Roman" w:eastAsia="Times New Roman" w:hAnsi="Times New Roman"/>
          <w:sz w:val="18"/>
          <w:szCs w:val="18"/>
          <w:b w:val="1"/>
          <w:bCs w:val="1"/>
          <w:color w:val="auto"/>
        </w:rPr>
        <w:t>net gain on foreign exchange transactions</w:t>
      </w:r>
      <w:r>
        <w:rPr>
          <w:rFonts w:ascii="Times New Roman" w:cs="Times New Roman" w:eastAsia="Times New Roman" w:hAnsi="Times New Roman"/>
          <w:sz w:val="18"/>
          <w:szCs w:val="18"/>
          <w:color w:val="auto"/>
        </w:rPr>
        <w:t xml:space="preserve"> at BCP Stand-alone, which was due primarily to an increase in the margin after exchange rate volatility rose last quarter.</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the </w:t>
      </w:r>
      <w:r>
        <w:rPr>
          <w:rFonts w:ascii="Times New Roman" w:cs="Times New Roman" w:eastAsia="Times New Roman" w:hAnsi="Times New Roman"/>
          <w:sz w:val="18"/>
          <w:szCs w:val="18"/>
          <w:b w:val="1"/>
          <w:bCs w:val="1"/>
          <w:color w:val="auto"/>
        </w:rPr>
        <w:t>net gain on associates,</w:t>
      </w:r>
      <w:r>
        <w:rPr>
          <w:rFonts w:ascii="Times New Roman" w:cs="Times New Roman" w:eastAsia="Times New Roman" w:hAnsi="Times New Roman"/>
          <w:sz w:val="18"/>
          <w:szCs w:val="18"/>
          <w:color w:val="auto"/>
        </w:rPr>
        <w:t xml:space="preserve"> which is the net result of the association between Pacifico and Banmedica, reflects an improvement in the EPS business and medical services and a less significant deduction in the private medical business due to an increase in the loss ratio last quarter.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aforementioned attenuated:</w:t>
      </w:r>
    </w:p>
    <w:p>
      <w:pPr>
        <w:spacing w:after="0" w:line="221" w:lineRule="exact"/>
        <w:rPr>
          <w:sz w:val="20"/>
          <w:szCs w:val="20"/>
          <w:color w:val="auto"/>
        </w:rPr>
      </w:pPr>
    </w:p>
    <w:p>
      <w:pPr>
        <w:ind w:left="880" w:hanging="494"/>
        <w:spacing w:after="0" w:line="28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drop in </w:t>
      </w:r>
      <w:r>
        <w:rPr>
          <w:rFonts w:ascii="Times New Roman" w:cs="Times New Roman" w:eastAsia="Times New Roman" w:hAnsi="Times New Roman"/>
          <w:sz w:val="18"/>
          <w:szCs w:val="18"/>
          <w:b w:val="1"/>
          <w:bCs w:val="1"/>
          <w:color w:val="auto"/>
        </w:rPr>
        <w:t>other income</w:t>
      </w:r>
      <w:r>
        <w:rPr>
          <w:rFonts w:ascii="Times New Roman" w:cs="Times New Roman" w:eastAsia="Times New Roman" w:hAnsi="Times New Roman"/>
          <w:sz w:val="18"/>
          <w:szCs w:val="18"/>
          <w:color w:val="auto"/>
        </w:rPr>
        <w:t>, which posted a normalized level, was attributable to reimbursements from Sunat and property sales at BCP Stand-alone.</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income for </w:t>
      </w:r>
      <w:r>
        <w:rPr>
          <w:rFonts w:ascii="Times New Roman" w:cs="Times New Roman" w:eastAsia="Times New Roman" w:hAnsi="Times New Roman"/>
          <w:sz w:val="18"/>
          <w:szCs w:val="18"/>
          <w:b w:val="1"/>
          <w:bCs w:val="1"/>
          <w:color w:val="auto"/>
        </w:rPr>
        <w:t>the exchange rate difference</w:t>
      </w:r>
      <w:r>
        <w:rPr>
          <w:rFonts w:ascii="Times New Roman" w:cs="Times New Roman" w:eastAsia="Times New Roman" w:hAnsi="Times New Roman"/>
          <w:sz w:val="18"/>
          <w:szCs w:val="18"/>
          <w:color w:val="auto"/>
        </w:rPr>
        <w:t xml:space="preserve"> and the drop reported for the </w:t>
      </w:r>
      <w:r>
        <w:rPr>
          <w:rFonts w:ascii="Times New Roman" w:cs="Times New Roman" w:eastAsia="Times New Roman" w:hAnsi="Times New Roman"/>
          <w:sz w:val="18"/>
          <w:szCs w:val="18"/>
          <w:b w:val="1"/>
          <w:bCs w:val="1"/>
          <w:color w:val="auto"/>
        </w:rPr>
        <w:t>net gain on derivatives;</w:t>
      </w:r>
      <w:r>
        <w:rPr>
          <w:rFonts w:ascii="Times New Roman" w:cs="Times New Roman" w:eastAsia="Times New Roman" w:hAnsi="Times New Roman"/>
          <w:sz w:val="18"/>
          <w:szCs w:val="18"/>
          <w:color w:val="auto"/>
        </w:rPr>
        <w:t xml:space="preserve"> the latter was attributable primarily to ASB and Credicorp Capital.</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accumulated terms</w:t>
      </w:r>
      <w:r>
        <w:rPr>
          <w:rFonts w:ascii="Times New Roman" w:cs="Times New Roman" w:eastAsia="Times New Roman" w:hAnsi="Times New Roman"/>
          <w:sz w:val="18"/>
          <w:szCs w:val="18"/>
          <w:color w:val="auto"/>
        </w:rPr>
        <w:t xml:space="preserve">, a contraction is evident in non-financial income due to a drop in the </w:t>
      </w:r>
      <w:r>
        <w:rPr>
          <w:rFonts w:ascii="Times New Roman" w:cs="Times New Roman" w:eastAsia="Times New Roman" w:hAnsi="Times New Roman"/>
          <w:sz w:val="18"/>
          <w:szCs w:val="18"/>
          <w:b w:val="1"/>
          <w:bCs w:val="1"/>
          <w:color w:val="auto"/>
        </w:rPr>
        <w:t>net gain on sales of securities</w:t>
      </w:r>
      <w:r>
        <w:rPr>
          <w:rFonts w:ascii="Times New Roman" w:cs="Times New Roman" w:eastAsia="Times New Roman" w:hAnsi="Times New Roman"/>
          <w:sz w:val="18"/>
          <w:szCs w:val="18"/>
          <w:color w:val="auto"/>
        </w:rPr>
        <w:t xml:space="preserve"> that is mainly attributable to i) the Net gain generated by sales of shares in BCI and ENEL in 2H17, and to a lesser extent by ii) the lower gain on sale of securities from BCP Stand-alone, Credicorp Capital and ASB, in line the downward trend of the markets during 2018.</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If we exclude non-recurring gains on sales of shares, non-financial income reported in 2018 due to:</w:t>
      </w:r>
    </w:p>
    <w:p>
      <w:pPr>
        <w:spacing w:after="0" w:line="221" w:lineRule="exact"/>
        <w:rPr>
          <w:sz w:val="20"/>
          <w:szCs w:val="20"/>
          <w:color w:val="auto"/>
        </w:rPr>
      </w:pPr>
    </w:p>
    <w:p>
      <w:pPr>
        <w:ind w:left="880" w:right="20" w:hanging="494"/>
        <w:spacing w:after="0" w:line="28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 xml:space="preserve"> mainly due to an increase in fee income from BCP Stand-alone and Mibanco and to a lesser extent, from Credicorp Capital.</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the </w:t>
      </w:r>
      <w:r>
        <w:rPr>
          <w:rFonts w:ascii="Times New Roman" w:cs="Times New Roman" w:eastAsia="Times New Roman" w:hAnsi="Times New Roman"/>
          <w:sz w:val="18"/>
          <w:szCs w:val="18"/>
          <w:b w:val="1"/>
          <w:bCs w:val="1"/>
          <w:color w:val="auto"/>
        </w:rPr>
        <w:t>net gain on foreign exchange transactions</w:t>
      </w:r>
      <w:r>
        <w:rPr>
          <w:rFonts w:ascii="Times New Roman" w:cs="Times New Roman" w:eastAsia="Times New Roman" w:hAnsi="Times New Roman"/>
          <w:sz w:val="18"/>
          <w:szCs w:val="18"/>
          <w:color w:val="auto"/>
        </w:rPr>
        <w:t xml:space="preserve"> through BCP Stand-alone and Credicorp Capital, both due to an increase in the volatility of the exchange rate for the Sol, Colombian Peso and Chilean Peso as compared to 2017’s levels.</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net gain on associates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was due primarily to an increase in the contribution of EPS (Corporate Health) and Medical Services in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 below shows the contribution of each of Credicorp’s subsidiaries to growth in Credicorp’s fee income in 4Q18:</w:t>
      </w:r>
    </w:p>
    <w:p>
      <w:pPr>
        <w:spacing w:after="0" w:line="2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 xml:space="preserve">Evolution of fee income QoQ by subsidiary </w:t>
      </w:r>
      <w:r>
        <w:rPr>
          <w:rFonts w:ascii="Times New Roman" w:cs="Times New Roman" w:eastAsia="Times New Roman" w:hAnsi="Times New Roman"/>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157480</wp:posOffset>
            </wp:positionV>
            <wp:extent cx="5746115" cy="1783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611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840" w:firstLine="9"/>
        <w:spacing w:after="0" w:line="498" w:lineRule="auto"/>
        <w:tabs>
          <w:tab w:leader="none" w:pos="1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 Grupo Pacifico and eliminations for consolidation purposes. The figure below shows the YoY evolution of fee income by subsidiary: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Evolution of fee income 2018 vs 2017 by subsidiary </w:t>
      </w:r>
      <w:r>
        <w:rPr>
          <w:rFonts w:ascii="Times New Roman" w:cs="Times New Roman" w:eastAsia="Times New Roman" w:hAnsi="Times New Roman"/>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2018 vs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157480</wp:posOffset>
            </wp:positionV>
            <wp:extent cx="5746115" cy="1912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4611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5.1.2. Banking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of Fee Income in the Banking Business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Income</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9"/>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vMerge w:val="restart"/>
          </w:tcPr>
          <w:p>
            <w:pPr>
              <w:spacing w:after="0"/>
              <w:rPr>
                <w:sz w:val="12"/>
                <w:szCs w:val="12"/>
                <w:color w:val="auto"/>
              </w:rPr>
            </w:pPr>
          </w:p>
        </w:tc>
        <w:tc>
          <w:tcPr>
            <w:tcW w:w="6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20" w:type="dxa"/>
            <w:vAlign w:val="bottom"/>
            <w:vMerge w:val="restart"/>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vMerge w:val="restart"/>
          </w:tcPr>
          <w:p>
            <w:pPr>
              <w:spacing w:after="0"/>
              <w:rPr>
                <w:sz w:val="12"/>
                <w:szCs w:val="12"/>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20" w:type="dxa"/>
            <w:vAlign w:val="bottom"/>
            <w:vMerge w:val="restart"/>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4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260" w:type="dxa"/>
            <w:vAlign w:val="bottom"/>
            <w:vMerge w:val="restart"/>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2"/>
                <w:szCs w:val="12"/>
                <w:color w:val="auto"/>
              </w:rPr>
            </w:pPr>
          </w:p>
        </w:tc>
        <w:tc>
          <w:tcPr>
            <w:tcW w:w="68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2018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40"/>
              <w:spacing w:after="0" w:line="183" w:lineRule="exact"/>
              <w:rPr>
                <w:sz w:val="20"/>
                <w:szCs w:val="20"/>
                <w:color w:val="auto"/>
              </w:rPr>
            </w:pPr>
            <w:r>
              <w:rPr>
                <w:rFonts w:ascii="Times New Roman" w:cs="Times New Roman" w:eastAsia="Times New Roman" w:hAnsi="Times New Roman"/>
                <w:sz w:val="13"/>
                <w:szCs w:val="13"/>
                <w:color w:val="auto"/>
              </w:rPr>
              <w:t xml:space="preserve">Miscellaneous accounts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178,844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177,960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187,989</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702,281</w:t>
            </w: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721,377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Credit cards </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73,043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73,792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79,103</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286,153</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298,290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Drafts and transfers</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49,998</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59,121</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62,602</w:t>
            </w:r>
          </w:p>
        </w:tc>
        <w:tc>
          <w:tcPr>
            <w:tcW w:w="9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181,020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225,825</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Personal loans </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26,466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23,119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26,694</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102,000</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96,112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SME loans </w:t>
            </w:r>
            <w:r>
              <w:rPr>
                <w:rFonts w:ascii="Times New Roman" w:cs="Times New Roman" w:eastAsia="Times New Roman" w:hAnsi="Times New Roman"/>
                <w:sz w:val="21"/>
                <w:szCs w:val="21"/>
                <w:color w:val="auto"/>
                <w:vertAlign w:val="superscript"/>
              </w:rPr>
              <w:t>(2)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21,669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17,342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16,987</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67,533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66,548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Insurance </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20,667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21,509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22,478</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77,020</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84,105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Mortgage loans </w:t>
            </w:r>
            <w:r>
              <w:rPr>
                <w:rFonts w:ascii="Times New Roman" w:cs="Times New Roman" w:eastAsia="Times New Roman" w:hAnsi="Times New Roman"/>
                <w:sz w:val="21"/>
                <w:szCs w:val="21"/>
                <w:color w:val="auto"/>
                <w:vertAlign w:val="superscript"/>
              </w:rPr>
              <w:t>(2)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10,518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42,236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40,028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Off-balance sheet </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52,127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51,559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54,050</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188,729</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208,530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Payments and collections </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100,746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104,346</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107,599</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392,267</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412,214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Commercial loans </w:t>
            </w:r>
            <w:r>
              <w:rPr>
                <w:rFonts w:ascii="Times New Roman" w:cs="Times New Roman" w:eastAsia="Times New Roman" w:hAnsi="Times New Roman"/>
                <w:sz w:val="21"/>
                <w:szCs w:val="21"/>
                <w:color w:val="auto"/>
                <w:vertAlign w:val="superscript"/>
              </w:rPr>
              <w:t>(3)(4)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19,949</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20,566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18,667</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76,963</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79,228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Foreign trade </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12,000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11,850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10,522</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44,603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40,711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Corporate finance and mutual funds </w:t>
            </w:r>
            <w:r>
              <w:rPr>
                <w:rFonts w:ascii="Times New Roman" w:cs="Times New Roman" w:eastAsia="Times New Roman" w:hAnsi="Times New Roman"/>
                <w:sz w:val="21"/>
                <w:szCs w:val="21"/>
                <w:color w:val="auto"/>
                <w:vertAlign w:val="superscript"/>
              </w:rPr>
              <w:t>(4)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14,667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13,425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15,744</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60,651</w:t>
            </w:r>
          </w:p>
        </w:tc>
        <w:tc>
          <w:tcPr>
            <w:tcW w:w="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59,790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3"/>
                <w:szCs w:val="13"/>
                <w:color w:val="auto"/>
              </w:rPr>
              <w:t xml:space="preserve">ASB </w:t>
            </w:r>
            <w:r>
              <w:rPr>
                <w:rFonts w:ascii="Times New Roman" w:cs="Times New Roman" w:eastAsia="Times New Roman" w:hAnsi="Times New Roman"/>
                <w:sz w:val="21"/>
                <w:szCs w:val="21"/>
                <w:color w:val="auto"/>
                <w:vertAlign w:val="superscript"/>
              </w:rPr>
              <w:t>(4)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7,163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7,450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8,259</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29,023</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32,363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3"/>
        </w:trPr>
        <w:tc>
          <w:tcPr>
            <w:tcW w:w="42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Others </w:t>
            </w:r>
            <w:r>
              <w:rPr>
                <w:rFonts w:ascii="Times New Roman" w:cs="Times New Roman" w:eastAsia="Times New Roman" w:hAnsi="Times New Roman"/>
                <w:sz w:val="23"/>
                <w:szCs w:val="23"/>
                <w:color w:val="auto"/>
                <w:vertAlign w:val="superscript"/>
              </w:rPr>
              <w:t>(4)(5)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51,976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60,476</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67,993</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7"/>
                <w:szCs w:val="17"/>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30.8%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204,094</w:t>
            </w:r>
          </w:p>
        </w:tc>
        <w:tc>
          <w:tcPr>
            <w:tcW w:w="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250,339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2"/>
        </w:trPr>
        <w:tc>
          <w:tcPr>
            <w:tcW w:w="424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fee income</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639,833</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652,597</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689,687</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5.7</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w:t>
            </w:r>
          </w:p>
        </w:tc>
        <w:tc>
          <w:tcPr>
            <w:tcW w:w="2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2,454,573</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2,615,461</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Source: BCP</w:t>
      </w:r>
    </w:p>
    <w:p>
      <w:pPr>
        <w:spacing w:after="0" w:line="9"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Saving accounts, current accounts, debit card and master account.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Retail fees.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Wholesale fees.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differ from previously reported, please consider the data presented on this report.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from BCP Bolivia, Mibanco, network usage and other services to third parties, among others.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QoQ analysis,</w:t>
      </w:r>
      <w:r>
        <w:rPr>
          <w:rFonts w:ascii="Times New Roman" w:cs="Times New Roman" w:eastAsia="Times New Roman" w:hAnsi="Times New Roman"/>
          <w:sz w:val="18"/>
          <w:szCs w:val="18"/>
          <w:color w:val="auto"/>
        </w:rPr>
        <w:t xml:space="preserve"> fee income from the banking business increased +5.7% QoQ, which was mainly due to:</w:t>
      </w:r>
    </w:p>
    <w:p>
      <w:pPr>
        <w:spacing w:after="0" w:line="225" w:lineRule="exact"/>
        <w:rPr>
          <w:sz w:val="20"/>
          <w:szCs w:val="20"/>
          <w:color w:val="auto"/>
        </w:rPr>
      </w:pPr>
    </w:p>
    <w:p>
      <w:pPr>
        <w:ind w:left="880" w:hanging="494"/>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accounts</w:t>
      </w:r>
      <w:r>
        <w:rPr>
          <w:rFonts w:ascii="Times New Roman" w:cs="Times New Roman" w:eastAsia="Times New Roman" w:hAnsi="Times New Roman"/>
          <w:sz w:val="18"/>
          <w:szCs w:val="18"/>
          <w:color w:val="auto"/>
        </w:rPr>
        <w:t>, in line with an increase in transactional activity through debit card and with higher fee income for account maintenance.</w:t>
      </w:r>
    </w:p>
    <w:p>
      <w:pPr>
        <w:spacing w:after="0" w:line="225" w:lineRule="exact"/>
        <w:rPr>
          <w:rFonts w:ascii="Times New Roman" w:cs="Times New Roman" w:eastAsia="Times New Roman" w:hAnsi="Times New Roman"/>
          <w:sz w:val="18"/>
          <w:szCs w:val="18"/>
          <w:color w:val="auto"/>
        </w:rPr>
      </w:pPr>
    </w:p>
    <w:p>
      <w:pPr>
        <w:ind w:left="880" w:right="20" w:hanging="494"/>
        <w:spacing w:after="0" w:line="263"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Others</w:t>
      </w:r>
      <w:r>
        <w:rPr>
          <w:rFonts w:ascii="Times New Roman" w:cs="Times New Roman" w:eastAsia="Times New Roman" w:hAnsi="Times New Roman"/>
          <w:sz w:val="18"/>
          <w:szCs w:val="18"/>
          <w:color w:val="auto"/>
        </w:rPr>
        <w:t>, which was attributable to an increase in fee income through BCP Bolivia and to a lesser extent, through trust businesses and wealth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w:t>
      </w:r>
    </w:p>
    <w:p>
      <w:pPr>
        <w:ind w:left="880" w:hanging="494"/>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cards</w:t>
      </w:r>
      <w:r>
        <w:rPr>
          <w:rFonts w:ascii="Times New Roman" w:cs="Times New Roman" w:eastAsia="Times New Roman" w:hAnsi="Times New Roman"/>
          <w:sz w:val="18"/>
          <w:szCs w:val="18"/>
          <w:color w:val="auto"/>
        </w:rPr>
        <w:t>, which was mainly attributable to fees from establishments for credit card consumption, particularly in the month of December.</w:t>
      </w:r>
    </w:p>
    <w:p>
      <w:pPr>
        <w:spacing w:after="0" w:line="202"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loans</w:t>
      </w:r>
      <w:r>
        <w:rPr>
          <w:rFonts w:ascii="Times New Roman" w:cs="Times New Roman" w:eastAsia="Times New Roman" w:hAnsi="Times New Roman"/>
          <w:sz w:val="18"/>
          <w:szCs w:val="18"/>
          <w:color w:val="auto"/>
        </w:rPr>
        <w:t>, which was in line with loan growth in the last quarter;</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Drafts and transfers</w:t>
      </w:r>
      <w:r>
        <w:rPr>
          <w:rFonts w:ascii="Times New Roman" w:cs="Times New Roman" w:eastAsia="Times New Roman" w:hAnsi="Times New Roman"/>
          <w:sz w:val="18"/>
          <w:szCs w:val="18"/>
          <w:color w:val="auto"/>
        </w:rPr>
        <w:t>, mainly due to an increase in fees for fund transfers from savings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Growth was registered 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b w:val="1"/>
          <w:bCs w:val="1"/>
          <w:color w:val="auto"/>
        </w:rPr>
        <w:t>accumulated terms</w:t>
      </w:r>
      <w:r>
        <w:rPr>
          <w:rFonts w:ascii="Times New Roman" w:cs="Times New Roman" w:eastAsia="Times New Roman" w:hAnsi="Times New Roman"/>
          <w:sz w:val="18"/>
          <w:szCs w:val="18"/>
          <w:color w:val="auto"/>
        </w:rPr>
        <w:t xml:space="preserve"> due to:</w:t>
      </w:r>
    </w:p>
    <w:p>
      <w:pPr>
        <w:spacing w:after="0" w:line="225" w:lineRule="exact"/>
        <w:rPr>
          <w:sz w:val="20"/>
          <w:szCs w:val="20"/>
          <w:color w:val="auto"/>
        </w:rPr>
      </w:pPr>
    </w:p>
    <w:p>
      <w:pPr>
        <w:jc w:val="both"/>
        <w:ind w:left="880" w:hanging="494"/>
        <w:spacing w:after="0" w:line="268" w:lineRule="auto"/>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reported by the </w:t>
      </w:r>
      <w:r>
        <w:rPr>
          <w:rFonts w:ascii="Times New Roman" w:cs="Times New Roman" w:eastAsia="Times New Roman" w:hAnsi="Times New Roman"/>
          <w:sz w:val="18"/>
          <w:szCs w:val="18"/>
          <w:b w:val="1"/>
          <w:bCs w:val="1"/>
          <w:color w:val="auto"/>
        </w:rPr>
        <w:t>Miscellaneous Account</w:t>
      </w:r>
      <w:r>
        <w:rPr>
          <w:rFonts w:ascii="Times New Roman" w:cs="Times New Roman" w:eastAsia="Times New Roman" w:hAnsi="Times New Roman"/>
          <w:sz w:val="18"/>
          <w:szCs w:val="18"/>
          <w:color w:val="auto"/>
        </w:rPr>
        <w:t>, which was primarily attributable to Mibanco due to a change in the methodology to calculate fees for late payments on loans. It is important to note that prior to this, fees were charged through moratorium interest. Now the fee is fixed and is pre-determined for all clients, based on a set range.</w:t>
      </w:r>
    </w:p>
    <w:p>
      <w:pPr>
        <w:spacing w:after="0" w:line="170"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w:t>
      </w:r>
      <w:r>
        <w:rPr>
          <w:rFonts w:ascii="Times New Roman" w:cs="Times New Roman" w:eastAsia="Times New Roman" w:hAnsi="Times New Roman"/>
          <w:sz w:val="18"/>
          <w:szCs w:val="18"/>
          <w:b w:val="1"/>
          <w:bCs w:val="1"/>
          <w:color w:val="auto"/>
        </w:rPr>
        <w:t>Drafts and Transfers</w:t>
      </w:r>
      <w:r>
        <w:rPr>
          <w:rFonts w:ascii="Times New Roman" w:cs="Times New Roman" w:eastAsia="Times New Roman" w:hAnsi="Times New Roman"/>
          <w:sz w:val="18"/>
          <w:szCs w:val="18"/>
          <w:color w:val="auto"/>
        </w:rPr>
        <w:t xml:space="preserve"> due to an increase in the transactions volume for national, international and interbank transfers.</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Others,</w:t>
      </w:r>
      <w:r>
        <w:rPr>
          <w:rFonts w:ascii="Times New Roman" w:cs="Times New Roman" w:eastAsia="Times New Roman" w:hAnsi="Times New Roman"/>
          <w:sz w:val="18"/>
          <w:szCs w:val="18"/>
          <w:color w:val="auto"/>
        </w:rPr>
        <w:t xml:space="preserve"> the increase in income was for debit cards and account maintenance fees for current accounts</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Payments and collections, </w:t>
      </w:r>
      <w:r>
        <w:rPr>
          <w:rFonts w:ascii="Times New Roman" w:cs="Times New Roman" w:eastAsia="Times New Roman" w:hAnsi="Times New Roman"/>
          <w:sz w:val="18"/>
          <w:szCs w:val="18"/>
          <w:color w:val="auto"/>
        </w:rPr>
        <w:t>in line with an on-going recovery in this service after activity dropped in 2017 due to the El Nino Phenomenon.</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income from </w:t>
      </w:r>
      <w:r>
        <w:rPr>
          <w:rFonts w:ascii="Times New Roman" w:cs="Times New Roman" w:eastAsia="Times New Roman" w:hAnsi="Times New Roman"/>
          <w:sz w:val="18"/>
          <w:szCs w:val="18"/>
          <w:b w:val="1"/>
          <w:bCs w:val="1"/>
          <w:color w:val="auto"/>
        </w:rPr>
        <w:t>Contingents</w:t>
      </w:r>
      <w:r>
        <w:rPr>
          <w:rFonts w:ascii="Times New Roman" w:cs="Times New Roman" w:eastAsia="Times New Roman" w:hAnsi="Times New Roman"/>
          <w:sz w:val="18"/>
          <w:szCs w:val="18"/>
          <w:color w:val="auto"/>
        </w:rPr>
        <w:t xml:space="preserve"> through performance bonds.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The aforementioned primarily offset the drop-in income from </w:t>
      </w:r>
      <w:r>
        <w:rPr>
          <w:rFonts w:ascii="Times New Roman" w:cs="Times New Roman" w:eastAsia="Times New Roman" w:hAnsi="Times New Roman"/>
          <w:sz w:val="18"/>
          <w:szCs w:val="18"/>
          <w:b w:val="1"/>
          <w:bCs w:val="1"/>
          <w:color w:val="auto"/>
        </w:rPr>
        <w:t>personal loans, foreign trade and mortgage loans</w:t>
      </w:r>
      <w:r>
        <w:rPr>
          <w:rFonts w:ascii="Times New Roman" w:cs="Times New Roman" w:eastAsia="Times New Roman" w:hAnsi="Times New Roman"/>
          <w:sz w:val="18"/>
          <w:szCs w:val="18"/>
          <w:color w:val="auto"/>
        </w:rPr>
        <w:t>. This was associated with a change in how late fees are charged. Starting November 2017, these fees are charged on the second day that the payment is overdue instead of the first day.</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6. Insurance Underwriting Result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insurance underwriting result remains in line with the previous quarter (-0.1% QoQ). Although claims increase, the decrease in acquisition cost mitigates this effect. In the YoY analysis, the underwriting result fell -6.5% due to an increase in the net claims and acquisition cost in both businesses (P&amp;C and Life business), which was mitigated by an increase in the net earned premium mainly through life business and to a lesser extent in property and casualty business. The same effect occurs in the accumulated analysis, given that the underwriting result decreased -6.7% versus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Insurance underw riting result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3"/>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YoY</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2107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 / 2017</w:t>
            </w:r>
          </w:p>
        </w:tc>
        <w:tc>
          <w:tcPr>
            <w:tcW w:w="120" w:type="dxa"/>
            <w:vAlign w:val="bottom"/>
            <w:tcBorders>
              <w:bottom w:val="single" w:sz="8" w:color="CCEEFF"/>
            </w:tcBorders>
          </w:tcPr>
          <w:p>
            <w:pPr>
              <w:spacing w:after="0"/>
              <w:rPr>
                <w:sz w:val="15"/>
                <w:szCs w:val="15"/>
                <w:color w:val="auto"/>
              </w:rPr>
            </w:pPr>
          </w:p>
        </w:tc>
      </w:tr>
      <w:tr>
        <w:trPr>
          <w:trHeight w:val="142"/>
        </w:trPr>
        <w:tc>
          <w:tcPr>
            <w:tcW w:w="230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Net earned premiums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479,022</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536,277</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534,380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11.6%</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1,888,236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2,091,365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r>
      <w:tr>
        <w:trPr>
          <w:trHeight w:val="149"/>
        </w:trPr>
        <w:tc>
          <w:tcPr>
            <w:tcW w:w="24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Net claims</w:t>
            </w:r>
          </w:p>
        </w:tc>
        <w:tc>
          <w:tcPr>
            <w:tcW w:w="11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(283,353)</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(318,645)</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(325,401)</w:t>
            </w:r>
          </w:p>
        </w:tc>
        <w:tc>
          <w:tcPr>
            <w:tcW w:w="640" w:type="dxa"/>
            <w:vAlign w:val="bottom"/>
          </w:tcPr>
          <w:p>
            <w:pPr>
              <w:spacing w:after="0"/>
              <w:rPr>
                <w:sz w:val="12"/>
                <w:szCs w:val="12"/>
                <w:color w:val="auto"/>
              </w:rPr>
            </w:pPr>
          </w:p>
        </w:tc>
        <w:tc>
          <w:tcPr>
            <w:tcW w:w="5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620" w:type="dxa"/>
            <w:vAlign w:val="bottom"/>
          </w:tcPr>
          <w:p>
            <w:pPr>
              <w:spacing w:after="0"/>
              <w:rPr>
                <w:sz w:val="12"/>
                <w:szCs w:val="12"/>
                <w:color w:val="auto"/>
              </w:rPr>
            </w:pPr>
          </w:p>
        </w:tc>
        <w:tc>
          <w:tcPr>
            <w:tcW w:w="5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(1,118,304)</w:t>
            </w: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(1,239,635)</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r>
      <w:tr>
        <w:trPr>
          <w:trHeight w:val="203"/>
        </w:trPr>
        <w:tc>
          <w:tcPr>
            <w:tcW w:w="242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4"/>
                <w:szCs w:val="14"/>
                <w:color w:val="auto"/>
              </w:rPr>
              <w:t xml:space="preserve">Acquisition cost </w:t>
            </w:r>
            <w:r>
              <w:rPr>
                <w:rFonts w:ascii="Times New Roman" w:cs="Times New Roman" w:eastAsia="Times New Roman" w:hAnsi="Times New Roman"/>
                <w:sz w:val="23"/>
                <w:szCs w:val="23"/>
                <w:color w:val="auto"/>
                <w:vertAlign w:val="superscript"/>
              </w:rPr>
              <w:t>(1)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(66,142)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(96,381)</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(87,824)</w:t>
            </w:r>
          </w:p>
        </w:tc>
        <w:tc>
          <w:tcPr>
            <w:tcW w:w="6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w:t>
            </w:r>
          </w:p>
        </w:tc>
        <w:tc>
          <w:tcPr>
            <w:tcW w:w="6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(264,644)</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(380,310)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42"/>
        </w:trPr>
        <w:tc>
          <w:tcPr>
            <w:tcW w:w="24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Total insurance underw riting result</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129,528</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121,251</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121,155</w:t>
            </w:r>
          </w:p>
        </w:tc>
        <w:tc>
          <w:tcPr>
            <w:tcW w:w="2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-0.1</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w:t>
            </w:r>
          </w:p>
        </w:tc>
        <w:tc>
          <w:tcPr>
            <w:tcW w:w="2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505,288</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471,420</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underwriting result by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142875</wp:posOffset>
            </wp:positionV>
            <wp:extent cx="4313555" cy="1912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355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P&amp;C business, the QoQ drop in the underwriting result was associated with an increase in net claims in Medical Assistance and Commercial Lines, which was mitigated by lower acquisition costs. In life insurance business, the increase in the underwriting result was attributable to a drop in net claims for Crediseguros and Group Life for High risk activities (SCTR) and to lower acquisition costs, which were attenuated by a decrease in premiums in Group Life and Annuities.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analysis, the drop in underwriting result was attributable to both businesses. In P&amp;C business, the drop was due to an increase in net claims in Medical Assistance and Car lines; and higher acquisition costs, which was mitigated by a higher level of premiums in Commercial Lines, Cars and Medical Assistance. While on life insurance business, the lower result was attributable to an increase in the net claims for Annuities and AFP lines, and higher acquisition costs; which was mitigated by higher premiums at Credit Life.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YTD analysis, the underwriting result in 2018 posted a variation of -6.7% due primarily to an increase in net claims of both P&amp;C and life businesses; and to and to a higher acquisition cost due to (i) an increase in Credit Life commissions, and (ii) lower underwriting income due to the concept of policy fee reclassified as written premium. This was mitigated by the higher premiums in life insurance, mainly in Annuities and Credit Life.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6.1. Net earned premiums</w:t>
      </w:r>
    </w:p>
    <w:p>
      <w:pPr>
        <w:sectPr>
          <w:pgSz w:w="11900" w:h="16838" w:orient="portrait"/>
          <w:cols w:equalWidth="0" w:num="1">
            <w:col w:w="11420"/>
          </w:cols>
          <w:pgMar w:left="240" w:top="900" w:right="239" w:bottom="1440" w:gutter="0" w:footer="0" w:header="0"/>
        </w:sectPr>
      </w:pPr>
    </w:p>
    <w:p>
      <w:pPr>
        <w:spacing w:after="0" w:line="23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Written premiums by business</w:t>
      </w:r>
    </w:p>
    <w:p>
      <w:pPr>
        <w:spacing w:after="0" w:line="4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72740" cy="128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72740" cy="128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Net earned premiums by business</w:t>
      </w:r>
    </w:p>
    <w:p>
      <w:pPr>
        <w:spacing w:after="0" w:line="43"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5715</wp:posOffset>
            </wp:positionV>
            <wp:extent cx="2795905" cy="12693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5905" cy="1269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9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Written premiums increased </w:t>
      </w:r>
      <w:r>
        <w:rPr>
          <w:rFonts w:ascii="Times New Roman" w:cs="Times New Roman" w:eastAsia="Times New Roman" w:hAnsi="Times New Roman"/>
          <w:sz w:val="18"/>
          <w:szCs w:val="18"/>
          <w:color w:val="auto"/>
        </w:rPr>
        <w:t>+8.2% QoQ, mainly in property and casualty business, attenuated by a decrease in life insurance business:</w:t>
      </w:r>
    </w:p>
    <w:p>
      <w:pPr>
        <w:spacing w:after="0" w:line="229" w:lineRule="exact"/>
        <w:rPr>
          <w:sz w:val="20"/>
          <w:szCs w:val="20"/>
          <w:color w:val="auto"/>
        </w:rPr>
      </w:pPr>
    </w:p>
    <w:p>
      <w:pPr>
        <w:ind w:left="880" w:hanging="494"/>
        <w:spacing w:after="0" w:line="282"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P&amp;C business, was mainly attributable in Commercial lines (fire risks and Hull insurance); and Cars line due to higher placements of new sales; this was slightly attenuated by a decrease in Personal lines.</w:t>
      </w:r>
    </w:p>
    <w:p>
      <w:pPr>
        <w:spacing w:after="0" w:line="161"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 in the life business was associated with fewer premiums in Group Life, particularly for a decrease in SCTR customer portfolio.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earned premiums </w:t>
      </w:r>
      <w:r>
        <w:rPr>
          <w:rFonts w:ascii="Times New Roman" w:cs="Times New Roman" w:eastAsia="Times New Roman" w:hAnsi="Times New Roman"/>
          <w:sz w:val="18"/>
          <w:szCs w:val="18"/>
          <w:color w:val="auto"/>
        </w:rPr>
        <w:t>fell -0.4% QoQ, mainly in life insurance through Group Life in particular.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YoY analysis, </w:t>
      </w:r>
      <w:r>
        <w:rPr>
          <w:rFonts w:ascii="Times New Roman" w:cs="Times New Roman" w:eastAsia="Times New Roman" w:hAnsi="Times New Roman"/>
          <w:sz w:val="18"/>
          <w:szCs w:val="18"/>
          <w:b w:val="1"/>
          <w:bCs w:val="1"/>
          <w:color w:val="auto"/>
        </w:rPr>
        <w:t>Written premiums</w:t>
      </w:r>
      <w:r>
        <w:rPr>
          <w:rFonts w:ascii="Times New Roman" w:cs="Times New Roman" w:eastAsia="Times New Roman" w:hAnsi="Times New Roman"/>
          <w:sz w:val="18"/>
          <w:szCs w:val="18"/>
          <w:color w:val="auto"/>
        </w:rPr>
        <w:t xml:space="preserve"> increased +13.1%, primarily through in P&amp;C business due to an increase in Commercial lines (fire and technical risks), Cars and Medical Assistance due to higher sales of national and international coverage and oncological insurance. The increase in the life insurance business was mainly attributable to higher premiums in alliances´ channels in Credit Life and Individual Life.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earned premiums </w:t>
      </w:r>
      <w:r>
        <w:rPr>
          <w:rFonts w:ascii="Times New Roman" w:cs="Times New Roman" w:eastAsia="Times New Roman" w:hAnsi="Times New Roman"/>
          <w:sz w:val="18"/>
          <w:szCs w:val="18"/>
          <w:color w:val="auto"/>
        </w:rPr>
        <w:t>increased 11.6% YoY, which was associated to an increase in premiums in Credit Life through the “alliance channels” and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reserves for Annuities in 4Q17. In P&amp;C, the increase was due to higher premium in Medical Assistance and Cars line.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accumulated analysis, written premiums increased +15.6% versus 2017, particularly in the life insurance business due to an increase in Annuities (new products “Renta Flex” and “Vida Garantizado Flex”) and in Credit Life by new alliances; and in the P&amp;C business due to an increase in Medical Assistance.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claims by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142875</wp:posOffset>
            </wp:positionV>
            <wp:extent cx="3799205" cy="18611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9920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claims rose +2.1% QoQ due an increase in net claims in P&amp;C business, which was mitigated by a drop in net claims in Crediseguros and in life insurance business. In P&amp;C business, was attributable to Medical Assistance due to an increase in severity, frequency and growth in the median cost of national and international coverage and oncological insurance; and in Commercial Lines. The drop in the life insurance business was registered in Group Life due to a decrease in IBNR (incurred but not reported) reserves, particularly for the SCTR product.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net claims increased +14.8% in P&amp;C and in life business. In P&amp;C, the increase was attributable in Medical Assistance due to growth in the number of cases received, Cars lines and Commercial Lines. The increase in life insurance was associated to: (i) pensions linked to the “Renta Flex” product in Annuities; (ii) a drop in discount rates used to calculate claims and higher number of cases reported in the AFP line.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accumulated analysis, net claims increased +10.8% due to an increase in claims in P&amp;C business through Medical Assistance and Cars lines; and Annuities and AFP lines in life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cost by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142875</wp:posOffset>
            </wp:positionV>
            <wp:extent cx="4159250" cy="19551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15925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Acquisition cost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260" w:type="dxa"/>
            <w:vAlign w:val="bottom"/>
          </w:tcPr>
          <w:p>
            <w:pPr>
              <w:spacing w:after="0"/>
              <w:rPr>
                <w:sz w:val="15"/>
                <w:szCs w:val="15"/>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2107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5"/>
                <w:szCs w:val="15"/>
                <w:color w:val="auto"/>
              </w:rPr>
            </w:pPr>
          </w:p>
        </w:tc>
        <w:tc>
          <w:tcPr>
            <w:tcW w:w="8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8"/>
              </w:rPr>
              <w:t>2018 / 2017</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Net fees</w:t>
            </w:r>
          </w:p>
        </w:tc>
        <w:tc>
          <w:tcPr>
            <w:tcW w:w="1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(47,822)</w:t>
            </w:r>
          </w:p>
        </w:tc>
        <w:tc>
          <w:tcPr>
            <w:tcW w:w="2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(69,813)</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(68,411)</w:t>
            </w:r>
          </w:p>
        </w:tc>
        <w:tc>
          <w:tcPr>
            <w:tcW w:w="20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43.1%</w:t>
            </w:r>
          </w:p>
        </w:tc>
        <w:tc>
          <w:tcPr>
            <w:tcW w:w="66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w w:val="87"/>
              </w:rPr>
              <w:t>(204,152)</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(273,929)</w:t>
            </w:r>
          </w:p>
        </w:tc>
        <w:tc>
          <w:tcPr>
            <w:tcW w:w="22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49"/>
        </w:trPr>
        <w:tc>
          <w:tcPr>
            <w:tcW w:w="42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Underwriting expenses</w:t>
            </w:r>
          </w:p>
        </w:tc>
        <w:tc>
          <w:tcPr>
            <w:tcW w:w="92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(36,247)</w:t>
            </w:r>
          </w:p>
        </w:tc>
        <w:tc>
          <w:tcPr>
            <w:tcW w:w="90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(27,777)</w:t>
            </w:r>
          </w:p>
        </w:tc>
        <w:tc>
          <w:tcPr>
            <w:tcW w:w="8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(24,470)</w:t>
            </w:r>
          </w:p>
        </w:tc>
        <w:tc>
          <w:tcPr>
            <w:tcW w:w="9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8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(119,355)</w:t>
            </w:r>
          </w:p>
        </w:tc>
        <w:tc>
          <w:tcPr>
            <w:tcW w:w="10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(115,792)</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2"/>
        </w:trPr>
        <w:tc>
          <w:tcPr>
            <w:tcW w:w="4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Underwriting income</w:t>
            </w:r>
          </w:p>
        </w:tc>
        <w:tc>
          <w:tcPr>
            <w:tcW w:w="92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17,927</w:t>
            </w: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1,208</w:t>
            </w: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5,057</w:t>
            </w:r>
          </w:p>
        </w:tc>
        <w:tc>
          <w:tcPr>
            <w:tcW w:w="9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318.5%</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-71.8%</w:t>
            </w:r>
          </w:p>
        </w:tc>
        <w:tc>
          <w:tcPr>
            <w:tcW w:w="8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58,863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9,411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142"/>
        </w:trPr>
        <w:tc>
          <w:tcPr>
            <w:tcW w:w="42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Acquisition cost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(66,142</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(96,381</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(87,824</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32.8</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(264,644</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(380,310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43.7</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cost fell -8.9% QoQ due to a drop in the underwriting expenses in P&amp;C business attributable to the (i) release of uncollectible premiums in Commercial Lines, Personal Lines and Cars; (ii) release of promotional expenses in Personal lines and Cars; and (iii) higher underwriting income in life insurance, given that reinsurance profit sharing was reported in 4Q18.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 the acquisition cost increased due to:</w:t>
      </w:r>
    </w:p>
    <w:p>
      <w:pPr>
        <w:spacing w:after="0" w:line="225" w:lineRule="exact"/>
        <w:rPr>
          <w:sz w:val="20"/>
          <w:szCs w:val="20"/>
          <w:color w:val="auto"/>
        </w:rPr>
      </w:pPr>
    </w:p>
    <w:p>
      <w:pPr>
        <w:ind w:left="880" w:hanging="494"/>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commissions in the life insurance lines due to an increase in sales in Credit Life through the Alliance channel.</w:t>
      </w:r>
    </w:p>
    <w:p>
      <w:pPr>
        <w:spacing w:after="0" w:line="225"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underwriting income, which is explained by a change in the nature of the policy fee, which was previously classified in this concept, but it is currently considered as part of written premiums which, in the case of the P&amp;C business accrue over 12 months; and lower underwriting income in life insurance, given that reinsurance profit sharing reported in 4Q18 was lower than 4Q17.</w:t>
      </w:r>
    </w:p>
    <w:p>
      <w:pPr>
        <w:spacing w:after="0" w:line="176"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was mitigated by a decrease in underwriting expenses, mainly in P&amp;C business due to a release of uncollectible premiums in the Commercial Lines, Personal Lines and Cars.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YTD analysis, acquisition costs increased +43.7%. This was primarily attributable to an increase in commissions in the life insurance business by Credit Life and to a decrease in the underwriting income: (i) due to a change in how the policy fee is reported (as explained above) and; (ii) and lower reinsurance profit sharing.</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7. Operating Expenses and Efficiency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efficiency ratio at Credicorp deteriorated 30 bps YoY and 40 bps compared to the level posted in 2017. The deterioration in the efficiency ratio was attributable to an acceleration in the pace of growth of operating expenses, which was primarily due to the increase in salaries &amp; employee benefits and in administrative &amp; general expenses. In the analysis by subsidiaries, it is evident that the increase in the efficiency ratio was mainly associated with BCP Stand-alone, and to a lesser extent with PGA but was attenuated by an improvement in operating efficiency at Mibanco and Prima AFP. In terms of BCP Stand-alone it is important to note that in 4Q18, the pace of execution of expenses associated with the “Transformation” strategic initiative picked up.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4Q17</w:t>
            </w:r>
          </w:p>
        </w:tc>
        <w:tc>
          <w:tcPr>
            <w:tcW w:w="26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3Q18</w:t>
            </w:r>
          </w:p>
        </w:tc>
        <w:tc>
          <w:tcPr>
            <w:tcW w:w="2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6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YoY</w:t>
            </w:r>
          </w:p>
        </w:tc>
        <w:tc>
          <w:tcPr>
            <w:tcW w:w="26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5"/>
                <w:szCs w:val="15"/>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2018 / 2017</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804,067</w:t>
            </w:r>
          </w:p>
        </w:tc>
        <w:tc>
          <w:tcPr>
            <w:tcW w:w="26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794,634</w:t>
            </w:r>
          </w:p>
        </w:tc>
        <w:tc>
          <w:tcPr>
            <w:tcW w:w="24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867,069</w:t>
            </w:r>
          </w:p>
        </w:tc>
        <w:tc>
          <w:tcPr>
            <w:tcW w:w="26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3,064,273</w:t>
            </w:r>
          </w:p>
        </w:tc>
        <w:tc>
          <w:tcPr>
            <w:tcW w:w="3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3,219,875</w:t>
            </w:r>
          </w:p>
        </w:tc>
        <w:tc>
          <w:tcPr>
            <w:tcW w:w="26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3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Administrative, general and tax expenses</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610,031</w:t>
            </w: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590,491</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682,118</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2,177,833</w:t>
            </w:r>
          </w:p>
        </w:tc>
        <w:tc>
          <w:tcPr>
            <w:tcW w:w="3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2,330,044</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117,414</w:t>
            </w: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114,613</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118,632</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462,058</w:t>
            </w:r>
          </w:p>
        </w:tc>
        <w:tc>
          <w:tcPr>
            <w:tcW w:w="9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465,673</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3"/>
        </w:trPr>
        <w:tc>
          <w:tcPr>
            <w:tcW w:w="39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Acquisition cost </w:t>
            </w:r>
            <w:r>
              <w:rPr>
                <w:rFonts w:ascii="Times New Roman" w:cs="Times New Roman" w:eastAsia="Times New Roman" w:hAnsi="Times New Roman"/>
                <w:sz w:val="23"/>
                <w:szCs w:val="23"/>
                <w:color w:val="auto"/>
                <w:vertAlign w:val="superscript"/>
              </w:rPr>
              <w:t>(1)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66,141</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96,382</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87,824</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264,643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380,310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43.7%</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23"/>
                <w:szCs w:val="23"/>
                <w:b w:val="1"/>
                <w:bCs w:val="1"/>
                <w:color w:val="auto"/>
                <w:vertAlign w:val="superscript"/>
              </w:rPr>
              <w:t>(2)</w:t>
            </w: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1,597,653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1,596,120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1,755,643</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10.0%</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5,968,807</w:t>
            </w:r>
          </w:p>
        </w:tc>
        <w:tc>
          <w:tcPr>
            <w:tcW w:w="320" w:type="dxa"/>
            <w:vAlign w:val="bottom"/>
            <w:tcBorders>
              <w:right w:val="single" w:sz="8" w:color="CCEEFF"/>
            </w:tcBorders>
            <w:shd w:val="clear" w:color="auto" w:fill="CCEEFF"/>
          </w:tcPr>
          <w:p>
            <w:pPr>
              <w:spacing w:after="0"/>
              <w:rPr>
                <w:sz w:val="15"/>
                <w:szCs w:val="15"/>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6,395,902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Operating income </w:t>
            </w:r>
            <w:r>
              <w:rPr>
                <w:rFonts w:ascii="Times New Roman" w:cs="Times New Roman" w:eastAsia="Times New Roman" w:hAnsi="Times New Roman"/>
                <w:sz w:val="23"/>
                <w:szCs w:val="23"/>
                <w:b w:val="1"/>
                <w:bCs w:val="1"/>
                <w:color w:val="auto"/>
                <w:vertAlign w:val="superscript"/>
              </w:rPr>
              <w:t>(3)</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2"/>
            <w:vMerge w:val="continue"/>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3,516,632</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3,646,198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3,839,030</w:t>
            </w:r>
          </w:p>
        </w:tc>
        <w:tc>
          <w:tcPr>
            <w:tcW w:w="2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5.3%</w:t>
            </w:r>
          </w:p>
        </w:tc>
        <w:tc>
          <w:tcPr>
            <w:tcW w:w="1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13,653,688</w:t>
            </w:r>
          </w:p>
        </w:tc>
        <w:tc>
          <w:tcPr>
            <w:tcW w:w="32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14,510,403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0" w:type="dxa"/>
            <w:vAlign w:val="bottom"/>
          </w:tcPr>
          <w:p>
            <w:pPr>
              <w:spacing w:after="0"/>
              <w:rPr>
                <w:sz w:val="1"/>
                <w:szCs w:val="1"/>
                <w:color w:val="auto"/>
              </w:rPr>
            </w:pPr>
          </w:p>
        </w:tc>
      </w:tr>
      <w:tr>
        <w:trPr>
          <w:trHeight w:val="20"/>
        </w:trPr>
        <w:tc>
          <w:tcPr>
            <w:tcW w:w="3900" w:type="dxa"/>
            <w:vAlign w:val="bottom"/>
            <w:gridSpan w:val="2"/>
            <w:vMerge w:val="restart"/>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Reported efficiency ratio </w:t>
            </w:r>
            <w:r>
              <w:rPr>
                <w:rFonts w:ascii="Times New Roman" w:cs="Times New Roman" w:eastAsia="Times New Roman" w:hAnsi="Times New Roman"/>
                <w:sz w:val="23"/>
                <w:szCs w:val="23"/>
                <w:b w:val="1"/>
                <w:bCs w:val="1"/>
                <w:color w:val="auto"/>
                <w:vertAlign w:val="superscript"/>
              </w:rPr>
              <w:t>(4)(5)</w:t>
            </w: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2"/>
            <w:vMerge w:val="continue"/>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45.4%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43.8%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45.7%</w:t>
            </w: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190 pbs</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30 pbs</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43.7%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44.1%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40 pbs</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Operating expenses / Total average assets </w:t>
            </w:r>
            <w:r>
              <w:rPr>
                <w:rFonts w:ascii="Times New Roman" w:cs="Times New Roman" w:eastAsia="Times New Roman" w:hAnsi="Times New Roman"/>
                <w:sz w:val="23"/>
                <w:szCs w:val="23"/>
                <w:b w:val="1"/>
                <w:bCs w:val="1"/>
                <w:color w:val="auto"/>
                <w:vertAlign w:val="superscript"/>
              </w:rPr>
              <w:t>(6)</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gridSpan w:val="2"/>
            <w:vMerge w:val="continue"/>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4.06%</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26 pbs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25 pbs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 pbs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cost of Pacifico includes net fees and underwriting expenses.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 Salaries and employees benefits + Administrative, general and tax expenses + Depreciation and amortization + Acquisition cost.</w:t>
      </w:r>
    </w:p>
    <w:p>
      <w:pPr>
        <w:spacing w:after="0" w:line="9" w:lineRule="exact"/>
        <w:rPr>
          <w:rFonts w:ascii="Times New Roman" w:cs="Times New Roman" w:eastAsia="Times New Roman" w:hAnsi="Times New Roman"/>
          <w:sz w:val="18"/>
          <w:szCs w:val="18"/>
          <w:color w:val="auto"/>
        </w:rPr>
      </w:pPr>
    </w:p>
    <w:p>
      <w:pPr>
        <w:ind w:right="120" w:firstLine="8"/>
        <w:spacing w:after="0" w:line="250"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 Net interest income + Fee income + Gain on foreign exchange transactions + Net gain from associates + Net premiums earned + Net gain on derivatives+ Result on exchange difference.</w:t>
      </w: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income and the efficiency ratio differ from previously reported, please consider the data presented on this report.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 Operating income.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operating currency / Average of Total Assets. Average is calculated with period-beginning and period-ending balances.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QoQ analysis</w:t>
      </w:r>
      <w:r>
        <w:rPr>
          <w:rFonts w:ascii="Times New Roman" w:cs="Times New Roman" w:eastAsia="Times New Roman" w:hAnsi="Times New Roman"/>
          <w:sz w:val="18"/>
          <w:szCs w:val="18"/>
          <w:color w:val="auto"/>
        </w:rPr>
        <w:t>, the deterioration in the efficiency ratio was due to seasonality in operating expenses; as such, the YoY analysis generates a clearer picture of the business result.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the efficiency ratio also deteriorated 20 bps, which was mainly attributable to an increase in operating expenses, which reflected:</w:t>
      </w:r>
    </w:p>
    <w:p>
      <w:pPr>
        <w:spacing w:after="0" w:line="229" w:lineRule="exact"/>
        <w:rPr>
          <w:sz w:val="20"/>
          <w:szCs w:val="20"/>
          <w:color w:val="auto"/>
        </w:rPr>
      </w:pPr>
    </w:p>
    <w:p>
      <w:pPr>
        <w:ind w:left="880" w:hanging="494"/>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administrative &amp; general expenses, which will be explained in greater detail last in this report.</w:t>
      </w:r>
    </w:p>
    <w:p>
      <w:pPr>
        <w:spacing w:after="0" w:line="225"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salaries &amp; employee benefits mainly due to an increase in variable remuneration and incentives for productivity in line with the good results at BCP Stand-alone, and to a lesser extent to an increase in the number of employees related to the strategic initiative “Transformation”.</w:t>
      </w:r>
    </w:p>
    <w:p>
      <w:pPr>
        <w:spacing w:after="0" w:line="176"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acquisition cost due to the factors outlined in section 6.3 Acquisition Cost.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terms of operating income, the YoY increase reflects:</w:t>
      </w:r>
    </w:p>
    <w:p>
      <w:pPr>
        <w:spacing w:after="0" w:line="225" w:lineRule="exact"/>
        <w:rPr>
          <w:sz w:val="20"/>
          <w:szCs w:val="20"/>
          <w:color w:val="auto"/>
        </w:rPr>
      </w:pPr>
    </w:p>
    <w:p>
      <w:pPr>
        <w:ind w:left="880" w:hanging="494"/>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net interest income, in line with the expansion in average daily loan balances as explained in section 4.1. Interest Income.</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commissions, in line with an increase in transactional activity as indicated in section 5.1.2 Banking Business</w:t>
      </w:r>
    </w:p>
    <w:p>
      <w:pPr>
        <w:spacing w:after="0" w:line="22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net earned premiums at Pacifico was generated by the property and casualty and life lines, as indicated in section 6.1 Net Earned Premiums.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analysis of full-year results, although Credicorp’s operating efficiency level posted improvements through the first three quarters of the year, the results in the fourth quarter, which are explained in the analysis YoY, account for the 40 bps deterioration in operating efficiency.</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Credicorp’s administrative, general and tax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Administrative, general and tax expenses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4Q17</w:t>
            </w:r>
          </w:p>
        </w:tc>
        <w:tc>
          <w:tcPr>
            <w:tcW w:w="18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3Q18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2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4Q18</w:t>
            </w:r>
          </w:p>
        </w:tc>
        <w:tc>
          <w:tcPr>
            <w:tcW w:w="200" w:type="dxa"/>
            <w:vAlign w:val="bottom"/>
          </w:tcPr>
          <w:p>
            <w:pPr>
              <w:spacing w:after="0"/>
              <w:rPr>
                <w:sz w:val="16"/>
                <w:szCs w:val="16"/>
                <w:color w:val="auto"/>
              </w:rPr>
            </w:pPr>
          </w:p>
        </w:tc>
        <w:tc>
          <w:tcPr>
            <w:tcW w:w="5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6"/>
                <w:szCs w:val="16"/>
                <w:color w:val="auto"/>
              </w:rPr>
            </w:pP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2018 / 2017</w:t>
            </w: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Marketing</w:t>
            </w: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88,126</w:t>
            </w:r>
          </w:p>
        </w:tc>
        <w:tc>
          <w:tcPr>
            <w:tcW w:w="18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75,489</w:t>
            </w:r>
          </w:p>
        </w:tc>
        <w:tc>
          <w:tcPr>
            <w:tcW w:w="1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95,895</w:t>
            </w:r>
          </w:p>
        </w:tc>
        <w:tc>
          <w:tcPr>
            <w:tcW w:w="200" w:type="dxa"/>
            <w:vAlign w:val="bottom"/>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281,753</w:t>
            </w:r>
          </w:p>
        </w:tc>
        <w:tc>
          <w:tcPr>
            <w:tcW w:w="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306,495</w:t>
            </w:r>
          </w:p>
        </w:tc>
        <w:tc>
          <w:tcPr>
            <w:tcW w:w="20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Taxes and contributions</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61,020</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60,213</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68,646</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220,547</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244,400</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9"/>
        </w:trPr>
        <w:tc>
          <w:tcPr>
            <w:tcW w:w="26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Insfrastructure</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70,427</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69,427</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73,578</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263,567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274,999</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Systems outsourcing</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51,016</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58,283</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69,290</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215,912</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235,178</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9"/>
        </w:trPr>
        <w:tc>
          <w:tcPr>
            <w:tcW w:w="26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Programs and systems</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69,640</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67,685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77,169</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255,207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265,958</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24,742</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19,816</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26,958</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87,563</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87,324</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9"/>
        </w:trPr>
        <w:tc>
          <w:tcPr>
            <w:tcW w:w="26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Rent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44,333</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44,605</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47,814</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177,790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181,135</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52,666</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47,084</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50,476</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158,367</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163,921</w:t>
            </w: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9"/>
        </w:trPr>
        <w:tc>
          <w:tcPr>
            <w:tcW w:w="2600" w:type="dxa"/>
            <w:vAlign w:val="bottom"/>
            <w:tcBorders>
              <w:right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Channels</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59,470</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58,127</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60,220</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204,102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221,113</w:t>
            </w: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03"/>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Others </w:t>
            </w:r>
            <w:r>
              <w:rPr>
                <w:rFonts w:ascii="Times New Roman" w:cs="Times New Roman" w:eastAsia="Times New Roman" w:hAnsi="Times New Roman"/>
                <w:sz w:val="23"/>
                <w:szCs w:val="23"/>
                <w:color w:val="auto"/>
                <w:vertAlign w:val="superscript"/>
              </w:rPr>
              <w:t>(1)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88,589</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89,761</w:t>
            </w:r>
          </w:p>
        </w:tc>
        <w:tc>
          <w:tcPr>
            <w:tcW w:w="1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112,072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26.5%</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313,027</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349,521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2600" w:type="dxa"/>
            <w:vAlign w:val="bottom"/>
            <w:tcBorders>
              <w:right w:val="single" w:sz="8" w:color="CCEEFF"/>
            </w:tcBorders>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Total administrative, general and tax</w:t>
            </w: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600" w:type="dxa"/>
            <w:vAlign w:val="bottom"/>
            <w:tcBorders>
              <w:right w:val="single" w:sz="8" w:color="CCEEFF"/>
            </w:tcBorders>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100%</w:t>
            </w: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100%</w:t>
            </w: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15.5%</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11.8%</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0" w:type="dxa"/>
            <w:vAlign w:val="bottom"/>
          </w:tcPr>
          <w:p>
            <w:pPr>
              <w:spacing w:after="0"/>
              <w:rPr>
                <w:sz w:val="1"/>
                <w:szCs w:val="1"/>
                <w:color w:val="auto"/>
              </w:rPr>
            </w:pPr>
          </w:p>
        </w:tc>
      </w:tr>
      <w:tr>
        <w:trPr>
          <w:trHeight w:val="187"/>
        </w:trPr>
        <w:tc>
          <w:tcPr>
            <w:tcW w:w="2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610,031</w:t>
            </w: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590,491</w:t>
            </w:r>
          </w:p>
        </w:tc>
        <w:tc>
          <w:tcPr>
            <w:tcW w:w="1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682,118</w:t>
            </w:r>
          </w:p>
        </w:tc>
        <w:tc>
          <w:tcPr>
            <w:tcW w:w="7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2,177,834</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2,330,044</w:t>
            </w:r>
          </w:p>
        </w:tc>
        <w:tc>
          <w:tcPr>
            <w:tcW w:w="2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20" w:firstLine="8"/>
        <w:spacing w:after="0" w:line="530" w:lineRule="auto"/>
        <w:tabs>
          <w:tab w:leader="none" w:pos="25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Others include ASB, BCP Bolivia, Grupo Credito and eliminations for consolidation. The </w:t>
      </w:r>
      <w:r>
        <w:rPr>
          <w:rFonts w:ascii="Times New Roman" w:cs="Times New Roman" w:eastAsia="Times New Roman" w:hAnsi="Times New Roman"/>
          <w:sz w:val="17"/>
          <w:szCs w:val="17"/>
          <w:b w:val="1"/>
          <w:bCs w:val="1"/>
          <w:color w:val="auto"/>
        </w:rPr>
        <w:t>QoQ increase</w:t>
      </w:r>
      <w:r>
        <w:rPr>
          <w:rFonts w:ascii="Times New Roman" w:cs="Times New Roman" w:eastAsia="Times New Roman" w:hAnsi="Times New Roman"/>
          <w:sz w:val="17"/>
          <w:szCs w:val="17"/>
          <w:color w:val="auto"/>
        </w:rPr>
        <w:t xml:space="preserve"> in administrative and general expenses and taxes due to:</w:t>
      </w:r>
    </w:p>
    <w:p>
      <w:pPr>
        <w:ind w:left="900" w:right="20" w:hanging="514"/>
        <w:spacing w:after="0" w:line="282"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expenses, mainly for legal advisory services at BCP Stand-alone to reclassify an expense within this account in the months of March-October.</w:t>
      </w:r>
    </w:p>
    <w:p>
      <w:pPr>
        <w:spacing w:after="0" w:line="161" w:lineRule="exact"/>
        <w:rPr>
          <w:rFonts w:ascii="Times New Roman" w:cs="Times New Roman" w:eastAsia="Times New Roman" w:hAnsi="Times New Roman"/>
          <w:sz w:val="18"/>
          <w:szCs w:val="18"/>
          <w:color w:val="auto"/>
        </w:rPr>
      </w:pPr>
    </w:p>
    <w:p>
      <w:pPr>
        <w:jc w:val="both"/>
        <w:ind w:left="900" w:hanging="514"/>
        <w:spacing w:after="0" w:line="266"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in marketing, mainly at BCP Stand-alone, which is due primarily to a seasonal effect in the last month of the year when, LATAM miles program at BCP Stand-alone posts an increase in usage and, to a lesser extent, to payments of television campaigns in June and July.</w:t>
      </w:r>
    </w:p>
    <w:p>
      <w:pPr>
        <w:spacing w:after="0" w:line="176" w:lineRule="exact"/>
        <w:rPr>
          <w:rFonts w:ascii="Times New Roman" w:cs="Times New Roman" w:eastAsia="Times New Roman" w:hAnsi="Times New Roman"/>
          <w:sz w:val="18"/>
          <w:szCs w:val="18"/>
          <w:color w:val="auto"/>
        </w:rPr>
      </w:pPr>
    </w:p>
    <w:p>
      <w:pPr>
        <w:ind w:left="900" w:right="20" w:hanging="514"/>
        <w:spacing w:after="0" w:line="282" w:lineRule="auto"/>
        <w:tabs>
          <w:tab w:leader="none" w:pos="9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expenses for outsourcing of systems and programming and systems, mainly at BCP Stand-alone due to an increase in expenses to maintain applications and license renewals for different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the increase was due primarily to:</w:t>
      </w:r>
    </w:p>
    <w:p>
      <w:pPr>
        <w:spacing w:after="0" w:line="229" w:lineRule="exact"/>
        <w:rPr>
          <w:sz w:val="20"/>
          <w:szCs w:val="20"/>
          <w:color w:val="auto"/>
        </w:rPr>
      </w:pPr>
    </w:p>
    <w:p>
      <w:pPr>
        <w:ind w:left="900" w:hanging="514"/>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expenses for outsourcing of systems and programming and systems for the reasons mentioned in the QoQ analysis;</w:t>
      </w:r>
    </w:p>
    <w:p>
      <w:pPr>
        <w:spacing w:after="0" w:line="225" w:lineRule="exact"/>
        <w:rPr>
          <w:rFonts w:ascii="Times New Roman" w:cs="Times New Roman" w:eastAsia="Times New Roman" w:hAnsi="Times New Roman"/>
          <w:sz w:val="18"/>
          <w:szCs w:val="18"/>
          <w:color w:val="auto"/>
        </w:rPr>
      </w:pPr>
    </w:p>
    <w:p>
      <w:pPr>
        <w:ind w:left="900" w:right="20" w:hanging="514"/>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minor expenses, mainly at Mibanco due to an increase in expenses for adjustments to fine-tune the balance between loan origination and collections and to a lesser extent, to an increase in expenses for legal advisory services at BCP Stand-alone as indicated in the YoY analysis.</w:t>
      </w:r>
    </w:p>
    <w:p>
      <w:pPr>
        <w:spacing w:after="0" w:line="161" w:lineRule="exact"/>
        <w:rPr>
          <w:rFonts w:ascii="Times New Roman" w:cs="Times New Roman" w:eastAsia="Times New Roman" w:hAnsi="Times New Roman"/>
          <w:sz w:val="18"/>
          <w:szCs w:val="18"/>
          <w:color w:val="auto"/>
        </w:rPr>
      </w:pPr>
    </w:p>
    <w:p>
      <w:pPr>
        <w:ind w:left="900" w:hanging="514"/>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expenses for marketing at BCP Stand-alone due to an increase in advertising for different campaigns during the year that are paid this quarter and to a lesser extent, to advertising expenses at PGA.</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YTD terms</w:t>
      </w:r>
      <w:r>
        <w:rPr>
          <w:rFonts w:ascii="Times New Roman" w:cs="Times New Roman" w:eastAsia="Times New Roman" w:hAnsi="Times New Roman"/>
          <w:sz w:val="18"/>
          <w:szCs w:val="18"/>
          <w:color w:val="auto"/>
        </w:rPr>
        <w:t>, the increase in expenses was due to (i) growth in expenses for higher expenses for legal advisory services at BCP Stand-alone and higher expenses at BCP Bolivia, (ii) the increase in outsourcing of systems and programming and system at BCP Stand-alone due to the reasons mentioned in the QoQ analysis and (iii) an increase in marketing expenses at BCP Stand-alone, mainly given the increase in BCP’s payment for LATAM miles campaigns held throughout the year and, to a lesser extent, to advertising during the months of June and July during the World Cup in Russia.</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7.2. Operating Expenses / Total Average Assets Ratio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expenses / total average assets ratio increased QoQ due to seasonality in operating expenses and to a slight decrease in total average assets. The annual analysis reveals deterioration, which was generated by the fact that the increase in operating expenses was greater than the growth reported for total average assets (for the reasons described above).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156845</wp:posOffset>
            </wp:positionV>
            <wp:extent cx="5231130" cy="20840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3113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figure below shows the evolution of the variation of operating expenses with regard to average assets over the last 5 years. It is important to note that the levels obtained in the past few years have been better than those posted in 2014. This is due primarily to on-going monitoring and management of operating expenses; despite the effect generated by projects related to the strategic initiative “Transformation” at BCP.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156845</wp:posOffset>
            </wp:positionV>
            <wp:extent cx="5676900" cy="2332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7690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7.3. Efficiency Ratio</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4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w w:val="96"/>
              </w:rPr>
              <w:t xml:space="preserve">Efficiency Ratio by Subsidiary </w:t>
            </w:r>
            <w:r>
              <w:rPr>
                <w:rFonts w:ascii="Times New Roman" w:cs="Times New Roman" w:eastAsia="Times New Roman" w:hAnsi="Times New Roman"/>
                <w:sz w:val="30"/>
                <w:szCs w:val="30"/>
                <w:b w:val="1"/>
                <w:bCs w:val="1"/>
                <w:color w:val="auto"/>
                <w:w w:val="96"/>
                <w:vertAlign w:val="superscript"/>
              </w:rPr>
              <w:t>(1)(2)</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BCP</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BCP</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Grupo</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6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Stand-alone</w:t>
            </w:r>
          </w:p>
        </w:tc>
        <w:tc>
          <w:tcPr>
            <w:tcW w:w="11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Bolivia</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ASB</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Pacifico</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Prima</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4Q17</w:t>
            </w:r>
          </w:p>
        </w:tc>
        <w:tc>
          <w:tcPr>
            <w:tcW w:w="1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3Q18</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46.0%</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4Q18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0"/>
        </w:trPr>
        <w:tc>
          <w:tcPr>
            <w:tcW w:w="2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Var. QoQ</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bps</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5"/>
              </w:rPr>
              <w:t>710 bps</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 bps</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-250 bps</w:t>
            </w:r>
          </w:p>
        </w:tc>
        <w:tc>
          <w:tcPr>
            <w:tcW w:w="2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 bps</w:t>
            </w:r>
          </w:p>
        </w:tc>
        <w:tc>
          <w:tcPr>
            <w:tcW w:w="2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 bps</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Var. YoY</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 bps</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95"/>
              </w:rPr>
              <w:t>880 bps</w:t>
            </w: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-890 bps</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 bps</w:t>
            </w:r>
          </w:p>
        </w:tc>
        <w:tc>
          <w:tcPr>
            <w:tcW w:w="2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bps</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- 2017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- 2018</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 2018 / 2017</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bps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 bps</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 bps</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w w:val="95"/>
              </w:rPr>
              <w:t>330 bps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 bps</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-220 bps</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bps</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bps</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8"/>
        <w:spacing w:after="0" w:line="261" w:lineRule="auto"/>
        <w:tabs>
          <w:tab w:leader="none" w:pos="2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expenses + acquisition cost - other expenses) / (Net interest income + fee income + Net gain on foreign exchange transactions + Result on exchange difference + Net gain on derivates + Net gain from associates + Net earned premiums).</w:t>
      </w: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differs from previously reported, please consider the data presented on this report.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QoQ analysis, the deterioration in efficiency in the majority of subsidiaries was driven by seasonality in operating expenses, which increase in the last quarter of the year. As such, the YoY analysis provides a clearer picture of the business result.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YoY analysis, which eliminates seasonality in operating expenses, the deterioration in efficiency at Credicorp was attributable to the following subsidiaries:</w:t>
      </w:r>
    </w:p>
    <w:p>
      <w:pPr>
        <w:spacing w:after="0" w:line="162" w:lineRule="exact"/>
        <w:rPr>
          <w:sz w:val="20"/>
          <w:szCs w:val="20"/>
          <w:color w:val="auto"/>
        </w:rPr>
      </w:pPr>
    </w:p>
    <w:p>
      <w:pPr>
        <w:jc w:val="both"/>
        <w:ind w:left="900" w:hanging="514"/>
        <w:spacing w:after="0" w:line="266"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Stand-alone: there was a strong increase in remunerations, mainly due to the increase in personnel associated with transformation projects; the increase in variable salaries; and, to a lesser extent, to the increase in general and administrative expenses as indicated in section 7.1. Credicorp – Administrative and general expenses and taxes.</w:t>
      </w:r>
    </w:p>
    <w:p>
      <w:pPr>
        <w:spacing w:after="0" w:line="176" w:lineRule="exact"/>
        <w:rPr>
          <w:rFonts w:ascii="Times New Roman" w:cs="Times New Roman" w:eastAsia="Times New Roman" w:hAnsi="Times New Roman"/>
          <w:sz w:val="18"/>
          <w:szCs w:val="18"/>
          <w:color w:val="auto"/>
        </w:rPr>
      </w:pPr>
    </w:p>
    <w:p>
      <w:pPr>
        <w:jc w:val="both"/>
        <w:ind w:left="900" w:hanging="514"/>
        <w:spacing w:after="0" w:line="261"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Mibanco: deterioration was mainly attributable to an increase in administrative and general expenses, and to a lesser extent, to the increase in remunerations due to the expansion in the number of loan officers. The former was related to different projects to improve the client experience; increase the productivity of the sales force; derive transactions to digital channels; and develop technological tools to facilitate the work loan officers.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annual analysis</w:t>
      </w:r>
      <w:r>
        <w:rPr>
          <w:rFonts w:ascii="Times New Roman" w:cs="Times New Roman" w:eastAsia="Times New Roman" w:hAnsi="Times New Roman"/>
          <w:sz w:val="18"/>
          <w:szCs w:val="18"/>
          <w:color w:val="auto"/>
        </w:rPr>
        <w:t>, the deterioration at Credicorp was due mainly to the aspects covered in the YoY analysis of BCP Stand-alone and was slightly attenuated by the improvement at Mibanco and Prima AFP during the first few quarters of the year.</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remember that the transformation project continues to move forward at BCP Stand-alone with the objective of improving the client experience and the control over expenses in the long-term. Efforts have begun to replicate this initiative at Credicorp’s other subsidiaries, which has led to an increase in investment levels throughout the group.</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Finally, it is important to note that the efficiency ratio at Credicorp Capital, under Credicorp’s methodology, is around 100% given that it does not include all of the components of core income (operating income + net gain on sales of securities). If all core income were to be included in the calculation, Credicorp’s efficiency ratio would have situated between 75%-85% in the last few quarters.</w:t>
      </w:r>
    </w:p>
    <w:p>
      <w:pPr>
        <w:spacing w:after="0" w:line="39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Regulatory Capital</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8.1. Regulatory Capital – BAP</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1,318,993</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(208,937)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(207,994)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(207,994)</w:t>
            </w: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249,398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246,194</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Legal and Other capital reserves </w:t>
            </w:r>
            <w:r>
              <w:rPr>
                <w:rFonts w:ascii="Times New Roman" w:cs="Times New Roman" w:eastAsia="Times New Roman" w:hAnsi="Times New Roman"/>
                <w:sz w:val="29"/>
                <w:szCs w:val="29"/>
                <w:color w:val="auto"/>
                <w:vertAlign w:val="superscript"/>
              </w:rPr>
              <w:t>(1)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14,647,709</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17,576,109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17,598,556</w:t>
            </w:r>
          </w:p>
        </w:tc>
        <w:tc>
          <w:tcPr>
            <w:tcW w:w="220" w:type="dxa"/>
            <w:vAlign w:val="bottom"/>
          </w:tcPr>
          <w:p>
            <w:pPr>
              <w:spacing w:after="0"/>
              <w:rPr>
                <w:sz w:val="22"/>
                <w:szCs w:val="22"/>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Minority interest </w:t>
            </w:r>
            <w:r>
              <w:rPr>
                <w:rFonts w:ascii="Times New Roman" w:cs="Times New Roman" w:eastAsia="Times New Roman" w:hAnsi="Times New Roman"/>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348,646</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311,230</w:t>
            </w:r>
          </w:p>
        </w:tc>
        <w:tc>
          <w:tcPr>
            <w:tcW w:w="220" w:type="dxa"/>
            <w:vAlign w:val="bottom"/>
            <w:tcBorders>
              <w:left w:val="single" w:sz="8" w:color="CCEEFF"/>
            </w:tcBorders>
            <w:shd w:val="clear" w:color="auto" w:fill="CCEEFF"/>
          </w:tcPr>
          <w:p>
            <w:pPr>
              <w:spacing w:after="0"/>
              <w:rPr>
                <w:sz w:val="22"/>
                <w:szCs w:val="22"/>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 loss reserves </w:t>
            </w:r>
            <w:r>
              <w:rPr>
                <w:rFonts w:ascii="Times New Roman" w:cs="Times New Roman" w:eastAsia="Times New Roman" w:hAnsi="Times New Roman"/>
                <w:sz w:val="29"/>
                <w:szCs w:val="29"/>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1,394,135</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1,476,168</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1,591,484</w:t>
            </w:r>
          </w:p>
        </w:tc>
        <w:tc>
          <w:tcPr>
            <w:tcW w:w="220" w:type="dxa"/>
            <w:vAlign w:val="bottom"/>
          </w:tcPr>
          <w:p>
            <w:pPr>
              <w:spacing w:after="0"/>
              <w:rPr>
                <w:sz w:val="22"/>
                <w:szCs w:val="22"/>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subordinated debt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674,600</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4,520,766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4,680,739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4,770,421</w:t>
            </w:r>
          </w:p>
        </w:tc>
        <w:tc>
          <w:tcPr>
            <w:tcW w:w="2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5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Investments in equity and subordinated debt of financial and insurance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companies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(663,528)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(604,352)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(637,471)</w:t>
            </w: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(635,975)</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(635,968)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(591,366)</w:t>
            </w: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1"/>
        </w:trPr>
        <w:tc>
          <w:tcPr>
            <w:tcW w:w="57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Deduction for subordinated debt limit (50% of Tier I excluding deductions)</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69" w:lineRule="exact"/>
              <w:rPr>
                <w:sz w:val="20"/>
                <w:szCs w:val="20"/>
                <w:color w:val="auto"/>
              </w:rPr>
            </w:pPr>
            <w:r>
              <w:rPr>
                <w:rFonts w:ascii="Times New Roman" w:cs="Times New Roman" w:eastAsia="Times New Roman" w:hAnsi="Times New Roman"/>
                <w:sz w:val="18"/>
                <w:szCs w:val="18"/>
                <w:color w:val="auto"/>
              </w:rPr>
              <w:t xml:space="preserve">Deduction for Tier I Limit (50% of Regulatory capital) </w:t>
            </w:r>
            <w:r>
              <w:rPr>
                <w:rFonts w:ascii="Times New Roman" w:cs="Times New Roman" w:eastAsia="Times New Roman" w:hAnsi="Times New Roman"/>
                <w:sz w:val="30"/>
                <w:szCs w:val="30"/>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Regulatory Capital (A)</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21,722,982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24,824,563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25,074,646</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line="236" w:lineRule="exact"/>
              <w:rPr>
                <w:sz w:val="20"/>
                <w:szCs w:val="20"/>
                <w:color w:val="auto"/>
              </w:rPr>
            </w:pPr>
            <w:r>
              <w:rPr>
                <w:rFonts w:ascii="Times New Roman" w:cs="Times New Roman" w:eastAsia="Times New Roman" w:hAnsi="Times New Roman"/>
                <w:sz w:val="17"/>
                <w:szCs w:val="17"/>
                <w:color w:val="auto"/>
              </w:rPr>
              <w:t xml:space="preserve">Tier I </w:t>
            </w:r>
            <w:r>
              <w:rPr>
                <w:rFonts w:ascii="Times New Roman" w:cs="Times New Roman" w:eastAsia="Times New Roman" w:hAnsi="Times New Roman"/>
                <w:sz w:val="27"/>
                <w:szCs w:val="27"/>
                <w:color w:val="auto"/>
                <w:vertAlign w:val="superscript"/>
              </w:rPr>
              <w:t>(5)</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12,644,124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13,464,685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13,503,884</w:t>
            </w:r>
          </w:p>
        </w:tc>
        <w:tc>
          <w:tcPr>
            <w:tcW w:w="2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 xml:space="preserve">Tier II </w:t>
            </w:r>
            <w:r>
              <w:rPr>
                <w:rFonts w:ascii="Times New Roman" w:cs="Times New Roman" w:eastAsia="Times New Roman" w:hAnsi="Times New Roman"/>
                <w:sz w:val="30"/>
                <w:szCs w:val="30"/>
                <w:color w:val="auto"/>
                <w:vertAlign w:val="superscript"/>
              </w:rPr>
              <w:t>(6)</w:t>
            </w:r>
            <w:r>
              <w:rPr>
                <w:rFonts w:ascii="Times New Roman" w:cs="Times New Roman" w:eastAsia="Times New Roman" w:hAnsi="Times New Roman"/>
                <w:sz w:val="18"/>
                <w:szCs w:val="18"/>
                <w:color w:val="auto"/>
              </w:rPr>
              <w:t xml:space="preserve"> + Tier III </w:t>
            </w:r>
            <w:r>
              <w:rPr>
                <w:rFonts w:ascii="Times New Roman" w:cs="Times New Roman" w:eastAsia="Times New Roman" w:hAnsi="Times New Roman"/>
                <w:sz w:val="30"/>
                <w:szCs w:val="30"/>
                <w:color w:val="auto"/>
                <w:vertAlign w:val="superscript"/>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9,078,858</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11,359,878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11,570,762</w:t>
            </w:r>
          </w:p>
        </w:tc>
        <w:tc>
          <w:tcPr>
            <w:tcW w:w="220" w:type="dxa"/>
            <w:vAlign w:val="bottom"/>
            <w:tcBorders>
              <w:left w:val="single" w:sz="8" w:color="CCEEFF"/>
            </w:tcBorders>
            <w:shd w:val="clear" w:color="auto" w:fill="CCEEFF"/>
          </w:tcPr>
          <w:p>
            <w:pPr>
              <w:spacing w:after="0"/>
              <w:rPr>
                <w:sz w:val="23"/>
                <w:szCs w:val="23"/>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Financial Consolidated Group (FCG) Regulatory Capital Requirements</w:t>
            </w: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17,385,609</w:t>
            </w:r>
          </w:p>
        </w:tc>
        <w:tc>
          <w:tcPr>
            <w:tcW w:w="2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19,110,797</w:t>
            </w:r>
          </w:p>
        </w:tc>
        <w:tc>
          <w:tcPr>
            <w:tcW w:w="2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19,629,305</w:t>
            </w:r>
          </w:p>
        </w:tc>
        <w:tc>
          <w:tcPr>
            <w:tcW w:w="2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Consolidated Group (ICG) Capital Requirements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983,100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983,100</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FCG Capital Requirements related to operations with ICG </w:t>
            </w:r>
            <w:r>
              <w:rPr>
                <w:rFonts w:ascii="Times New Roman" w:cs="Times New Roman" w:eastAsia="Times New Roman" w:hAnsi="Times New Roman"/>
                <w:sz w:val="29"/>
                <w:szCs w:val="29"/>
                <w:color w:val="auto"/>
                <w:vertAlign w:val="superscript"/>
              </w:rPr>
              <w:t>(8)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(287,730)</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(225,561)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(212,498)</w:t>
            </w: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 xml:space="preserve">ICG Capital Requirements related to operations with FCG </w:t>
            </w:r>
            <w:r>
              <w:rPr>
                <w:rFonts w:ascii="Times New Roman" w:cs="Times New Roman" w:eastAsia="Times New Roman" w:hAnsi="Times New Roman"/>
                <w:sz w:val="30"/>
                <w:szCs w:val="30"/>
                <w:color w:val="auto"/>
                <w:vertAlign w:val="superscript"/>
              </w:rPr>
              <w:t>(9)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23"/>
                <w:szCs w:val="23"/>
                <w:color w:val="auto"/>
              </w:rPr>
            </w:pPr>
          </w:p>
        </w:tc>
        <w:tc>
          <w:tcPr>
            <w:tcW w:w="11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Regulatory Capital Requirements (B)</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18,011,306</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19,868,336</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20,399,907</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23"/>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Regulatory Capital Ratio (A) / (B)</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tcBorders>
              <w:lef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Required Regulatory Capital Ratio </w:t>
            </w:r>
            <w:r>
              <w:rPr>
                <w:rFonts w:ascii="Times New Roman" w:cs="Times New Roman" w:eastAsia="Times New Roman" w:hAnsi="Times New Roman"/>
                <w:sz w:val="28"/>
                <w:szCs w:val="28"/>
                <w:b w:val="1"/>
                <w:bCs w:val="1"/>
                <w:color w:val="auto"/>
                <w:vertAlign w:val="superscript"/>
              </w:rPr>
              <w:t>(10)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other capital reserves include restricted capital reserves (S/ 12,071 million) and optional capital reserves (S/ 5,528 million).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 includes Tier I (S/ 311 million)</w:t>
      </w:r>
    </w:p>
    <w:p>
      <w:pPr>
        <w:spacing w:after="0" w:line="9" w:lineRule="exact"/>
        <w:rPr>
          <w:rFonts w:ascii="Times New Roman" w:cs="Times New Roman" w:eastAsia="Times New Roman" w:hAnsi="Times New Roman"/>
          <w:sz w:val="18"/>
          <w:szCs w:val="18"/>
          <w:color w:val="auto"/>
        </w:rPr>
      </w:pPr>
    </w:p>
    <w:p>
      <w:pPr>
        <w:ind w:right="280" w:firstLine="8"/>
        <w:spacing w:after="0" w:line="250"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 of total risk-weighted assets of Banco de Crédito del Perú, Solución Empresa Administradora Hipotecaria, Mibanco and Atlantic Security Bank.</w:t>
      </w: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 Tier III cannot be more than 50% of total regulatory capital.</w:t>
      </w:r>
    </w:p>
    <w:p>
      <w:pPr>
        <w:spacing w:after="0" w:line="9" w:lineRule="exact"/>
        <w:rPr>
          <w:rFonts w:ascii="Times New Roman" w:cs="Times New Roman" w:eastAsia="Times New Roman" w:hAnsi="Times New Roman"/>
          <w:sz w:val="18"/>
          <w:szCs w:val="18"/>
          <w:color w:val="auto"/>
        </w:rPr>
      </w:pPr>
    </w:p>
    <w:p>
      <w:pPr>
        <w:ind w:right="560" w:firstLine="8"/>
        <w:spacing w:after="0" w:line="250"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III = Subordinated debt covering market risk only.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regulatory capital requirements of the financial consolidated group.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regulatory capital requirements of the insurance consolidated group.</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 Total Regulatory Capital Requirements (legal minimum = 1.00).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Credicorp’s Total Regulatory Capital registered a slight increase of 1% QoQ, mainly due to growth in provisions and subordinated debt. However, YoY growth was situated at 15.4% as a result of the increase in legal and other capital reserves, which grow in March in every year with the capitalization of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the Regulatory Capital Ratio, Credicorp maintained a comfortable level at the end of 4Q18, which represented 1.23 times the capital required by the regulator in Peru. This ratio fell slightly QoQ due to an increase in the Total Regulatory Capital Requirement (+2.7% QoQ), which was primarily due to expansion in the financial business after favorable loan growth at BCP Consolidated.</w:t>
      </w:r>
    </w:p>
    <w:p>
      <w:pPr>
        <w:spacing w:after="0" w:line="39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8.2. 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7,933,342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8,770,365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8,770,365</w:t>
            </w:r>
          </w:p>
        </w:tc>
        <w:tc>
          <w:tcPr>
            <w:tcW w:w="2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3,885,494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4,184,309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4,184,309</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 loss reserves </w:t>
            </w:r>
            <w:r>
              <w:rPr>
                <w:rFonts w:ascii="Times New Roman" w:cs="Times New Roman" w:eastAsia="Times New Roman" w:hAnsi="Times New Roman"/>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1,234,999</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1,190,912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1,307,303</w:t>
            </w:r>
          </w:p>
        </w:tc>
        <w:tc>
          <w:tcPr>
            <w:tcW w:w="260" w:type="dxa"/>
            <w:vAlign w:val="bottom"/>
          </w:tcPr>
          <w:p>
            <w:pPr>
              <w:spacing w:after="0"/>
              <w:rPr>
                <w:sz w:val="22"/>
                <w:szCs w:val="22"/>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729,225</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674,600</w:t>
            </w:r>
          </w:p>
        </w:tc>
        <w:tc>
          <w:tcPr>
            <w:tcW w:w="2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3,978,406</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4,133,057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4,224,153</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(1,241,060)</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(1,323,808)</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(1,359,608)</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(1,587,715)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(1,845,441)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(1,794,992)</w:t>
            </w: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346,656</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521,633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435,384</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(122,083)</w:t>
            </w: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16,398,322</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17,492,752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17,679,038</w:t>
            </w:r>
          </w:p>
        </w:tc>
        <w:tc>
          <w:tcPr>
            <w:tcW w:w="260" w:type="dxa"/>
            <w:vAlign w:val="bottom"/>
          </w:tcPr>
          <w:p>
            <w:pPr>
              <w:spacing w:after="0"/>
              <w:rPr>
                <w:sz w:val="19"/>
                <w:szCs w:val="19"/>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33,218,412</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83,769,728</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84,543,806</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line="236" w:lineRule="exact"/>
              <w:rPr>
                <w:sz w:val="20"/>
                <w:szCs w:val="20"/>
                <w:color w:val="auto"/>
              </w:rPr>
            </w:pPr>
            <w:r>
              <w:rPr>
                <w:rFonts w:ascii="Times New Roman" w:cs="Times New Roman" w:eastAsia="Times New Roman" w:hAnsi="Times New Roman"/>
                <w:sz w:val="17"/>
                <w:szCs w:val="17"/>
                <w:color w:val="auto"/>
              </w:rPr>
              <w:t xml:space="preserve">Tier 1 </w:t>
            </w:r>
            <w:r>
              <w:rPr>
                <w:rFonts w:ascii="Times New Roman" w:cs="Times New Roman" w:eastAsia="Times New Roman" w:hAnsi="Times New Roman"/>
                <w:sz w:val="27"/>
                <w:szCs w:val="27"/>
                <w:color w:val="auto"/>
                <w:vertAlign w:val="superscript"/>
              </w:rPr>
              <w:t>(2)</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11,805,448</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12,830,686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12,827,386</w:t>
            </w:r>
          </w:p>
        </w:tc>
        <w:tc>
          <w:tcPr>
            <w:tcW w:w="26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0"/>
        </w:trPr>
        <w:tc>
          <w:tcPr>
            <w:tcW w:w="54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 xml:space="preserve">Tier 2 </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 Tier 3 </w:t>
            </w:r>
            <w:r>
              <w:rPr>
                <w:rFonts w:ascii="Times New Roman" w:cs="Times New Roman" w:eastAsia="Times New Roman" w:hAnsi="Times New Roman"/>
                <w:sz w:val="30"/>
                <w:szCs w:val="30"/>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4,592,875</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4,662,065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4,851,652</w:t>
            </w:r>
          </w:p>
        </w:tc>
        <w:tc>
          <w:tcPr>
            <w:tcW w:w="260" w:type="dxa"/>
            <w:vAlign w:val="bottom"/>
            <w:tcBorders>
              <w:left w:val="single" w:sz="8" w:color="CCEEFF"/>
            </w:tcBorders>
            <w:shd w:val="clear" w:color="auto" w:fill="CCEEFF"/>
          </w:tcPr>
          <w:p>
            <w:pPr>
              <w:spacing w:after="0"/>
              <w:rPr>
                <w:sz w:val="23"/>
                <w:szCs w:val="23"/>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108,950,140</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117,083,174</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124,798,031</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37"/>
        </w:trPr>
        <w:tc>
          <w:tcPr>
            <w:tcW w:w="540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Market risk-weighted assets </w:t>
            </w:r>
            <w:r>
              <w:rPr>
                <w:rFonts w:ascii="Times New Roman" w:cs="Times New Roman" w:eastAsia="Times New Roman" w:hAnsi="Times New Roman"/>
                <w:sz w:val="27"/>
                <w:szCs w:val="27"/>
                <w:color w:val="auto"/>
                <w:vertAlign w:val="superscript"/>
              </w:rPr>
              <w:t>(5)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1,391,099</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1,256,762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1,760,750</w:t>
            </w:r>
          </w:p>
        </w:tc>
        <w:tc>
          <w:tcPr>
            <w:tcW w:w="260" w:type="dxa"/>
            <w:vAlign w:val="bottom"/>
            <w:tcBorders>
              <w:lef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risk-weighted assets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98,799,888</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106,878,174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114,006,079</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risk-weighted assets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8,759,154</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8,948,239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9,031,203</w:t>
            </w:r>
          </w:p>
        </w:tc>
        <w:tc>
          <w:tcPr>
            <w:tcW w:w="26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Risk-Weighted Assets</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108,293,546</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116,212,161</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123,261,266</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risk-weighted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108,950,140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117,083,174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124,798,031</w:t>
            </w:r>
          </w:p>
        </w:tc>
        <w:tc>
          <w:tcPr>
            <w:tcW w:w="2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RWA Intangible assets, excluding goodwill.</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656,594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1,426,100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2,082,049</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98"/>
        </w:trPr>
        <w:tc>
          <w:tcPr>
            <w:tcW w:w="54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RWA Deferred tax assets generated as a result of temporary</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income tax, in excess of 10% of CET1</w:t>
            </w: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555,087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545,285</w:t>
            </w:r>
          </w:p>
        </w:tc>
        <w:tc>
          <w:tcPr>
            <w:tcW w:w="260" w:type="dxa"/>
            <w:vAlign w:val="bottom"/>
            <w:tcBorders>
              <w:lef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RWA Deferred tax assets generated as a result of past losses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 requirement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13,569,117</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15,012,149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15,914,011</w:t>
            </w:r>
          </w:p>
        </w:tc>
        <w:tc>
          <w:tcPr>
            <w:tcW w:w="26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Market risk capital requirement </w:t>
            </w:r>
            <w:r>
              <w:rPr>
                <w:rFonts w:ascii="Times New Roman" w:cs="Times New Roman" w:eastAsia="Times New Roman" w:hAnsi="Times New Roman"/>
                <w:sz w:val="29"/>
                <w:szCs w:val="2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gridSpan w:val="2"/>
            <w:vMerge w:val="continue"/>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139,110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125,676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176,075</w:t>
            </w:r>
          </w:p>
        </w:tc>
        <w:tc>
          <w:tcPr>
            <w:tcW w:w="26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 capital requirement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9,879,989</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10,687,817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11,400,608</w:t>
            </w:r>
          </w:p>
        </w:tc>
        <w:tc>
          <w:tcPr>
            <w:tcW w:w="2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Operational risk capital requirement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875,915</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894,824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903,120</w:t>
            </w:r>
          </w:p>
        </w:tc>
        <w:tc>
          <w:tcPr>
            <w:tcW w:w="2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capital requirements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2,674,103</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3,303,831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3,434,207</w:t>
            </w:r>
          </w:p>
        </w:tc>
        <w:tc>
          <w:tcPr>
            <w:tcW w:w="260" w:type="dxa"/>
            <w:vAlign w:val="bottom"/>
            <w:tcBorders>
              <w:lef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Tier 1 ratio </w:t>
            </w:r>
            <w:r>
              <w:rPr>
                <w:rFonts w:ascii="Times New Roman" w:cs="Times New Roman" w:eastAsia="Times New Roman" w:hAnsi="Times New Roman"/>
                <w:sz w:val="29"/>
                <w:szCs w:val="29"/>
                <w:color w:val="auto"/>
                <w:vertAlign w:val="superscript"/>
              </w:rPr>
              <w:t>(6)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ratio </w:t>
            </w:r>
            <w:r>
              <w:rPr>
                <w:rFonts w:ascii="Times New Roman" w:cs="Times New Roman" w:eastAsia="Times New Roman" w:hAnsi="Times New Roman"/>
                <w:sz w:val="29"/>
                <w:szCs w:val="29"/>
                <w:color w:val="auto"/>
                <w:vertAlign w:val="superscript"/>
              </w:rPr>
              <w:t>(7)</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BIS ratio </w:t>
            </w:r>
            <w:r>
              <w:rPr>
                <w:rFonts w:ascii="Times New Roman" w:cs="Times New Roman" w:eastAsia="Times New Roman" w:hAnsi="Times New Roman"/>
                <w:sz w:val="29"/>
                <w:szCs w:val="29"/>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Risk-weighted assets / Regulatory capital</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 of total risk-weighted assets.</w:t>
      </w:r>
    </w:p>
    <w:p>
      <w:pPr>
        <w:spacing w:after="0" w:line="27" w:lineRule="exact"/>
        <w:rPr>
          <w:rFonts w:ascii="Times New Roman" w:cs="Times New Roman" w:eastAsia="Times New Roman" w:hAnsi="Times New Roman"/>
          <w:sz w:val="18"/>
          <w:szCs w:val="18"/>
          <w:color w:val="auto"/>
        </w:rPr>
      </w:pPr>
    </w:p>
    <w:p>
      <w:pPr>
        <w:ind w:right="340" w:firstLine="8"/>
        <w:spacing w:after="0" w:line="250"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(0.5 x Unrealized profit and net income in subsidiaries) –</w:t>
      </w:r>
    </w:p>
    <w:p>
      <w:pPr>
        <w:ind w:right="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2 = Subordinated debt + Loan loss reserves + (0.5 x Unrealized profit and net income in subsidiaries) - (0.5 x Investment in subsidiaries).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3 = Subordinated debt covering market risk only. Tier 3 exists since 1Q10.</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includes capital requirement to cover price and rate risk.</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Risk-weighted assets.</w:t>
      </w:r>
    </w:p>
    <w:p>
      <w:pPr>
        <w:spacing w:after="0" w:line="9"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3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 Risk-weighted assets (legal minimum = 10% since July 2011).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4Q18, BCP Stand-alone reported a reduction in its BIS and Tier 1 ratios, which were situated at 14.17% and 10.28%, respectively. This was due primarily to an increase of 6.8% in risk-weighted assets (RWAs), in a scenario in which regulatory capital increased only 1.1% QoQ. RWAs grew mainly because of higher level of RWAs for credit risk, which reflects the loan expansion posted in 4Q18.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Equity Tier 1 Ratio – BCP Stand-alone</w:t>
      </w:r>
    </w:p>
    <w:p>
      <w:pPr>
        <w:spacing w:after="0" w:line="225" w:lineRule="exact"/>
        <w:rPr>
          <w:sz w:val="20"/>
          <w:szCs w:val="20"/>
          <w:color w:val="auto"/>
        </w:rPr>
      </w:pPr>
    </w:p>
    <w:p>
      <w:pPr>
        <w:ind w:left="2240"/>
        <w:spacing w:after="0"/>
        <w:tabs>
          <w:tab w:leader="none" w:pos="7960" w:val="left"/>
        </w:tabs>
        <w:rPr>
          <w:sz w:val="20"/>
          <w:szCs w:val="20"/>
          <w:color w:val="auto"/>
        </w:rPr>
      </w:pPr>
      <w:r>
        <w:rPr>
          <w:rFonts w:ascii="Times New Roman" w:cs="Times New Roman" w:eastAsia="Times New Roman" w:hAnsi="Times New Roman"/>
          <w:sz w:val="18"/>
          <w:szCs w:val="18"/>
          <w:b w:val="1"/>
          <w:bCs w:val="1"/>
          <w:color w:val="auto"/>
        </w:rPr>
        <w:t>September 2018</w:t>
      </w:r>
      <w:r>
        <w:rPr>
          <w:sz w:val="20"/>
          <w:szCs w:val="20"/>
          <w:color w:val="auto"/>
        </w:rPr>
        <w:tab/>
      </w:r>
      <w:r>
        <w:rPr>
          <w:rFonts w:ascii="Times New Roman" w:cs="Times New Roman" w:eastAsia="Times New Roman" w:hAnsi="Times New Roman"/>
          <w:sz w:val="17"/>
          <w:szCs w:val="17"/>
          <w:b w:val="1"/>
          <w:bCs w:val="1"/>
          <w:color w:val="auto"/>
        </w:rPr>
        <w:t>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19685</wp:posOffset>
            </wp:positionV>
            <wp:extent cx="5746115" cy="1372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611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investments in BCP Bolivia and other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 common equity tier 1 ratio (CET1), which is considered the most rigorous measurement of capitalization levels, registered a contraction of -6 bps QoQ and situated at 11.55% at the end of December. This was mainly attributable higher level of RWAs in line with loan growth, which was partially offset by net income generation in 4Q18.</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9. Distribution channels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distribution channels at BCP Stand-alone, Mibanco and BCP Bolivia posted a total of 10,500 points of contact at the end of 2018, which represented an increase of 153 points QoQ and 515 YoY.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 Points of contact – BCP Stand-alone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38"/>
        </w:trPr>
        <w:tc>
          <w:tcPr>
            <w:tcW w:w="46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421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2,294</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2,271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 BCP</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6,646</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6,764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shd w:val="clear" w:color="auto" w:fill="CCEEFF"/>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BCP's Network</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9,087</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9,370</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w w:val="93"/>
              </w:rPr>
              <w:t>9,456</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BCP Stand-alone registered a total of 9,456 points of contact at the end of 4Q18, which represented growth of 86 points QoQ. This was due primarily to growth in the number of Agentes BCP (+118 QoQ) related to a commercial strategy to increase the number of points of contact through cost-efficient channels. The goal to top 6600 Agentes BCP at year-end was reached in 3Q18.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YoY analysis, the total number of points of contact at BCP Stand-alone rose by 369, which was mainly attributable to an increase in Agentes BCP (+454). The number of branches fell by 27 YoY, in line with the transformation strategy and the migration of clients to cost-efficient channels.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9.1.1 Points of contact by location – BCP Stand-alone</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38"/>
        </w:trPr>
        <w:tc>
          <w:tcPr>
            <w:tcW w:w="46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Lima</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Provinces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Branches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Lima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Provinces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781</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9"/>
                <w:szCs w:val="19"/>
                <w:color w:val="auto"/>
              </w:rPr>
            </w:pPr>
          </w:p>
        </w:tc>
      </w:tr>
      <w:tr>
        <w:trPr>
          <w:trHeight w:val="21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ATM's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2,329</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2,271</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Provinces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3,307</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60" w:type="dxa"/>
            <w:vAlign w:val="bottom"/>
          </w:tcPr>
          <w:p>
            <w:pPr>
              <w:spacing w:after="0"/>
              <w:rPr>
                <w:sz w:val="19"/>
                <w:szCs w:val="19"/>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Agentes BCP</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points of contact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9,087</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9,370</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9,456</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 BCP Stand-alone’s points of contact increased by 86. In Lima, the number dropped by 31 points while in the provinces an increase of 117 points was reported.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analysis, the significant growth in the total number of points of contact was mainly explained by the increase of 454 Agentes BCP, both in Lima (+130) and in the provinces (+324). It is important to note that the plan for growth is based on this channel’s historical performance in each territory to ensure that we hit the target for country-wide expansion. Credicorp is betting on higher growth in the provinces because this channel represents a more effective means of increasing access to the public than the branches.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offset the drop in the number of Branches and ATMs. The drop in the number of branches was seen both in Lima (-17) and in the provinces (-10), which reflects client migration to cost-efficient channels. The number of ATMs in Lima dropped (-27) after units were removed from branches. In the provinces, the number of ATMs fell alongside a drop in the number of branches.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9.1.2 Transactions per channel – BCP Stand-alone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per channel – BCP Stand-alone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 of Transactions per channel </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Monthly average in each quarter</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4Q17</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3Q18</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4Q18</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YoY</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88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Teller</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8,379,478</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8,102,687</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5.3%</w:t>
            </w: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8,253,527</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8" w:lineRule="exact"/>
              <w:rPr>
                <w:sz w:val="20"/>
                <w:szCs w:val="20"/>
                <w:color w:val="auto"/>
              </w:rPr>
            </w:pPr>
            <w:r>
              <w:rPr>
                <w:rFonts w:ascii="Times New Roman" w:cs="Times New Roman" w:eastAsia="Times New Roman" w:hAnsi="Times New Roman"/>
                <w:sz w:val="13"/>
                <w:szCs w:val="13"/>
                <w:color w:val="auto"/>
              </w:rPr>
              <w:t>4.9%</w:t>
            </w:r>
          </w:p>
        </w:tc>
        <w:tc>
          <w:tcPr>
            <w:tcW w:w="1020" w:type="dxa"/>
            <w:vAlign w:val="bottom"/>
            <w:gridSpan w:val="2"/>
            <w:shd w:val="clear" w:color="auto" w:fill="CCEEFF"/>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1.9%</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7"/>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channels</w:t>
            </w:r>
          </w:p>
        </w:tc>
        <w:tc>
          <w:tcPr>
            <w:tcW w:w="2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Telephone banking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4,892,314</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4,896,746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5,352,943</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Cost-efficient</w:t>
            </w:r>
          </w:p>
        </w:tc>
        <w:tc>
          <w:tcPr>
            <w:tcW w:w="2360" w:type="dxa"/>
            <w:vAlign w:val="bottom"/>
            <w:gridSpan w:val="3"/>
            <w:vMerge w:val="restart"/>
          </w:tcPr>
          <w:p>
            <w:pPr>
              <w:ind w:left="100"/>
              <w:spacing w:after="0" w:line="137" w:lineRule="exact"/>
              <w:rPr>
                <w:sz w:val="20"/>
                <w:szCs w:val="20"/>
                <w:color w:val="auto"/>
              </w:rPr>
            </w:pPr>
            <w:r>
              <w:rPr>
                <w:rFonts w:ascii="Times New Roman" w:cs="Times New Roman" w:eastAsia="Times New Roman" w:hAnsi="Times New Roman"/>
                <w:sz w:val="14"/>
                <w:szCs w:val="14"/>
                <w:color w:val="auto"/>
              </w:rPr>
              <w:t>Agentes BCP</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80" w:type="dxa"/>
            <w:vAlign w:val="bottom"/>
            <w:vMerge w:val="continue"/>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19,383,629</w:t>
            </w:r>
          </w:p>
        </w:tc>
        <w:tc>
          <w:tcPr>
            <w:tcW w:w="2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14.7%</w:t>
            </w:r>
          </w:p>
        </w:tc>
        <w:tc>
          <w:tcPr>
            <w:tcW w:w="100" w:type="dxa"/>
            <w:vAlign w:val="bottom"/>
            <w:vMerge w:val="continue"/>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23,391,555</w:t>
            </w:r>
          </w:p>
        </w:tc>
        <w:tc>
          <w:tcPr>
            <w:tcW w:w="220" w:type="dxa"/>
            <w:vAlign w:val="bottom"/>
          </w:tcPr>
          <w:p>
            <w:pPr>
              <w:spacing w:after="0"/>
              <w:rPr>
                <w:sz w:val="10"/>
                <w:szCs w:val="10"/>
                <w:color w:val="auto"/>
              </w:rPr>
            </w:pPr>
          </w:p>
        </w:tc>
        <w:tc>
          <w:tcPr>
            <w:tcW w:w="1020" w:type="dxa"/>
            <w:vAlign w:val="bottom"/>
            <w:gridSpan w:val="2"/>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15.4%</w:t>
            </w: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25,641,330</w:t>
            </w:r>
          </w:p>
        </w:tc>
        <w:tc>
          <w:tcPr>
            <w:tcW w:w="220" w:type="dxa"/>
            <w:vAlign w:val="bottom"/>
          </w:tcPr>
          <w:p>
            <w:pPr>
              <w:spacing w:after="0"/>
              <w:rPr>
                <w:sz w:val="10"/>
                <w:szCs w:val="10"/>
                <w:color w:val="auto"/>
              </w:rPr>
            </w:pPr>
          </w:p>
        </w:tc>
        <w:tc>
          <w:tcPr>
            <w:tcW w:w="104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color w:val="auto"/>
              </w:rPr>
              <w:t>15.1%</w:t>
            </w:r>
          </w:p>
        </w:tc>
        <w:tc>
          <w:tcPr>
            <w:tcW w:w="1020" w:type="dxa"/>
            <w:vAlign w:val="bottom"/>
            <w:gridSpan w:val="2"/>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9.6%</w:t>
            </w:r>
          </w:p>
        </w:tc>
        <w:tc>
          <w:tcPr>
            <w:tcW w:w="220" w:type="dxa"/>
            <w:vAlign w:val="bottom"/>
          </w:tcPr>
          <w:p>
            <w:pPr>
              <w:spacing w:after="0"/>
              <w:rPr>
                <w:sz w:val="10"/>
                <w:szCs w:val="10"/>
                <w:color w:val="auto"/>
              </w:rPr>
            </w:pPr>
          </w:p>
        </w:tc>
        <w:tc>
          <w:tcPr>
            <w:tcW w:w="6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87"/>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channels</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ATMs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22,034,832</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18,838,132</w:t>
            </w:r>
          </w:p>
        </w:tc>
        <w:tc>
          <w:tcPr>
            <w:tcW w:w="220" w:type="dxa"/>
            <w:vAlign w:val="bottom"/>
          </w:tcPr>
          <w:p>
            <w:pPr>
              <w:spacing w:after="0"/>
              <w:rPr>
                <w:sz w:val="16"/>
                <w:szCs w:val="16"/>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21,283,188</w:t>
            </w:r>
          </w:p>
        </w:tc>
        <w:tc>
          <w:tcPr>
            <w:tcW w:w="22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12.5%</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Digital</w:t>
            </w:r>
          </w:p>
        </w:tc>
        <w:tc>
          <w:tcPr>
            <w:tcW w:w="2360" w:type="dxa"/>
            <w:vAlign w:val="bottom"/>
            <w:gridSpan w:val="3"/>
            <w:vMerge w:val="restart"/>
            <w:shd w:val="clear" w:color="auto" w:fill="CCEEFF"/>
          </w:tcPr>
          <w:p>
            <w:pPr>
              <w:ind w:left="100"/>
              <w:spacing w:after="0" w:line="137" w:lineRule="exact"/>
              <w:rPr>
                <w:sz w:val="20"/>
                <w:szCs w:val="20"/>
                <w:color w:val="auto"/>
              </w:rPr>
            </w:pPr>
            <w:r>
              <w:rPr>
                <w:rFonts w:ascii="Times New Roman" w:cs="Times New Roman" w:eastAsia="Times New Roman" w:hAnsi="Times New Roman"/>
                <w:sz w:val="14"/>
                <w:szCs w:val="14"/>
                <w:color w:val="auto"/>
              </w:rPr>
              <w:t>Mobile banking</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80" w:type="dxa"/>
            <w:vAlign w:val="bottom"/>
            <w:vMerge w:val="continue"/>
            <w:shd w:val="clear" w:color="auto" w:fill="CCEEFF"/>
          </w:tcPr>
          <w:p>
            <w:pPr>
              <w:spacing w:after="0"/>
              <w:rPr>
                <w:sz w:val="10"/>
                <w:szCs w:val="10"/>
                <w:color w:val="auto"/>
              </w:rPr>
            </w:pPr>
          </w:p>
        </w:tc>
        <w:tc>
          <w:tcPr>
            <w:tcW w:w="2360" w:type="dxa"/>
            <w:vAlign w:val="bottom"/>
            <w:gridSpan w:val="3"/>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33,389,721</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25.4%</w:t>
            </w: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48,996,671</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32.2%</w:t>
            </w: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60,966,991</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8" w:lineRule="exact"/>
              <w:rPr>
                <w:sz w:val="20"/>
                <w:szCs w:val="20"/>
                <w:color w:val="auto"/>
              </w:rPr>
            </w:pPr>
            <w:r>
              <w:rPr>
                <w:rFonts w:ascii="Times New Roman" w:cs="Times New Roman" w:eastAsia="Times New Roman" w:hAnsi="Times New Roman"/>
                <w:sz w:val="13"/>
                <w:szCs w:val="13"/>
                <w:color w:val="auto"/>
              </w:rPr>
              <w:t>35.9%</w:t>
            </w:r>
          </w:p>
        </w:tc>
        <w:tc>
          <w:tcPr>
            <w:tcW w:w="1020" w:type="dxa"/>
            <w:vAlign w:val="bottom"/>
            <w:gridSpan w:val="2"/>
            <w:shd w:val="clear" w:color="auto" w:fill="CCEEFF"/>
          </w:tcPr>
          <w:p>
            <w:pPr>
              <w:jc w:val="right"/>
              <w:ind w:right="48"/>
              <w:spacing w:after="0" w:line="118" w:lineRule="exact"/>
              <w:rPr>
                <w:sz w:val="20"/>
                <w:szCs w:val="20"/>
                <w:color w:val="auto"/>
              </w:rPr>
            </w:pPr>
            <w:r>
              <w:rPr>
                <w:rFonts w:ascii="Times New Roman" w:cs="Times New Roman" w:eastAsia="Times New Roman" w:hAnsi="Times New Roman"/>
                <w:sz w:val="13"/>
                <w:szCs w:val="13"/>
                <w:color w:val="auto"/>
              </w:rPr>
              <w:t>24.4%</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82.6%</w:t>
            </w:r>
          </w:p>
        </w:tc>
        <w:tc>
          <w:tcPr>
            <w:tcW w:w="0" w:type="dxa"/>
            <w:vAlign w:val="bottom"/>
          </w:tcPr>
          <w:p>
            <w:pPr>
              <w:spacing w:after="0"/>
              <w:rPr>
                <w:sz w:val="1"/>
                <w:szCs w:val="1"/>
                <w:color w:val="auto"/>
              </w:rPr>
            </w:pPr>
          </w:p>
        </w:tc>
      </w:tr>
      <w:tr>
        <w:trPr>
          <w:trHeight w:val="151"/>
        </w:trPr>
        <w:tc>
          <w:tcPr>
            <w:tcW w:w="88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channels</w:t>
            </w:r>
          </w:p>
        </w:tc>
        <w:tc>
          <w:tcPr>
            <w:tcW w:w="10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Internet banking Via BCP</w:t>
            </w:r>
          </w:p>
        </w:tc>
        <w:tc>
          <w:tcPr>
            <w:tcW w:w="8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17,447,776</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13.3%</w:t>
            </w:r>
          </w:p>
        </w:tc>
        <w:tc>
          <w:tcPr>
            <w:tcW w:w="94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19,605,889</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84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16,931,303</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8"/>
              <w:spacing w:after="0" w:line="151"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48"/>
              <w:spacing w:after="0" w:line="151"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inquiries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1,877,972</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1,569,552</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1,441,490</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w:t>
            </w:r>
          </w:p>
        </w:tc>
        <w:tc>
          <w:tcPr>
            <w:tcW w:w="10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gridSpan w:val="2"/>
            <w:vMerge w:val="restart"/>
          </w:tcPr>
          <w:p>
            <w:pPr>
              <w:spacing w:after="0" w:line="139" w:lineRule="exact"/>
              <w:rPr>
                <w:sz w:val="20"/>
                <w:szCs w:val="20"/>
                <w:color w:val="auto"/>
              </w:rPr>
            </w:pPr>
            <w:r>
              <w:rPr>
                <w:rFonts w:ascii="Times New Roman" w:cs="Times New Roman" w:eastAsia="Times New Roman" w:hAnsi="Times New Roman"/>
                <w:sz w:val="14"/>
                <w:szCs w:val="14"/>
                <w:color w:val="auto"/>
              </w:rPr>
              <w:t>Telecrédito</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0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10,746,093</w:t>
            </w:r>
          </w:p>
        </w:tc>
        <w:tc>
          <w:tcPr>
            <w:tcW w:w="2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8.2%</w:t>
            </w:r>
          </w:p>
        </w:tc>
        <w:tc>
          <w:tcPr>
            <w:tcW w:w="100" w:type="dxa"/>
            <w:vAlign w:val="bottom"/>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11,343,966</w:t>
            </w:r>
          </w:p>
        </w:tc>
        <w:tc>
          <w:tcPr>
            <w:tcW w:w="220" w:type="dxa"/>
            <w:vAlign w:val="bottom"/>
            <w:vMerge w:val="continue"/>
          </w:tcPr>
          <w:p>
            <w:pPr>
              <w:spacing w:after="0"/>
              <w:rPr>
                <w:sz w:val="10"/>
                <w:szCs w:val="10"/>
                <w:color w:val="auto"/>
              </w:rPr>
            </w:pPr>
          </w:p>
        </w:tc>
        <w:tc>
          <w:tcPr>
            <w:tcW w:w="10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7.5%</w:t>
            </w:r>
          </w:p>
        </w:tc>
        <w:tc>
          <w:tcPr>
            <w:tcW w:w="8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12,037,379</w:t>
            </w:r>
          </w:p>
        </w:tc>
        <w:tc>
          <w:tcPr>
            <w:tcW w:w="220" w:type="dxa"/>
            <w:vAlign w:val="bottom"/>
          </w:tcPr>
          <w:p>
            <w:pPr>
              <w:spacing w:after="0"/>
              <w:rPr>
                <w:sz w:val="10"/>
                <w:szCs w:val="10"/>
                <w:color w:val="auto"/>
              </w:rPr>
            </w:pPr>
          </w:p>
        </w:tc>
        <w:tc>
          <w:tcPr>
            <w:tcW w:w="1040" w:type="dxa"/>
            <w:vAlign w:val="bottom"/>
            <w:gridSpan w:val="2"/>
          </w:tcPr>
          <w:p>
            <w:pPr>
              <w:jc w:val="right"/>
              <w:ind w:right="68"/>
              <w:spacing w:after="0" w:line="119" w:lineRule="exact"/>
              <w:rPr>
                <w:sz w:val="20"/>
                <w:szCs w:val="20"/>
                <w:color w:val="auto"/>
              </w:rPr>
            </w:pPr>
            <w:r>
              <w:rPr>
                <w:rFonts w:ascii="Times New Roman" w:cs="Times New Roman" w:eastAsia="Times New Roman" w:hAnsi="Times New Roman"/>
                <w:sz w:val="13"/>
                <w:szCs w:val="13"/>
                <w:color w:val="auto"/>
              </w:rPr>
              <w:t>7.1%</w:t>
            </w:r>
          </w:p>
        </w:tc>
        <w:tc>
          <w:tcPr>
            <w:tcW w:w="1020" w:type="dxa"/>
            <w:vAlign w:val="bottom"/>
            <w:gridSpan w:val="2"/>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6.1%</w:t>
            </w:r>
          </w:p>
        </w:tc>
        <w:tc>
          <w:tcPr>
            <w:tcW w:w="2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23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Direct debit</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613,776</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1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664,662</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670,435</w:t>
            </w:r>
          </w:p>
        </w:tc>
        <w:tc>
          <w:tcPr>
            <w:tcW w:w="10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36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color w:val="auto"/>
              </w:rPr>
              <w:t>Points of sale P.O.S.</w:t>
            </w: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12,534,911</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14,333,713</w:t>
            </w:r>
          </w:p>
        </w:tc>
        <w:tc>
          <w:tcPr>
            <w:tcW w:w="2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16,986,238</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Other ATMs network</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220,218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215,688</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237,932</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2"/>
        </w:trPr>
        <w:tc>
          <w:tcPr>
            <w:tcW w:w="880" w:type="dxa"/>
            <w:vAlign w:val="bottom"/>
            <w:tcBorders>
              <w:top w:val="single" w:sz="8" w:color="CCEEFF"/>
            </w:tcBorders>
            <w:shd w:val="clear" w:color="auto" w:fill="CCEEFF"/>
          </w:tcPr>
          <w:p>
            <w:pPr>
              <w:spacing w:after="0"/>
              <w:rPr>
                <w:sz w:val="12"/>
                <w:szCs w:val="12"/>
                <w:color w:val="auto"/>
              </w:rPr>
            </w:pPr>
          </w:p>
        </w:tc>
        <w:tc>
          <w:tcPr>
            <w:tcW w:w="2360" w:type="dxa"/>
            <w:vAlign w:val="bottom"/>
            <w:tcBorders>
              <w:top w:val="single" w:sz="8" w:color="CCEEFF"/>
            </w:tcBorders>
            <w:gridSpan w:val="3"/>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Total transactions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131,520,719</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151,959,261</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169,802,756</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Estas cifras incluyen transacciones monetarias y no monetarias.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monthly average of transactions increased QoQ (+11.7%) and YoY (+29.1%). It is important to note the sustained increase throughout 2018 in transactions through Mobile Banking, which continued to post significant growth in its share of total transactions to account for 35.9% in 4Q18. This was in line with the strategy to migrate clients to digital channels to reduce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transactions through Internet Banking Via BCP fell significantly (-13.6% QoQ); Balance Inquiries also fell, but to a lesser extent (-8.2% QoQ).</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YoY analysis, which excludes the seasonal effect, reflects an increase in the monthly average of transactions. This was primarily attributable to an increase in volumes through the following channels:</w:t>
      </w:r>
    </w:p>
    <w:p>
      <w:pPr>
        <w:spacing w:after="0" w:line="162" w:lineRule="exact"/>
        <w:rPr>
          <w:sz w:val="20"/>
          <w:szCs w:val="20"/>
          <w:color w:val="auto"/>
        </w:rPr>
      </w:pPr>
    </w:p>
    <w:p>
      <w:pPr>
        <w:jc w:val="both"/>
        <w:ind w:left="900" w:hanging="514"/>
        <w:spacing w:after="0" w:line="261"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Banking (+82.6% YoY) continued to post growth in its share of total transactions through the mobile applications “Banca Celular BCP” and “Tus Beneficios BCP”, specifically to growth in time deposits; to an increase in the number of digital token users, which allows clients to conduct transactions in an easier and safer manner; and to loans and services payments. Additionally, different initiatives were conducted in Retail Banking to promote this channel’s use (such as social media campaigns).</w:t>
      </w:r>
    </w:p>
    <w:p>
      <w:pPr>
        <w:spacing w:after="0" w:line="180" w:lineRule="exact"/>
        <w:rPr>
          <w:rFonts w:ascii="Times New Roman" w:cs="Times New Roman" w:eastAsia="Times New Roman" w:hAnsi="Times New Roman"/>
          <w:sz w:val="18"/>
          <w:szCs w:val="18"/>
          <w:color w:val="auto"/>
        </w:rPr>
      </w:pPr>
    </w:p>
    <w:p>
      <w:pPr>
        <w:jc w:val="both"/>
        <w:ind w:left="900" w:hanging="514"/>
        <w:spacing w:after="0" w:line="261"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Agentes BCP (+32.3% YoY) due to growth in drafts. It is important to note that the functionality of draft transactions has improved, and the transactions time has been reduced; this has boosted clients’ confidence levels and consequently, driven demand for transactions via this channel. A large portion of growth in transactions was due to an uptick in the number of Agentes BCP (+454 YoY) and to an increase in market demand for this channel. Deposits, withdrawals and service payments also increased, although to a lesser extent.</w:t>
      </w:r>
    </w:p>
    <w:p>
      <w:pPr>
        <w:spacing w:after="0" w:line="180" w:lineRule="exact"/>
        <w:rPr>
          <w:rFonts w:ascii="Times New Roman" w:cs="Times New Roman" w:eastAsia="Times New Roman" w:hAnsi="Times New Roman"/>
          <w:sz w:val="18"/>
          <w:szCs w:val="18"/>
          <w:color w:val="auto"/>
        </w:rPr>
      </w:pPr>
    </w:p>
    <w:p>
      <w:pPr>
        <w:ind w:left="900" w:hanging="514"/>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Points of sale P.O.S increased (+35.5% YoY), which was primarily due to growth in VISANET penetration levels. This channel’s share of total monthly average transactions increased to 10.0% in 4Q18 vs. 9.5% in 4Q17.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channels that posted a decrease in transactions YoY were: (i) ATMs (-3.4%) due to an increase in the use of Agentes BCP and (ii) Internet Banking Vía BCP (-3.0%), which was associated with higher use of Mobile Banking given that this channel offers functions that are similar to Internet Banking and has captured more clients through campaigns to expand the use of Digital Tokens. It is important to note that the drop in both channels was generated by a decline in non-monetary transactions.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note that future growth in banking in the region will be concentrated mainly in digital channels; as such, Credicorp will continue to increase its strategic position in these cost-effective venues. This is in line with Credicorp’s Transformation Strategy and is the driving force behind the fact that Mobile Banking posted the highest growth in the total transactions volume.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9.2 Points of contact – Mibanco</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38"/>
        </w:trPr>
        <w:tc>
          <w:tcPr>
            <w:tcW w:w="46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QoQ</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YoY</w:t>
            </w:r>
          </w:p>
        </w:tc>
        <w:tc>
          <w:tcPr>
            <w:tcW w:w="80" w:type="dxa"/>
            <w:vAlign w:val="bottom"/>
            <w:tcBorders>
              <w:bottom w:val="single" w:sz="8" w:color="CCEEFF"/>
            </w:tcBorders>
          </w:tcPr>
          <w:p>
            <w:pPr>
              <w:spacing w:after="0"/>
              <w:rPr>
                <w:sz w:val="20"/>
                <w:szCs w:val="20"/>
                <w:color w:val="auto"/>
              </w:rPr>
            </w:pPr>
          </w:p>
        </w:tc>
      </w:tr>
      <w:tr>
        <w:trPr>
          <w:trHeight w:val="250"/>
        </w:trPr>
        <w:tc>
          <w:tcPr>
            <w:tcW w:w="46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Total Mibanco's Network </w:t>
            </w:r>
            <w:r>
              <w:rPr>
                <w:rFonts w:ascii="Times New Roman" w:cs="Times New Roman" w:eastAsia="Times New Roman" w:hAnsi="Times New Roman"/>
                <w:sz w:val="29"/>
                <w:szCs w:val="29"/>
                <w:b w:val="1"/>
                <w:bCs w:val="1"/>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Mibanco does not have Agentes or ATMs because it uses the BCP network. Mibanco branches include Banco de la Nacion branches, which in Dec 17, Sep 18 and Dec 18 were 38, 38 and 37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Mibanco, the number of branches remained stable QoQ. It is important to note that Mibanco has an agreement with the Banco de la Nacion that allows it to use the latter’s branches around the country to reduce operating costs. At the end of 4Q18, these branches represented 11% (37 branches) of a total of 326 branches.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YoY Mibanco posted an increase in the total number of branches, in line with on-going business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9.3 Points of contact – BCP Bolivia</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38"/>
        </w:trPr>
        <w:tc>
          <w:tcPr>
            <w:tcW w:w="46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56</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293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 BCP Bolivia</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9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369</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9"/>
                <w:szCs w:val="19"/>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Bolivia's Network</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718</w:t>
            </w: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Bolivia increased its number of points of contact QoQ by 67 points in 4Q18, which was in line with its strategy to reach 300 Agentes by the end of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goal was achieved in 3Q18.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Bolivia increased its points of contact YoY (+144). This was primarily due to growth in the number of Agentes.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Economic Perspectives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 Peru Economic Forecasts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Peru</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24"/>
                <w:szCs w:val="24"/>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(US$ Millions)</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195,707</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215,411</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222,062</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GDP (% change)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per capita (US$)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6,774</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6,896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demand (% change)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consumption (% change)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Consumption (% change)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fixed investment (as % GDP)</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Investment (% change)</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Investment (% change)</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Debt (as % GDP)</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0"/>
        </w:trPr>
        <w:tc>
          <w:tcPr>
            <w:tcW w:w="56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System loan growth (% change)</w:t>
            </w:r>
            <w:r>
              <w:rPr>
                <w:rFonts w:ascii="Times New Roman" w:cs="Times New Roman" w:eastAsia="Times New Roman" w:hAnsi="Times New Roman"/>
                <w:sz w:val="30"/>
                <w:szCs w:val="30"/>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line="269" w:lineRule="exact"/>
              <w:rPr>
                <w:sz w:val="20"/>
                <w:szCs w:val="20"/>
                <w:color w:val="auto"/>
              </w:rPr>
            </w:pPr>
            <w:r>
              <w:rPr>
                <w:rFonts w:ascii="Times New Roman" w:cs="Times New Roman" w:eastAsia="Times New Roman" w:hAnsi="Times New Roman"/>
                <w:sz w:val="18"/>
                <w:szCs w:val="18"/>
                <w:color w:val="auto"/>
              </w:rPr>
              <w:t>Inflation</w:t>
            </w:r>
            <w:r>
              <w:rPr>
                <w:rFonts w:ascii="Times New Roman" w:cs="Times New Roman" w:eastAsia="Times New Roman" w:hAnsi="Times New Roman"/>
                <w:sz w:val="30"/>
                <w:szCs w:val="30"/>
                <w:color w:val="auto"/>
                <w:vertAlign w:val="superscript"/>
              </w:rPr>
              <w:t>(2)</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gridSpan w:val="2"/>
            <w:vMerge w:val="continue"/>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Rate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end of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 change)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Fiscal balance (% GDP)</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balance (US$ Millions)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 GDP)</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Exports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34,414</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37,080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45,275</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Imports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37,330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35,128</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38,704</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account balance (US$ Millions)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-9,169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-5,303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-2,716</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-3,997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 GDP)</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international reserves (US$ Millions)</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61,485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61,686</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63,621</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60,121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61,900</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 GDP)</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months of imports)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Estimates by BCP Economic Research as of January 2019; INEI, BCRP, and SBS.</w:t>
      </w:r>
    </w:p>
    <w:p>
      <w:pPr>
        <w:spacing w:after="0" w:line="29"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System, Current Exchange Rate.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target: 1% - 3%.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xml:space="preserve">Economic Activity – GDP </w:t>
      </w:r>
      <w:r>
        <w:rPr>
          <w:rFonts w:ascii="Times New Roman" w:cs="Times New Roman" w:eastAsia="Times New Roman" w:hAnsi="Times New Roman"/>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157480</wp:posOffset>
            </wp:positionV>
            <wp:extent cx="4408170" cy="1389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0817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Source: INEI</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In 4Q18 GDP estimate expanded around 5.0% YoY. The acceleration in the last quarter growth corresponds to the second anchovy fishing season (there was none in 4Q17), which contributed 1.3 percentage points between its direct and indirect effects on fishing and primary resource manufacturing. Moreover, non-primary sectors bolstered their growth to around 4.6% YoY due to an acceleration of public investment of the general government (4Q18: 19% YoY vs 3Q18: 1% YoY).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economy would have grown 4.0% during 2018 and reached one of the highest growth rates within the regional peers.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157480</wp:posOffset>
            </wp:positionV>
            <wp:extent cx="4202430" cy="18611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0243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Source: INEI, BCRP</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closed in 2018 at 2.2% YoY (3Q18: 1.3%), within the target range of the Central Bank (1%-3%) for the second consecutive year. In parallel, core inflation –excludes foods and energy- closed 2018 also at 2.2% YoY, and adds up three years within the target range of the Central Bank.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4Q18 the Central Bank held its policy rate constant at 2.75% (it lowered its reference rate 50bps during 1Q18). The institution took into account that the economic activity showed signals of higher dynamism in the latest quarter, although activity remains below its potential. Hence, the Board of the Central Bank considered appropriate to maintain the expansive monetary policy stance amid anchored inflation expectations and economic activity below its potential.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Fiscal Result and Current Account Balance </w:t>
      </w:r>
      <w:r>
        <w:rPr>
          <w:rFonts w:ascii="Times New Roman" w:cs="Times New Roman" w:eastAsia="Times New Roman" w:hAnsi="Times New Roman"/>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157480</wp:posOffset>
            </wp:positionV>
            <wp:extent cx="3927475" cy="1929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2747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Source: BCRP</w:t>
      </w:r>
    </w:p>
    <w:p>
      <w:pPr>
        <w:spacing w:after="0" w:line="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*BCP estimates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The fiscal deficit in 2018 represented 2.5% of GDP (3Q18: 2.1%) and was the lowest level since 2016. Nonetheless, the increase of the annualized fiscal deficit in the last quarter corresponded to: (i) a moderation of fiscal revenues from the general government (in real terms, it decelerated from 12.5% YoY in 3Q18 to 1.2% YoY in 4Q18), and (ii) an increase in public investment of the general government (in real terms, it accelerated from 1% YoY in 3Q18 to 19% YoY in 4Q18).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period Jan/Nov-18, the trade balance registers a surplus of US$ 5,598 million. In this period, exports added up US$ 44.3 billion, an increase of 8.9% YoY (traditional goods: +6.9%, non-traditional goods: +14.5%). It is important to highlight that copper exports increased 8.6% YoY in the same period. Regarding imports, between Jan/Nov-18 they added up US$ 38.8 billion, an increase of 9.6% YoY (consumer: +3.3%, raw materials: +17.1%, capital: +3.3%). In 2018 the average copper price was US$/lb. 2.96, which represented a 4-year peak.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Exchange rate </w:t>
      </w:r>
      <w:r>
        <w:rPr>
          <w:rFonts w:ascii="Times New Roman" w:cs="Times New Roman" w:eastAsia="Times New Roman" w:hAnsi="Times New Roman"/>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157480</wp:posOffset>
            </wp:positionV>
            <wp:extent cx="3353435" cy="2109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343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Source: SBS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4Q18 the exchange rate closed at 3.373 Soles per US Dollar, by which the Peruvian Sol depreciated 2.2%, compared to 3Q18, and closed 2018 with a 4.1% depreciation compared to 2017 (3.241 Soles per US Dollar). In the last quarter of the year financial markets were exposed to corrections (S&amp;P 500, Euro Stoxx 50 and Shanghai Comp fell 14.0%, 11.7% and 11.6% respectively) and a higher global risk aversion. These factors lead the exchange rate to fluctuate between 3.35-3.40 Soles per US Dollar.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4Q18 almost all currencies of the region depreciated. With exception of the Brazilian Real (+4.2%), the Colombian Peso (-9.7%), Chilean Peso (-5.7%), Mexican peso (-5.0%) and Peruvian Sol (-2.2%) depreciated. Regarding FX intervention, the Central Bank through the issuance of Currency Swaps (Sales) for a total of US$ 1,542 million.</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6" w:name="page57"/>
    <w:bookmarkEnd w:id="56"/>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w:t>
      </w:r>
    </w:p>
    <w:p>
      <w:pPr>
        <w:spacing w:after="0" w:line="225"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5,039,602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5,430,994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6,170,151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bearing</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25,311,125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17,983,724</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19,611,116</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cash and due from banks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30,350,727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23,414,718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25,781,267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Fair value through profit or loss investments </w:t>
            </w:r>
            <w:r>
              <w:rPr>
                <w:rFonts w:ascii="Times New Roman" w:cs="Times New Roman" w:eastAsia="Times New Roman" w:hAnsi="Times New Roman"/>
                <w:sz w:val="29"/>
                <w:szCs w:val="29"/>
                <w:b w:val="1"/>
                <w:bCs w:val="1"/>
                <w:color w:val="auto"/>
                <w:vertAlign w:val="superscript"/>
              </w:rPr>
              <w:t>(1)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4,549,050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4,722,191</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3,974,003</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100,477,774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105,028,343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110,759,390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97,458,552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101,839,950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107,642,312</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overdue loans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3,019,222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3,188,393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3,117,078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 allowance for loan losses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(4,500,498)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(4,920,319)</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(4,952,392)</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95,977,276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100,108,024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105,806,998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through other comprehensive income investments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24,437,263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23,516,932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25,199,135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 investments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4,429,599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4,106,966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4,154,838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Reinsurance assets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715,695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827,001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842,043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Premiums and other policyholder receivables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656,829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741,316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887,273</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1,642,814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1,531,571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1,552,056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Due from customers on acceptances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532,034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969,702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967,968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Investments in associates </w:t>
            </w:r>
            <w:r>
              <w:rPr>
                <w:rFonts w:ascii="Times New Roman" w:cs="Times New Roman" w:eastAsia="Times New Roman" w:hAnsi="Times New Roman"/>
                <w:sz w:val="29"/>
                <w:szCs w:val="29"/>
                <w:b w:val="1"/>
                <w:bCs w:val="1"/>
                <w:color w:val="auto"/>
                <w:vertAlign w:val="superscript"/>
              </w:rPr>
              <w:t>(1)(2)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708,873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573,750</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582,132</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assets </w:t>
            </w:r>
            <w:r>
              <w:rPr>
                <w:rFonts w:ascii="Times New Roman" w:cs="Times New Roman" w:eastAsia="Times New Roman" w:hAnsi="Times New Roman"/>
                <w:sz w:val="29"/>
                <w:szCs w:val="29"/>
                <w:b w:val="1"/>
                <w:bCs w:val="1"/>
                <w:color w:val="auto"/>
                <w:vertAlign w:val="superscript"/>
              </w:rPr>
              <w:t>(3)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6,506,586</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7,943,426</w:t>
            </w:r>
          </w:p>
        </w:tc>
        <w:tc>
          <w:tcPr>
            <w:tcW w:w="12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7,498,619</w:t>
            </w: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170,506,746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168,455,597</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177,246,332</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NET SHAREHOLDERS' EQUITY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24,193,949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24,975,666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26,609,832</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bearing</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72,976,462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72,399,745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77,945,036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deposits and obligations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97,170,411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97,375,411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104,554,868</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BCRP instruments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9,467,943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4,851,806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5,226,870</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Repurchase agreements </w:t>
            </w:r>
            <w:r>
              <w:rPr>
                <w:rFonts w:ascii="Times New Roman" w:cs="Times New Roman" w:eastAsia="Times New Roman" w:hAnsi="Times New Roman"/>
                <w:sz w:val="29"/>
                <w:szCs w:val="29"/>
                <w:b w:val="1"/>
                <w:bCs w:val="1"/>
                <w:color w:val="auto"/>
                <w:vertAlign w:val="superscript"/>
              </w:rPr>
              <w:t>(4)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2,360,763</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2,739,629</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2,638,231</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7,996,889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7,509,183</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8,448,139</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16,242,257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15,194,775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15,457,540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532,034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969,702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967,968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Reserves for property and casualty claims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1,180,852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1,340,913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1,366,670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Reserve for unearned premiums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6,262,908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6,834,070</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7,086,002</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Reinsurance payable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482,519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507,876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6,641,433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7,720,422</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6,726,092</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148,253,043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145,018,430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152,980,256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21,756,568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23,006,133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23,839,243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1,318,993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1,318,993</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1,318,993</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(207,994)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(207,994)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271,948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249,398</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246,194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14,647,709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17,576,109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17,598,556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gains (losses)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1,455,595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899,547</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708,453</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4,271,260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3,170,080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4,175,041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497,135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426,833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22,253,703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23,437,167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24,266,076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shareholders' equity</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170,506,746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168,455,597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177,290,426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Off-balance sheet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65,840,952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120,784,835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121,222,849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performance bonds, stand-by and L/Cs.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19,369,559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18,723,556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20,774,271</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Undrawn credit lines, advised but not committed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23,553,406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74,633,738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74,234,033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derivatives (notional) and others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22,917,987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27,427,541</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26,214,545</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00" w:right="239" w:bottom="9" w:gutter="0" w:footer="0" w:header="0"/>
        </w:sectPr>
      </w:pPr>
    </w:p>
    <w:bookmarkStart w:id="57" w:name="page58"/>
    <w:bookmarkEnd w:id="57"/>
    <w:p>
      <w:pPr>
        <w:ind w:right="540" w:firstLine="8"/>
        <w:spacing w:after="0" w:line="261" w:lineRule="auto"/>
        <w:tabs>
          <w:tab w:leader="none" w:pos="2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are different from previously reported because of reclassifications between Fair value through profit or loss investments and Investments in associates due to IFRS 9 account policies. Reclassifications have only been made for the 2018 period.</w:t>
      </w: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JV between Grupo Pacifico and Banmedica.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receivables, goodwill, tax credit, and others.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2Q18, Repurchase agreements is excluded from Other liabilities and shown in an individual account.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3Q18</w:t>
            </w:r>
          </w:p>
        </w:tc>
        <w:tc>
          <w:tcPr>
            <w:tcW w:w="10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4Q18</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QoQ</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YoY</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2018 /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 and expense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2,832,384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2,887,326</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11,056,862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11,522,634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9"/>
                <w:szCs w:val="29"/>
                <w:color w:val="auto"/>
                <w:vertAlign w:val="superscript"/>
              </w:rPr>
              <w:t>(1)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(766,410)</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(748,193)</w:t>
            </w: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(789,292)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(2,985,374)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(3,033,530)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2,065,974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2,139,133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2,244,252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8,071,488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8,489,104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Provision for loan losses, net of</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(441,250)</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(439,558)</w:t>
            </w:r>
          </w:p>
        </w:tc>
        <w:tc>
          <w:tcPr>
            <w:tcW w:w="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(407,954)</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(1,789,165)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(1,531,708)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Non-financial income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Fee income </w:t>
            </w:r>
            <w:r>
              <w:rPr>
                <w:rFonts w:ascii="Times New Roman" w:cs="Times New Roman" w:eastAsia="Times New Roman" w:hAnsi="Times New Roman"/>
                <w:sz w:val="29"/>
                <w:szCs w:val="29"/>
                <w:color w:val="auto"/>
                <w:vertAlign w:val="superscript"/>
              </w:rPr>
              <w:t>(1)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783,976</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773,529</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836,642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2,906,546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3,126,857</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4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Net gains on foreign exchange</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140" w:type="dxa"/>
            <w:vAlign w:val="bottom"/>
            <w:gridSpan w:val="2"/>
          </w:tcPr>
          <w:p>
            <w:pPr>
              <w:ind w:left="160"/>
              <w:spacing w:after="0" w:line="271" w:lineRule="exact"/>
              <w:rPr>
                <w:sz w:val="20"/>
                <w:szCs w:val="20"/>
                <w:color w:val="auto"/>
              </w:rPr>
            </w:pPr>
            <w:r>
              <w:rPr>
                <w:rFonts w:ascii="Times New Roman" w:cs="Times New Roman" w:eastAsia="Times New Roman" w:hAnsi="Times New Roman"/>
                <w:sz w:val="18"/>
                <w:szCs w:val="18"/>
                <w:color w:val="auto"/>
              </w:rPr>
              <w:t xml:space="preserve">transactions </w:t>
            </w:r>
            <w:r>
              <w:rPr>
                <w:rFonts w:ascii="Times New Roman" w:cs="Times New Roman" w:eastAsia="Times New Roman" w:hAnsi="Times New Roman"/>
                <w:sz w:val="30"/>
                <w:szCs w:val="30"/>
                <w:color w:val="auto"/>
                <w:vertAlign w:val="superscript"/>
              </w:rPr>
              <w:t>(2)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172,709</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182,777</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650,228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737,954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gains on sales of securities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237,705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55,205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724,799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192,465</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Net gains from associates </w:t>
            </w:r>
            <w:r>
              <w:rPr>
                <w:rFonts w:ascii="Times New Roman" w:cs="Times New Roman" w:eastAsia="Times New Roman" w:hAnsi="Times New Roman"/>
                <w:sz w:val="29"/>
                <w:szCs w:val="29"/>
                <w:color w:val="auto"/>
                <w:vertAlign w:val="superscript"/>
              </w:rPr>
              <w:t>(3)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35,838</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Net gains on derivatives </w:t>
            </w:r>
            <w:r>
              <w:rPr>
                <w:rFonts w:ascii="Times New Roman" w:cs="Times New Roman" w:eastAsia="Times New Roman" w:hAnsi="Times New Roman"/>
                <w:sz w:val="29"/>
                <w:szCs w:val="29"/>
                <w:color w:val="auto"/>
                <w:vertAlign w:val="superscript"/>
              </w:rPr>
              <w:t>(4)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103,580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13,262</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Result on exchange difference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8,834</w:t>
            </w:r>
          </w:p>
        </w:tc>
        <w:tc>
          <w:tcPr>
            <w:tcW w:w="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22"/>
                <w:szCs w:val="22"/>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16,022</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67,174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271,901</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non-financial income, net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1,278,590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1,093,167</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1,151,080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4,671,260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4,394,299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 underwriting result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earned premiums</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479,022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536,277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2,091,366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claims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(283,354)</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(318,644)</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(325,402)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(1,239,636)</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cost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(96,382)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(264,643)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(380,310)</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insurance underwriting result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129,527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121,251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505,288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471,420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and social benefits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(804,067)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(794,634)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(867,069)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(3,064,273)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(3,219,875)</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Administrative, general and tax</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(610,031)</w:t>
            </w: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(590,491)</w:t>
            </w:r>
          </w:p>
        </w:tc>
        <w:tc>
          <w:tcPr>
            <w:tcW w:w="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(682,118)</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(2,177,833)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(2,330,044)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(118,632)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(462,058)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(465,673)</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(42,912)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(20,006)</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(79,209)</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(215,310)</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(1,574,424)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(1,519,744)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(1,747,028)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(5,883,936)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(6,230,902)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1,458,417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1,394,249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5,574,935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5,592,213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(371,284)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(363,154)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(1,393,286)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(1,520,909)</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1,087,133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1,031,095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977,153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4,181,649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4,071,304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23,475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19,809</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87,439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attributed to Credicorp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1,063,658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1,011,286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956,933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4,091,754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3,983,865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differ from previously reported, please consider the data presented on this report.</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agreement between Grupo Pacifico and Banmedica.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1Q17, “Net gains on derivatives” will be reported as non-financial income rather than net interest income, as was the case in the past.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QoQ</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bearing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5,011,137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5,716,307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bearing</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24,245,167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16,696,793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17,852,278</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and due from banks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28,882,496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21,707,930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23,568,585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through profit or loss investments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2,127,933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75,948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91,598,235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95,616,875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101,193,839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88,700,394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92,568,501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98,217,198</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overdue loans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2,976,641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 allowance for loan losses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(4,273,613)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(4,684,448)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(4,706,870)</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87,324,622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90,932,427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96,486,969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through other comprehensive income investments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12,051,088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12,310,693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14,246,979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4,084,680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3,799,355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3,852,399</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1,436,417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1,333,907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1,347,695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Due from customers acceptances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532,034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969,702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967,968</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assets </w:t>
            </w:r>
            <w:r>
              <w:rPr>
                <w:rFonts w:ascii="Times New Roman" w:cs="Times New Roman" w:eastAsia="Times New Roman" w:hAnsi="Times New Roman"/>
                <w:sz w:val="29"/>
                <w:szCs w:val="29"/>
                <w:b w:val="1"/>
                <w:bCs w:val="1"/>
                <w:color w:val="auto"/>
                <w:vertAlign w:val="superscript"/>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3,219,397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3,832,235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4,222,408</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139,658,667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135,236,959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144,768,951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NET SHAREHOLDERS' EQUITY</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85,506,358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85,915,042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93,033,697</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Demand deposits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26,146,487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25,992,849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29,426,308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Saving deposits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26,793,277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28,400,733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30,335,795</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25,199,406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24,399,519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25,497,767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7,170,934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6,923,829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7,571,375</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payable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BCRP instruments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9,286,032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4,806,219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5,168,765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Repurchase agreements </w:t>
            </w:r>
            <w:r>
              <w:rPr>
                <w:rFonts w:ascii="Times New Roman" w:cs="Times New Roman" w:eastAsia="Times New Roman" w:hAnsi="Times New Roman"/>
                <w:sz w:val="29"/>
                <w:szCs w:val="29"/>
                <w:b w:val="1"/>
                <w:bCs w:val="1"/>
                <w:color w:val="auto"/>
                <w:vertAlign w:val="superscript"/>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2,055,861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1,946,985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2,001,143</w:t>
            </w:r>
          </w:p>
        </w:tc>
        <w:tc>
          <w:tcPr>
            <w:tcW w:w="1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8,264,139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7,666,566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8,583,889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Bonds and subordinated debt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15,451,019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14,450,969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14,736,828</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Acceptances outstanding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969,702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967,968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29"/>
                <w:szCs w:val="29"/>
                <w:b w:val="1"/>
                <w:bCs w:val="1"/>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3,012,397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3,164,550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3,191,364</w:t>
            </w:r>
          </w:p>
        </w:tc>
        <w:tc>
          <w:tcPr>
            <w:tcW w:w="1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124,107,840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118,920,033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127,683,654</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shareholders' equity</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15,398,256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16,177,667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16,977,532</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8,476,984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8,476,984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3,666,632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3,965,447</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1,158,452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for the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3,367,984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15,550,827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16,316,926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17,085,297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SHAREHOLDERS' EQUITY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139,658,667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135,236,959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144,768,951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Off-balance sheet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53,783,183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109,893,889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109,579,381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performance bonds, stand-by and L/Cs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18,170,672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17,051,392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18,876,728</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Undrawn credit lines, advised but not committed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15,363,970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66,950,168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65,983,775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derivatives (notional) and others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20,248,541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25,892,329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24,718,878</w:t>
            </w: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intangible assets, other receivable accounts and tax credit.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2Q18, Repurchase agreements is excluded from Other liabilities and shown in a individual account.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other payable accounts.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4Q17</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3Q18</w:t>
            </w:r>
          </w:p>
        </w:tc>
        <w:tc>
          <w:tcPr>
            <w:tcW w:w="9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4Q18</w:t>
            </w:r>
          </w:p>
        </w:tc>
        <w:tc>
          <w:tcPr>
            <w:tcW w:w="11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QoQ</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YoY</w:t>
            </w:r>
          </w:p>
        </w:tc>
        <w:tc>
          <w:tcPr>
            <w:tcW w:w="7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2018 /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2,514,877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2,553,311</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2,683,753</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9,797,475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10,211,253</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(673,190)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(647,701)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(683,378)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(2,661,717)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(2,631,510)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1,841,687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1,905,610</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2,000,375</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7,135,758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7,579,743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loan losses, net of recoveries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(422,722)</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(422,473)</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(390,478)</w:t>
            </w: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-7.6%</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(1,712,369)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(1,475,062)</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 financial income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612,219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624,494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651,822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2,337,201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2,486,843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Net gains on foreign exchange transactions </w:t>
            </w:r>
            <w:r>
              <w:rPr>
                <w:rFonts w:ascii="Times New Roman" w:cs="Times New Roman" w:eastAsia="Times New Roman" w:hAnsi="Times New Roman"/>
                <w:sz w:val="21"/>
                <w:szCs w:val="21"/>
                <w:color w:val="auto"/>
                <w:vertAlign w:val="superscript"/>
              </w:rPr>
              <w:t>(1)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164,307</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174,330</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198,051</w:t>
            </w: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621,222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699,002</w:t>
            </w: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Net gains on sales of securities</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5,559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22,347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1490.5%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68,714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31,375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Net gains on derivatives </w:t>
            </w:r>
            <w:r>
              <w:rPr>
                <w:rFonts w:ascii="Times New Roman" w:cs="Times New Roman" w:eastAsia="Times New Roman" w:hAnsi="Times New Roman"/>
                <w:sz w:val="21"/>
                <w:szCs w:val="21"/>
                <w:color w:val="auto"/>
                <w:vertAlign w:val="superscript"/>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17,566</w:t>
            </w:r>
          </w:p>
        </w:tc>
        <w:tc>
          <w:tcPr>
            <w:tcW w:w="1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(7,316)</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2,163</w:t>
            </w: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106,328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(2,383)</w:t>
            </w:r>
          </w:p>
        </w:tc>
        <w:tc>
          <w:tcPr>
            <w:tcW w:w="1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gridSpan w:val="2"/>
            <w:shd w:val="clear" w:color="auto" w:fill="CCEEFF"/>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Result on exchange difference </w:t>
            </w:r>
            <w:r>
              <w:rPr>
                <w:rFonts w:ascii="Times New Roman" w:cs="Times New Roman" w:eastAsia="Times New Roman" w:hAnsi="Times New Roman"/>
                <w:sz w:val="21"/>
                <w:szCs w:val="21"/>
                <w:color w:val="auto"/>
                <w:vertAlign w:val="superscript"/>
              </w:rPr>
              <w:t>(1)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6,136</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6,838</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5,621</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20,871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25,825</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38,625</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58,706</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11,421</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144,948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198,316</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non financial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844,412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858,457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891,425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3,299,284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3,438,978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Salaries and social benefits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(588,871)</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(606,897)</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(657,452)</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(2,315,465)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(2,441,977)</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Administrative, general and tax expenses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(502,271)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(474,723)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(561,638)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(1,748,196)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(1,866,399)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(90,422)</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(89,181)</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(92,847)</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(354,376)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(363,298)</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(21,545)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(24,460)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(32,435)</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(123,019)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(149,552)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(1,203,109)</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(1,195,261)</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(1,344,372)</w:t>
            </w: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(4,541,056)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(4,821,226)</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1,060,268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1,146,333</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1,156,950</w:t>
            </w:r>
          </w:p>
        </w:tc>
        <w:tc>
          <w:tcPr>
            <w:tcW w:w="1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9.1%</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4,181,617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4,722,433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(302,582)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(311,995)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(342,729)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(1,144,688)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(1,331,418)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(7,099)</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(4,563)</w:t>
            </w:r>
          </w:p>
        </w:tc>
        <w:tc>
          <w:tcPr>
            <w:tcW w:w="1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(22,398)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(23,031)</w:t>
            </w: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continuing operations</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750,587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829,775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809,562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3,014,531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3,367,984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 discontinuing operations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750,587</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829,775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809,562</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3,014,531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3,367,984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61" w:lineRule="auto"/>
        <w:tabs>
          <w:tab w:leader="none" w:pos="28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1Q17, “Net gain on derivatives” is reported as non-financial income rather than net interest income, as was the case in the past.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Quarter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4Q18</w:t>
            </w: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Earnings per share </w:t>
            </w:r>
            <w:r>
              <w:rPr>
                <w:rFonts w:ascii="Times New Roman" w:cs="Times New Roman" w:eastAsia="Times New Roman" w:hAnsi="Times New Roman"/>
                <w:sz w:val="29"/>
                <w:szCs w:val="29"/>
                <w:color w:val="auto"/>
                <w:vertAlign w:val="superscript"/>
              </w:rPr>
              <w:t>(1)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0.086</w:t>
            </w:r>
          </w:p>
        </w:tc>
        <w:tc>
          <w:tcPr>
            <w:tcW w:w="12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0.095</w:t>
            </w:r>
          </w:p>
        </w:tc>
        <w:tc>
          <w:tcPr>
            <w:tcW w:w="1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0.092</w:t>
            </w:r>
          </w:p>
        </w:tc>
        <w:tc>
          <w:tcPr>
            <w:tcW w:w="10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ROAA</w:t>
            </w:r>
            <w:r>
              <w:rPr>
                <w:rFonts w:ascii="Times New Roman" w:cs="Times New Roman" w:eastAsia="Times New Roman" w:hAnsi="Times New Roman"/>
                <w:sz w:val="13"/>
                <w:szCs w:val="13"/>
                <w:color w:val="auto"/>
              </w:rPr>
              <w:t xml:space="preserve"> (2)(3)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ROAE</w:t>
            </w:r>
            <w:r>
              <w:rPr>
                <w:rFonts w:ascii="Times New Roman" w:cs="Times New Roman" w:eastAsia="Times New Roman" w:hAnsi="Times New Roman"/>
                <w:sz w:val="13"/>
                <w:szCs w:val="13"/>
                <w:color w:val="auto"/>
              </w:rPr>
              <w:t xml:space="preserve"> (2)(3)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9"/>
                <w:szCs w:val="29"/>
                <w:color w:val="auto"/>
                <w:vertAlign w:val="superscript"/>
              </w:rPr>
              <w:t>(2)(3)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Risk adjusted NIM </w:t>
            </w:r>
            <w:r>
              <w:rPr>
                <w:rFonts w:ascii="Times New Roman" w:cs="Times New Roman" w:eastAsia="Times New Roman" w:hAnsi="Times New Roman"/>
                <w:sz w:val="29"/>
                <w:szCs w:val="29"/>
                <w:color w:val="auto"/>
                <w:vertAlign w:val="superscript"/>
              </w:rPr>
              <w:t>(2)(3)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Funding Cost </w:t>
            </w:r>
            <w:r>
              <w:rPr>
                <w:rFonts w:ascii="Times New Roman" w:cs="Times New Roman" w:eastAsia="Times New Roman" w:hAnsi="Times New Roman"/>
                <w:sz w:val="29"/>
                <w:szCs w:val="29"/>
                <w:color w:val="auto"/>
                <w:vertAlign w:val="superscript"/>
              </w:rPr>
              <w:t>(2)(3)(4)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IOL ratio</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NPL ratio</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Coverage of IOLs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 of risk </w:t>
            </w:r>
            <w:r>
              <w:rPr>
                <w:rFonts w:ascii="Times New Roman" w:cs="Times New Roman" w:eastAsia="Times New Roman" w:hAnsi="Times New Roman"/>
                <w:sz w:val="29"/>
                <w:szCs w:val="29"/>
                <w:color w:val="auto"/>
                <w:vertAlign w:val="superscript"/>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 expenses as a percent. of total income - reported </w:t>
            </w:r>
            <w:r>
              <w:rPr>
                <w:rFonts w:ascii="Times New Roman" w:cs="Times New Roman" w:eastAsia="Times New Roman" w:hAnsi="Times New Roman"/>
                <w:sz w:val="29"/>
                <w:szCs w:val="29"/>
                <w:color w:val="auto"/>
                <w:vertAlign w:val="superscript"/>
              </w:rPr>
              <w:t>(6)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 expenses as a percent. of total income - including all other items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 expenses as a percent. of av. tot. assets </w:t>
            </w:r>
            <w:r>
              <w:rPr>
                <w:rFonts w:ascii="Times New Roman" w:cs="Times New Roman" w:eastAsia="Times New Roman" w:hAnsi="Times New Roman"/>
                <w:sz w:val="29"/>
                <w:szCs w:val="29"/>
                <w:color w:val="auto"/>
                <w:vertAlign w:val="superscript"/>
              </w:rPr>
              <w:t>(2)(3)(6)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Capital adequacy </w:t>
            </w:r>
            <w:r>
              <w:rPr>
                <w:rFonts w:ascii="Times New Roman" w:cs="Times New Roman" w:eastAsia="Times New Roman" w:hAnsi="Times New Roman"/>
                <w:sz w:val="29"/>
                <w:szCs w:val="29"/>
                <w:b w:val="1"/>
                <w:bCs w:val="1"/>
                <w:color w:val="auto"/>
                <w:vertAlign w:val="superscript"/>
              </w:rPr>
              <w:t>(7)</w:t>
            </w: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regulatory capital (S/ Million)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17,493</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17,679</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(S/ Million) </w:t>
            </w:r>
            <w:r>
              <w:rPr>
                <w:rFonts w:ascii="Times New Roman" w:cs="Times New Roman" w:eastAsia="Times New Roman" w:hAnsi="Times New Roman"/>
                <w:sz w:val="29"/>
                <w:szCs w:val="29"/>
                <w:color w:val="auto"/>
                <w:vertAlign w:val="superscript"/>
              </w:rPr>
              <w:t>(8)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12,831</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ratio </w:t>
            </w:r>
            <w:r>
              <w:rPr>
                <w:rFonts w:ascii="Times New Roman" w:cs="Times New Roman" w:eastAsia="Times New Roman" w:hAnsi="Times New Roman"/>
                <w:sz w:val="29"/>
                <w:szCs w:val="29"/>
                <w:color w:val="auto"/>
                <w:vertAlign w:val="superscript"/>
              </w:rPr>
              <w:t>(9)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BIS ratio </w:t>
            </w:r>
            <w:r>
              <w:rPr>
                <w:rFonts w:ascii="Times New Roman" w:cs="Times New Roman" w:eastAsia="Times New Roman" w:hAnsi="Times New Roman"/>
                <w:sz w:val="29"/>
                <w:szCs w:val="29"/>
                <w:color w:val="auto"/>
                <w:vertAlign w:val="superscript"/>
              </w:rPr>
              <w:t>(10)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Information</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 of outstanding shares (Million)</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8,770.36</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8,770.36</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8,770.36</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8,770.36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outstanding of 8,770 million is used for all periods since shares have been issued only for capitalization of profits.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Annualized provision for loan losses / Total loans.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ratios are for BCP Stand-alone and based on Peru GAAP</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5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11.3. Mibanco</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MIBANCO</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1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(In S/ thousands, IFRS)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7"/>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160" w:type="dxa"/>
            <w:vAlign w:val="bottom"/>
          </w:tcPr>
          <w:p>
            <w:pPr>
              <w:spacing w:after="0"/>
              <w:rPr>
                <w:sz w:val="20"/>
                <w:szCs w:val="20"/>
                <w:color w:val="auto"/>
              </w:rPr>
            </w:pPr>
          </w:p>
        </w:tc>
        <w:tc>
          <w:tcPr>
            <w:tcW w:w="8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140" w:type="dxa"/>
            <w:vAlign w:val="bottom"/>
          </w:tcPr>
          <w:p>
            <w:pPr>
              <w:spacing w:after="0"/>
              <w:rPr>
                <w:sz w:val="20"/>
                <w:szCs w:val="20"/>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60" w:type="dxa"/>
            <w:vAlign w:val="bottom"/>
          </w:tcPr>
          <w:p>
            <w:pPr>
              <w:spacing w:after="0"/>
              <w:rPr>
                <w:sz w:val="20"/>
                <w:szCs w:val="20"/>
                <w:color w:val="auto"/>
              </w:rPr>
            </w:pPr>
          </w:p>
        </w:tc>
        <w:tc>
          <w:tcPr>
            <w:tcW w:w="6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913,878</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922,284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1,012,566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2,058,284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2,008,445</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2,244,798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9,470,787</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9,785,229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10,048,286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8,890,434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9,133,812</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9,401,674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Internal overdue loans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442,986</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531,585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522,689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Refinanced</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137,367</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119,832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-863,888</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-913,037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-919,622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loans</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8,606,900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8,872,192</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9,128,664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190,714</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174,951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181,468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593,199</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593,853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652,784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12,362,975</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12,571,725</w:t>
            </w:r>
          </w:p>
        </w:tc>
        <w:tc>
          <w:tcPr>
            <w:tcW w:w="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13,220,280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NET</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7,485,390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8,135,187</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8,513,718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1,910,329</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1,592,198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1,846,622</w:t>
            </w:r>
          </w:p>
        </w:tc>
        <w:tc>
          <w:tcPr>
            <w:tcW w:w="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-3.3%</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467,556</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367,867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364,333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803,217</w:t>
            </w:r>
          </w:p>
        </w:tc>
        <w:tc>
          <w:tcPr>
            <w:tcW w:w="16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552,644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597,089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10,666,492</w:t>
            </w:r>
          </w:p>
        </w:tc>
        <w:tc>
          <w:tcPr>
            <w:tcW w:w="10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10,647,896</w:t>
            </w:r>
          </w:p>
        </w:tc>
        <w:tc>
          <w:tcPr>
            <w:tcW w:w="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11,321,762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1,696,483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1,923,829</w:t>
            </w:r>
          </w:p>
        </w:tc>
        <w:tc>
          <w:tcPr>
            <w:tcW w:w="1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1,898,518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NET</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12,362,975</w:t>
            </w:r>
          </w:p>
        </w:tc>
        <w:tc>
          <w:tcPr>
            <w:tcW w:w="120" w:type="dxa"/>
            <w:vAlign w:val="bottom"/>
          </w:tcPr>
          <w:p>
            <w:pPr>
              <w:spacing w:after="0"/>
              <w:rPr>
                <w:sz w:val="21"/>
                <w:szCs w:val="21"/>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12,571,725</w:t>
            </w:r>
          </w:p>
        </w:tc>
        <w:tc>
          <w:tcPr>
            <w:tcW w:w="20" w:type="dxa"/>
            <w:vAlign w:val="bottom"/>
          </w:tcPr>
          <w:p>
            <w:pPr>
              <w:spacing w:after="0"/>
              <w:rPr>
                <w:sz w:val="21"/>
                <w:szCs w:val="21"/>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13,220,280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3Q18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4Q18</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QoQ</w:t>
            </w:r>
          </w:p>
        </w:tc>
        <w:tc>
          <w:tcPr>
            <w:tcW w:w="3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2018 / 2017</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1,955,273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Provision for loan losses, net of recoveries</w:t>
            </w:r>
          </w:p>
        </w:tc>
        <w:tc>
          <w:tcPr>
            <w:tcW w:w="304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-101,993-138,001-109,537</w:t>
            </w:r>
          </w:p>
        </w:tc>
        <w:tc>
          <w:tcPr>
            <w:tcW w:w="100" w:type="dxa"/>
            <w:vAlign w:val="bottom"/>
          </w:tcPr>
          <w:p>
            <w:pPr>
              <w:spacing w:after="0"/>
              <w:rPr>
                <w:sz w:val="18"/>
                <w:szCs w:val="18"/>
                <w:color w:val="auto"/>
              </w:rPr>
            </w:pPr>
          </w:p>
        </w:tc>
        <w:tc>
          <w:tcPr>
            <w:tcW w:w="1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-429,351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provisions</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384,856</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357,384</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374,180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3"/>
              </w:rPr>
              <w:t>4.7%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1,430,632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1,525,922</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Non-financial income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26,589</w:t>
            </w:r>
          </w:p>
        </w:tc>
        <w:tc>
          <w:tcPr>
            <w:tcW w:w="14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38,382</w:t>
            </w:r>
          </w:p>
        </w:tc>
        <w:tc>
          <w:tcPr>
            <w:tcW w:w="100" w:type="dxa"/>
            <w:vAlign w:val="bottom"/>
          </w:tcPr>
          <w:p>
            <w:pPr>
              <w:spacing w:after="0"/>
              <w:rPr>
                <w:sz w:val="18"/>
                <w:szCs w:val="18"/>
                <w:color w:val="auto"/>
              </w:rPr>
            </w:pPr>
          </w:p>
        </w:tc>
        <w:tc>
          <w:tcPr>
            <w:tcW w:w="104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96,619</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154,184</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-237,687</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-240,347</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-256,705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-982,311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-1,025,475</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5"/>
              </w:rPr>
              <w:t>0.0%</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-46,982</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-38,868</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-53,783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6"/>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-192,508</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122,537</w:t>
            </w:r>
          </w:p>
        </w:tc>
        <w:tc>
          <w:tcPr>
            <w:tcW w:w="16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104,758</w:t>
            </w:r>
          </w:p>
        </w:tc>
        <w:tc>
          <w:tcPr>
            <w:tcW w:w="14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102,074</w:t>
            </w:r>
          </w:p>
        </w:tc>
        <w:tc>
          <w:tcPr>
            <w:tcW w:w="100" w:type="dxa"/>
            <w:vAlign w:val="bottom"/>
          </w:tcPr>
          <w:p>
            <w:pPr>
              <w:spacing w:after="0"/>
              <w:rPr>
                <w:sz w:val="19"/>
                <w:szCs w:val="19"/>
                <w:color w:val="auto"/>
              </w:rPr>
            </w:pPr>
          </w:p>
        </w:tc>
        <w:tc>
          <w:tcPr>
            <w:tcW w:w="104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399,097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462,122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ROAE</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ROAE incl. good will</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-90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L/D ratio</w:t>
            </w:r>
          </w:p>
        </w:tc>
        <w:tc>
          <w:tcPr>
            <w:tcW w:w="1160" w:type="dxa"/>
            <w:vAlign w:val="bottom"/>
            <w:tcBorders>
              <w:top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0" w:type="dxa"/>
            <w:vAlign w:val="bottom"/>
            <w:tcBorders>
              <w:top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980" w:type="dxa"/>
            <w:vAlign w:val="bottom"/>
            <w:tcBorders>
              <w:top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720" w:type="dxa"/>
            <w:vAlign w:val="bottom"/>
            <w:tcBorders>
              <w:top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IOL ratio</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NPL ratio</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-22</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Coverage of IOLs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-1,907</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Branches </w:t>
            </w:r>
            <w:r>
              <w:rPr>
                <w:rFonts w:ascii="Times New Roman" w:cs="Times New Roman" w:eastAsia="Times New Roman" w:hAnsi="Times New Roman"/>
                <w:sz w:val="29"/>
                <w:szCs w:val="29"/>
                <w:color w:val="auto"/>
                <w:vertAlign w:val="superscript"/>
              </w:rPr>
              <w:t>(1)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22"/>
                <w:szCs w:val="22"/>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2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w:t>
            </w: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Banco de la Nacion branches, which in December 17 were 38, in September 18 were 38 and in December 18 were 37.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11.4. BCP Bolivia</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BCP BOLIVIA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1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S/ thousands, IFRS)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8"/>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 17</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Sep 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6"/>
              </w:rPr>
              <w:t>QoQ</w:t>
            </w:r>
          </w:p>
        </w:tc>
        <w:tc>
          <w:tcPr>
            <w:tcW w:w="60" w:type="dxa"/>
            <w:vAlign w:val="bottom"/>
          </w:tcPr>
          <w:p>
            <w:pPr>
              <w:spacing w:after="0"/>
              <w:rPr>
                <w:sz w:val="20"/>
                <w:szCs w:val="20"/>
                <w:color w:val="auto"/>
              </w:rPr>
            </w:pPr>
          </w:p>
        </w:tc>
        <w:tc>
          <w:tcPr>
            <w:tcW w:w="64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1,400,145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1,131,992</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1,352,941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1,483,091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1,393,722</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1,411,294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6,308,626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7,059,563</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7,250,534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6,167,449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6,903,039</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7,088,797</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14.9%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Internal overdue loans</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118,327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136,115</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136,964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4"/>
              </w:rPr>
              <w:t>15.7%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Refinanced</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22,850</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20,408</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24,773</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-219,294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-226,682</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-237,518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loans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6,089,332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6,832,881</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7,013,016</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56,034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77,069</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80,220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4"/>
              </w:rPr>
              <w:t>43.2%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89,761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91,372</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99,421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9,118,363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9,527,036</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9,956,891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NET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7,979,275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8,457,011</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8,862,374</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30,026</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31,617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102,925</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105,602</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296,652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272,694</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266,200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8,481,687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8,862,656</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9,265,793</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636,676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664,380</w:t>
            </w:r>
          </w:p>
        </w:tc>
        <w:tc>
          <w:tcPr>
            <w:tcW w:w="9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691,098</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LIABILITIES AND NET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9,118,363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9,527,036</w:t>
            </w:r>
          </w:p>
        </w:tc>
        <w:tc>
          <w:tcPr>
            <w:tcW w:w="9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9,956,891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2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60" w:type="dxa"/>
            <w:vAlign w:val="bottom"/>
            <w:tcBorders>
              <w:bottom w:val="single" w:sz="8" w:color="CCEEFF"/>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3Q18</w:t>
            </w:r>
          </w:p>
        </w:tc>
        <w:tc>
          <w:tcPr>
            <w:tcW w:w="16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60" w:type="dxa"/>
            <w:vAlign w:val="bottom"/>
            <w:tcBorders>
              <w:bottom w:val="single" w:sz="8" w:color="CCEEFF"/>
            </w:tcBorders>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QoQ</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 / 2017</w:t>
            </w:r>
          </w:p>
        </w:tc>
        <w:tc>
          <w:tcPr>
            <w:tcW w:w="18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309,035</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loan losses, net of recoveries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-15,325</w:t>
            </w:r>
          </w:p>
        </w:tc>
        <w:tc>
          <w:tcPr>
            <w:tcW w:w="8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-16,883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-52,152</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63,104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67,412</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65,039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243,507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256,883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Non-financial income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22,775</w:t>
            </w:r>
          </w:p>
        </w:tc>
        <w:tc>
          <w:tcPr>
            <w:tcW w:w="8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31,888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124,734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-64,028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-64,798</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-243,584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-258,548</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-10,016</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-44,623</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18,755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15,360</w:t>
            </w:r>
          </w:p>
        </w:tc>
        <w:tc>
          <w:tcPr>
            <w:tcW w:w="80" w:type="dxa"/>
            <w:vAlign w:val="bottom"/>
          </w:tcPr>
          <w:p>
            <w:pPr>
              <w:spacing w:after="0"/>
              <w:rPr>
                <w:sz w:val="19"/>
                <w:szCs w:val="19"/>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22,876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75,390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78,260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205 pbs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5"/>
              </w:rPr>
              <w:t>-119 pbs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ROAE</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 pbs</w:t>
            </w:r>
          </w:p>
        </w:tc>
        <w:tc>
          <w:tcPr>
            <w:tcW w:w="1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 pbs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 bps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L/D ratio</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-167 pbs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275 pbs</w:t>
            </w: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IOL ratio</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pbs</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 pbs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NPL ratio</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 pbs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 pbs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IOLs</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 pbs</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-1191 pbs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8"/>
                <w:szCs w:val="18"/>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204 pbs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-847 pbs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Agentes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ATMs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9"/>
                <w:szCs w:val="19"/>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11.5. Credicorp Capital</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Credicorp Capital</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4Q17</w:t>
            </w: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3Q18</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4Q18</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2018 / 2017</w:t>
            </w:r>
          </w:p>
        </w:tc>
        <w:tc>
          <w:tcPr>
            <w:tcW w:w="180" w:type="dxa"/>
            <w:vAlign w:val="bottom"/>
            <w:tcBorders>
              <w:bottom w:val="single" w:sz="8" w:color="CCEEFF"/>
            </w:tcBorders>
          </w:tcPr>
          <w:p>
            <w:pPr>
              <w:spacing w:after="0"/>
              <w:rPr>
                <w:sz w:val="20"/>
                <w:szCs w:val="20"/>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Non-financial income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167,535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141,301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160,001</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569,156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593,201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 income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131,440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122,097</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28.3%</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413,613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421,540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gain on foreign exchange transactions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16,012</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90.3%</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176.5%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21,143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39,780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sales of securities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37,684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27,379</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24,137</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108,818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 Result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-1,759</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-123.8%</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-80.4%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17,060</w:t>
            </w:r>
          </w:p>
        </w:tc>
        <w:tc>
          <w:tcPr>
            <w:tcW w:w="10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Result from exposure to the exchange rate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-394.9%</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r>
      <w:tr>
        <w:trPr>
          <w:trHeight w:val="216"/>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2,449</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54.2%</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14,677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360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30"/>
                <w:szCs w:val="30"/>
                <w:color w:val="auto"/>
                <w:vertAlign w:val="superscript"/>
              </w:rPr>
              <w:t>(1)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-129,152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-102,396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-159,033</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55.3%</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-446,308</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-487,068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0"/>
        </w:trPr>
        <w:tc>
          <w:tcPr>
            <w:tcW w:w="3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28,411</w:t>
            </w:r>
          </w:p>
        </w:tc>
        <w:tc>
          <w:tcPr>
            <w:tcW w:w="2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26,716</w:t>
            </w:r>
          </w:p>
        </w:tc>
        <w:tc>
          <w:tcPr>
            <w:tcW w:w="2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-8,060</w:t>
            </w:r>
          </w:p>
        </w:tc>
        <w:tc>
          <w:tcPr>
            <w:tcW w:w="2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110,847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10"/>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66.7%</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17,770</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77,289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Unaudited results.</w:t>
      </w:r>
    </w:p>
    <w:p>
      <w:pPr>
        <w:spacing w:after="0" w:line="27" w:lineRule="exact"/>
        <w:rPr>
          <w:sz w:val="20"/>
          <w:szCs w:val="20"/>
          <w:color w:val="auto"/>
        </w:rPr>
      </w:pPr>
    </w:p>
    <w:p>
      <w:pPr>
        <w:ind w:firstLine="8"/>
        <w:spacing w:after="0" w:line="261" w:lineRule="auto"/>
        <w:tabs>
          <w:tab w:leader="none" w:pos="27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Salaries and employees benefits + Administrative expenses + Assigned expenses + Depreciation and amortization + Tax and contributions + Other expenses.</w:t>
      </w:r>
    </w:p>
    <w:p>
      <w:pPr>
        <w:spacing w:after="0" w:line="39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11.6. Atlantic Security 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Millions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from banks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investments in equities and mutual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Borrowed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3Q18</w:t>
            </w:r>
          </w:p>
        </w:tc>
        <w:tc>
          <w:tcPr>
            <w:tcW w:w="16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gridSpan w:val="2"/>
          </w:tcPr>
          <w:p>
            <w:pPr>
              <w:spacing w:after="0"/>
              <w:rPr>
                <w:sz w:val="20"/>
                <w:szCs w:val="20"/>
                <w:color w:val="auto"/>
              </w:rPr>
            </w:pPr>
          </w:p>
        </w:tc>
      </w:tr>
      <w:tr>
        <w:trPr>
          <w:trHeight w:val="191"/>
        </w:trPr>
        <w:tc>
          <w:tcPr>
            <w:tcW w:w="6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814.1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766.4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730.8</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w w:val="98"/>
              </w:rPr>
              <w:t>-10.2%</w:t>
            </w:r>
          </w:p>
        </w:tc>
      </w:tr>
      <w:tr>
        <w:trPr>
          <w:trHeight w:val="216"/>
        </w:trPr>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1,000.5</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870.5</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-13.0%</w:t>
            </w:r>
          </w:p>
        </w:tc>
      </w:tr>
      <w:tr>
        <w:trPr>
          <w:trHeight w:val="216"/>
        </w:trPr>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2,052.4</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1,839.0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-10.4%</w:t>
            </w:r>
          </w:p>
        </w:tc>
      </w:tr>
      <w:tr>
        <w:trPr>
          <w:trHeight w:val="216"/>
        </w:trPr>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1,610.1</w:t>
            </w: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1,288.3</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-20.0%</w:t>
            </w:r>
          </w:p>
        </w:tc>
      </w:tr>
      <w:tr>
        <w:trPr>
          <w:trHeight w:val="248"/>
        </w:trPr>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269.7</w:t>
            </w:r>
          </w:p>
        </w:tc>
        <w:tc>
          <w:tcPr>
            <w:tcW w:w="40" w:type="dxa"/>
            <w:vAlign w:val="bottom"/>
          </w:tcPr>
          <w:p>
            <w:pPr>
              <w:spacing w:after="0"/>
              <w:rPr>
                <w:sz w:val="21"/>
                <w:szCs w:val="21"/>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238.1</w:t>
            </w:r>
          </w:p>
        </w:tc>
        <w:tc>
          <w:tcPr>
            <w:tcW w:w="12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232.1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-14.0%</w:t>
            </w:r>
          </w:p>
        </w:tc>
      </w:tr>
      <w:tr>
        <w:trPr>
          <w:trHeight w:val="210"/>
        </w:trPr>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0"/>
              </w:rPr>
              <w:t>-29.3</w:t>
            </w:r>
          </w:p>
        </w:tc>
        <w:tc>
          <w:tcPr>
            <w:tcW w:w="20" w:type="dxa"/>
            <w:vAlign w:val="bottom"/>
            <w:tcBorders>
              <w:top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849"/>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12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4Q17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gridSpan w:val="2"/>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58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8"/>
                <w:szCs w:val="18"/>
                <w:color w:val="auto"/>
                <w:w w:val="88"/>
              </w:rPr>
              <w:t>184</w:t>
            </w:r>
          </w:p>
        </w:tc>
        <w:tc>
          <w:tcPr>
            <w:tcW w:w="4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5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81.3%</w:t>
            </w:r>
          </w:p>
        </w:tc>
        <w:tc>
          <w:tcPr>
            <w:tcW w:w="760" w:type="dxa"/>
            <w:vAlign w:val="bottom"/>
            <w:gridSpan w:val="3"/>
          </w:tcPr>
          <w:p>
            <w:pPr>
              <w:ind w:left="220"/>
              <w:spacing w:after="0" w:line="191" w:lineRule="exact"/>
              <w:rPr>
                <w:sz w:val="20"/>
                <w:szCs w:val="20"/>
                <w:color w:val="auto"/>
              </w:rPr>
            </w:pPr>
            <w:r>
              <w:rPr>
                <w:rFonts w:ascii="Times New Roman" w:cs="Times New Roman" w:eastAsia="Times New Roman" w:hAnsi="Times New Roman"/>
                <w:sz w:val="18"/>
                <w:szCs w:val="18"/>
                <w:color w:val="auto"/>
                <w:w w:val="98"/>
              </w:rPr>
              <w:t>-28.0%</w:t>
            </w:r>
          </w:p>
        </w:tc>
      </w:tr>
      <w:tr>
        <w:trPr>
          <w:trHeight w:val="216"/>
        </w:trPr>
        <w:tc>
          <w:tcPr>
            <w:tcW w:w="7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814</w:t>
            </w: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-10.2%</w:t>
            </w:r>
          </w:p>
        </w:tc>
      </w:tr>
      <w:tr>
        <w:trPr>
          <w:trHeight w:val="248"/>
        </w:trPr>
        <w:tc>
          <w:tcPr>
            <w:tcW w:w="7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979</w:t>
            </w:r>
          </w:p>
        </w:tc>
        <w:tc>
          <w:tcPr>
            <w:tcW w:w="8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827</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0"/>
        </w:trPr>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1,977</w:t>
            </w:r>
          </w:p>
        </w:tc>
        <w:tc>
          <w:tcPr>
            <w:tcW w:w="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5"/>
              </w:rPr>
              <w:t>-14.5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-1851660</wp:posOffset>
            </wp:positionV>
            <wp:extent cx="542861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-1577340</wp:posOffset>
            </wp:positionV>
            <wp:extent cx="542861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-2134870</wp:posOffset>
            </wp:positionV>
            <wp:extent cx="542861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-299720</wp:posOffset>
            </wp:positionV>
            <wp:extent cx="542861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-582295</wp:posOffset>
            </wp:positionV>
            <wp:extent cx="5428615"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4Q17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60" w:type="dxa"/>
            <w:vAlign w:val="bottom"/>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gridSpan w:val="2"/>
          </w:tcPr>
          <w:p>
            <w:pPr>
              <w:spacing w:after="0"/>
              <w:rPr>
                <w:sz w:val="20"/>
                <w:szCs w:val="20"/>
                <w:color w:val="auto"/>
              </w:rPr>
            </w:pPr>
          </w:p>
        </w:tc>
      </w:tr>
      <w:tr>
        <w:trPr>
          <w:trHeight w:val="191"/>
        </w:trPr>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1,367</w:t>
            </w:r>
          </w:p>
        </w:tc>
        <w:tc>
          <w:tcPr>
            <w:tcW w:w="160" w:type="dxa"/>
            <w:vAlign w:val="bottom"/>
          </w:tcPr>
          <w:p>
            <w:pPr>
              <w:spacing w:after="0"/>
              <w:rPr>
                <w:sz w:val="16"/>
                <w:szCs w:val="16"/>
                <w:color w:val="auto"/>
              </w:rPr>
            </w:pP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1,288</w:t>
            </w:r>
          </w:p>
        </w:tc>
        <w:tc>
          <w:tcPr>
            <w:tcW w:w="160" w:type="dxa"/>
            <w:vAlign w:val="bottom"/>
          </w:tcPr>
          <w:p>
            <w:pPr>
              <w:spacing w:after="0"/>
              <w:rPr>
                <w:sz w:val="16"/>
                <w:szCs w:val="16"/>
                <w:color w:val="auto"/>
              </w:rPr>
            </w:pPr>
          </w:p>
        </w:tc>
        <w:tc>
          <w:tcPr>
            <w:tcW w:w="84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-5.8%</w:t>
            </w:r>
          </w:p>
        </w:tc>
        <w:tc>
          <w:tcPr>
            <w:tcW w:w="7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-20.0%</w:t>
            </w:r>
          </w:p>
        </w:tc>
      </w:tr>
      <w:tr>
        <w:trPr>
          <w:trHeight w:val="216"/>
        </w:trPr>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8"/>
        </w:trPr>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10"/>
        </w:trPr>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1,683</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-299720</wp:posOffset>
            </wp:positionV>
            <wp:extent cx="542861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-582295</wp:posOffset>
            </wp:positionV>
            <wp:extent cx="542861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900" w:right="239" w:bottom="1440" w:gutter="0" w:footer="0" w:header="0"/>
        </w:sectPr>
      </w:pPr>
    </w:p>
    <w:p>
      <w:pPr>
        <w:spacing w:after="0" w:line="214"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66" w:name="page67"/>
    <w:bookmarkEnd w:id="6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Assets under management and Deposits</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142875</wp:posOffset>
            </wp:positionV>
            <wp:extent cx="4296410" cy="25298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9641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Portfolio distribution as of December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157480</wp:posOffset>
            </wp:positionV>
            <wp:extent cx="4098925" cy="19723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9892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11.7. Grupo Pacifico</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0"/>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GRUPO PACIFICO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(S/ in thousands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Dic 17</w:t>
            </w:r>
          </w:p>
        </w:tc>
        <w:tc>
          <w:tcPr>
            <w:tcW w:w="160" w:type="dxa"/>
            <w:vAlign w:val="bottom"/>
            <w:tcBorders>
              <w:bottom w:val="single" w:sz="8" w:color="CCEEFF"/>
            </w:tcBorders>
            <w:gridSpan w:val="2"/>
          </w:tcPr>
          <w:p>
            <w:pPr>
              <w:spacing w:after="0"/>
              <w:rPr>
                <w:sz w:val="20"/>
                <w:szCs w:val="20"/>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Set 18</w:t>
            </w:r>
          </w:p>
        </w:tc>
        <w:tc>
          <w:tcPr>
            <w:tcW w:w="140" w:type="dxa"/>
            <w:vAlign w:val="bottom"/>
            <w:tcBorders>
              <w:bottom w:val="single" w:sz="8" w:color="CCEEFF"/>
            </w:tcBorders>
            <w:gridSpan w:val="2"/>
          </w:tcPr>
          <w:p>
            <w:pPr>
              <w:spacing w:after="0"/>
              <w:rPr>
                <w:sz w:val="20"/>
                <w:szCs w:val="20"/>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Dic 18</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11,405,528</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11,996,954</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12,223,495</w:t>
            </w:r>
          </w:p>
        </w:tc>
        <w:tc>
          <w:tcPr>
            <w:tcW w:w="140" w:type="dxa"/>
            <w:vAlign w:val="bottom"/>
            <w:tcBorders>
              <w:right w:val="single" w:sz="8" w:color="CCEEFF"/>
            </w:tcBorders>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Invesment on securities </w:t>
            </w:r>
            <w:r>
              <w:rPr>
                <w:rFonts w:ascii="Times New Roman" w:cs="Times New Roman" w:eastAsia="Times New Roman" w:hAnsi="Times New Roman"/>
                <w:sz w:val="29"/>
                <w:szCs w:val="29"/>
                <w:color w:val="auto"/>
                <w:vertAlign w:val="superscript"/>
              </w:rPr>
              <w:t>(1)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8,425,042</w:t>
            </w:r>
          </w:p>
        </w:tc>
        <w:tc>
          <w:tcPr>
            <w:tcW w:w="1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8,861,566</w:t>
            </w:r>
          </w:p>
        </w:tc>
        <w:tc>
          <w:tcPr>
            <w:tcW w:w="100" w:type="dxa"/>
            <w:vAlign w:val="bottom"/>
          </w:tcPr>
          <w:p>
            <w:pPr>
              <w:spacing w:after="0"/>
              <w:rPr>
                <w:sz w:val="22"/>
                <w:szCs w:val="22"/>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8,921,449</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2"/>
                <w:szCs w:val="22"/>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reserves</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7,488,839</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8,192,100</w:t>
            </w:r>
          </w:p>
        </w:tc>
        <w:tc>
          <w:tcPr>
            <w:tcW w:w="100" w:type="dxa"/>
            <w:vAlign w:val="bottom"/>
            <w:tcBorders>
              <w:righ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8,471,154</w:t>
            </w:r>
          </w:p>
        </w:tc>
        <w:tc>
          <w:tcPr>
            <w:tcW w:w="66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equity</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2,849,527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2,596,213</w:t>
            </w:r>
          </w:p>
        </w:tc>
        <w:tc>
          <w:tcPr>
            <w:tcW w:w="10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2,614,480</w:t>
            </w:r>
          </w:p>
        </w:tc>
        <w:tc>
          <w:tcPr>
            <w:tcW w:w="12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0.7%   -8.2%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4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8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3Q18</w:t>
            </w:r>
          </w:p>
        </w:tc>
        <w:tc>
          <w:tcPr>
            <w:tcW w:w="2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4Q18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QoQ</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 / 2017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538,742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536,901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1,900,459</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2,100,348</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claims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1,118,304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1,239,635</w:t>
            </w: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fees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133,138</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513,501</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572,556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underwriting expenses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23,312</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72,694</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118,556</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Underwriting result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46,412</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49,351</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40,389</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195,960</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169,601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521,264</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118,347</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93,601</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426,288</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424,256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38,093</w:t>
            </w: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65,013</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52,179</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Traslations results</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2,921</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Gain (loss) from Grupo Pacifico and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Banmedica agreement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12,971</w:t>
            </w:r>
          </w:p>
        </w:tc>
        <w:tc>
          <w:tcPr>
            <w:tcW w:w="14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16,216</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35,838</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2,573</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28,480</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4,256</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minority interest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81,551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98,429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325,008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353,292</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1,548</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9,302</w:t>
            </w: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80,003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95,839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104,417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318,378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343,990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 bps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 bps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Loss ratio </w:t>
            </w:r>
            <w:r>
              <w:rPr>
                <w:rFonts w:ascii="Times New Roman" w:cs="Times New Roman" w:eastAsia="Times New Roman" w:hAnsi="Times New Roman"/>
                <w:sz w:val="29"/>
                <w:szCs w:val="29"/>
                <w:color w:val="auto"/>
                <w:vertAlign w:val="superscript"/>
              </w:rPr>
              <w:t>(2)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 bps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200 bps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 bps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Borders>
              <w:right w:val="single" w:sz="8" w:color="CCEEFF"/>
            </w:tcBorders>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 underwriting expenses, net / net</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earned premiums</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bps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8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 bps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 bps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Underwriting results / net earned</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 bps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w w:val="99"/>
              </w:rPr>
              <w:t>-210 bps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 net earned premiums</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 bps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-180 bps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ROAE (3)(4)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 bps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470 bps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written premiums</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bps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 bps</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 pbs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gridSpan w:val="3"/>
          </w:tcPr>
          <w:p>
            <w:pPr>
              <w:spacing w:after="0" w:line="269" w:lineRule="exact"/>
              <w:rPr>
                <w:sz w:val="20"/>
                <w:szCs w:val="20"/>
                <w:color w:val="auto"/>
              </w:rPr>
            </w:pPr>
            <w:r>
              <w:rPr>
                <w:rFonts w:ascii="Times New Roman" w:cs="Times New Roman" w:eastAsia="Times New Roman" w:hAnsi="Times New Roman"/>
                <w:sz w:val="18"/>
                <w:szCs w:val="18"/>
                <w:color w:val="auto"/>
              </w:rPr>
              <w:t xml:space="preserve">Combined ratio of P&amp;C </w:t>
            </w:r>
            <w:r>
              <w:rPr>
                <w:rFonts w:ascii="Times New Roman" w:cs="Times New Roman" w:eastAsia="Times New Roman" w:hAnsi="Times New Roman"/>
                <w:sz w:val="30"/>
                <w:szCs w:val="30"/>
                <w:color w:val="auto"/>
                <w:vertAlign w:val="superscript"/>
              </w:rPr>
              <w:t>(5)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10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101.6%</w:t>
            </w:r>
          </w:p>
        </w:tc>
        <w:tc>
          <w:tcPr>
            <w:tcW w:w="14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410 bps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360 bps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97.1%</w:t>
            </w:r>
          </w:p>
        </w:tc>
        <w:tc>
          <w:tcPr>
            <w:tcW w:w="16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without consolidation adjustments.</w:t>
      </w:r>
    </w:p>
    <w:p>
      <w:pPr>
        <w:spacing w:after="0" w:line="27" w:lineRule="exact"/>
        <w:rPr>
          <w:sz w:val="20"/>
          <w:szCs w:val="20"/>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investments in real estate.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claims / Net earned premiums.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unrealized gains.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and average are determined as the average of period beginning and period ending.</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claims / Net earned premiums) + [(Acquisition cost + total expenses) / Net earned premiums].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health insurance business, which is managed by Grupo Pacifico and incorporated in each line of Grupo Pacifico’s financial statements;</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health insurance for payroll employees; and</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services.</w:t>
      </w:r>
    </w:p>
    <w:p>
      <w:pPr>
        <w:spacing w:after="0" w:line="225"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58" w:lineRule="exact"/>
        <w:rPr>
          <w:sz w:val="20"/>
          <w:szCs w:val="20"/>
          <w:color w:val="auto"/>
        </w:rPr>
      </w:pPr>
    </w:p>
    <w:p>
      <w:pPr>
        <w:ind w:left="60" w:right="20"/>
        <w:spacing w:after="0" w:line="286" w:lineRule="auto"/>
        <w:rPr>
          <w:sz w:val="20"/>
          <w:szCs w:val="20"/>
          <w:color w:val="auto"/>
        </w:rPr>
      </w:pPr>
      <w:r>
        <w:rPr>
          <w:rFonts w:ascii="Times New Roman" w:cs="Times New Roman" w:eastAsia="Times New Roman" w:hAnsi="Times New Roman"/>
          <w:sz w:val="18"/>
          <w:szCs w:val="18"/>
          <w:color w:val="auto"/>
        </w:rPr>
        <w:t xml:space="preserve">As explained before, </w:t>
      </w:r>
      <w:r>
        <w:rPr>
          <w:rFonts w:ascii="Times New Roman" w:cs="Times New Roman" w:eastAsia="Times New Roman" w:hAnsi="Times New Roman"/>
          <w:sz w:val="18"/>
          <w:szCs w:val="18"/>
          <w:b w:val="1"/>
          <w:bCs w:val="1"/>
          <w:color w:val="auto"/>
        </w:rPr>
        <w:t>corporate health insurance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medical services</w:t>
      </w:r>
      <w:r>
        <w:rPr>
          <w:rFonts w:ascii="Times New Roman" w:cs="Times New Roman" w:eastAsia="Times New Roman" w:hAnsi="Times New Roman"/>
          <w:sz w:val="18"/>
          <w:szCs w:val="18"/>
          <w:color w:val="auto"/>
        </w:rPr>
        <w:t xml:space="preserve"> businesses are consolidated by Banmedica. The following table reflects the consolidated results from which Grupo Pacifico receives the 50% net income.</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076"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Health Insurance and Medical Services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3Q18</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QoQ</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YoY</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2018 /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236,333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255,104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257,274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927,927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1,002,019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claims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-199,477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-220,993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-224,156</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-771,793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-848,003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fees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-11,062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-11,740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-10,806</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-42,478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-44,289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underwriting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-12,220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-11,231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result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22,562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19,695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20,032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101,437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98,496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1,396</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-20,356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-18,211</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-20,204</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-74,154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-74,902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-3261.1%</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Traslations results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-1559.0%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-10,657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Medical services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2,374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1,842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4,941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168.2%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22,784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23,379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of Medical services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16,338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19,448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21,261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59,642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77,027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18,712</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21,290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26,202</w:t>
            </w: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82,426</w:t>
            </w:r>
          </w:p>
        </w:tc>
        <w:tc>
          <w:tcPr>
            <w:tcW w:w="1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100,405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11.8. Prima AFP</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3"/>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28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4Q17</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3Q18</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4Q18</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2018 / 2017</w:t>
            </w:r>
          </w:p>
        </w:tc>
        <w:tc>
          <w:tcPr>
            <w:tcW w:w="180" w:type="dxa"/>
            <w:vAlign w:val="bottom"/>
            <w:tcBorders>
              <w:bottom w:val="single" w:sz="8" w:color="CCEEFF"/>
            </w:tcBorders>
          </w:tcPr>
          <w:p>
            <w:pPr>
              <w:spacing w:after="0"/>
              <w:rPr>
                <w:sz w:val="20"/>
                <w:szCs w:val="20"/>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commissions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92,660</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379,720</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sale expenses</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(43,386)</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(38,229)</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(36,005)</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-160,247</w:t>
            </w:r>
          </w:p>
        </w:tc>
        <w:tc>
          <w:tcPr>
            <w:tcW w:w="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-153,323</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(4,637)</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(4,464)</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(4,390)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-22,610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-18,414</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44,637</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51,724</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53,687</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201,493</w:t>
            </w:r>
          </w:p>
        </w:tc>
        <w:tc>
          <w:tcPr>
            <w:tcW w:w="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207,983</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01"/>
        </w:trPr>
        <w:tc>
          <w:tcPr>
            <w:tcW w:w="2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Other income and expenses, net</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71"/>
        </w:trPr>
        <w:tc>
          <w:tcPr>
            <w:tcW w:w="288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 xml:space="preserve">(profitability of lace) </w:t>
            </w:r>
            <w:r>
              <w:rPr>
                <w:rFonts w:ascii="Times New Roman" w:cs="Times New Roman" w:eastAsia="Times New Roman" w:hAnsi="Times New Roman"/>
                <w:sz w:val="30"/>
                <w:szCs w:val="30"/>
                <w:color w:val="auto"/>
                <w:vertAlign w:val="superscript"/>
              </w:rPr>
              <w:t>(1)</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3,004</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6,737</w:t>
            </w:r>
          </w:p>
        </w:tc>
        <w:tc>
          <w:tcPr>
            <w:tcW w:w="10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(6,146)</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-304.6%</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-1,366</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r>
      <w:tr>
        <w:trPr>
          <w:trHeight w:val="257"/>
        </w:trPr>
        <w:tc>
          <w:tcPr>
            <w:tcW w:w="2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Income tax </w:t>
            </w:r>
            <w:r>
              <w:rPr>
                <w:rFonts w:ascii="Times New Roman" w:cs="Times New Roman" w:eastAsia="Times New Roman" w:hAnsi="Times New Roman"/>
                <w:sz w:val="29"/>
                <w:szCs w:val="29"/>
                <w:color w:val="auto"/>
                <w:vertAlign w:val="superscript"/>
              </w:rPr>
              <w:t>(1)</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(17,238)</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(16,811)</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(16,980)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-65,591</w:t>
            </w:r>
          </w:p>
        </w:tc>
        <w:tc>
          <w:tcPr>
            <w:tcW w:w="80" w:type="dxa"/>
            <w:vAlign w:val="bottom"/>
          </w:tcPr>
          <w:p>
            <w:pPr>
              <w:spacing w:after="0"/>
              <w:rPr>
                <w:sz w:val="22"/>
                <w:szCs w:val="22"/>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-66,712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194"/>
        </w:trPr>
        <w:tc>
          <w:tcPr>
            <w:tcW w:w="2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before translation</w:t>
            </w: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30,403</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41,650</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30,561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0.5%</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140,065</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139,905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Translations results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(175)</w:t>
            </w:r>
          </w:p>
        </w:tc>
        <w:tc>
          <w:tcPr>
            <w:tcW w:w="10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-520.1%</w:t>
            </w:r>
          </w:p>
        </w:tc>
        <w:tc>
          <w:tcPr>
            <w:tcW w:w="10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30,424</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41,475</w:t>
            </w: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30,471</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-26.5%</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0.2%</w:t>
            </w:r>
          </w:p>
        </w:tc>
        <w:tc>
          <w:tcPr>
            <w:tcW w:w="10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140,082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139,586</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ROAE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6"/>
              </w:rPr>
              <w:t>-816 pbs</w:t>
            </w: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 pbs</w:t>
            </w:r>
          </w:p>
        </w:tc>
        <w:tc>
          <w:tcPr>
            <w:tcW w:w="3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 pbs</w:t>
            </w:r>
          </w:p>
        </w:tc>
        <w:tc>
          <w:tcPr>
            <w:tcW w:w="1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difers from previously reported, consider the data presented on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8"/>
        </w:trPr>
        <w:tc>
          <w:tcPr>
            <w:tcW w:w="36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4Q17</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QoQ</w:t>
            </w:r>
          </w:p>
        </w:tc>
        <w:tc>
          <w:tcPr>
            <w:tcW w:w="2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882,917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874,649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263,716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232,544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241,307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36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 xml:space="preserve">Net shareholders' equity </w:t>
            </w:r>
            <w:r>
              <w:rPr>
                <w:rFonts w:ascii="Times New Roman" w:cs="Times New Roman" w:eastAsia="Times New Roman" w:hAnsi="Times New Roman"/>
                <w:sz w:val="30"/>
                <w:szCs w:val="30"/>
                <w:color w:val="auto"/>
                <w:vertAlign w:val="superscript"/>
              </w:rPr>
              <w:t>(1)</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619,200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622,452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633,342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 18</w:t>
            </w:r>
          </w:p>
        </w:tc>
        <w:tc>
          <w:tcPr>
            <w:tcW w:w="12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 share</w:t>
            </w: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 18</w:t>
            </w:r>
          </w:p>
        </w:tc>
        <w:tc>
          <w:tcPr>
            <w:tcW w:w="12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vMerge w:val="continue"/>
            <w:shd w:val="clear" w:color="auto" w:fill="CCEEFF"/>
          </w:tcPr>
          <w:p>
            <w:pPr>
              <w:spacing w:after="0"/>
              <w:rPr>
                <w:sz w:val="18"/>
                <w:szCs w:val="18"/>
                <w:color w:val="auto"/>
              </w:rPr>
            </w:pPr>
          </w:p>
        </w:tc>
        <w:tc>
          <w:tcPr>
            <w:tcW w:w="8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Fund 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5,343</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5,215</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36,332</w:t>
            </w:r>
          </w:p>
        </w:tc>
        <w:tc>
          <w:tcPr>
            <w:tcW w:w="98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6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35,198</w:t>
            </w:r>
          </w:p>
        </w:tc>
        <w:tc>
          <w:tcPr>
            <w:tcW w:w="820" w:type="dxa"/>
            <w:vAlign w:val="bottom"/>
            <w:tcBorders>
              <w:lef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Fund 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7,474</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6,855</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 Millions</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49,735</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left w:val="single" w:sz="8" w:color="CCEEFF"/>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 SBS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Sep 18 / Sep 17</w:t>
            </w:r>
          </w:p>
        </w:tc>
        <w:tc>
          <w:tcPr>
            <w:tcW w:w="166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Dec 18 / Dec 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0</w:t>
            </w: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Fund 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Fund 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AFP fees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Fee based on flow</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420" w:type="dxa"/>
            <w:vAlign w:val="bottom"/>
          </w:tcPr>
          <w:p>
            <w:pPr>
              <w:spacing w:after="0"/>
              <w:rPr>
                <w:sz w:val="24"/>
                <w:szCs w:val="24"/>
                <w:color w:val="auto"/>
              </w:rPr>
            </w:pPr>
          </w:p>
        </w:tc>
        <w:tc>
          <w:tcPr>
            <w:tcW w:w="38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Applied to the affiliates' monthly remuneration.</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Mixed fee</w:t>
            </w: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shd w:val="clear" w:color="auto" w:fill="CCEEFF"/>
          </w:tcPr>
          <w:p>
            <w:pPr>
              <w:spacing w:after="0"/>
              <w:rPr>
                <w:sz w:val="18"/>
                <w:szCs w:val="18"/>
                <w:color w:val="auto"/>
              </w:rPr>
            </w:pPr>
          </w:p>
        </w:tc>
        <w:tc>
          <w:tcPr>
            <w:tcW w:w="70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Applied to the affiliates' monthly remuneration since June 2017. Feb 17- may 17 =0.87%.</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0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1.25%</w:t>
            </w:r>
          </w:p>
        </w:tc>
        <w:tc>
          <w:tcPr>
            <w:tcW w:w="420" w:type="dxa"/>
            <w:vAlign w:val="bottom"/>
            <w:shd w:val="clear" w:color="auto" w:fill="CCEEFF"/>
          </w:tcPr>
          <w:p>
            <w:pPr>
              <w:spacing w:after="0"/>
              <w:rPr>
                <w:sz w:val="17"/>
                <w:szCs w:val="17"/>
                <w:color w:val="auto"/>
              </w:rPr>
            </w:pPr>
          </w:p>
        </w:tc>
        <w:tc>
          <w:tcPr>
            <w:tcW w:w="7980" w:type="dxa"/>
            <w:vAlign w:val="bottom"/>
            <w:gridSpan w:val="2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Applies annualy to the new balance since February 2013 for new affiliates to the system and beginning 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9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2013 for old affiliates who have chosen this commission scheme.</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Main indicators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Prima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 share</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Prima</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0" w:type="dxa"/>
            <w:vAlign w:val="bottom"/>
          </w:tcPr>
          <w:p>
            <w:pPr>
              <w:spacing w:after="0"/>
              <w:rPr>
                <w:sz w:val="1"/>
                <w:szCs w:val="1"/>
                <w:color w:val="auto"/>
              </w:rPr>
            </w:pPr>
          </w:p>
        </w:tc>
      </w:tr>
      <w:tr>
        <w:trPr>
          <w:trHeight w:val="238"/>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Main indicators and market share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3Q18</w:t>
            </w: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3Q18</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4Q18</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4Q18</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4Q18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CCEEFF"/>
            </w:tcBorders>
            <w:vMerge w:val="restart"/>
            <w:shd w:val="clear" w:color="auto" w:fill="CCEEFF"/>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2,020,139</w:t>
            </w:r>
          </w:p>
        </w:tc>
        <w:tc>
          <w:tcPr>
            <w:tcW w:w="120" w:type="dxa"/>
            <w:vAlign w:val="bottom"/>
            <w:tcBorders>
              <w:left w:val="single" w:sz="8" w:color="CCEEFF"/>
            </w:tcBorders>
            <w:vMerge w:val="continue"/>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6,918,412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2,137,604</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7,018,669</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New affiliations </w:t>
            </w:r>
            <w:r>
              <w:rPr>
                <w:rFonts w:ascii="Times New Roman" w:cs="Times New Roman" w:eastAsia="Times New Roman" w:hAnsi="Times New Roman"/>
                <w:sz w:val="29"/>
                <w:szCs w:val="29"/>
                <w:color w:val="auto"/>
                <w:vertAlign w:val="superscript"/>
              </w:rPr>
              <w:t>(1)</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110,289</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110,289</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104,027</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104,027</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under management (S/ Millions)</w:t>
            </w: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w:t>
            </w:r>
          </w:p>
        </w:tc>
        <w:tc>
          <w:tcPr>
            <w:tcW w:w="1160" w:type="dxa"/>
            <w:vAlign w:val="bottom"/>
            <w:tcBorders>
              <w:left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Collections (S/ Millions)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3,175</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contributions (S/ Millions)</w:t>
            </w:r>
          </w:p>
        </w:tc>
        <w:tc>
          <w:tcPr>
            <w:tcW w:w="4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160" w:type="dxa"/>
            <w:vAlign w:val="bottom"/>
            <w:tcBorders>
              <w:left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0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 xml:space="preserve">RAM (S/ Millions) </w:t>
            </w:r>
            <w:r>
              <w:rPr>
                <w:rFonts w:ascii="Times New Roman" w:cs="Times New Roman" w:eastAsia="Times New Roman" w:hAnsi="Times New Roman"/>
                <w:sz w:val="30"/>
                <w:szCs w:val="30"/>
                <w:color w:val="auto"/>
                <w:vertAlign w:val="superscript"/>
              </w:rPr>
              <w:t>(2)</w:t>
            </w: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1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7,715</w:t>
            </w:r>
          </w:p>
        </w:tc>
        <w:tc>
          <w:tcPr>
            <w:tcW w:w="1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w:t>
            </w:r>
          </w:p>
        </w:tc>
        <w:tc>
          <w:tcPr>
            <w:tcW w:w="1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SBS</w:t>
      </w:r>
    </w:p>
    <w:p>
      <w:pPr>
        <w:spacing w:after="0" w:line="29"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and May AFP Habitat had exclusivity of affiliation. From June Prima AFP it has exclusivity for being a winner of bidding.</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AFP estimate: Average of aggregated income during the last 4 months, excluding special collections and voluntary contribution fees.</w:t>
      </w:r>
    </w:p>
    <w:p>
      <w:pPr>
        <w:sectPr>
          <w:pgSz w:w="11900" w:h="16838" w:orient="portrait"/>
          <w:cols w:equalWidth="0" w:num="1">
            <w:col w:w="11420"/>
          </w:cols>
          <w:pgMar w:left="240" w:top="900" w:right="239" w:bottom="0" w:gutter="0" w:footer="0" w:header="0"/>
        </w:sectPr>
      </w:pPr>
    </w:p>
    <w:bookmarkStart w:id="70" w:name="page71"/>
    <w:bookmarkEnd w:id="70"/>
    <w:p>
      <w:pPr>
        <w:ind w:left="100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5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746115" cy="6886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6115" cy="688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are determined as the average of period-beginning and period-ending balances.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total deposits, due to banks and correspondents, BCRP instruments, repurchase agreements and bonds and subordinated debt.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Life insurance business.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2"/>
    </w:lvl>
  </w:abstractNum>
  <w:abstractNum w:abstractNumId="8">
    <w:nsid w:val="542289EC"/>
    <w:multiLevelType w:val="hybridMultilevel"/>
    <w:lvl w:ilvl="0">
      <w:lvlJc w:val="left"/>
      <w:lvlText w:val="(%1)"/>
      <w:numFmt w:val="lowerRoman"/>
      <w:start w:val="1"/>
    </w:lvl>
  </w:abstractNum>
  <w:abstractNum w:abstractNumId="9">
    <w:nsid w:val="6DE91B18"/>
    <w:multiLevelType w:val="hybridMultilevel"/>
    <w:lvl w:ilvl="0">
      <w:lvlJc w:val="left"/>
      <w:lvlText w:val="(%1)"/>
      <w:numFmt w:val="lowerRoman"/>
      <w:start w:val="1"/>
    </w:lvl>
  </w:abstractNum>
  <w:abstractNum w:abstractNumId="10">
    <w:nsid w:val="38437FDB"/>
    <w:multiLevelType w:val="hybridMultilevel"/>
    <w:lvl w:ilvl="0">
      <w:lvlJc w:val="left"/>
      <w:lvlText w:val="(%1)"/>
      <w:numFmt w:val="lowerRoman"/>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1)"/>
      <w:numFmt w:val="lowerRoman"/>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1"/>
      <w:numFmt w:val="bullet"/>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lowerRoman"/>
      <w:start w:val="1"/>
    </w:lvl>
  </w:abstractNum>
  <w:abstractNum w:abstractNumId="18">
    <w:nsid w:val="79A1DEAA"/>
    <w:multiLevelType w:val="hybridMultilevel"/>
    <w:lvl w:ilvl="0">
      <w:lvlJc w:val="left"/>
      <w:lvlText w:val="(%1)"/>
      <w:numFmt w:val="lowerRoman"/>
      <w:start w:val="1"/>
    </w:lvl>
    <w:lvl w:ilvl="1">
      <w:lvlJc w:val="left"/>
      <w:lvlText w:val="%2."/>
      <w:numFmt w:val="lowerLetter"/>
      <w:start w:val="1"/>
    </w:lvl>
  </w:abstractNum>
  <w:abstractNum w:abstractNumId="19">
    <w:nsid w:val="75C6C33A"/>
    <w:multiLevelType w:val="hybridMultilevel"/>
    <w:lvl w:ilvl="0">
      <w:lvlJc w:val="left"/>
      <w:lvlText w:val="(%1)"/>
      <w:numFmt w:val="lowerRoman"/>
      <w:start w:val="1"/>
    </w:lvl>
  </w:abstractNum>
  <w:abstractNum w:abstractNumId="20">
    <w:nsid w:val="12E685FB"/>
    <w:multiLevelType w:val="hybridMultilevel"/>
    <w:lvl w:ilvl="0">
      <w:lvlJc w:val="left"/>
      <w:lvlText w:val="(%1)"/>
      <w:numFmt w:val="lowerRoman"/>
      <w:start w:val="2"/>
    </w:lvl>
  </w:abstractNum>
  <w:abstractNum w:abstractNumId="21">
    <w:nsid w:val="70C6A529"/>
    <w:multiLevelType w:val="hybridMultilevel"/>
    <w:lvl w:ilvl="0">
      <w:lvlJc w:val="left"/>
      <w:lvlText w:val="2"/>
      <w:numFmt w:val="bullet"/>
      <w:start w:val="1"/>
    </w:lvl>
  </w:abstractNum>
  <w:abstractNum w:abstractNumId="22">
    <w:nsid w:val="520EEDD1"/>
    <w:multiLevelType w:val="hybridMultilevel"/>
    <w:lvl w:ilvl="0">
      <w:lvlJc w:val="left"/>
      <w:lvlText w:val="(%1)"/>
      <w:numFmt w:val="decimal"/>
      <w:start w:val="1"/>
    </w:lvl>
    <w:lvl w:ilvl="1">
      <w:lvlJc w:val="left"/>
      <w:lvlText w:val="(%2)"/>
      <w:numFmt w:val="lowerRoman"/>
      <w:start w:val="1"/>
    </w:lvl>
  </w:abstractNum>
  <w:abstractNum w:abstractNumId="23">
    <w:nsid w:val="374A3FE6"/>
    <w:multiLevelType w:val="hybridMultilevel"/>
    <w:lvl w:ilvl="0">
      <w:lvlJc w:val="left"/>
      <w:lvlText w:val="(%1)"/>
      <w:numFmt w:val="lowerRoman"/>
      <w:start w:val="2"/>
    </w:lvl>
  </w:abstractNum>
  <w:abstractNum w:abstractNumId="24">
    <w:nsid w:val="4F4EF005"/>
    <w:multiLevelType w:val="hybridMultilevel"/>
    <w:lvl w:ilvl="0">
      <w:lvlJc w:val="left"/>
      <w:lvlText w:val="(%1)"/>
      <w:numFmt w:val="lowerRoman"/>
      <w:start w:val="1"/>
    </w:lvl>
  </w:abstractNum>
  <w:abstractNum w:abstractNumId="25">
    <w:nsid w:val="23F9C13C"/>
    <w:multiLevelType w:val="hybridMultilevel"/>
    <w:lvl w:ilvl="0">
      <w:lvlJc w:val="left"/>
      <w:lvlText w:val="%1"/>
      <w:numFmt w:val="decimal"/>
      <w:start w:val="1"/>
    </w:lvl>
    <w:lvl w:ilvl="1">
      <w:lvlJc w:val="left"/>
      <w:lvlText w:val="(%2)"/>
      <w:numFmt w:val="lowerRoman"/>
      <w:start w:val="1"/>
    </w:lvl>
  </w:abstractNum>
  <w:abstractNum w:abstractNumId="26">
    <w:nsid w:val="649BB77C"/>
    <w:multiLevelType w:val="hybridMultilevel"/>
    <w:lvl w:ilvl="0">
      <w:lvlJc w:val="left"/>
      <w:lvlText w:val="(%1)"/>
      <w:numFmt w:val="decimal"/>
      <w:start w:val="3"/>
    </w:lvl>
    <w:lvl w:ilvl="1">
      <w:lvlJc w:val="left"/>
      <w:lvlText w:val="%2"/>
      <w:numFmt w:val="lowerRoman"/>
      <w:start w:val="1"/>
    </w:lvl>
  </w:abstractNum>
  <w:abstractNum w:abstractNumId="27">
    <w:nsid w:val="275AC794"/>
    <w:multiLevelType w:val="hybridMultilevel"/>
    <w:lvl w:ilvl="0">
      <w:lvlJc w:val="left"/>
      <w:lvlText w:val="(%1)"/>
      <w:numFmt w:val="lowerRoman"/>
      <w:start w:val="1"/>
    </w:lvl>
  </w:abstractNum>
  <w:abstractNum w:abstractNumId="28">
    <w:nsid w:val="39386575"/>
    <w:multiLevelType w:val="hybridMultilevel"/>
    <w:lvl w:ilvl="0">
      <w:lvlJc w:val="left"/>
      <w:lvlText w:val="(%1)"/>
      <w:numFmt w:val="lowerRoman"/>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lowerRoman"/>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lowerRoman"/>
      <w:start w:val="2"/>
    </w:lvl>
  </w:abstractNum>
  <w:abstractNum w:abstractNumId="34">
    <w:nsid w:val="15B5AF5C"/>
    <w:multiLevelType w:val="hybridMultilevel"/>
    <w:lvl w:ilvl="0">
      <w:lvlJc w:val="left"/>
      <w:lvlText w:val="(%1)"/>
      <w:numFmt w:val="lowerRoman"/>
      <w:start w:val="3"/>
    </w:lvl>
  </w:abstractNum>
  <w:abstractNum w:abstractNumId="35">
    <w:nsid w:val="741226BB"/>
    <w:multiLevelType w:val="hybridMultilevel"/>
    <w:lvl w:ilvl="0">
      <w:lvlJc w:val="left"/>
      <w:lvlText w:val="(%1)"/>
      <w:numFmt w:val="lowerRoman"/>
      <w:start w:val="4"/>
    </w:lvl>
  </w:abstractNum>
  <w:abstractNum w:abstractNumId="36">
    <w:nsid w:val="D34B6A8"/>
    <w:multiLevelType w:val="hybridMultilevel"/>
    <w:lvl w:ilvl="0">
      <w:lvlJc w:val="left"/>
      <w:lvlText w:val="(%1)"/>
      <w:numFmt w:val="lowerRoman"/>
      <w:start w:val="5"/>
    </w:lvl>
  </w:abstractNum>
  <w:abstractNum w:abstractNumId="37">
    <w:nsid w:val="10233C99"/>
    <w:multiLevelType w:val="hybridMultilevel"/>
    <w:lvl w:ilvl="0">
      <w:lvlJc w:val="left"/>
      <w:lvlText w:val="(%1)"/>
      <w:numFmt w:val="lowerRoman"/>
      <w:start w:val="6"/>
    </w:lvl>
  </w:abstractNum>
  <w:abstractNum w:abstractNumId="38">
    <w:nsid w:val="3F6AB60F"/>
    <w:multiLevelType w:val="hybridMultilevel"/>
    <w:lvl w:ilvl="0">
      <w:lvlJc w:val="left"/>
      <w:lvlText w:val="(%1)"/>
      <w:numFmt w:val="lowerRoman"/>
      <w:start w:val="7"/>
    </w:lvl>
  </w:abstractNum>
  <w:abstractNum w:abstractNumId="39">
    <w:nsid w:val="61574095"/>
    <w:multiLevelType w:val="hybridMultilevel"/>
    <w:lvl w:ilvl="0">
      <w:lvlJc w:val="left"/>
      <w:lvlText w:val="(%1)"/>
      <w:numFmt w:val="lowerRoman"/>
      <w:start w:val="8"/>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lowerRoman"/>
      <w:start w:val="1"/>
    </w:lvl>
  </w:abstractNum>
  <w:abstractNum w:abstractNumId="42">
    <w:nsid w:val="579BE4F1"/>
    <w:multiLevelType w:val="hybridMultilevel"/>
    <w:lvl w:ilvl="0">
      <w:lvlJc w:val="left"/>
      <w:lvlText w:val="(%1)"/>
      <w:numFmt w:val="lowerRoman"/>
      <w:start w:val="2"/>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1)"/>
      <w:numFmt w:val="lowerRoman"/>
      <w:start w:val="1"/>
    </w:lvl>
  </w:abstractNum>
  <w:abstractNum w:abstractNumId="45">
    <w:nsid w:val="2F305DEF"/>
    <w:multiLevelType w:val="hybridMultilevel"/>
    <w:lvl w:ilvl="0">
      <w:lvlJc w:val="left"/>
      <w:lvlText w:val="(%1)"/>
      <w:numFmt w:val="lowerRoman"/>
      <w:start w:val="2"/>
    </w:lvl>
  </w:abstractNum>
  <w:abstractNum w:abstractNumId="46">
    <w:nsid w:val="25A70BF7"/>
    <w:multiLevelType w:val="hybridMultilevel"/>
    <w:lvl w:ilvl="0">
      <w:lvlJc w:val="left"/>
      <w:lvlText w:val="(%1)"/>
      <w:numFmt w:val="lowerRoman"/>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lowerRoman"/>
      <w:start w:val="1"/>
    </w:lvl>
  </w:abstractNum>
  <w:abstractNum w:abstractNumId="49">
    <w:nsid w:val="1F48EAA1"/>
    <w:multiLevelType w:val="hybridMultilevel"/>
    <w:lvl w:ilvl="0">
      <w:lvlJc w:val="left"/>
      <w:lvlText w:val="(%1)"/>
      <w:numFmt w:val="decimal"/>
      <w:start w:val="4"/>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lowerRoman"/>
      <w:start w:val="1"/>
    </w:lvl>
  </w:abstractNum>
  <w:abstractNum w:abstractNumId="52">
    <w:nsid w:val="100F8FCA"/>
    <w:multiLevelType w:val="hybridMultilevel"/>
    <w:lvl w:ilvl="0">
      <w:lvlJc w:val="left"/>
      <w:lvlText w:val="(%1)"/>
      <w:numFmt w:val="lowerRoman"/>
      <w:start w:val="1"/>
    </w:lvl>
  </w:abstractNum>
  <w:abstractNum w:abstractNumId="53">
    <w:nsid w:val="6590700B"/>
    <w:multiLevelType w:val="hybridMultilevel"/>
    <w:lvl w:ilvl="0">
      <w:lvlJc w:val="left"/>
      <w:lvlText w:val="(%1)"/>
      <w:numFmt w:val="lowerRoman"/>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lowerRoman"/>
      <w:start w:val="1"/>
    </w:lvl>
  </w:abstractNum>
  <w:abstractNum w:abstractNumId="57">
    <w:nsid w:val="799D0247"/>
    <w:multiLevelType w:val="hybridMultilevel"/>
    <w:lvl w:ilvl="0">
      <w:lvlJc w:val="left"/>
      <w:lvlText w:val="(%1)"/>
      <w:numFmt w:val="lowerRoman"/>
      <w:start w:val="1"/>
    </w:lvl>
  </w:abstractNum>
  <w:abstractNum w:abstractNumId="58">
    <w:nsid w:val="6B94764"/>
    <w:multiLevelType w:val="hybridMultilevel"/>
    <w:lvl w:ilvl="0">
      <w:lvlJc w:val="left"/>
      <w:lvlText w:val="(%1)"/>
      <w:numFmt w:val="lowerRoman"/>
      <w:start w:val="1"/>
    </w:lvl>
  </w:abstractNum>
  <w:abstractNum w:abstractNumId="59">
    <w:nsid w:val="42C296BD"/>
    <w:multiLevelType w:val="hybridMultilevel"/>
    <w:lvl w:ilvl="0">
      <w:lvlJc w:val="left"/>
      <w:lvlText w:val="(%1)"/>
      <w:numFmt w:val="lowerRoman"/>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1)"/>
      <w:numFmt w:val="lowerRoman"/>
      <w:start w:val="1"/>
    </w:lvl>
  </w:abstractNum>
  <w:abstractNum w:abstractNumId="62">
    <w:nsid w:val="661E3F1E"/>
    <w:multiLevelType w:val="hybridMultilevel"/>
    <w:lvl w:ilvl="0">
      <w:lvlJc w:val="left"/>
      <w:lvlText w:val="(%1)"/>
      <w:numFmt w:val="lowerRoman"/>
      <w:start w:val="1"/>
    </w:lvl>
  </w:abstractNum>
  <w:abstractNum w:abstractNumId="63">
    <w:nsid w:val="5DC79EA8"/>
    <w:multiLevelType w:val="hybridMultilevel"/>
    <w:lvl w:ilvl="0">
      <w:lvlJc w:val="left"/>
      <w:lvlText w:val="(%1)"/>
      <w:numFmt w:val="decimal"/>
      <w:start w:val="1"/>
    </w:lvl>
    <w:lvl w:ilvl="1">
      <w:lvlJc w:val="left"/>
      <w:lvlText w:val="(%2)"/>
      <w:numFmt w:val="lowerRoman"/>
      <w:start w:val="1"/>
    </w:lvl>
  </w:abstractNum>
  <w:abstractNum w:abstractNumId="64">
    <w:nsid w:val="540A471C"/>
    <w:multiLevelType w:val="hybridMultilevel"/>
    <w:lvl w:ilvl="0">
      <w:lvlJc w:val="left"/>
      <w:lvlText w:val="(%1)"/>
      <w:numFmt w:val="lowerRoman"/>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1"/>
    </w:lvl>
  </w:abstractNum>
  <w:abstractNum w:abstractNumId="73">
    <w:nsid w:val="1A32234B"/>
    <w:multiLevelType w:val="hybridMultilevel"/>
    <w:lvl w:ilvl="0">
      <w:lvlJc w:val="left"/>
      <w:lvlText w:val="11.%1."/>
      <w:numFmt w:val="decimal"/>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2019-12-05T00:51:51Z</dcterms:created>
  <dcterms:modified xsi:type="dcterms:W3CDTF">2019-12-05T00:51:51Z</dcterms:modified>
</cp:coreProperties>
</file>