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226060</wp:posOffset>
            </wp:positionV>
            <wp:extent cx="7246620" cy="26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260350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Report of Foreign Private Issuer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13a-16 or 15d-16 under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November 2017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Commission File Number: 001-14014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CREDICORP LTD.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registrant’s name into English)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Clarendon House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Church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Hamilton HM 11 Bermuda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4680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Form 40-F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if the registrant is submitting the Form 6-K in paper as permitted by Regulation S-T Rule 101(b)(1): ____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if the registrant is submitting the Form 6-K in paper as permitted by Regulation S-T Rule 101(b)(7): ____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193675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210820</wp:posOffset>
            </wp:positionV>
            <wp:extent cx="7246620" cy="26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511175</wp:posOffset>
            </wp:positionV>
            <wp:extent cx="72466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702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5346065</wp:posOffset>
            </wp:positionH>
            <wp:positionV relativeFrom="page">
              <wp:posOffset>586105</wp:posOffset>
            </wp:positionV>
            <wp:extent cx="2058035" cy="5746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035" cy="574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November 22</w:t>
      </w:r>
      <w:r>
        <w:rPr>
          <w:rFonts w:ascii="Arial" w:cs="Arial" w:eastAsia="Arial" w:hAnsi="Arial"/>
          <w:sz w:val="30"/>
          <w:szCs w:val="30"/>
          <w:color w:val="auto"/>
          <w:vertAlign w:val="superscript"/>
        </w:rPr>
        <w:t>nd</w:t>
      </w:r>
      <w:r>
        <w:rPr>
          <w:rFonts w:ascii="Arial" w:cs="Arial" w:eastAsia="Arial" w:hAnsi="Arial"/>
          <w:sz w:val="18"/>
          <w:szCs w:val="18"/>
          <w:color w:val="auto"/>
        </w:rPr>
        <w:t>, 2017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SUPERINTENDENCIA DEL MERCADO DE VALORES – SMV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Re.: MATERIAL EVENT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Sirs: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20"/>
        <w:spacing w:after="0" w:line="30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 accordance with article 28 of the Capital Markets Law approved by Law N° 093-2002-EF and SMV Resolution for Material Events and Reserved Information and Other Communications N° 005-2014-SMV-01, Credicorp Ltd. complies with notifying you of the following Material Event.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340" w:hanging="332"/>
        <w:spacing w:after="0" w:line="188" w:lineRule="auto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weighted exchange rate registered by the Superintendence of Banking, Insurance and AFP (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Superintendencia de Banca, Seguros y AFP</w:t>
      </w:r>
      <w:r>
        <w:rPr>
          <w:rFonts w:ascii="Arial" w:cs="Arial" w:eastAsia="Arial" w:hAnsi="Arial"/>
          <w:sz w:val="18"/>
          <w:szCs w:val="18"/>
          <w:color w:val="auto"/>
        </w:rPr>
        <w:t>) at the close of business on November 22</w:t>
      </w:r>
      <w:r>
        <w:rPr>
          <w:rFonts w:ascii="Arial" w:cs="Arial" w:eastAsia="Arial" w:hAnsi="Arial"/>
          <w:sz w:val="30"/>
          <w:szCs w:val="30"/>
          <w:color w:val="auto"/>
          <w:vertAlign w:val="superscript"/>
        </w:rPr>
        <w:t>nd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2017, to be used for the calculation of the dividends to be paid by the Company on November 24</w:t>
      </w:r>
      <w:r>
        <w:rPr>
          <w:rFonts w:ascii="Arial" w:cs="Arial" w:eastAsia="Arial" w:hAnsi="Arial"/>
          <w:sz w:val="30"/>
          <w:szCs w:val="30"/>
          <w:color w:val="auto"/>
          <w:vertAlign w:val="superscript"/>
        </w:rPr>
        <w:t>th</w:t>
      </w:r>
      <w:r>
        <w:rPr>
          <w:rFonts w:ascii="Arial" w:cs="Arial" w:eastAsia="Arial" w:hAnsi="Arial"/>
          <w:sz w:val="18"/>
          <w:szCs w:val="18"/>
          <w:color w:val="auto"/>
        </w:rPr>
        <w:t>, 2017 is S/3.24000 per US Dollar.</w:t>
      </w:r>
    </w:p>
    <w:p>
      <w:pPr>
        <w:spacing w:after="0" w:line="202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this regard, the dividend to be paid per share shall be US$4.8457, equivalent to S/15.7000 per share.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0"/>
        <w:spacing w:after="0" w:line="21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This communication is related to the Material Event filled on October 25</w:t>
      </w:r>
      <w:r>
        <w:rPr>
          <w:rFonts w:ascii="Arial" w:cs="Arial" w:eastAsia="Arial" w:hAnsi="Arial"/>
          <w:sz w:val="30"/>
          <w:szCs w:val="30"/>
          <w:color w:val="auto"/>
          <w:vertAlign w:val="superscript"/>
        </w:rPr>
        <w:t>th</w:t>
      </w:r>
      <w:r>
        <w:rPr>
          <w:rFonts w:ascii="Arial" w:cs="Arial" w:eastAsia="Arial" w:hAnsi="Arial"/>
          <w:sz w:val="18"/>
          <w:szCs w:val="18"/>
          <w:color w:val="auto"/>
        </w:rPr>
        <w:t>, 2017, through which the Company informed the dividend distribution agreement adopted by the Board of Directors at its meeting held on the same date.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/s/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Miriam Böttger Egg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Authorized Representative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554355</wp:posOffset>
            </wp:positionV>
            <wp:extent cx="72466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440" w:right="239" w:bottom="1440" w:gutter="0" w:footer="0" w:header="0"/>
        </w:sectPr>
      </w:pPr>
    </w:p>
    <w:bookmarkStart w:id="2" w:name="page3"/>
    <w:bookmarkEnd w:id="2"/>
    <w:p>
      <w:pPr>
        <w:jc w:val="center"/>
        <w:ind w:right="-5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53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November 22</w:t>
      </w:r>
      <w:r>
        <w:rPr>
          <w:rFonts w:ascii="Arial" w:cs="Arial" w:eastAsia="Arial" w:hAnsi="Arial"/>
          <w:sz w:val="30"/>
          <w:szCs w:val="30"/>
          <w:color w:val="auto"/>
          <w:vertAlign w:val="superscript"/>
        </w:rPr>
        <w:t>nd</w:t>
      </w:r>
      <w:r>
        <w:rPr>
          <w:rFonts w:ascii="Arial" w:cs="Arial" w:eastAsia="Arial" w:hAnsi="Arial"/>
          <w:sz w:val="18"/>
          <w:szCs w:val="18"/>
          <w:color w:val="auto"/>
        </w:rPr>
        <w:t>, 2017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5720"/>
        <w:spacing w:after="0"/>
        <w:tabs>
          <w:tab w:leader="none" w:pos="6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/s/ Miriam Böttger Egg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Miriam Böttger Egg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4001135</wp:posOffset>
            </wp:positionH>
            <wp:positionV relativeFrom="paragraph">
              <wp:posOffset>-127635</wp:posOffset>
            </wp:positionV>
            <wp:extent cx="216979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7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Authorized Representative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554355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820"/>
      </w:cols>
      <w:pgMar w:left="240" w:top="904" w:right="8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2019-12-06T03:19:50Z</dcterms:created>
  <dcterms:modified xsi:type="dcterms:W3CDTF">2019-12-06T03:19:50Z</dcterms:modified>
</cp:coreProperties>
</file>