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2020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6th, 2020</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8"/>
          <w:szCs w:val="18"/>
          <w:color w:val="auto"/>
        </w:rPr>
        <w:t>By:</w:t>
        <w:tab/>
        <w:t>/s/ Miriam Bottger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187325</wp:posOffset>
            </wp:positionV>
            <wp:extent cx="1929765"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97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Lima, Peru, February 5, 2020 </w:t>
      </w:r>
      <w:r>
        <w:rPr>
          <w:rFonts w:ascii="Arial" w:cs="Arial" w:eastAsia="Arial" w:hAnsi="Arial"/>
          <w:sz w:val="18"/>
          <w:szCs w:val="18"/>
          <w:color w:val="auto"/>
        </w:rPr>
        <w:t>– Credicorp (NYSE: BAP) announced its unaudited results for the fourth quarter of 2019. These results are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IFRS in Soles.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year-to-date 2019 results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4Q19, Credicorp registered net income of S/ 972.8 million, which translated into an ROAE and ROAA of 14.9% and 2.1% respectively. This result reflected a drop of -11% QoQ. The net income of Credicorp in 2019 was S/ 4,265 million, which represented an increase of +7.1%.</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QoQ growth was attributable to an increase in net interest income (NII), which was driven by loan growth in local currency, primarily in Retail Banking. The aforementioned was offset by growth in the expense for provisions, mainly at BCP Stand-alone, and to an increase in operating expenses.</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Higher net income in 2019 was due primarily to an increase in net interest income (NII) and to expansion in Non-financial income and in the net gain on securities in particular. This was, however, offset by growth in higher expenses for provisions for loan losses, the increase in operating expenses and an increase in tax provisions for withholding, which were set aside for taxes for dividend distribution for fiscal year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results in 4Q19 and of the full year 2019 shows: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QoQ expansion in average daily loan balances in all segments, which was primarily attributable to loan growth in Retail Banking. The FY analysis, which eliminates seasonal effects, reveals that total loans measured in average daily balances grew 6.6%. This growth was led by Retail Banking and the Mortgage, Consumer, Credit Card and SME-Pyme segments in particular. Additionally, portfolio growth was driven mainly by local currency.</w:t>
      </w:r>
    </w:p>
    <w:p>
      <w:pPr>
        <w:spacing w:after="0" w:line="166" w:lineRule="exact"/>
        <w:rPr>
          <w:sz w:val="20"/>
          <w:szCs w:val="20"/>
          <w:color w:val="auto"/>
        </w:rPr>
      </w:pPr>
    </w:p>
    <w:p>
      <w:pPr>
        <w:jc w:val="both"/>
        <w:ind w:right="20" w:firstLine="8"/>
        <w:spacing w:after="0" w:line="259" w:lineRule="auto"/>
        <w:tabs>
          <w:tab w:leader="none" w:pos="128" w:val="left"/>
        </w:tabs>
        <w:numPr>
          <w:ilvl w:val="0"/>
          <w:numId w:val="1"/>
        </w:numPr>
        <w:rPr>
          <w:rFonts w:ascii="Arial" w:cs="Arial" w:eastAsia="Arial" w:hAnsi="Arial"/>
          <w:sz w:val="18"/>
          <w:szCs w:val="18"/>
          <w:color w:val="auto"/>
        </w:rPr>
      </w:pPr>
      <w:r>
        <w:rPr>
          <w:rFonts w:ascii="Arial" w:cs="Arial" w:eastAsia="Arial" w:hAnsi="Arial"/>
          <w:sz w:val="18"/>
          <w:szCs w:val="18"/>
          <w:color w:val="auto"/>
        </w:rPr>
        <w:t>NII expanded +3.4% QoQ and 6.9% FY. This was driven by an increase in average daily balances, which was mainly attributable to growth in higher-margin segments at BCP Stand-alone and in local currency. In this context, Retail Banking’s share of total loans. Interest expenses fell -3.3% QoQ and increased 8.9% FY after expenses for deposits rose due to the effect of the time deposit mix and the currency mix. Accordingly, the Net Interest Margin (NIM) was 5.46% in the 4Q19 and 5.39% in FY 2019, which represents an increase of +6 bps QoQ and +11 bps FY.</w:t>
      </w:r>
    </w:p>
    <w:p>
      <w:pPr>
        <w:spacing w:after="0" w:line="186" w:lineRule="exact"/>
        <w:rPr>
          <w:rFonts w:ascii="Arial" w:cs="Arial" w:eastAsia="Arial" w:hAnsi="Arial"/>
          <w:sz w:val="18"/>
          <w:szCs w:val="18"/>
          <w:color w:val="auto"/>
        </w:rPr>
      </w:pPr>
    </w:p>
    <w:p>
      <w:pPr>
        <w:jc w:val="both"/>
        <w:ind w:firstLine="8"/>
        <w:spacing w:after="0" w:line="264" w:lineRule="auto"/>
        <w:tabs>
          <w:tab w:leader="none" w:pos="11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Provisions for loan losses net recovered posted growth of 1.8%% QoQ and 20.5% FY. In this context, the cost of risk (CofR) for 4Q19 maintained steady QoQ at 1.77%. On the other hand, the CofR for FY 2019 was 1.60%, which represents a deterioration of +22 bps. This was primarily driven by an increase in the CofR at BCP Stand-alone after provisions were increased for the Retail Banking portfolio.</w:t>
      </w:r>
    </w:p>
    <w:p>
      <w:pPr>
        <w:spacing w:after="0" w:line="181" w:lineRule="exact"/>
        <w:rPr>
          <w:rFonts w:ascii="Arial" w:cs="Arial" w:eastAsia="Arial" w:hAnsi="Arial"/>
          <w:sz w:val="18"/>
          <w:szCs w:val="18"/>
          <w:color w:val="auto"/>
        </w:rPr>
      </w:pPr>
    </w:p>
    <w:p>
      <w:pPr>
        <w:ind w:firstLine="8"/>
        <w:spacing w:after="0" w:line="277" w:lineRule="auto"/>
        <w:tabs>
          <w:tab w:leader="none" w:pos="11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context, the risk-adjusted NIM was 4.27% in the 4Q19 and 4.29% in the FY 2019. This represent an increase of +6 bps QoQ and a decrease of -4 pbs in the FY, which went hand-in-hand with an increase in the CofR.</w:t>
      </w:r>
    </w:p>
    <w:p>
      <w:pPr>
        <w:spacing w:after="0" w:line="170" w:lineRule="exact"/>
        <w:rPr>
          <w:rFonts w:ascii="Arial" w:cs="Arial" w:eastAsia="Arial" w:hAnsi="Arial"/>
          <w:sz w:val="18"/>
          <w:szCs w:val="18"/>
          <w:color w:val="auto"/>
        </w:rPr>
      </w:pPr>
    </w:p>
    <w:p>
      <w:pPr>
        <w:jc w:val="both"/>
        <w:ind w:firstLine="8"/>
        <w:spacing w:after="0" w:line="259" w:lineRule="auto"/>
        <w:tabs>
          <w:tab w:leader="none" w:pos="109"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increase fell slightly QoQ (-0.1%) after the net gain on securities (which posted an extraordinarily high level in 3Q19) and other non-financial income fell. This was attenuated by growth in net fee income in the banking business and at Credicorp Capital and to growth in the net gain on exchange differences. FY, non-financial income increased +11.1%, which was attributable to growth in the net gain on securities; net fee income; and other non-financial income.</w:t>
      </w:r>
    </w:p>
    <w:p>
      <w:pPr>
        <w:spacing w:after="0" w:line="186" w:lineRule="exact"/>
        <w:rPr>
          <w:rFonts w:ascii="Arial" w:cs="Arial" w:eastAsia="Arial" w:hAnsi="Arial"/>
          <w:sz w:val="18"/>
          <w:szCs w:val="18"/>
          <w:color w:val="auto"/>
        </w:rPr>
      </w:pPr>
    </w:p>
    <w:p>
      <w:pPr>
        <w:ind w:firstLine="8"/>
        <w:spacing w:after="0" w:line="277" w:lineRule="auto"/>
        <w:tabs>
          <w:tab w:leader="none" w:pos="1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increased +15.5% QoQ and +5.9% FY, which was driven mainly by growth in net earned premiums in the life insurance and P &amp; C businesses.</w:t>
      </w:r>
    </w:p>
    <w:p>
      <w:pPr>
        <w:spacing w:after="0" w:line="170" w:lineRule="exact"/>
        <w:rPr>
          <w:rFonts w:ascii="Arial" w:cs="Arial" w:eastAsia="Arial" w:hAnsi="Arial"/>
          <w:sz w:val="18"/>
          <w:szCs w:val="18"/>
          <w:color w:val="auto"/>
        </w:rPr>
      </w:pPr>
    </w:p>
    <w:p>
      <w:pPr>
        <w:jc w:val="both"/>
        <w:ind w:firstLine="8"/>
        <w:spacing w:after="0" w:line="264" w:lineRule="auto"/>
        <w:tabs>
          <w:tab w:leader="none" w:pos="10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increased +250 bps QoQ, which reflected a seasonal increase in operating expenses given that in the second half of every year, expenses register an uptick. Nonetheless, in the FY 2019, the efficiency ratio fell -30 bps FY. This was attributable to growth in net interest income (NII), which offset the increase in salaries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80910" cy="1097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0910" cy="109791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0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gridSpan w:val="3"/>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Fourth Quarter Results 2019</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40"/>
              <w:spacing w:after="0"/>
              <w:rPr>
                <w:sz w:val="20"/>
                <w:szCs w:val="20"/>
                <w:color w:val="auto"/>
              </w:rPr>
            </w:pPr>
            <w:r>
              <w:rPr>
                <w:rFonts w:ascii="Arial" w:cs="Arial" w:eastAsia="Arial" w:hAnsi="Arial"/>
                <w:sz w:val="18"/>
                <w:szCs w:val="18"/>
                <w:color w:val="auto"/>
              </w:rPr>
              <w:t>Financial Overview</w:t>
            </w:r>
          </w:p>
        </w:tc>
        <w:tc>
          <w:tcPr>
            <w:tcW w:w="33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Credicorp and subsidiaries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7920" w:type="dxa"/>
            <w:vAlign w:val="bottom"/>
            <w:gridSpan w:val="2"/>
          </w:tcPr>
          <w:p>
            <w:pPr>
              <w:ind w:left="280"/>
              <w:spacing w:after="0"/>
              <w:rPr>
                <w:sz w:val="20"/>
                <w:szCs w:val="20"/>
                <w:color w:val="auto"/>
              </w:rPr>
            </w:pPr>
            <w:r>
              <w:rPr>
                <w:rFonts w:ascii="Arial" w:cs="Arial" w:eastAsia="Arial" w:hAnsi="Arial"/>
                <w:sz w:val="18"/>
                <w:szCs w:val="18"/>
                <w:color w:val="auto"/>
              </w:rPr>
              <w:t>Interest-earning assets (IEA)</w:t>
            </w:r>
          </w:p>
        </w:tc>
        <w:tc>
          <w:tcPr>
            <w:tcW w:w="33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1.1.</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Evolution of IEA</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1.2.</w:t>
            </w:r>
          </w:p>
        </w:tc>
        <w:tc>
          <w:tcPr>
            <w:tcW w:w="7580" w:type="dxa"/>
            <w:vAlign w:val="bottom"/>
          </w:tcPr>
          <w:p>
            <w:pPr>
              <w:ind w:left="20"/>
              <w:spacing w:after="0"/>
              <w:rPr>
                <w:sz w:val="20"/>
                <w:szCs w:val="20"/>
                <w:color w:val="auto"/>
              </w:rPr>
            </w:pPr>
            <w:r>
              <w:rPr>
                <w:rFonts w:ascii="Arial" w:cs="Arial" w:eastAsia="Arial" w:hAnsi="Arial"/>
                <w:sz w:val="18"/>
                <w:szCs w:val="18"/>
                <w:color w:val="auto"/>
              </w:rPr>
              <w:t>Credicorp Loans</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1.2.1. Loan evolution by business segment</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1.2.2. Evolution of the level of dollarization by segment</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1.2.3. BCRP de-dollarization plan at BCP Stand-alone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1.2.4. Market share in loans</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2.</w:t>
            </w:r>
          </w:p>
        </w:tc>
        <w:tc>
          <w:tcPr>
            <w:tcW w:w="7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Funding Sources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2.1.</w:t>
            </w:r>
          </w:p>
        </w:tc>
        <w:tc>
          <w:tcPr>
            <w:tcW w:w="7580" w:type="dxa"/>
            <w:vAlign w:val="bottom"/>
          </w:tcPr>
          <w:p>
            <w:pPr>
              <w:ind w:left="20"/>
              <w:spacing w:after="0"/>
              <w:rPr>
                <w:sz w:val="20"/>
                <w:szCs w:val="20"/>
                <w:color w:val="auto"/>
              </w:rPr>
            </w:pPr>
            <w:r>
              <w:rPr>
                <w:rFonts w:ascii="Arial" w:cs="Arial" w:eastAsia="Arial" w:hAnsi="Arial"/>
                <w:sz w:val="18"/>
                <w:szCs w:val="18"/>
                <w:color w:val="auto"/>
              </w:rPr>
              <w:t>Funding Structure</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2.2.</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2.2.1. Deposits: dollarization level</w:t>
            </w:r>
          </w:p>
        </w:tc>
        <w:tc>
          <w:tcPr>
            <w:tcW w:w="33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2.2.2. Market share in Deposits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2.3.</w:t>
            </w:r>
          </w:p>
        </w:tc>
        <w:tc>
          <w:tcPr>
            <w:tcW w:w="7580" w:type="dxa"/>
            <w:vAlign w:val="bottom"/>
          </w:tcPr>
          <w:p>
            <w:pPr>
              <w:ind w:left="20"/>
              <w:spacing w:after="0"/>
              <w:rPr>
                <w:sz w:val="20"/>
                <w:szCs w:val="20"/>
                <w:color w:val="auto"/>
              </w:rPr>
            </w:pPr>
            <w:r>
              <w:rPr>
                <w:rFonts w:ascii="Arial" w:cs="Arial" w:eastAsia="Arial" w:hAnsi="Arial"/>
                <w:sz w:val="18"/>
                <w:szCs w:val="18"/>
                <w:color w:val="auto"/>
              </w:rPr>
              <w:t>Other funding sources</w:t>
            </w:r>
          </w:p>
        </w:tc>
        <w:tc>
          <w:tcPr>
            <w:tcW w:w="33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2.4.</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 Deposit (L/D)</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2.5.</w:t>
            </w:r>
          </w:p>
        </w:tc>
        <w:tc>
          <w:tcPr>
            <w:tcW w:w="7580" w:type="dxa"/>
            <w:vAlign w:val="bottom"/>
          </w:tcPr>
          <w:p>
            <w:pPr>
              <w:ind w:left="20"/>
              <w:spacing w:after="0"/>
              <w:rPr>
                <w:sz w:val="20"/>
                <w:szCs w:val="20"/>
                <w:color w:val="auto"/>
              </w:rPr>
            </w:pPr>
            <w:r>
              <w:rPr>
                <w:rFonts w:ascii="Arial" w:cs="Arial" w:eastAsia="Arial" w:hAnsi="Arial"/>
                <w:sz w:val="18"/>
                <w:szCs w:val="18"/>
                <w:color w:val="auto"/>
              </w:rPr>
              <w:t>Funding Cost</w:t>
            </w:r>
          </w:p>
        </w:tc>
        <w:tc>
          <w:tcPr>
            <w:tcW w:w="33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7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Portfolio quality and Provisions for loan losses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3.1.</w:t>
            </w:r>
          </w:p>
        </w:tc>
        <w:tc>
          <w:tcPr>
            <w:tcW w:w="7580" w:type="dxa"/>
            <w:vAlign w:val="bottom"/>
          </w:tcPr>
          <w:p>
            <w:pPr>
              <w:ind w:left="20"/>
              <w:spacing w:after="0"/>
              <w:rPr>
                <w:sz w:val="20"/>
                <w:szCs w:val="20"/>
                <w:color w:val="auto"/>
              </w:rPr>
            </w:pPr>
            <w:r>
              <w:rPr>
                <w:rFonts w:ascii="Arial" w:cs="Arial" w:eastAsia="Arial" w:hAnsi="Arial"/>
                <w:sz w:val="18"/>
                <w:szCs w:val="18"/>
                <w:color w:val="auto"/>
              </w:rPr>
              <w:t>Provisions for loan losses</w:t>
            </w:r>
          </w:p>
        </w:tc>
        <w:tc>
          <w:tcPr>
            <w:tcW w:w="33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3.2.</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Quality: Delinquency ratios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3.2.1. Delinquency indicators by business line</w:t>
            </w:r>
          </w:p>
        </w:tc>
        <w:tc>
          <w:tcPr>
            <w:tcW w:w="33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4.</w:t>
            </w:r>
          </w:p>
        </w:tc>
        <w:tc>
          <w:tcPr>
            <w:tcW w:w="7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Interest Income (NII)</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4.1.</w:t>
            </w:r>
          </w:p>
        </w:tc>
        <w:tc>
          <w:tcPr>
            <w:tcW w:w="7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4.2.</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4.3.</w:t>
            </w:r>
          </w:p>
        </w:tc>
        <w:tc>
          <w:tcPr>
            <w:tcW w:w="7580" w:type="dxa"/>
            <w:vAlign w:val="bottom"/>
          </w:tcPr>
          <w:p>
            <w:pPr>
              <w:ind w:left="20"/>
              <w:spacing w:after="0"/>
              <w:rPr>
                <w:sz w:val="20"/>
                <w:szCs w:val="20"/>
                <w:color w:val="auto"/>
              </w:rPr>
            </w:pPr>
            <w:r>
              <w:rPr>
                <w:rFonts w:ascii="Arial" w:cs="Arial" w:eastAsia="Arial" w:hAnsi="Arial"/>
                <w:sz w:val="18"/>
                <w:szCs w:val="18"/>
                <w:color w:val="auto"/>
              </w:rPr>
              <w:t>Net Interest Margin (NIM) and Risk-Adjusted NIM</w:t>
            </w:r>
          </w:p>
        </w:tc>
        <w:tc>
          <w:tcPr>
            <w:tcW w:w="33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5.</w:t>
            </w:r>
          </w:p>
        </w:tc>
        <w:tc>
          <w:tcPr>
            <w:tcW w:w="7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Non-Financial Income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5.1.</w:t>
            </w:r>
          </w:p>
        </w:tc>
        <w:tc>
          <w:tcPr>
            <w:tcW w:w="758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3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5.1.1. By subsidiary</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5.1.2. Fee income in the Banking Business</w:t>
            </w:r>
          </w:p>
        </w:tc>
        <w:tc>
          <w:tcPr>
            <w:tcW w:w="3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6.</w:t>
            </w:r>
          </w:p>
        </w:tc>
        <w:tc>
          <w:tcPr>
            <w:tcW w:w="7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Insurance Underwriting Result</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6.1.</w:t>
            </w:r>
          </w:p>
        </w:tc>
        <w:tc>
          <w:tcPr>
            <w:tcW w:w="758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3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6.2.</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claims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6.3.</w:t>
            </w:r>
          </w:p>
        </w:tc>
        <w:tc>
          <w:tcPr>
            <w:tcW w:w="7580" w:type="dxa"/>
            <w:vAlign w:val="bottom"/>
          </w:tcPr>
          <w:p>
            <w:pPr>
              <w:ind w:left="20"/>
              <w:spacing w:after="0"/>
              <w:rPr>
                <w:sz w:val="20"/>
                <w:szCs w:val="20"/>
                <w:color w:val="auto"/>
              </w:rPr>
            </w:pPr>
            <w:r>
              <w:rPr>
                <w:rFonts w:ascii="Arial" w:cs="Arial" w:eastAsia="Arial" w:hAnsi="Arial"/>
                <w:sz w:val="18"/>
                <w:szCs w:val="18"/>
                <w:color w:val="auto"/>
              </w:rPr>
              <w:t>Acquisition Cost</w:t>
            </w:r>
          </w:p>
        </w:tc>
        <w:tc>
          <w:tcPr>
            <w:tcW w:w="33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6.4.</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result</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7920" w:type="dxa"/>
            <w:vAlign w:val="bottom"/>
            <w:gridSpan w:val="2"/>
          </w:tcPr>
          <w:p>
            <w:pPr>
              <w:ind w:left="280"/>
              <w:spacing w:after="0"/>
              <w:rPr>
                <w:sz w:val="20"/>
                <w:szCs w:val="20"/>
                <w:color w:val="auto"/>
              </w:rPr>
            </w:pPr>
            <w:r>
              <w:rPr>
                <w:rFonts w:ascii="Arial" w:cs="Arial" w:eastAsia="Arial" w:hAnsi="Arial"/>
                <w:sz w:val="18"/>
                <w:szCs w:val="18"/>
                <w:color w:val="auto"/>
              </w:rPr>
              <w:t>Operating Expenses and Efficiency</w:t>
            </w:r>
          </w:p>
        </w:tc>
        <w:tc>
          <w:tcPr>
            <w:tcW w:w="33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7.1.</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Credicorp’s Administrative, General and Tax Expenses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7.2.</w:t>
            </w:r>
          </w:p>
        </w:tc>
        <w:tc>
          <w:tcPr>
            <w:tcW w:w="7580" w:type="dxa"/>
            <w:vAlign w:val="bottom"/>
          </w:tcPr>
          <w:p>
            <w:pPr>
              <w:ind w:left="20"/>
              <w:spacing w:after="0"/>
              <w:rPr>
                <w:sz w:val="20"/>
                <w:szCs w:val="20"/>
                <w:color w:val="auto"/>
              </w:rPr>
            </w:pPr>
            <w:r>
              <w:rPr>
                <w:rFonts w:ascii="Arial" w:cs="Arial" w:eastAsia="Arial" w:hAnsi="Arial"/>
                <w:sz w:val="18"/>
                <w:szCs w:val="18"/>
                <w:color w:val="auto"/>
              </w:rPr>
              <w:t>Efficiency Ratio</w:t>
            </w:r>
          </w:p>
        </w:tc>
        <w:tc>
          <w:tcPr>
            <w:tcW w:w="33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8.</w:t>
            </w:r>
          </w:p>
        </w:tc>
        <w:tc>
          <w:tcPr>
            <w:tcW w:w="7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Regulatory Capital</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8.1.</w:t>
            </w:r>
          </w:p>
        </w:tc>
        <w:tc>
          <w:tcPr>
            <w:tcW w:w="7580" w:type="dxa"/>
            <w:vAlign w:val="bottom"/>
          </w:tcPr>
          <w:p>
            <w:pPr>
              <w:ind w:left="20"/>
              <w:spacing w:after="0"/>
              <w:rPr>
                <w:sz w:val="20"/>
                <w:szCs w:val="20"/>
                <w:color w:val="auto"/>
              </w:rPr>
            </w:pPr>
            <w:r>
              <w:rPr>
                <w:rFonts w:ascii="Arial" w:cs="Arial" w:eastAsia="Arial" w:hAnsi="Arial"/>
                <w:sz w:val="18"/>
                <w:szCs w:val="18"/>
                <w:color w:val="auto"/>
              </w:rPr>
              <w:t>Regulatory Capital – BAP</w:t>
            </w:r>
          </w:p>
        </w:tc>
        <w:tc>
          <w:tcPr>
            <w:tcW w:w="33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8.2.</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 – BCP Stand-alone based on Peru GAAP</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7920" w:type="dxa"/>
            <w:vAlign w:val="bottom"/>
            <w:gridSpan w:val="2"/>
          </w:tcPr>
          <w:p>
            <w:pPr>
              <w:ind w:left="280"/>
              <w:spacing w:after="0"/>
              <w:rPr>
                <w:sz w:val="20"/>
                <w:szCs w:val="20"/>
                <w:color w:val="auto"/>
              </w:rPr>
            </w:pPr>
            <w:r>
              <w:rPr>
                <w:rFonts w:ascii="Arial" w:cs="Arial" w:eastAsia="Arial" w:hAnsi="Arial"/>
                <w:sz w:val="18"/>
                <w:szCs w:val="18"/>
                <w:color w:val="auto"/>
              </w:rPr>
              <w:t>Distribution channels</w:t>
            </w:r>
          </w:p>
        </w:tc>
        <w:tc>
          <w:tcPr>
            <w:tcW w:w="33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9.1.</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Universal Banking</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9.1.1. Points of contact by geographic area – BCP Stand-alone</w:t>
            </w:r>
          </w:p>
        </w:tc>
        <w:tc>
          <w:tcPr>
            <w:tcW w:w="33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9.1.2. Transactions per channel – BCP Stand-alone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9.1.3. Points of Contact – BCP Bolivia</w:t>
            </w:r>
          </w:p>
        </w:tc>
        <w:tc>
          <w:tcPr>
            <w:tcW w:w="33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9.2.</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Microfinance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260"/>
              <w:spacing w:after="0"/>
              <w:rPr>
                <w:sz w:val="20"/>
                <w:szCs w:val="20"/>
                <w:color w:val="auto"/>
              </w:rPr>
            </w:pPr>
            <w:r>
              <w:rPr>
                <w:rFonts w:ascii="Arial" w:cs="Arial" w:eastAsia="Arial" w:hAnsi="Arial"/>
                <w:sz w:val="18"/>
                <w:szCs w:val="18"/>
                <w:color w:val="auto"/>
              </w:rPr>
              <w:t>9.2.1. Points of Contact – Mibanco</w:t>
            </w:r>
          </w:p>
        </w:tc>
        <w:tc>
          <w:tcPr>
            <w:tcW w:w="33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Perspectives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40"/>
              <w:spacing w:after="0"/>
              <w:rPr>
                <w:sz w:val="20"/>
                <w:szCs w:val="20"/>
                <w:color w:val="auto"/>
              </w:rPr>
            </w:pPr>
            <w:r>
              <w:rPr>
                <w:rFonts w:ascii="Arial" w:cs="Arial" w:eastAsia="Arial" w:hAnsi="Arial"/>
                <w:sz w:val="18"/>
                <w:szCs w:val="18"/>
                <w:color w:val="auto"/>
              </w:rPr>
              <w:t>10.1. Peru Economic Forecasts</w:t>
            </w:r>
          </w:p>
        </w:tc>
        <w:tc>
          <w:tcPr>
            <w:tcW w:w="33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10.2. Main Economic Variables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11.</w:t>
            </w:r>
          </w:p>
        </w:tc>
        <w:tc>
          <w:tcPr>
            <w:tcW w:w="7580" w:type="dxa"/>
            <w:vAlign w:val="bottom"/>
          </w:tcPr>
          <w:p>
            <w:pPr>
              <w:ind w:left="20"/>
              <w:spacing w:after="0"/>
              <w:rPr>
                <w:sz w:val="20"/>
                <w:szCs w:val="20"/>
                <w:color w:val="auto"/>
              </w:rPr>
            </w:pPr>
            <w:r>
              <w:rPr>
                <w:rFonts w:ascii="Arial" w:cs="Arial" w:eastAsia="Arial" w:hAnsi="Arial"/>
                <w:sz w:val="18"/>
                <w:szCs w:val="18"/>
                <w:color w:val="auto"/>
              </w:rPr>
              <w:t>Appendix</w:t>
            </w:r>
          </w:p>
        </w:tc>
        <w:tc>
          <w:tcPr>
            <w:tcW w:w="33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11.1. Credicorp</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40"/>
              <w:spacing w:after="0"/>
              <w:rPr>
                <w:sz w:val="20"/>
                <w:szCs w:val="20"/>
                <w:color w:val="auto"/>
              </w:rPr>
            </w:pPr>
            <w:r>
              <w:rPr>
                <w:rFonts w:ascii="Arial" w:cs="Arial" w:eastAsia="Arial" w:hAnsi="Arial"/>
                <w:sz w:val="18"/>
                <w:szCs w:val="18"/>
                <w:color w:val="auto"/>
              </w:rPr>
              <w:t>11.2. BCP Consolidated</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11.3. Mibanco</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40"/>
              <w:spacing w:after="0"/>
              <w:rPr>
                <w:sz w:val="20"/>
                <w:szCs w:val="20"/>
                <w:color w:val="auto"/>
              </w:rPr>
            </w:pPr>
            <w:r>
              <w:rPr>
                <w:rFonts w:ascii="Arial" w:cs="Arial" w:eastAsia="Arial" w:hAnsi="Arial"/>
                <w:sz w:val="18"/>
                <w:szCs w:val="18"/>
                <w:color w:val="auto"/>
              </w:rPr>
              <w:t>11.4. BCP Bolivia</w:t>
            </w:r>
          </w:p>
        </w:tc>
        <w:tc>
          <w:tcPr>
            <w:tcW w:w="33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11.5. Credicorp Capital</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40"/>
              <w:spacing w:after="0"/>
              <w:rPr>
                <w:sz w:val="20"/>
                <w:szCs w:val="20"/>
                <w:color w:val="auto"/>
              </w:rPr>
            </w:pPr>
            <w:r>
              <w:rPr>
                <w:rFonts w:ascii="Arial" w:cs="Arial" w:eastAsia="Arial" w:hAnsi="Arial"/>
                <w:sz w:val="18"/>
                <w:szCs w:val="18"/>
                <w:color w:val="auto"/>
              </w:rPr>
              <w:t>11.6. Atlantic Security Bank</w:t>
            </w:r>
          </w:p>
        </w:tc>
        <w:tc>
          <w:tcPr>
            <w:tcW w:w="33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11.7. Grupo Pacifico</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2"/>
          </w:tcPr>
          <w:p>
            <w:pPr>
              <w:ind w:left="40"/>
              <w:spacing w:after="0"/>
              <w:rPr>
                <w:sz w:val="20"/>
                <w:szCs w:val="20"/>
                <w:color w:val="auto"/>
              </w:rPr>
            </w:pPr>
            <w:r>
              <w:rPr>
                <w:rFonts w:ascii="Arial" w:cs="Arial" w:eastAsia="Arial" w:hAnsi="Arial"/>
                <w:sz w:val="18"/>
                <w:szCs w:val="18"/>
                <w:color w:val="auto"/>
              </w:rPr>
              <w:t>11.8. Prima AFP</w:t>
            </w:r>
          </w:p>
        </w:tc>
        <w:tc>
          <w:tcPr>
            <w:tcW w:w="33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11.9. Table of calculations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049"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Credicorp (NYSE: BAP): Fourth Quarter Results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YoY</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2,244,252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2,277,384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2,354,122</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4.9%</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8,489,104</w:t>
            </w:r>
          </w:p>
        </w:tc>
        <w:tc>
          <w:tcPr>
            <w:tcW w:w="240" w:type="dxa"/>
            <w:vAlign w:val="bottom"/>
            <w:shd w:val="clear" w:color="auto" w:fill="CCEEFF"/>
          </w:tcPr>
          <w:p>
            <w:pPr>
              <w:spacing w:after="0"/>
              <w:rPr>
                <w:sz w:val="12"/>
                <w:szCs w:val="12"/>
                <w:color w:val="auto"/>
              </w:rPr>
            </w:pPr>
          </w:p>
        </w:tc>
        <w:tc>
          <w:tcPr>
            <w:tcW w:w="82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9,077,181</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30"/>
        </w:trPr>
        <w:tc>
          <w:tcPr>
            <w:tcW w:w="3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Provision for credit losses on loan portfolio, net of</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recoveries</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(407,954)</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(502,772)</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(511,660)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25.4%</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(1,531,708)</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(1,845,937)</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1,836,298</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1,774,612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1,842,462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0.3%</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6,957,396</w:t>
            </w:r>
          </w:p>
        </w:tc>
        <w:tc>
          <w:tcPr>
            <w:tcW w:w="104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7,231,244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89"/>
        </w:trPr>
        <w:tc>
          <w:tcPr>
            <w:tcW w:w="316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Non-financial income </w:t>
            </w:r>
            <w:r>
              <w:rPr>
                <w:rFonts w:ascii="Arial" w:cs="Arial" w:eastAsia="Arial" w:hAnsi="Arial"/>
                <w:sz w:val="21"/>
                <w:szCs w:val="21"/>
                <w:color w:val="auto"/>
                <w:vertAlign w:val="superscript"/>
              </w:rPr>
              <w:t>(1)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1,153,234</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1,270,586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1,269,497</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10.1%</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4,410,808</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4,902,039</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Insurance underwriting result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121,154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125,775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145,213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19.9%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471,418</w:t>
            </w:r>
          </w:p>
        </w:tc>
        <w:tc>
          <w:tcPr>
            <w:tcW w:w="104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499,024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316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Total expenses </w:t>
            </w:r>
            <w:r>
              <w:rPr>
                <w:rFonts w:ascii="Arial" w:cs="Arial" w:eastAsia="Arial" w:hAnsi="Arial"/>
                <w:sz w:val="21"/>
                <w:szCs w:val="21"/>
                <w:color w:val="auto"/>
                <w:vertAlign w:val="superscript"/>
              </w:rPr>
              <w:t>(1)</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(1,749,181)</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(1,651,622)</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(1,885,784)</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14.2%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7.8%</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(6,247,409)</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(6,658,591)</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1,361,505</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1,519,351</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1,371,388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0.7%</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5,592,213</w:t>
            </w:r>
          </w:p>
        </w:tc>
        <w:tc>
          <w:tcPr>
            <w:tcW w:w="104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5,973,716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149"/>
        </w:trPr>
        <w:tc>
          <w:tcPr>
            <w:tcW w:w="3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(384,352)</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(403,771)</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(378,431)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-1.5%</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(1,520,909)</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(1,621,385)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Net profit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977,153</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1,115,580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992,957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1.6%</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4,071,304</w:t>
            </w:r>
          </w:p>
        </w:tc>
        <w:tc>
          <w:tcPr>
            <w:tcW w:w="104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4,352,331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49"/>
        </w:trPr>
        <w:tc>
          <w:tcPr>
            <w:tcW w:w="3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20,220</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22,545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20,127</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-0.5%</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87,439</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87,027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Net profit attributable to Credicorp</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956,933</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1,093,035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972,830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3,983,865</w:t>
            </w:r>
          </w:p>
        </w:tc>
        <w:tc>
          <w:tcPr>
            <w:tcW w:w="1040" w:type="dxa"/>
            <w:vAlign w:val="bottom"/>
            <w:tcBorders>
              <w:lef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4,265,304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62"/>
        </w:trPr>
        <w:tc>
          <w:tcPr>
            <w:tcW w:w="3160" w:type="dxa"/>
            <w:vAlign w:val="bottom"/>
            <w:gridSpan w:val="2"/>
          </w:tcPr>
          <w:p>
            <w:pPr>
              <w:ind w:left="40"/>
              <w:spacing w:after="0"/>
              <w:rPr>
                <w:sz w:val="20"/>
                <w:szCs w:val="20"/>
                <w:color w:val="auto"/>
              </w:rPr>
            </w:pPr>
            <w:r>
              <w:rPr>
                <w:rFonts w:ascii="Arial" w:cs="Arial" w:eastAsia="Arial" w:hAnsi="Arial"/>
                <w:sz w:val="14"/>
                <w:szCs w:val="14"/>
                <w:color w:val="auto"/>
              </w:rPr>
              <w:t>Net income / share (S/)</w:t>
            </w:r>
          </w:p>
        </w:tc>
        <w:tc>
          <w:tcPr>
            <w:tcW w:w="820" w:type="dxa"/>
            <w:vAlign w:val="bottom"/>
          </w:tcPr>
          <w:p>
            <w:pPr>
              <w:jc w:val="right"/>
              <w:spacing w:after="0"/>
              <w:rPr>
                <w:sz w:val="20"/>
                <w:szCs w:val="20"/>
                <w:color w:val="auto"/>
              </w:rPr>
            </w:pPr>
            <w:r>
              <w:rPr>
                <w:rFonts w:ascii="Arial" w:cs="Arial" w:eastAsia="Arial" w:hAnsi="Arial"/>
                <w:sz w:val="14"/>
                <w:szCs w:val="14"/>
                <w:color w:val="auto"/>
              </w:rPr>
              <w:t>12.00</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13.70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12.20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49.95</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53.48</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Loans</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gridSpan w:val="2"/>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110,759,390</w:t>
            </w:r>
          </w:p>
        </w:tc>
        <w:tc>
          <w:tcPr>
            <w:tcW w:w="22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112,209,990</w:t>
            </w:r>
          </w:p>
        </w:tc>
        <w:tc>
          <w:tcPr>
            <w:tcW w:w="24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115,609,679</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4.4%</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110,759,390</w:t>
            </w:r>
          </w:p>
        </w:tc>
        <w:tc>
          <w:tcPr>
            <w:tcW w:w="240" w:type="dxa"/>
            <w:vAlign w:val="bottom"/>
            <w:vMerge w:val="continue"/>
            <w:shd w:val="clear" w:color="auto" w:fill="CCEEFF"/>
          </w:tcPr>
          <w:p>
            <w:pPr>
              <w:spacing w:after="0"/>
              <w:rPr>
                <w:sz w:val="12"/>
                <w:szCs w:val="12"/>
                <w:color w:val="auto"/>
              </w:rPr>
            </w:pPr>
          </w:p>
        </w:tc>
        <w:tc>
          <w:tcPr>
            <w:tcW w:w="82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115,609,679</w:t>
            </w:r>
          </w:p>
        </w:tc>
        <w:tc>
          <w:tcPr>
            <w:tcW w:w="22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316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Deposits and obligations </w:t>
            </w:r>
            <w:r>
              <w:rPr>
                <w:rFonts w:ascii="Arial" w:cs="Arial" w:eastAsia="Arial" w:hAnsi="Arial"/>
                <w:sz w:val="21"/>
                <w:szCs w:val="21"/>
                <w:color w:val="auto"/>
                <w:vertAlign w:val="superscript"/>
              </w:rPr>
              <w:t>(1)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104,551,311</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107,391,720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112,005,385</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7.1%</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104,551,311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112,005,385</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equity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23,839,243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26,000,638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26,237,960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10.1%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23,839,243</w:t>
            </w:r>
          </w:p>
        </w:tc>
        <w:tc>
          <w:tcPr>
            <w:tcW w:w="104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26,237,960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Profitability</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1"/>
                <w:szCs w:val="21"/>
                <w:color w:val="auto"/>
                <w:vertAlign w:val="superscript"/>
              </w:rPr>
              <w:t>(1)(2)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 bps</w:t>
            </w:r>
          </w:p>
        </w:tc>
        <w:tc>
          <w:tcPr>
            <w:tcW w:w="0" w:type="dxa"/>
            <w:vAlign w:val="bottom"/>
          </w:tcPr>
          <w:p>
            <w:pPr>
              <w:spacing w:after="0"/>
              <w:rPr>
                <w:sz w:val="1"/>
                <w:szCs w:val="1"/>
                <w:color w:val="auto"/>
              </w:rPr>
            </w:pPr>
          </w:p>
        </w:tc>
      </w:tr>
      <w:tr>
        <w:trPr>
          <w:trHeight w:val="189"/>
        </w:trPr>
        <w:tc>
          <w:tcPr>
            <w:tcW w:w="3160" w:type="dxa"/>
            <w:vAlign w:val="bottom"/>
          </w:tcPr>
          <w:p>
            <w:pPr>
              <w:ind w:left="40"/>
              <w:spacing w:after="0" w:line="189" w:lineRule="exact"/>
              <w:rPr>
                <w:sz w:val="20"/>
                <w:szCs w:val="20"/>
                <w:color w:val="auto"/>
              </w:rPr>
            </w:pPr>
            <w:r>
              <w:rPr>
                <w:rFonts w:ascii="Arial" w:cs="Arial" w:eastAsia="Arial" w:hAnsi="Arial"/>
                <w:sz w:val="13"/>
                <w:szCs w:val="13"/>
                <w:color w:val="auto"/>
              </w:rPr>
              <w:t xml:space="preserve">Risk-adjusted Net interest margin </w:t>
            </w:r>
            <w:r>
              <w:rPr>
                <w:rFonts w:ascii="Arial" w:cs="Arial" w:eastAsia="Arial" w:hAnsi="Arial"/>
                <w:sz w:val="21"/>
                <w:szCs w:val="21"/>
                <w:color w:val="auto"/>
                <w:vertAlign w:val="superscript"/>
              </w:rPr>
              <w:t>(1)(2)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4.62%</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4.21%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4.27%</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6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-35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4.33%</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4.29%</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 bps</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Funding cost </w:t>
            </w:r>
            <w:r>
              <w:rPr>
                <w:rFonts w:ascii="Arial" w:cs="Arial" w:eastAsia="Arial" w:hAnsi="Arial"/>
                <w:sz w:val="21"/>
                <w:szCs w:val="21"/>
                <w:color w:val="auto"/>
                <w:vertAlign w:val="superscript"/>
              </w:rPr>
              <w:t>(1)(2)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 bps</w:t>
            </w:r>
          </w:p>
        </w:tc>
        <w:tc>
          <w:tcPr>
            <w:tcW w:w="0" w:type="dxa"/>
            <w:vAlign w:val="bottom"/>
          </w:tcPr>
          <w:p>
            <w:pPr>
              <w:spacing w:after="0"/>
              <w:rPr>
                <w:sz w:val="1"/>
                <w:szCs w:val="1"/>
                <w:color w:val="auto"/>
              </w:rPr>
            </w:pPr>
          </w:p>
        </w:tc>
      </w:tr>
      <w:tr>
        <w:trPr>
          <w:trHeight w:val="189"/>
        </w:trPr>
        <w:tc>
          <w:tcPr>
            <w:tcW w:w="3160" w:type="dxa"/>
            <w:vAlign w:val="bottom"/>
          </w:tcPr>
          <w:p>
            <w:pPr>
              <w:ind w:left="40"/>
              <w:spacing w:after="0" w:line="189" w:lineRule="exact"/>
              <w:rPr>
                <w:sz w:val="20"/>
                <w:szCs w:val="20"/>
                <w:color w:val="auto"/>
              </w:rPr>
            </w:pPr>
            <w:r>
              <w:rPr>
                <w:rFonts w:ascii="Arial" w:cs="Arial" w:eastAsia="Arial" w:hAnsi="Arial"/>
                <w:sz w:val="13"/>
                <w:szCs w:val="13"/>
                <w:color w:val="auto"/>
              </w:rPr>
              <w:t xml:space="preserve">ROAE </w:t>
            </w:r>
            <w:r>
              <w:rPr>
                <w:rFonts w:ascii="Arial" w:cs="Arial" w:eastAsia="Arial" w:hAnsi="Arial"/>
                <w:sz w:val="21"/>
                <w:szCs w:val="21"/>
                <w:color w:val="auto"/>
                <w:vertAlign w:val="superscript"/>
              </w:rPr>
              <w:t>(2)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16.3%</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17.1%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14.9%</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-220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-140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17.5%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17.0%</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40"/>
              <w:spacing w:after="0" w:line="202" w:lineRule="exact"/>
              <w:rPr>
                <w:sz w:val="20"/>
                <w:szCs w:val="20"/>
                <w:color w:val="auto"/>
              </w:rPr>
            </w:pPr>
            <w:r>
              <w:rPr>
                <w:rFonts w:ascii="Arial" w:cs="Arial" w:eastAsia="Arial" w:hAnsi="Arial"/>
                <w:sz w:val="14"/>
                <w:szCs w:val="14"/>
                <w:color w:val="auto"/>
              </w:rPr>
              <w:t xml:space="preserve">ROAA </w:t>
            </w:r>
            <w:r>
              <w:rPr>
                <w:rFonts w:ascii="Arial" w:cs="Arial" w:eastAsia="Arial" w:hAnsi="Arial"/>
                <w:sz w:val="23"/>
                <w:szCs w:val="23"/>
                <w:color w:val="auto"/>
                <w:vertAlign w:val="superscript"/>
              </w:rPr>
              <w:t>(2)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 bps</w:t>
            </w:r>
          </w:p>
        </w:tc>
        <w:tc>
          <w:tcPr>
            <w:tcW w:w="0" w:type="dxa"/>
            <w:vAlign w:val="bottom"/>
          </w:tcPr>
          <w:p>
            <w:pPr>
              <w:spacing w:after="0"/>
              <w:rPr>
                <w:sz w:val="1"/>
                <w:szCs w:val="1"/>
                <w:color w:val="auto"/>
              </w:rPr>
            </w:pPr>
          </w:p>
        </w:tc>
      </w:tr>
      <w:tr>
        <w:trPr>
          <w:trHeight w:val="142"/>
        </w:trPr>
        <w:tc>
          <w:tcPr>
            <w:tcW w:w="31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IOL ratio </w:t>
            </w:r>
            <w:r>
              <w:rPr>
                <w:rFonts w:ascii="Arial" w:cs="Arial" w:eastAsia="Arial" w:hAnsi="Arial"/>
                <w:sz w:val="21"/>
                <w:szCs w:val="21"/>
                <w:color w:val="auto"/>
                <w:vertAlign w:val="superscript"/>
              </w:rPr>
              <w:t>(3)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 bps</w:t>
            </w:r>
          </w:p>
        </w:tc>
        <w:tc>
          <w:tcPr>
            <w:tcW w:w="0" w:type="dxa"/>
            <w:vAlign w:val="bottom"/>
          </w:tcPr>
          <w:p>
            <w:pPr>
              <w:spacing w:after="0"/>
              <w:rPr>
                <w:sz w:val="1"/>
                <w:szCs w:val="1"/>
                <w:color w:val="auto"/>
              </w:rPr>
            </w:pPr>
          </w:p>
        </w:tc>
      </w:tr>
      <w:tr>
        <w:trPr>
          <w:trHeight w:val="149"/>
        </w:trPr>
        <w:tc>
          <w:tcPr>
            <w:tcW w:w="3160" w:type="dxa"/>
            <w:vAlign w:val="bottom"/>
          </w:tcPr>
          <w:p>
            <w:pPr>
              <w:ind w:left="40"/>
              <w:spacing w:after="0" w:line="149" w:lineRule="exact"/>
              <w:rPr>
                <w:sz w:val="20"/>
                <w:szCs w:val="20"/>
                <w:color w:val="auto"/>
              </w:rPr>
            </w:pPr>
            <w:r>
              <w:rPr>
                <w:rFonts w:ascii="Arial" w:cs="Arial" w:eastAsia="Arial" w:hAnsi="Arial"/>
                <w:sz w:val="14"/>
                <w:szCs w:val="14"/>
                <w:color w:val="auto"/>
              </w:rPr>
              <w:t>IOL over 90 days ratio</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 bps</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 bps</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 bps</w:t>
            </w:r>
          </w:p>
        </w:tc>
        <w:tc>
          <w:tcPr>
            <w:tcW w:w="0" w:type="dxa"/>
            <w:vAlign w:val="bottom"/>
          </w:tcPr>
          <w:p>
            <w:pPr>
              <w:spacing w:after="0"/>
              <w:rPr>
                <w:sz w:val="1"/>
                <w:szCs w:val="1"/>
                <w:color w:val="auto"/>
              </w:rPr>
            </w:pPr>
          </w:p>
        </w:tc>
      </w:tr>
      <w:tr>
        <w:trPr>
          <w:trHeight w:val="189"/>
        </w:trPr>
        <w:tc>
          <w:tcPr>
            <w:tcW w:w="3160" w:type="dxa"/>
            <w:vAlign w:val="bottom"/>
          </w:tcPr>
          <w:p>
            <w:pPr>
              <w:ind w:left="40"/>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(2)(5)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1.47%</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1.79%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-2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30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1.60%</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22 bps</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Coverage ratio of IOLs</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158.9%</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148.8%</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153.7%</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490 bps</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-520 bps</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158.9%</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153.7%</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-520 bps</w:t>
            </w:r>
          </w:p>
        </w:tc>
        <w:tc>
          <w:tcPr>
            <w:tcW w:w="0" w:type="dxa"/>
            <w:vAlign w:val="bottom"/>
          </w:tcPr>
          <w:p>
            <w:pPr>
              <w:spacing w:after="0"/>
              <w:rPr>
                <w:sz w:val="1"/>
                <w:szCs w:val="1"/>
                <w:color w:val="auto"/>
              </w:rPr>
            </w:pPr>
          </w:p>
        </w:tc>
      </w:tr>
      <w:tr>
        <w:trPr>
          <w:trHeight w:val="149"/>
        </w:trPr>
        <w:tc>
          <w:tcPr>
            <w:tcW w:w="3160" w:type="dxa"/>
            <w:vAlign w:val="bottom"/>
          </w:tcPr>
          <w:p>
            <w:pPr>
              <w:ind w:left="40"/>
              <w:spacing w:after="0" w:line="149" w:lineRule="exact"/>
              <w:rPr>
                <w:sz w:val="20"/>
                <w:szCs w:val="20"/>
                <w:color w:val="auto"/>
              </w:rPr>
            </w:pPr>
            <w:r>
              <w:rPr>
                <w:rFonts w:ascii="Arial" w:cs="Arial" w:eastAsia="Arial" w:hAnsi="Arial"/>
                <w:sz w:val="14"/>
                <w:szCs w:val="14"/>
                <w:color w:val="auto"/>
              </w:rPr>
              <w:t>Coverage ratio of IOL 90-days</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210.4%</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204.5%</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850 bps</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-590 bps</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-590 bps</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Coverage ratio of NPLs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430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42"/>
        </w:trPr>
        <w:tc>
          <w:tcPr>
            <w:tcW w:w="31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Operating efficiency</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250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line="202" w:lineRule="exact"/>
              <w:rPr>
                <w:sz w:val="20"/>
                <w:szCs w:val="20"/>
                <w:color w:val="auto"/>
              </w:rPr>
            </w:pPr>
            <w:r>
              <w:rPr>
                <w:rFonts w:ascii="Arial" w:cs="Arial" w:eastAsia="Arial" w:hAnsi="Arial"/>
                <w:sz w:val="14"/>
                <w:szCs w:val="14"/>
                <w:color w:val="auto"/>
              </w:rPr>
              <w:t xml:space="preserve">Operating expenses / Total average assets </w:t>
            </w:r>
            <w:r>
              <w:rPr>
                <w:rFonts w:ascii="Arial" w:cs="Arial" w:eastAsia="Arial" w:hAnsi="Arial"/>
                <w:sz w:val="23"/>
                <w:szCs w:val="23"/>
                <w:color w:val="auto"/>
                <w:vertAlign w:val="superscript"/>
              </w:rPr>
              <w:t>(7)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4.04%</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3.68%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3.97%</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29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-7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4.89%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4.95%</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 bps</w:t>
            </w: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Insurance ratios</w:t>
            </w: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40"/>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(1)(8)(9)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100.2%</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97.9%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94.1%</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-380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-610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100.3%</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98.4%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-190 bps</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-110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210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bps</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7.2%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170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140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8.1%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-100 bps</w:t>
            </w:r>
          </w:p>
        </w:tc>
        <w:tc>
          <w:tcPr>
            <w:tcW w:w="0" w:type="dxa"/>
            <w:vAlign w:val="bottom"/>
          </w:tcPr>
          <w:p>
            <w:pPr>
              <w:spacing w:after="0"/>
              <w:rPr>
                <w:sz w:val="1"/>
                <w:szCs w:val="1"/>
                <w:color w:val="auto"/>
              </w:rPr>
            </w:pPr>
          </w:p>
        </w:tc>
      </w:tr>
      <w:tr>
        <w:trPr>
          <w:trHeight w:val="169"/>
        </w:trPr>
        <w:tc>
          <w:tcPr>
            <w:tcW w:w="3160" w:type="dxa"/>
            <w:vAlign w:val="bottom"/>
            <w:tcBorders>
              <w:top w:val="single" w:sz="8" w:color="CCEEFF"/>
            </w:tcBorders>
            <w:shd w:val="clear" w:color="auto" w:fill="CCEEFF"/>
          </w:tcPr>
          <w:p>
            <w:pPr>
              <w:ind w:left="40"/>
              <w:spacing w:after="0" w:line="169"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9"/>
                <w:szCs w:val="19"/>
                <w:b w:val="1"/>
                <w:bCs w:val="1"/>
                <w:color w:val="auto"/>
                <w:vertAlign w:val="superscript"/>
              </w:rPr>
              <w:t>(11)</w:t>
            </w: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40"/>
              <w:spacing w:after="0" w:line="189"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(12)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14.16%</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15.45%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14.47%</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-98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31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14.16%</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14.47%</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31 bps</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-72 bps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79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 bps</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line="202"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3"/>
                <w:szCs w:val="23"/>
                <w:color w:val="auto"/>
                <w:vertAlign w:val="superscript"/>
              </w:rPr>
              <w:t>(14)</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11.55%</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11.95%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12.35%</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40 bps</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80 bps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11.55%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12.35%</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ind w:left="40"/>
              <w:spacing w:after="0" w:line="202" w:lineRule="exact"/>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34,024</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35,174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35,846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34,024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35,846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31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Share Information</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Outstanding Shares</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316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1"/>
                <w:szCs w:val="21"/>
                <w:color w:val="auto"/>
                <w:vertAlign w:val="superscript"/>
              </w:rPr>
              <w:t>(15)</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14,621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14,621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Floating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79,761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Annualized.</w:t>
      </w:r>
    </w:p>
    <w:p>
      <w:pPr>
        <w:ind w:left="220" w:hanging="212"/>
        <w:spacing w:after="0"/>
        <w:tabs>
          <w:tab w:leader="none" w:pos="2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Internal overdue loans: includes overdue loans and loans under legal collection, according to our internal policy for overdue loans. Internal Overdue ratio: Internal overdue loans / Total loans.</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Non-performing loans (NPL): Internal overdue loans + Refinanced loans. NPL ratio: NPL / Total loans.</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Cost of risk: Annualized Provision for credit losses on loan portfolio, net of recoveries / Total loans.</w:t>
      </w:r>
    </w:p>
    <w:p>
      <w:pPr>
        <w:ind w:firstLine="8"/>
        <w:spacing w:after="0" w:line="238" w:lineRule="auto"/>
        <w:tabs>
          <w:tab w:leader="none" w:pos="215" w:val="left"/>
        </w:tabs>
        <w:numPr>
          <w:ilvl w:val="0"/>
          <w:numId w:val="2"/>
        </w:numPr>
        <w:rPr>
          <w:rFonts w:ascii="Arial" w:cs="Arial" w:eastAsia="Arial" w:hAnsi="Arial"/>
          <w:sz w:val="13"/>
          <w:szCs w:val="13"/>
          <w:color w:val="auto"/>
        </w:rPr>
      </w:pPr>
      <w:r>
        <w:rPr>
          <w:rFonts w:ascii="Arial" w:cs="Arial" w:eastAsia="Arial" w:hAnsi="Arial"/>
          <w:sz w:val="13"/>
          <w:szCs w:val="13"/>
          <w:color w:val="auto"/>
        </w:rPr>
        <w:t>Efficiency ratio = (Salaries and employee benefits + Administrative expenses + Depreciation and amortization + Association in participation + Acquisition cost) / (Net interest income + Fee Income + Net gain on foreign exchange transactions + Net Gain From associates + Net gain on derivatives held for trading + Result on exchange differences + Net Premiums Earned).</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Operating expenses / Average of Total Assets. Average is calculated with period-beginning and period-ending balances.</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Combined ratio = (Net claims / Net earned premiums) + [(Acquisition cost + Operating expenses) / Net earned premiums]. Does not include Life insurance business.</w:t>
      </w:r>
    </w:p>
    <w:p>
      <w:pPr>
        <w:ind w:left="220" w:hanging="212"/>
        <w:spacing w:after="0" w:line="221"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Considers Grupo Pacifico’s figures before eliminations for consolidation to Credicorp.</w:t>
      </w:r>
    </w:p>
    <w:p>
      <w:pPr>
        <w:ind w:left="280" w:hanging="272"/>
        <w:spacing w:after="0" w:line="221" w:lineRule="auto"/>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claims / Net earned premiums.</w:t>
      </w:r>
    </w:p>
    <w:p>
      <w:pPr>
        <w:ind w:left="280" w:hanging="272"/>
        <w:spacing w:after="0" w:line="221" w:lineRule="auto"/>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Capital ratios are for BCP Stand-alone and based on Peru GAAP.</w:t>
      </w:r>
    </w:p>
    <w:p>
      <w:pPr>
        <w:ind w:left="280" w:hanging="272"/>
        <w:spacing w:after="0" w:line="221" w:lineRule="auto"/>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Regulatory Capital / Risk-weighted assets (legal minimum = 10% since July 2011).</w:t>
      </w:r>
    </w:p>
    <w:p>
      <w:pPr>
        <w:jc w:val="both"/>
        <w:ind w:firstLine="8"/>
        <w:spacing w:after="0" w:line="221" w:lineRule="auto"/>
        <w:tabs>
          <w:tab w:leader="none" w:pos="295" w:val="left"/>
        </w:tabs>
        <w:numPr>
          <w:ilvl w:val="0"/>
          <w:numId w:val="2"/>
        </w:numPr>
        <w:rPr>
          <w:rFonts w:ascii="Arial" w:cs="Arial" w:eastAsia="Arial" w:hAnsi="Arial"/>
          <w:sz w:val="14"/>
          <w:szCs w:val="14"/>
          <w:color w:val="auto"/>
        </w:rPr>
      </w:pPr>
      <w:r>
        <w:rPr>
          <w:rFonts w:ascii="Arial" w:cs="Arial" w:eastAsia="Arial" w:hAnsi="Arial"/>
          <w:sz w:val="14"/>
          <w:szCs w:val="14"/>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21" w:lineRule="auto"/>
        <w:tabs>
          <w:tab w:leader="none" w:pos="277"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Common Equity Tier I = Capital + Reserves – 100% of applicable deductions (investment in subsidiaries, goodwill, intangibles and net deferred taxes that rely on future profitability) + retained earnings + unrealized gains.</w:t>
      </w:r>
    </w:p>
    <w:p>
      <w:pPr>
        <w:spacing w:after="0" w:line="221" w:lineRule="auto"/>
        <w:rPr>
          <w:rFonts w:ascii="Arial" w:cs="Arial" w:eastAsia="Arial" w:hAnsi="Arial"/>
          <w:sz w:val="14"/>
          <w:szCs w:val="14"/>
          <w:color w:val="auto"/>
        </w:rPr>
      </w:pPr>
      <w:r>
        <w:rPr>
          <w:rFonts w:ascii="Arial" w:cs="Arial" w:eastAsia="Arial" w:hAnsi="Arial"/>
          <w:sz w:val="14"/>
          <w:szCs w:val="14"/>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80" w:hanging="272"/>
        <w:spacing w:after="0"/>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shares are held by Atlantic Security Holding Corporation (ASHC).</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Credicorp and subsidiaries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Earnings contribution *</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 change</w:t>
            </w:r>
          </w:p>
        </w:tc>
        <w:tc>
          <w:tcPr>
            <w:tcW w:w="1080" w:type="dxa"/>
            <w:vAlign w:val="bottom"/>
            <w:gridSpan w:val="3"/>
          </w:tcPr>
          <w:p>
            <w:pPr>
              <w:ind w:left="720"/>
              <w:spacing w:after="0"/>
              <w:rPr>
                <w:sz w:val="20"/>
                <w:szCs w:val="20"/>
                <w:color w:val="auto"/>
              </w:rPr>
            </w:pPr>
            <w:r>
              <w:rPr>
                <w:rFonts w:ascii="Arial" w:cs="Arial" w:eastAsia="Arial" w:hAnsi="Arial"/>
                <w:sz w:val="16"/>
                <w:szCs w:val="16"/>
                <w:b w:val="1"/>
                <w:bCs w:val="1"/>
                <w:color w:val="auto"/>
                <w:w w:val="97"/>
              </w:rPr>
              <w:t>Year</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 change</w:t>
            </w:r>
          </w:p>
        </w:tc>
        <w:tc>
          <w:tcPr>
            <w:tcW w:w="0" w:type="dxa"/>
            <w:vAlign w:val="bottom"/>
          </w:tcPr>
          <w:p>
            <w:pPr>
              <w:spacing w:after="0"/>
              <w:rPr>
                <w:sz w:val="1"/>
                <w:szCs w:val="1"/>
                <w:color w:val="auto"/>
              </w:rPr>
            </w:pPr>
          </w:p>
        </w:tc>
      </w:tr>
      <w:tr>
        <w:trPr>
          <w:trHeight w:val="219"/>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S/ 000</w:t>
            </w:r>
          </w:p>
        </w:tc>
        <w:tc>
          <w:tcPr>
            <w:tcW w:w="10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4Q18</w:t>
            </w:r>
          </w:p>
        </w:tc>
        <w:tc>
          <w:tcPr>
            <w:tcW w:w="9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3Q19</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4Q19</w:t>
            </w: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QoQ</w:t>
            </w:r>
          </w:p>
        </w:tc>
        <w:tc>
          <w:tcPr>
            <w:tcW w:w="10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YoY</w:t>
            </w:r>
          </w:p>
        </w:tc>
        <w:tc>
          <w:tcPr>
            <w:tcW w:w="7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89"/>
              </w:rPr>
              <w:t>2019 / 2018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Universal Banking</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BCP Stand-alone</w:t>
            </w:r>
          </w:p>
        </w:tc>
        <w:tc>
          <w:tcPr>
            <w:tcW w:w="800" w:type="dxa"/>
            <w:vAlign w:val="bottom"/>
          </w:tcPr>
          <w:p>
            <w:pPr>
              <w:jc w:val="right"/>
              <w:spacing w:after="0"/>
              <w:rPr>
                <w:sz w:val="20"/>
                <w:szCs w:val="20"/>
                <w:color w:val="auto"/>
              </w:rPr>
            </w:pPr>
            <w:r>
              <w:rPr>
                <w:rFonts w:ascii="Arial" w:cs="Arial" w:eastAsia="Arial" w:hAnsi="Arial"/>
                <w:sz w:val="16"/>
                <w:szCs w:val="16"/>
                <w:color w:val="auto"/>
              </w:rPr>
              <w:t>694,560</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831,423</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725,464</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-12.7%</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2,858,164</w:t>
            </w: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3,163,236</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BCP Bolivia</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25,575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13,487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78,260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78,508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Microfinance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4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Mibanco </w:t>
            </w:r>
            <w:r>
              <w:rPr>
                <w:rFonts w:ascii="Arial" w:cs="Arial" w:eastAsia="Arial" w:hAnsi="Arial"/>
                <w:sz w:val="27"/>
                <w:szCs w:val="27"/>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95,137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100,034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445,169</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391,688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Bancompartir S.A</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(1,630)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(1,630)</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Encumbra</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1,323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5,123</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5,263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Insurance and Pensions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4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Grupo Pacifico </w:t>
            </w:r>
            <w:r>
              <w:rPr>
                <w:rFonts w:ascii="Arial" w:cs="Arial" w:eastAsia="Arial" w:hAnsi="Arial"/>
                <w:sz w:val="27"/>
                <w:szCs w:val="27"/>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105,492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88,949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113,760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349,130</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376,999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Prima AFP</w:t>
            </w:r>
          </w:p>
        </w:tc>
        <w:tc>
          <w:tcPr>
            <w:tcW w:w="800" w:type="dxa"/>
            <w:vAlign w:val="bottom"/>
          </w:tcPr>
          <w:p>
            <w:pPr>
              <w:jc w:val="right"/>
              <w:spacing w:after="0"/>
              <w:rPr>
                <w:sz w:val="20"/>
                <w:szCs w:val="20"/>
                <w:color w:val="auto"/>
              </w:rPr>
            </w:pPr>
            <w:r>
              <w:rPr>
                <w:rFonts w:ascii="Arial" w:cs="Arial" w:eastAsia="Arial" w:hAnsi="Arial"/>
                <w:sz w:val="16"/>
                <w:szCs w:val="16"/>
                <w:color w:val="auto"/>
              </w:rPr>
              <w:t>30,471</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42,394</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46,829</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10.5%</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53.7%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139,586</w:t>
            </w: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196,590</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Banking and Wealth</w:t>
            </w: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Management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Credicorp Capital</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(15,712)</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13,010</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4,631</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-64.4%</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-129.5%</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34,261</w:t>
            </w: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43,883</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Atlantic Security Bank</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43,376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42,824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111,965</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186,540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line="257" w:lineRule="exact"/>
              <w:rPr>
                <w:sz w:val="20"/>
                <w:szCs w:val="20"/>
                <w:color w:val="auto"/>
              </w:rPr>
            </w:pPr>
            <w:r>
              <w:rPr>
                <w:rFonts w:ascii="Arial" w:cs="Arial" w:eastAsia="Arial" w:hAnsi="Arial"/>
                <w:sz w:val="16"/>
                <w:szCs w:val="16"/>
                <w:b w:val="1"/>
                <w:bCs w:val="1"/>
                <w:color w:val="auto"/>
              </w:rPr>
              <w:t xml:space="preserve">Others </w:t>
            </w:r>
            <w:r>
              <w:rPr>
                <w:rFonts w:ascii="Arial" w:cs="Arial" w:eastAsia="Arial" w:hAnsi="Arial"/>
                <w:sz w:val="27"/>
                <w:szCs w:val="27"/>
                <w:b w:val="1"/>
                <w:bCs w:val="1"/>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6"/>
                <w:szCs w:val="16"/>
                <w:color w:val="auto"/>
              </w:rPr>
              <w:t>445</w:t>
            </w:r>
          </w:p>
        </w:tc>
        <w:tc>
          <w:tcPr>
            <w:tcW w:w="2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(47,681)</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(73,892)</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55.0%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-16704.9%</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(37,793)</w:t>
            </w:r>
          </w:p>
        </w:tc>
        <w:tc>
          <w:tcPr>
            <w:tcW w:w="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(175,773)</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365.1%</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attributed to Credicorp</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956,933</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1,093,035</w:t>
            </w:r>
          </w:p>
        </w:tc>
        <w:tc>
          <w:tcPr>
            <w:tcW w:w="20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972,830</w:t>
            </w:r>
          </w:p>
        </w:tc>
        <w:tc>
          <w:tcPr>
            <w:tcW w:w="20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3,983,865</w:t>
            </w:r>
          </w:p>
        </w:tc>
        <w:tc>
          <w:tcPr>
            <w:tcW w:w="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4,265,304</w:t>
            </w:r>
          </w:p>
        </w:tc>
        <w:tc>
          <w:tcPr>
            <w:tcW w:w="22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figure is lower than the net income of Mibanco because Credicorp owns 99.921% of Mibanco (directly and indirectly).</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contribution is higher than Grupo Pacifico’s net income because Credicorp owns 65.20% directly, and 33.59% through Grupo Credito.</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Grupo Credito excluding Prima (Servicorp and Emisiones BCP Latam), others of Atlantic Security Holding Corporation and others of Credicorp Ltd.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Quarter</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680"/>
              <w:spacing w:after="0"/>
              <w:rPr>
                <w:sz w:val="20"/>
                <w:szCs w:val="20"/>
                <w:color w:val="auto"/>
              </w:rPr>
            </w:pPr>
            <w:r>
              <w:rPr>
                <w:rFonts w:ascii="Arial" w:cs="Arial" w:eastAsia="Arial" w:hAnsi="Arial"/>
                <w:sz w:val="16"/>
                <w:szCs w:val="16"/>
                <w:b w:val="1"/>
                <w:bCs w:val="1"/>
                <w:color w:val="auto"/>
                <w:w w:val="97"/>
              </w:rPr>
              <w:t>Year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1760"/>
              <w:spacing w:after="0"/>
              <w:rPr>
                <w:sz w:val="20"/>
                <w:szCs w:val="20"/>
                <w:color w:val="auto"/>
              </w:rPr>
            </w:pPr>
            <w:r>
              <w:rPr>
                <w:rFonts w:ascii="Arial" w:cs="Arial" w:eastAsia="Arial" w:hAnsi="Arial"/>
                <w:sz w:val="16"/>
                <w:szCs w:val="16"/>
                <w:b w:val="1"/>
                <w:bCs w:val="1"/>
                <w:color w:val="auto"/>
              </w:rPr>
              <w:t>ROAE</w:t>
            </w:r>
          </w:p>
        </w:tc>
        <w:tc>
          <w:tcPr>
            <w:tcW w:w="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4Q18</w:t>
            </w:r>
          </w:p>
        </w:tc>
        <w:tc>
          <w:tcPr>
            <w:tcW w:w="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3Q19</w:t>
            </w:r>
          </w:p>
        </w:tc>
        <w:tc>
          <w:tcPr>
            <w:tcW w:w="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4Q19</w:t>
            </w:r>
          </w:p>
        </w:tc>
        <w:tc>
          <w:tcPr>
            <w:tcW w:w="8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Universal Banking</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BCP Stand-alone</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19.4%</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21.7%</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18.2%</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BCP Bolivia</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Microfinance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Mibanco </w:t>
            </w:r>
            <w:r>
              <w:rPr>
                <w:rFonts w:ascii="Arial" w:cs="Arial" w:eastAsia="Arial" w:hAnsi="Arial"/>
                <w:sz w:val="27"/>
                <w:szCs w:val="27"/>
                <w:color w:val="auto"/>
                <w:vertAlign w:val="superscript"/>
              </w:rPr>
              <w:t>(1)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3"/>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Bancompartir</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0.0%</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0.0%</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-16.0%</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Encumbra</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Insurance and Pensions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Grupo Pacifico </w:t>
            </w:r>
            <w:r>
              <w:rPr>
                <w:rFonts w:ascii="Arial" w:cs="Arial" w:eastAsia="Arial" w:hAnsi="Arial"/>
                <w:sz w:val="27"/>
                <w:szCs w:val="27"/>
                <w:color w:val="auto"/>
                <w:vertAlign w:val="superscript"/>
              </w:rPr>
              <w:t>(2)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3"/>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Prima</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19.4%</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26.0%</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27.3%</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Banking and Wealth Management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Credicorp Capital</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-8.8%</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9.3%</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3.1%</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Atlantic Security Bank</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Credicorp</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20" w:type="dxa"/>
            <w:vAlign w:val="bottom"/>
            <w:gridSpan w:val="2"/>
            <w:vMerge w:val="continue"/>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16.3%</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17.1%</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14.9%</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17.5%</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8"/>
        <w:spacing w:after="0" w:line="266" w:lineRule="auto"/>
        <w:tabs>
          <w:tab w:leader="none" w:pos="244" w:val="left"/>
        </w:tabs>
        <w:numPr>
          <w:ilvl w:val="0"/>
          <w:numId w:val="4"/>
        </w:numPr>
        <w:rPr>
          <w:rFonts w:ascii="Arial" w:cs="Arial" w:eastAsia="Arial" w:hAnsi="Arial"/>
          <w:sz w:val="16"/>
          <w:szCs w:val="16"/>
          <w:color w:val="auto"/>
        </w:rPr>
      </w:pPr>
      <w:r>
        <w:rPr>
          <w:rFonts w:ascii="Arial" w:cs="Arial" w:eastAsia="Arial" w:hAnsi="Arial"/>
          <w:sz w:val="16"/>
          <w:szCs w:val="16"/>
          <w:color w:val="auto"/>
        </w:rPr>
        <w:t>ROAE including goodwill of BCP from the acquisition of Edyficar (Approximately US$ 50.7 million) was 19.9% in 4Q18, 17.5% in 3Q19 and 18.2% in 4Q19. On an annual basis it was 24.0% for 2018 and 18.8% for 2019.</w:t>
      </w:r>
    </w:p>
    <w:p>
      <w:pPr>
        <w:spacing w:after="0" w:line="1" w:lineRule="exact"/>
        <w:rPr>
          <w:rFonts w:ascii="Arial" w:cs="Arial" w:eastAsia="Arial" w:hAnsi="Arial"/>
          <w:sz w:val="16"/>
          <w:szCs w:val="16"/>
          <w:color w:val="auto"/>
        </w:rPr>
      </w:pPr>
    </w:p>
    <w:p>
      <w:pPr>
        <w:ind w:firstLine="8"/>
        <w:spacing w:after="0" w:line="288" w:lineRule="auto"/>
        <w:tabs>
          <w:tab w:leader="none" w:pos="242" w:val="left"/>
        </w:tabs>
        <w:numPr>
          <w:ilvl w:val="0"/>
          <w:numId w:val="4"/>
        </w:numPr>
        <w:rPr>
          <w:rFonts w:ascii="Arial" w:cs="Arial" w:eastAsia="Arial" w:hAnsi="Arial"/>
          <w:sz w:val="16"/>
          <w:szCs w:val="16"/>
          <w:color w:val="auto"/>
        </w:rPr>
      </w:pPr>
      <w:r>
        <w:rPr>
          <w:rFonts w:ascii="Arial" w:cs="Arial" w:eastAsia="Arial" w:hAnsi="Arial"/>
          <w:sz w:val="16"/>
          <w:szCs w:val="16"/>
          <w:color w:val="auto"/>
        </w:rPr>
        <w:t>Figures include unrealized gains or losses that are considered in Pacifico’s Net Equity from the investment portfolio of Pacifico Vida. ROAE excluding such unrealized gains was 19.3% in 4Q18, 16.3% in 3Q19 and 19.9% in 4Q19. On an annual basis it was 16.1% for 2018 and 16.5% for 2019.</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At the end of December 2019, IEAs posted growth of +1.7% QoQ, which was primarily attributable to an increase in loan balances. In the YoY evolution, which eliminates seasonal effects on loans, IEAs registered growth of +6.7%. This growth was mainly due to expansion relative to loans and available funds. Loans, which are the group’s most profitable asset, posted growth of +2.7% QoQ and +6.0% YoY in average daily balances. Expansion in this case was mainly attributable to the evolution of the loan portfolios at BCP Stand-alone subsidiary, where growth was driven primarily by an increase in the average daily balances of the Retail Banking portfolio, and, to a lesser degree, by an increase in average daily balances in the Wholesale Banking portfolio.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18</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 19</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19</w:t>
            </w: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7"/>
              </w:rPr>
              <w:t>QoQ</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14,478,739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20,004,002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19,670,279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253,970</w:t>
            </w:r>
          </w:p>
        </w:tc>
        <w:tc>
          <w:tcPr>
            <w:tcW w:w="1200" w:type="dxa"/>
            <w:vAlign w:val="bottom"/>
          </w:tcPr>
          <w:p>
            <w:pPr>
              <w:jc w:val="right"/>
              <w:spacing w:after="0"/>
              <w:rPr>
                <w:sz w:val="20"/>
                <w:szCs w:val="20"/>
                <w:color w:val="auto"/>
              </w:rPr>
            </w:pPr>
            <w:r>
              <w:rPr>
                <w:rFonts w:ascii="Arial" w:cs="Arial" w:eastAsia="Arial" w:hAnsi="Arial"/>
                <w:sz w:val="18"/>
                <w:szCs w:val="18"/>
                <w:color w:val="auto"/>
              </w:rPr>
              <w:t>254,175</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111,575</w:t>
            </w:r>
          </w:p>
        </w:tc>
        <w:tc>
          <w:tcPr>
            <w:tcW w:w="8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-56.1%</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32,863,118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33,956,227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33,547,444</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w w:val="94"/>
              </w:rPr>
              <w:t>Cash collateral, reverse repurchase agreements and</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securities borrowing</w:t>
            </w:r>
          </w:p>
        </w:tc>
        <w:tc>
          <w:tcPr>
            <w:tcW w:w="1220" w:type="dxa"/>
            <w:vAlign w:val="bottom"/>
          </w:tcPr>
          <w:p>
            <w:pPr>
              <w:jc w:val="right"/>
              <w:spacing w:after="0"/>
              <w:rPr>
                <w:sz w:val="20"/>
                <w:szCs w:val="20"/>
                <w:color w:val="auto"/>
              </w:rPr>
            </w:pPr>
            <w:r>
              <w:rPr>
                <w:rFonts w:ascii="Arial" w:cs="Arial" w:eastAsia="Arial" w:hAnsi="Arial"/>
                <w:sz w:val="18"/>
                <w:szCs w:val="18"/>
                <w:color w:val="auto"/>
              </w:rPr>
              <w:t>4,082,942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3,903,051</w:t>
            </w: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4,288,524</w:t>
            </w:r>
          </w:p>
        </w:tc>
        <w:tc>
          <w:tcPr>
            <w:tcW w:w="8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Financial assets designated at fair value through</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or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521,185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617,387</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620,544</w:t>
            </w:r>
          </w:p>
        </w:tc>
        <w:tc>
          <w:tcPr>
            <w:tcW w:w="8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110,759,390</w:t>
            </w: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112,209,990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115,609,679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gridSpan w:val="2"/>
            <w:vMerge w:val="continue"/>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162,959,344</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170,944,832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173,848,045</w:t>
            </w:r>
          </w:p>
        </w:tc>
        <w:tc>
          <w:tcPr>
            <w:tcW w:w="220" w:type="dxa"/>
            <w:vAlign w:val="bottom"/>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426"/>
        </w:trPr>
        <w:tc>
          <w:tcPr>
            <w:tcW w:w="3980" w:type="dxa"/>
            <w:vAlign w:val="bottom"/>
            <w:gridSpan w:val="2"/>
          </w:tcPr>
          <w:p>
            <w:pPr>
              <w:spacing w:after="0"/>
              <w:rPr>
                <w:sz w:val="20"/>
                <w:szCs w:val="20"/>
                <w:color w:val="auto"/>
              </w:rPr>
            </w:pPr>
            <w:r>
              <w:rPr>
                <w:rFonts w:ascii="Arial" w:cs="Arial" w:eastAsia="Arial" w:hAnsi="Arial"/>
                <w:sz w:val="18"/>
                <w:szCs w:val="18"/>
                <w:color w:val="auto"/>
              </w:rPr>
              <w:t>(1) Quarter-end balances.</w:t>
            </w: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18</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 19</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19</w:t>
            </w: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7"/>
              </w:rPr>
              <w:t>QoQ</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through profit or loss investments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3,512,445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3,808,137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3,864,531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9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Fair value through other comprehensive income</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25,195,835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26,794,192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26,205,867</w:t>
            </w:r>
          </w:p>
        </w:tc>
        <w:tc>
          <w:tcPr>
            <w:tcW w:w="8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Amortized cost investments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4,154,838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3,353,898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3,477,046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 investments</w:t>
            </w: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32,863,118</w:t>
            </w:r>
          </w:p>
        </w:tc>
        <w:tc>
          <w:tcPr>
            <w:tcW w:w="220" w:type="dxa"/>
            <w:vAlign w:val="bottom"/>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33,956,227</w:t>
            </w:r>
          </w:p>
        </w:tc>
        <w:tc>
          <w:tcPr>
            <w:tcW w:w="220" w:type="dxa"/>
            <w:vAlign w:val="bottom"/>
            <w:vMerge w:val="continue"/>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33,547,444</w:t>
            </w:r>
          </w:p>
        </w:tc>
        <w:tc>
          <w:tcPr>
            <w:tcW w:w="22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Total loans measured in quarter-end balances grew +3.0% QoQ, which was primarily attributable to growth in the loan portfolio at BCP Stand-alone and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Mibanco:</w:t>
      </w:r>
    </w:p>
    <w:p>
      <w:pPr>
        <w:spacing w:after="0" w:line="211"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BCP stand-alone, Retail Banking posted the highest growth. This expansion was driven by all segments and by Mortgage and SME-Pyme in particular. The growth posted in Wholesale Banking was primarily attributable to the expansion seen in the Corporate segment.</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Mibanco, growth in quarter-end balances QoQ was generated primarily by the Corporate and Mortgage segments, followed by the Consumer segment.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YoY loans increased +4.4%, which was driven by growth in the majority of segments. Expansion was attributable, in order of contribution to growth, by:</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Retail Banking, which was led by the evolution of the Mortgage and Consumer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growth at Mibanco and BCP Bolivia.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investments fell -1.2% QoQ. In the YoY evolution, total investments increased +2.1% and reflected a slight recomposition where fair value through comprehensive income investments (formerly investments available for sale) and fair value through profit and loss investments posted growth in their share of total investments while investments at amortized cost registered a decrease in their share.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Available funds fell -1.7% QoQ but grew 35.8% YoY due to growth FC funds held in the BCRP and in foreign banks, which was in turn attributable growth in funding in foreign currency at BCP Stand-alone.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table below shows the composition of loans by subsidiary and business segment measured in average daily balances. These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daily loan balances posted growth of +2.7% QoQ, which was mainly attributable to expansion in Corporate Banking and, to a lesser extent, in the results of Retail Banking through the Mortgage and Consumer segments. In YoY terms, growth in average daily loan balances registered favorable results, situating at +6.0%. This expansion was led by Retail Banking segments, which increased their share of total loans during this period, primarily through the Mortgage, Consumer, SME-Pyme and Credit Card segments. In terms of Wholesale Banking results, Middle Market Banking registered higher growth YoY. Growth in loan balances QoQ and YoY was reported mainly in local currency.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measured in average daily balances by segment </w:t>
      </w:r>
      <w:r>
        <w:rPr>
          <w:rFonts w:ascii="Arial" w:cs="Arial" w:eastAsia="Arial" w:hAnsi="Arial"/>
          <w:sz w:val="30"/>
          <w:szCs w:val="30"/>
          <w:b w:val="1"/>
          <w:bCs w:val="1"/>
          <w:color w:val="auto"/>
          <w:vertAlign w:val="superscript"/>
        </w:rPr>
        <w:t>(1)</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780" w:type="dxa"/>
            <w:vAlign w:val="bottom"/>
          </w:tcPr>
          <w:p>
            <w:pPr>
              <w:spacing w:after="0"/>
              <w:rPr>
                <w:sz w:val="19"/>
                <w:szCs w:val="19"/>
                <w:color w:val="auto"/>
              </w:rPr>
            </w:pPr>
          </w:p>
        </w:tc>
        <w:tc>
          <w:tcPr>
            <w:tcW w:w="190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99"/>
              </w:rPr>
              <w:t>TOTAL LOANS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6"/>
            <w:vMerge w:val="restart"/>
          </w:tcPr>
          <w:p>
            <w:pPr>
              <w:jc w:val="right"/>
              <w:ind w:right="64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860" w:type="dxa"/>
            <w:vAlign w:val="bottom"/>
            <w:gridSpan w:val="6"/>
            <w:vMerge w:val="restart"/>
          </w:tcPr>
          <w:p>
            <w:pPr>
              <w:jc w:val="center"/>
              <w:ind w:right="180"/>
              <w:spacing w:after="0"/>
              <w:rPr>
                <w:sz w:val="20"/>
                <w:szCs w:val="20"/>
                <w:color w:val="auto"/>
              </w:rPr>
            </w:pPr>
            <w:r>
              <w:rPr>
                <w:rFonts w:ascii="Arial" w:cs="Arial" w:eastAsia="Arial" w:hAnsi="Arial"/>
                <w:sz w:val="18"/>
                <w:szCs w:val="18"/>
                <w:b w:val="1"/>
                <w:bCs w:val="1"/>
                <w:color w:val="auto"/>
                <w:w w:val="92"/>
              </w:rPr>
              <w:t>% Part. in total loans</w:t>
            </w:r>
          </w:p>
        </w:tc>
        <w:tc>
          <w:tcPr>
            <w:tcW w:w="0" w:type="dxa"/>
            <w:vAlign w:val="bottom"/>
          </w:tcPr>
          <w:p>
            <w:pPr>
              <w:spacing w:after="0"/>
              <w:rPr>
                <w:sz w:val="1"/>
                <w:szCs w:val="1"/>
                <w:color w:val="auto"/>
              </w:rPr>
            </w:pPr>
          </w:p>
        </w:tc>
      </w:tr>
      <w:tr>
        <w:trPr>
          <w:trHeight w:val="226"/>
        </w:trPr>
        <w:tc>
          <w:tcPr>
            <w:tcW w:w="2780" w:type="dxa"/>
            <w:vAlign w:val="bottom"/>
          </w:tcPr>
          <w:p>
            <w:pPr>
              <w:spacing w:after="0"/>
              <w:rPr>
                <w:sz w:val="19"/>
                <w:szCs w:val="19"/>
                <w:color w:val="auto"/>
              </w:rPr>
            </w:pPr>
          </w:p>
        </w:tc>
        <w:tc>
          <w:tcPr>
            <w:tcW w:w="2680" w:type="dxa"/>
            <w:vAlign w:val="bottom"/>
            <w:gridSpan w:val="7"/>
          </w:tcPr>
          <w:p>
            <w:pPr>
              <w:jc w:val="center"/>
              <w:ind w:right="200"/>
              <w:spacing w:after="0"/>
              <w:rPr>
                <w:sz w:val="20"/>
                <w:szCs w:val="20"/>
                <w:color w:val="auto"/>
              </w:rPr>
            </w:pPr>
            <w:r>
              <w:rPr>
                <w:rFonts w:ascii="Arial" w:cs="Arial" w:eastAsia="Arial" w:hAnsi="Arial"/>
                <w:sz w:val="18"/>
                <w:szCs w:val="18"/>
                <w:i w:val="1"/>
                <w:iCs w:val="1"/>
                <w:color w:val="auto"/>
                <w:w w:val="90"/>
              </w:rPr>
              <w:t>Expressed in million S/</w:t>
            </w:r>
          </w:p>
        </w:tc>
        <w:tc>
          <w:tcPr>
            <w:tcW w:w="80" w:type="dxa"/>
            <w:vAlign w:val="bottom"/>
          </w:tcPr>
          <w:p>
            <w:pPr>
              <w:spacing w:after="0"/>
              <w:rPr>
                <w:sz w:val="19"/>
                <w:szCs w:val="19"/>
                <w:color w:val="auto"/>
              </w:rPr>
            </w:pPr>
          </w:p>
        </w:tc>
        <w:tc>
          <w:tcPr>
            <w:tcW w:w="176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4Q18</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3Q19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4Q19</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4Q18</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3Q19</w:t>
            </w: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4Q19</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88,708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94,390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82.3%</w:t>
            </w:r>
          </w:p>
        </w:tc>
        <w:tc>
          <w:tcPr>
            <w:tcW w:w="0" w:type="dxa"/>
            <w:vAlign w:val="bottom"/>
          </w:tcPr>
          <w:p>
            <w:pPr>
              <w:spacing w:after="0"/>
              <w:rPr>
                <w:sz w:val="1"/>
                <w:szCs w:val="1"/>
                <w:color w:val="auto"/>
              </w:rPr>
            </w:pPr>
          </w:p>
        </w:tc>
      </w:tr>
      <w:tr>
        <w:trPr>
          <w:trHeight w:val="216"/>
        </w:trPr>
        <w:tc>
          <w:tcPr>
            <w:tcW w:w="278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46,476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46,434</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47,446</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2.1%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43.0%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41.6%</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28,536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28,024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28,860</w:t>
            </w:r>
          </w:p>
        </w:tc>
        <w:tc>
          <w:tcPr>
            <w:tcW w:w="80" w:type="dxa"/>
            <w:vAlign w:val="bottom"/>
            <w:shd w:val="clear" w:color="auto" w:fill="C5D9F1"/>
          </w:tcPr>
          <w:p>
            <w:pPr>
              <w:spacing w:after="0"/>
              <w:rPr>
                <w:sz w:val="18"/>
                <w:szCs w:val="18"/>
                <w:color w:val="auto"/>
              </w:rPr>
            </w:pPr>
          </w:p>
        </w:tc>
        <w:tc>
          <w:tcPr>
            <w:tcW w:w="80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3.0%</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78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17,939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18,410</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18,586</w:t>
            </w:r>
          </w:p>
        </w:tc>
        <w:tc>
          <w:tcPr>
            <w:tcW w:w="80" w:type="dxa"/>
            <w:vAlign w:val="bottom"/>
            <w:shd w:val="clear" w:color="auto" w:fill="C5D9F1"/>
          </w:tcPr>
          <w:p>
            <w:pPr>
              <w:spacing w:after="0"/>
              <w:rPr>
                <w:sz w:val="18"/>
                <w:szCs w:val="18"/>
                <w:color w:val="auto"/>
              </w:rPr>
            </w:pPr>
          </w:p>
        </w:tc>
        <w:tc>
          <w:tcPr>
            <w:tcW w:w="80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1.0%</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3.6%</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16.6%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42,232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45,266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46,944</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r>
        <w:trPr>
          <w:trHeight w:val="216"/>
        </w:trPr>
        <w:tc>
          <w:tcPr>
            <w:tcW w:w="278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5,587</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5,544</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5,806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8.5%</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780" w:type="dxa"/>
            <w:vAlign w:val="bottom"/>
          </w:tcPr>
          <w:p>
            <w:pPr>
              <w:ind w:left="320"/>
              <w:spacing w:after="0"/>
              <w:rPr>
                <w:sz w:val="20"/>
                <w:szCs w:val="20"/>
                <w:color w:val="auto"/>
              </w:rPr>
            </w:pPr>
            <w:r>
              <w:rPr>
                <w:rFonts w:ascii="Arial" w:cs="Arial" w:eastAsia="Arial" w:hAnsi="Arial"/>
                <w:sz w:val="18"/>
                <w:szCs w:val="18"/>
                <w:color w:val="auto"/>
              </w:rPr>
              <w:t>Mortgage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14,714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16,095</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16,590</w:t>
            </w:r>
          </w:p>
        </w:tc>
        <w:tc>
          <w:tcPr>
            <w:tcW w:w="80" w:type="dxa"/>
            <w:vAlign w:val="bottom"/>
            <w:shd w:val="clear" w:color="auto" w:fill="C5D9F1"/>
          </w:tcPr>
          <w:p>
            <w:pPr>
              <w:spacing w:after="0"/>
              <w:rPr>
                <w:sz w:val="18"/>
                <w:szCs w:val="18"/>
                <w:color w:val="auto"/>
              </w:rPr>
            </w:pPr>
          </w:p>
        </w:tc>
        <w:tc>
          <w:tcPr>
            <w:tcW w:w="80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5D9F1"/>
          </w:tcPr>
          <w:p>
            <w:pPr>
              <w:spacing w:after="0"/>
              <w:rPr>
                <w:sz w:val="18"/>
                <w:szCs w:val="18"/>
                <w:color w:val="auto"/>
              </w:rPr>
            </w:pPr>
          </w:p>
        </w:tc>
        <w:tc>
          <w:tcPr>
            <w:tcW w:w="100" w:type="dxa"/>
            <w:vAlign w:val="bottom"/>
            <w:shd w:val="clear" w:color="auto" w:fill="C5D9F1"/>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8,659</w:t>
            </w:r>
          </w:p>
        </w:tc>
        <w:tc>
          <w:tcPr>
            <w:tcW w:w="80" w:type="dxa"/>
            <w:vAlign w:val="bottom"/>
            <w:shd w:val="clear" w:color="auto" w:fill="C5D9F1"/>
          </w:tcPr>
          <w:p>
            <w:pPr>
              <w:spacing w:after="0"/>
              <w:rPr>
                <w:sz w:val="18"/>
                <w:szCs w:val="18"/>
                <w:color w:val="auto"/>
              </w:rPr>
            </w:pPr>
          </w:p>
        </w:tc>
        <w:tc>
          <w:tcPr>
            <w:tcW w:w="80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5D9F1"/>
          </w:tcPr>
          <w:p>
            <w:pPr>
              <w:spacing w:after="0"/>
              <w:rPr>
                <w:sz w:val="18"/>
                <w:szCs w:val="18"/>
                <w:color w:val="auto"/>
              </w:rPr>
            </w:pPr>
          </w:p>
        </w:tc>
        <w:tc>
          <w:tcPr>
            <w:tcW w:w="100" w:type="dxa"/>
            <w:vAlign w:val="bottom"/>
            <w:shd w:val="clear" w:color="auto" w:fill="C5D9F1"/>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78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5,029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5,538</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5,695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4.6%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Mibanco</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9,763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10,068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10,310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Bolivia</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7,152</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7,431</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7,563</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5.7%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ASB</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2,547</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2,467</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2,363</w:t>
            </w:r>
          </w:p>
        </w:tc>
        <w:tc>
          <w:tcPr>
            <w:tcW w:w="880" w:type="dxa"/>
            <w:vAlign w:val="bottom"/>
            <w:gridSpan w:val="3"/>
            <w:shd w:val="clear" w:color="auto" w:fill="FCD5B4"/>
          </w:tcPr>
          <w:p>
            <w:pPr>
              <w:jc w:val="right"/>
              <w:ind w:right="20"/>
              <w:spacing w:after="0"/>
              <w:rPr>
                <w:sz w:val="20"/>
                <w:szCs w:val="20"/>
                <w:color w:val="auto"/>
              </w:rPr>
            </w:pPr>
            <w:r>
              <w:rPr>
                <w:rFonts w:ascii="Arial" w:cs="Arial" w:eastAsia="Arial" w:hAnsi="Arial"/>
                <w:sz w:val="18"/>
                <w:szCs w:val="18"/>
                <w:b w:val="1"/>
                <w:bCs w:val="1"/>
                <w:color w:val="auto"/>
              </w:rPr>
              <w:t>-4.2%</w:t>
            </w:r>
          </w:p>
        </w:tc>
        <w:tc>
          <w:tcPr>
            <w:tcW w:w="960" w:type="dxa"/>
            <w:vAlign w:val="bottom"/>
            <w:gridSpan w:val="4"/>
            <w:shd w:val="clear" w:color="auto" w:fill="FCD5B4"/>
          </w:tcPr>
          <w:p>
            <w:pPr>
              <w:jc w:val="right"/>
              <w:spacing w:after="0"/>
              <w:rPr>
                <w:sz w:val="20"/>
                <w:szCs w:val="20"/>
                <w:color w:val="auto"/>
              </w:rPr>
            </w:pPr>
            <w:r>
              <w:rPr>
                <w:rFonts w:ascii="Arial" w:cs="Arial" w:eastAsia="Arial" w:hAnsi="Arial"/>
                <w:sz w:val="18"/>
                <w:szCs w:val="18"/>
                <w:b w:val="1"/>
                <w:bCs w:val="1"/>
                <w:color w:val="auto"/>
              </w:rPr>
              <w:t>-7.2%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BAP’s total loans</w:t>
            </w: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108,170</w:t>
            </w:r>
          </w:p>
        </w:tc>
        <w:tc>
          <w:tcPr>
            <w:tcW w:w="18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111,666</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114,626</w:t>
            </w:r>
          </w:p>
        </w:tc>
        <w:tc>
          <w:tcPr>
            <w:tcW w:w="200" w:type="dxa"/>
            <w:vAlign w:val="bottom"/>
            <w:vMerge w:val="continue"/>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w:t>
            </w:r>
          </w:p>
        </w:tc>
        <w:tc>
          <w:tcPr>
            <w:tcW w:w="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vMerge w:val="continue"/>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-1131570</wp:posOffset>
            </wp:positionV>
            <wp:extent cx="49720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 cy="548640"/>
                    </a:xfrm>
                    <a:prstGeom prst="rect">
                      <a:avLst/>
                    </a:prstGeom>
                    <a:noFill/>
                  </pic:spPr>
                </pic:pic>
              </a:graphicData>
            </a:graphic>
          </wp:anchor>
        </w:drawing>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Work out unit, and other banking.</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154940</wp:posOffset>
            </wp:positionV>
            <wp:extent cx="6637655" cy="2400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765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analysis per segment of the evolution of QoQ growth in average daily loan balances reveals: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Portfolio growth in all segments at BCP Stand-alone and in other subsidiaries with the exception of ASB.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segment of Corporate Banking at BCP Stand-alone was the main contributor to portfolio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in the Retail Banking portfolio, which was led by the Mortgage and Consumer segments.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real loan growth in average daily balances was situated at +3.0% QoQ, if we exclude the effect of a -2.0% depreciation in the US Dollar.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154940</wp:posOffset>
            </wp:positionV>
            <wp:extent cx="6680835" cy="2607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083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YoY analysis per segment, measured in average daily balances, reveals the follow:</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was noteworthy in Retail Banking, led by expansion in the Mortgage segment (+S/ 1,876 million +12.7% YoY), which has sustained an uptick in growth over various quarters.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96" w:gutter="0" w:footer="0" w:header="0"/>
        </w:sectPr>
      </w:pPr>
    </w:p>
    <w:bookmarkStart w:id="9" w:name="page10"/>
    <w:bookmarkEnd w:id="9"/>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significant variations were reported in Retail Banking by the Consumer segment (+S/ 1,153 million), SME-Pyme (+S/ 797 million) and Credit Cards (+S/666 million) and in Wholesale Banking, through the Middle Banking segment (+S/647 million) and Corporate segment (+S /324 million) in Wholesale Banking.</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expansion at Mibanco (+5.6% YoY) reflects its strategy to expand financial inclusion (bringing new clients into the System) while continuing to assist our current clients in their quest to grow.</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loans at BCP Bolivia was situated at +5.7% YoY. This evolution was mainly attributable to growth in the Wholesale Banking portfolio, both in the Corporate and SME-Business segments. The Wholesale Banking portfolio contributed, although to a lesser extent, to YoY growth, primarily through its Mortgage segment (regulated portfolio).</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real loan growth YoY in average daily balances was situated at +6.2% YoY, if we exclude the effect of the -1.7% YoY depreciation of the dollar.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 growth in average daily balances by segment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19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TOTAL LOANS</w:t>
            </w:r>
          </w:p>
        </w:tc>
        <w:tc>
          <w:tcPr>
            <w:tcW w:w="80" w:type="dxa"/>
            <w:vAlign w:val="bottom"/>
          </w:tcPr>
          <w:p>
            <w:pPr>
              <w:spacing w:after="0"/>
              <w:rPr>
                <w:sz w:val="19"/>
                <w:szCs w:val="19"/>
                <w:color w:val="auto"/>
              </w:rPr>
            </w:pPr>
          </w:p>
        </w:tc>
        <w:tc>
          <w:tcPr>
            <w:tcW w:w="120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w w:val="90"/>
              </w:rPr>
              <w:t>% change</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w w:val="92"/>
              </w:rPr>
              <w:t>% share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60" w:type="dxa"/>
            <w:vAlign w:val="bottom"/>
          </w:tcPr>
          <w:p>
            <w:pPr>
              <w:spacing w:after="0"/>
              <w:rPr>
                <w:sz w:val="19"/>
                <w:szCs w:val="19"/>
                <w:color w:val="auto"/>
              </w:rPr>
            </w:pPr>
          </w:p>
        </w:tc>
        <w:tc>
          <w:tcPr>
            <w:tcW w:w="1940" w:type="dxa"/>
            <w:vAlign w:val="bottom"/>
            <w:gridSpan w:val="4"/>
          </w:tcPr>
          <w:p>
            <w:pPr>
              <w:jc w:val="right"/>
              <w:ind w:right="480"/>
              <w:spacing w:after="0"/>
              <w:rPr>
                <w:sz w:val="20"/>
                <w:szCs w:val="20"/>
                <w:color w:val="auto"/>
              </w:rPr>
            </w:pPr>
            <w:r>
              <w:rPr>
                <w:rFonts w:ascii="Arial" w:cs="Arial" w:eastAsia="Arial" w:hAnsi="Arial"/>
                <w:sz w:val="18"/>
                <w:szCs w:val="18"/>
                <w:i w:val="1"/>
                <w:iCs w:val="1"/>
                <w:color w:val="auto"/>
              </w:rPr>
              <w:t>In millions of S/</w:t>
            </w:r>
          </w:p>
        </w:tc>
        <w:tc>
          <w:tcPr>
            <w:tcW w:w="8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85,043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5,892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0" w:type="dxa"/>
            <w:vAlign w:val="bottom"/>
          </w:tcPr>
          <w:p>
            <w:pPr>
              <w:spacing w:after="0"/>
              <w:rPr>
                <w:sz w:val="1"/>
                <w:szCs w:val="1"/>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44,999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46,266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1,266</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43.3%</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41.8%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28,037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28,155</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06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16,963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18,111</w:t>
            </w:r>
          </w:p>
        </w:tc>
        <w:tc>
          <w:tcPr>
            <w:tcW w:w="80" w:type="dxa"/>
            <w:vAlign w:val="bottom"/>
            <w:shd w:val="clear" w:color="auto" w:fill="C5D9F1"/>
          </w:tcPr>
          <w:p>
            <w:pPr>
              <w:spacing w:after="0"/>
              <w:rPr>
                <w:sz w:val="18"/>
                <w:szCs w:val="18"/>
                <w:color w:val="auto"/>
              </w:rPr>
            </w:pPr>
          </w:p>
        </w:tc>
        <w:tc>
          <w:tcPr>
            <w:tcW w:w="900" w:type="dxa"/>
            <w:vAlign w:val="bottom"/>
            <w:gridSpan w:val="2"/>
            <w:shd w:val="clear" w:color="auto" w:fill="C5D9F1"/>
          </w:tcPr>
          <w:p>
            <w:pPr>
              <w:jc w:val="right"/>
              <w:ind w:right="160"/>
              <w:spacing w:after="0"/>
              <w:rPr>
                <w:sz w:val="20"/>
                <w:szCs w:val="20"/>
                <w:color w:val="auto"/>
              </w:rPr>
            </w:pPr>
            <w:r>
              <w:rPr>
                <w:rFonts w:ascii="Arial" w:cs="Arial" w:eastAsia="Arial" w:hAnsi="Arial"/>
                <w:sz w:val="18"/>
                <w:szCs w:val="18"/>
                <w:color w:val="auto"/>
              </w:rPr>
              <w:t>1,148</w:t>
            </w:r>
          </w:p>
        </w:tc>
        <w:tc>
          <w:tcPr>
            <w:tcW w:w="300" w:type="dxa"/>
            <w:vAlign w:val="bottom"/>
            <w:shd w:val="clear" w:color="auto" w:fill="C5D9F1"/>
          </w:tcPr>
          <w:p>
            <w:pPr>
              <w:spacing w:after="0"/>
              <w:rPr>
                <w:sz w:val="18"/>
                <w:szCs w:val="18"/>
                <w:color w:val="auto"/>
              </w:rPr>
            </w:pPr>
          </w:p>
        </w:tc>
        <w:tc>
          <w:tcPr>
            <w:tcW w:w="68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6.8%</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40,044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44,670</w:t>
            </w:r>
          </w:p>
        </w:tc>
        <w:tc>
          <w:tcPr>
            <w:tcW w:w="80" w:type="dxa"/>
            <w:vAlign w:val="bottom"/>
            <w:shd w:val="clear" w:color="auto" w:fill="C5D9F1"/>
          </w:tcPr>
          <w:p>
            <w:pPr>
              <w:spacing w:after="0"/>
              <w:rPr>
                <w:sz w:val="18"/>
                <w:szCs w:val="18"/>
                <w:color w:val="auto"/>
              </w:rPr>
            </w:pPr>
          </w:p>
        </w:tc>
        <w:tc>
          <w:tcPr>
            <w:tcW w:w="900" w:type="dxa"/>
            <w:vAlign w:val="bottom"/>
            <w:gridSpan w:val="2"/>
            <w:shd w:val="clear" w:color="auto" w:fill="C5D9F1"/>
          </w:tcPr>
          <w:p>
            <w:pPr>
              <w:jc w:val="right"/>
              <w:ind w:right="160"/>
              <w:spacing w:after="0"/>
              <w:rPr>
                <w:sz w:val="20"/>
                <w:szCs w:val="20"/>
                <w:color w:val="auto"/>
              </w:rPr>
            </w:pPr>
            <w:r>
              <w:rPr>
                <w:rFonts w:ascii="Arial" w:cs="Arial" w:eastAsia="Arial" w:hAnsi="Arial"/>
                <w:sz w:val="18"/>
                <w:szCs w:val="18"/>
                <w:b w:val="1"/>
                <w:bCs w:val="1"/>
                <w:color w:val="auto"/>
              </w:rPr>
              <w:t>4,626</w:t>
            </w:r>
          </w:p>
        </w:tc>
        <w:tc>
          <w:tcPr>
            <w:tcW w:w="300" w:type="dxa"/>
            <w:vAlign w:val="bottom"/>
            <w:shd w:val="clear" w:color="auto" w:fill="C5D9F1"/>
          </w:tcPr>
          <w:p>
            <w:pPr>
              <w:spacing w:after="0"/>
              <w:rPr>
                <w:sz w:val="18"/>
                <w:szCs w:val="18"/>
                <w:color w:val="auto"/>
              </w:rPr>
            </w:pPr>
          </w:p>
        </w:tc>
        <w:tc>
          <w:tcPr>
            <w:tcW w:w="6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11.6%</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0" w:type="dxa"/>
            <w:vAlign w:val="bottom"/>
          </w:tcPr>
          <w:p>
            <w:pPr>
              <w:spacing w:after="0"/>
              <w:rPr>
                <w:sz w:val="1"/>
                <w:szCs w:val="1"/>
                <w:color w:val="auto"/>
              </w:rPr>
            </w:pPr>
          </w:p>
        </w:tc>
      </w:tr>
      <w:tr>
        <w:trPr>
          <w:trHeight w:val="216"/>
        </w:trPr>
        <w:tc>
          <w:tcPr>
            <w:tcW w:w="306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5,332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5,487</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9,754</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060" w:type="dxa"/>
            <w:vAlign w:val="bottom"/>
          </w:tcPr>
          <w:p>
            <w:pPr>
              <w:ind w:left="320"/>
              <w:spacing w:after="0"/>
              <w:rPr>
                <w:sz w:val="20"/>
                <w:szCs w:val="20"/>
                <w:color w:val="auto"/>
              </w:rPr>
            </w:pPr>
            <w:r>
              <w:rPr>
                <w:rFonts w:ascii="Arial" w:cs="Arial" w:eastAsia="Arial" w:hAnsi="Arial"/>
                <w:sz w:val="18"/>
                <w:szCs w:val="18"/>
                <w:color w:val="auto"/>
              </w:rPr>
              <w:t>Mortgage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13,977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15,831</w:t>
            </w:r>
          </w:p>
        </w:tc>
        <w:tc>
          <w:tcPr>
            <w:tcW w:w="980" w:type="dxa"/>
            <w:vAlign w:val="bottom"/>
            <w:gridSpan w:val="3"/>
            <w:shd w:val="clear" w:color="auto" w:fill="C5D9F1"/>
          </w:tcPr>
          <w:p>
            <w:pPr>
              <w:jc w:val="right"/>
              <w:ind w:right="160"/>
              <w:spacing w:after="0"/>
              <w:rPr>
                <w:sz w:val="20"/>
                <w:szCs w:val="20"/>
                <w:color w:val="auto"/>
              </w:rPr>
            </w:pPr>
            <w:r>
              <w:rPr>
                <w:rFonts w:ascii="Arial" w:cs="Arial" w:eastAsia="Arial" w:hAnsi="Arial"/>
                <w:sz w:val="18"/>
                <w:szCs w:val="18"/>
                <w:color w:val="auto"/>
              </w:rPr>
              <w:t>1,854</w:t>
            </w:r>
          </w:p>
        </w:tc>
        <w:tc>
          <w:tcPr>
            <w:tcW w:w="300" w:type="dxa"/>
            <w:vAlign w:val="bottom"/>
            <w:shd w:val="clear" w:color="auto" w:fill="C5D9F1"/>
          </w:tcPr>
          <w:p>
            <w:pPr>
              <w:spacing w:after="0"/>
              <w:rPr>
                <w:sz w:val="18"/>
                <w:szCs w:val="18"/>
                <w:color w:val="auto"/>
              </w:rPr>
            </w:pPr>
          </w:p>
        </w:tc>
        <w:tc>
          <w:tcPr>
            <w:tcW w:w="680" w:type="dxa"/>
            <w:vAlign w:val="bottom"/>
            <w:gridSpan w:val="2"/>
            <w:shd w:val="clear" w:color="auto" w:fill="C5D9F1"/>
          </w:tcPr>
          <w:p>
            <w:pPr>
              <w:jc w:val="right"/>
              <w:ind w:right="40"/>
              <w:spacing w:after="0"/>
              <w:rPr>
                <w:sz w:val="20"/>
                <w:szCs w:val="20"/>
                <w:color w:val="auto"/>
              </w:rPr>
            </w:pPr>
            <w:r>
              <w:rPr>
                <w:rFonts w:ascii="Arial" w:cs="Arial" w:eastAsia="Arial" w:hAnsi="Arial"/>
                <w:sz w:val="18"/>
                <w:szCs w:val="18"/>
                <w:color w:val="auto"/>
              </w:rPr>
              <w:t>13.3%</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8,105</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06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4,615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5,493</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878</w:t>
            </w: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Mibanco</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Bolivia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7,334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621</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6.5%</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2,450</w:t>
            </w:r>
          </w:p>
        </w:tc>
        <w:tc>
          <w:tcPr>
            <w:tcW w:w="980" w:type="dxa"/>
            <w:vAlign w:val="bottom"/>
            <w:gridSpan w:val="3"/>
            <w:shd w:val="clear" w:color="auto" w:fill="FCD5B4"/>
          </w:tcPr>
          <w:p>
            <w:pPr>
              <w:jc w:val="right"/>
              <w:ind w:right="160"/>
              <w:spacing w:after="0"/>
              <w:rPr>
                <w:sz w:val="20"/>
                <w:szCs w:val="20"/>
                <w:color w:val="auto"/>
              </w:rPr>
            </w:pPr>
            <w:r>
              <w:rPr>
                <w:rFonts w:ascii="Arial" w:cs="Arial" w:eastAsia="Arial" w:hAnsi="Arial"/>
                <w:sz w:val="18"/>
                <w:szCs w:val="18"/>
                <w:b w:val="1"/>
                <w:bCs w:val="1"/>
                <w:color w:val="auto"/>
              </w:rPr>
              <w:t>-146</w:t>
            </w:r>
          </w:p>
        </w:tc>
        <w:tc>
          <w:tcPr>
            <w:tcW w:w="300" w:type="dxa"/>
            <w:vAlign w:val="bottom"/>
            <w:shd w:val="clear" w:color="auto" w:fill="FCD5B4"/>
          </w:tcPr>
          <w:p>
            <w:pPr>
              <w:spacing w:after="0"/>
              <w:rPr>
                <w:sz w:val="19"/>
                <w:szCs w:val="19"/>
                <w:color w:val="auto"/>
              </w:rPr>
            </w:pPr>
          </w:p>
        </w:tc>
        <w:tc>
          <w:tcPr>
            <w:tcW w:w="680" w:type="dxa"/>
            <w:vAlign w:val="bottom"/>
            <w:gridSpan w:val="2"/>
            <w:shd w:val="clear" w:color="auto" w:fill="FCD5B4"/>
          </w:tcPr>
          <w:p>
            <w:pPr>
              <w:jc w:val="right"/>
              <w:spacing w:after="0"/>
              <w:rPr>
                <w:sz w:val="20"/>
                <w:szCs w:val="20"/>
                <w:color w:val="auto"/>
              </w:rPr>
            </w:pPr>
            <w:r>
              <w:rPr>
                <w:rFonts w:ascii="Arial" w:cs="Arial" w:eastAsia="Arial" w:hAnsi="Arial"/>
                <w:sz w:val="18"/>
                <w:szCs w:val="18"/>
                <w:b w:val="1"/>
                <w:bCs w:val="1"/>
                <w:color w:val="auto"/>
              </w:rPr>
              <w:t>-5.6%</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BAP’s total loans</w:t>
            </w: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103,919</w:t>
            </w:r>
          </w:p>
        </w:tc>
        <w:tc>
          <w:tcPr>
            <w:tcW w:w="16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110,799</w:t>
            </w:r>
          </w:p>
        </w:tc>
        <w:tc>
          <w:tcPr>
            <w:tcW w:w="16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6,880</w:t>
            </w:r>
          </w:p>
        </w:tc>
        <w:tc>
          <w:tcPr>
            <w:tcW w:w="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80" w:type="dxa"/>
            <w:vAlign w:val="bottom"/>
            <w:vMerge w:val="continue"/>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Work out unit, and other banking.</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+6.6% Full 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154940</wp:posOffset>
            </wp:positionV>
            <wp:extent cx="6603365" cy="258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336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the level of average daily loan balances for FY 2019 reported an increase of +6.6% with regard to the level of average daily loan balances for FY 2018. This growth was primarily attributable to loan growth in Retail Banking, which was driven mainly by the Mortgage, Consumer, Credit Card and SME-Pyme segments. The other segments that contributed significantly to growth were the Middle Market Banking (within Corporate Banking), Mibanco and BCP Bolivia.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by currency - average daily balances </w:t>
      </w:r>
      <w:r>
        <w:rPr>
          <w:rFonts w:ascii="Arial" w:cs="Arial" w:eastAsia="Arial" w:hAnsi="Arial"/>
          <w:sz w:val="30"/>
          <w:szCs w:val="30"/>
          <w:b w:val="1"/>
          <w:bCs w:val="1"/>
          <w:color w:val="auto"/>
          <w:vertAlign w:val="superscript"/>
        </w:rPr>
        <w:t>(1)(2)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DOMESTIC CURRENCY LOANS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FOREIGN CURRENCY LOANS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 part. By currency</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left="468"/>
              <w:spacing w:after="0"/>
              <w:rPr>
                <w:sz w:val="20"/>
                <w:szCs w:val="20"/>
                <w:color w:val="auto"/>
              </w:rPr>
            </w:pPr>
            <w:r>
              <w:rPr>
                <w:rFonts w:ascii="Arial" w:cs="Arial" w:eastAsia="Arial" w:hAnsi="Arial"/>
                <w:sz w:val="14"/>
                <w:szCs w:val="14"/>
                <w:i w:val="1"/>
                <w:iCs w:val="1"/>
                <w:color w:val="auto"/>
                <w:w w:val="93"/>
              </w:rPr>
              <w:t>Expressed in million 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7"/>
          </w:tcPr>
          <w:p>
            <w:pPr>
              <w:jc w:val="center"/>
              <w:ind w:right="240"/>
              <w:spacing w:after="0"/>
              <w:rPr>
                <w:sz w:val="20"/>
                <w:szCs w:val="20"/>
                <w:color w:val="auto"/>
              </w:rPr>
            </w:pPr>
            <w:r>
              <w:rPr>
                <w:rFonts w:ascii="Arial" w:cs="Arial" w:eastAsia="Arial" w:hAnsi="Arial"/>
                <w:sz w:val="14"/>
                <w:szCs w:val="14"/>
                <w:i w:val="1"/>
                <w:iCs w:val="1"/>
                <w:color w:val="auto"/>
                <w:w w:val="93"/>
              </w:rPr>
              <w:t>Expressed in million US$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4Q19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4Q18</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3Q19</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4Q19</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QoQ</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4Q18</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4Q19</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gridSpan w:val="2"/>
          </w:tcPr>
          <w:p>
            <w:pPr>
              <w:spacing w:after="0"/>
              <w:rPr>
                <w:sz w:val="14"/>
                <w:szCs w:val="1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54,843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57,636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60,870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10,041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10,132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64.5%</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w:t>
            </w:r>
          </w:p>
        </w:tc>
        <w:tc>
          <w:tcPr>
            <w:tcW w:w="0" w:type="dxa"/>
            <w:vAlign w:val="bottom"/>
          </w:tcPr>
          <w:p>
            <w:pPr>
              <w:spacing w:after="0"/>
              <w:rPr>
                <w:sz w:val="1"/>
                <w:szCs w:val="1"/>
                <w:color w:val="auto"/>
              </w:rPr>
            </w:pPr>
          </w:p>
        </w:tc>
      </w:tr>
      <w:tr>
        <w:trPr>
          <w:trHeight w:val="126"/>
        </w:trPr>
        <w:tc>
          <w:tcPr>
            <w:tcW w:w="1180" w:type="dxa"/>
            <w:vAlign w:val="bottom"/>
          </w:tcPr>
          <w:p>
            <w:pPr>
              <w:ind w:left="180"/>
              <w:spacing w:after="0" w:line="126" w:lineRule="exact"/>
              <w:rPr>
                <w:sz w:val="20"/>
                <w:szCs w:val="20"/>
                <w:color w:val="auto"/>
              </w:rPr>
            </w:pPr>
            <w:r>
              <w:rPr>
                <w:rFonts w:ascii="Arial" w:cs="Arial" w:eastAsia="Arial" w:hAnsi="Arial"/>
                <w:sz w:val="14"/>
                <w:szCs w:val="14"/>
                <w:b w:val="1"/>
                <w:bCs w:val="1"/>
                <w:color w:val="auto"/>
              </w:rPr>
              <w:t>Wholesale</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20,633</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19,964</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21,613</w:t>
            </w:r>
          </w:p>
        </w:tc>
        <w:tc>
          <w:tcPr>
            <w:tcW w:w="16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8.3%</w:t>
            </w:r>
          </w:p>
        </w:tc>
        <w:tc>
          <w:tcPr>
            <w:tcW w:w="8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4.7%</w:t>
            </w: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7,662</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7,873</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7,707</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0.6%</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45.6%</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54.4%</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12,302</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11,320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12,854</w:t>
            </w:r>
          </w:p>
        </w:tc>
        <w:tc>
          <w:tcPr>
            <w:tcW w:w="160" w:type="dxa"/>
            <w:vAlign w:val="bottom"/>
            <w:shd w:val="clear" w:color="auto" w:fill="C5D9F1"/>
          </w:tcPr>
          <w:p>
            <w:pPr>
              <w:spacing w:after="0"/>
              <w:rPr>
                <w:sz w:val="12"/>
                <w:szCs w:val="12"/>
                <w:color w:val="auto"/>
              </w:rPr>
            </w:pPr>
          </w:p>
        </w:tc>
        <w:tc>
          <w:tcPr>
            <w:tcW w:w="62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13.6%</w:t>
            </w:r>
          </w:p>
        </w:tc>
        <w:tc>
          <w:tcPr>
            <w:tcW w:w="8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4,814</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4,969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4,775</w:t>
            </w:r>
          </w:p>
        </w:tc>
        <w:tc>
          <w:tcPr>
            <w:tcW w:w="780" w:type="dxa"/>
            <w:vAlign w:val="bottom"/>
            <w:gridSpan w:val="2"/>
            <w:shd w:val="clear" w:color="auto" w:fill="FCD5B4"/>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120" w:type="dxa"/>
            <w:vAlign w:val="bottom"/>
            <w:shd w:val="clear" w:color="auto" w:fill="FCD5B4"/>
          </w:tcPr>
          <w:p>
            <w:pPr>
              <w:spacing w:after="0"/>
              <w:rPr>
                <w:sz w:val="12"/>
                <w:szCs w:val="12"/>
                <w:color w:val="auto"/>
              </w:rPr>
            </w:pPr>
          </w:p>
        </w:tc>
        <w:tc>
          <w:tcPr>
            <w:tcW w:w="800" w:type="dxa"/>
            <w:vAlign w:val="bottom"/>
            <w:gridSpan w:val="2"/>
            <w:shd w:val="clear" w:color="auto" w:fill="FCD5B4"/>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44.5%</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30"/>
        </w:trPr>
        <w:tc>
          <w:tcPr>
            <w:tcW w:w="1180" w:type="dxa"/>
            <w:vAlign w:val="bottom"/>
          </w:tcPr>
          <w:p>
            <w:pPr>
              <w:ind w:left="340"/>
              <w:spacing w:after="0" w:line="130" w:lineRule="exact"/>
              <w:rPr>
                <w:sz w:val="20"/>
                <w:szCs w:val="20"/>
                <w:color w:val="auto"/>
              </w:rPr>
            </w:pPr>
            <w:r>
              <w:rPr>
                <w:rFonts w:ascii="Arial" w:cs="Arial" w:eastAsia="Arial" w:hAnsi="Arial"/>
                <w:sz w:val="14"/>
                <w:szCs w:val="14"/>
                <w:color w:val="auto"/>
              </w:rPr>
              <w:t>Middle -</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46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tcPr>
          <w:p>
            <w:pPr>
              <w:ind w:left="340"/>
              <w:spacing w:after="0"/>
              <w:rPr>
                <w:sz w:val="20"/>
                <w:szCs w:val="20"/>
                <w:color w:val="auto"/>
              </w:rPr>
            </w:pPr>
            <w:r>
              <w:rPr>
                <w:rFonts w:ascii="Arial" w:cs="Arial" w:eastAsia="Arial" w:hAnsi="Arial"/>
                <w:sz w:val="14"/>
                <w:szCs w:val="14"/>
                <w:color w:val="auto"/>
              </w:rPr>
              <w:t>Market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8,332</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8,644</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8,760</w:t>
            </w:r>
          </w:p>
        </w:tc>
        <w:tc>
          <w:tcPr>
            <w:tcW w:w="160" w:type="dxa"/>
            <w:vAlign w:val="bottom"/>
            <w:shd w:val="clear" w:color="auto" w:fill="C5D9F1"/>
          </w:tcPr>
          <w:p>
            <w:pPr>
              <w:spacing w:after="0"/>
              <w:rPr>
                <w:sz w:val="14"/>
                <w:szCs w:val="14"/>
                <w:color w:val="auto"/>
              </w:rPr>
            </w:pPr>
          </w:p>
        </w:tc>
        <w:tc>
          <w:tcPr>
            <w:tcW w:w="620" w:type="dxa"/>
            <w:vAlign w:val="bottom"/>
            <w:gridSpan w:val="2"/>
            <w:shd w:val="clear" w:color="auto" w:fill="C5D9F1"/>
          </w:tcPr>
          <w:p>
            <w:pPr>
              <w:jc w:val="right"/>
              <w:ind w:right="40"/>
              <w:spacing w:after="0"/>
              <w:rPr>
                <w:sz w:val="20"/>
                <w:szCs w:val="20"/>
                <w:color w:val="auto"/>
              </w:rPr>
            </w:pPr>
            <w:r>
              <w:rPr>
                <w:rFonts w:ascii="Arial" w:cs="Arial" w:eastAsia="Arial" w:hAnsi="Arial"/>
                <w:sz w:val="14"/>
                <w:szCs w:val="14"/>
                <w:color w:val="auto"/>
              </w:rPr>
              <w:t>1.3%</w:t>
            </w:r>
          </w:p>
        </w:tc>
        <w:tc>
          <w:tcPr>
            <w:tcW w:w="880" w:type="dxa"/>
            <w:vAlign w:val="bottom"/>
            <w:gridSpan w:val="4"/>
          </w:tcPr>
          <w:p>
            <w:pPr>
              <w:jc w:val="right"/>
              <w:ind w:right="20"/>
              <w:spacing w:after="0"/>
              <w:rPr>
                <w:sz w:val="20"/>
                <w:szCs w:val="20"/>
                <w:color w:val="auto"/>
              </w:rPr>
            </w:pPr>
            <w:r>
              <w:rPr>
                <w:rFonts w:ascii="Arial" w:cs="Arial" w:eastAsia="Arial" w:hAnsi="Arial"/>
                <w:sz w:val="14"/>
                <w:szCs w:val="14"/>
                <w:color w:val="auto"/>
              </w:rPr>
              <w:t>5.1%</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2,849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2,905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2,931</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800" w:type="dxa"/>
            <w:vAlign w:val="bottom"/>
            <w:gridSpan w:val="2"/>
            <w:shd w:val="clear" w:color="auto" w:fill="C5D9F1"/>
          </w:tcPr>
          <w:p>
            <w:pPr>
              <w:jc w:val="right"/>
              <w:ind w:right="20"/>
              <w:spacing w:after="0"/>
              <w:rPr>
                <w:sz w:val="20"/>
                <w:szCs w:val="20"/>
                <w:color w:val="auto"/>
              </w:rPr>
            </w:pPr>
            <w:r>
              <w:rPr>
                <w:rFonts w:ascii="Arial" w:cs="Arial" w:eastAsia="Arial" w:hAnsi="Arial"/>
                <w:sz w:val="14"/>
                <w:szCs w:val="14"/>
                <w:color w:val="auto"/>
              </w:rPr>
              <w:t>2.9%</w:t>
            </w: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47.1%</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26"/>
        </w:trPr>
        <w:tc>
          <w:tcPr>
            <w:tcW w:w="1180" w:type="dxa"/>
            <w:vAlign w:val="bottom"/>
            <w:shd w:val="clear" w:color="auto" w:fill="CCEEFF"/>
          </w:tcPr>
          <w:p>
            <w:pPr>
              <w:ind w:left="180"/>
              <w:spacing w:after="0" w:line="126" w:lineRule="exact"/>
              <w:rPr>
                <w:sz w:val="20"/>
                <w:szCs w:val="20"/>
                <w:color w:val="auto"/>
              </w:rPr>
            </w:pPr>
            <w:r>
              <w:rPr>
                <w:rFonts w:ascii="Arial" w:cs="Arial" w:eastAsia="Arial" w:hAnsi="Arial"/>
                <w:sz w:val="14"/>
                <w:szCs w:val="14"/>
                <w:b w:val="1"/>
                <w:bCs w:val="1"/>
                <w:color w:val="auto"/>
              </w:rPr>
              <w:t>Retail</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34,210</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37,672</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39,257</w:t>
            </w: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88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0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2,379</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2,258</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2,293</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83.6%</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71"/>
        </w:trPr>
        <w:tc>
          <w:tcPr>
            <w:tcW w:w="11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80" w:type="dxa"/>
            <w:vAlign w:val="bottom"/>
          </w:tcPr>
          <w:p>
            <w:pPr>
              <w:ind w:left="340"/>
              <w:spacing w:after="0" w:line="130" w:lineRule="exact"/>
              <w:rPr>
                <w:sz w:val="20"/>
                <w:szCs w:val="20"/>
                <w:color w:val="auto"/>
              </w:rPr>
            </w:pPr>
            <w:r>
              <w:rPr>
                <w:rFonts w:ascii="Arial" w:cs="Arial" w:eastAsia="Arial" w:hAnsi="Arial"/>
                <w:sz w:val="14"/>
                <w:szCs w:val="14"/>
                <w:color w:val="auto"/>
              </w:rPr>
              <w:t>SME -</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tcPr>
          <w:p>
            <w:pPr>
              <w:ind w:left="340"/>
              <w:spacing w:after="0"/>
              <w:rPr>
                <w:sz w:val="20"/>
                <w:szCs w:val="20"/>
                <w:color w:val="auto"/>
              </w:rPr>
            </w:pPr>
            <w:r>
              <w:rPr>
                <w:rFonts w:ascii="Arial" w:cs="Arial" w:eastAsia="Arial" w:hAnsi="Arial"/>
                <w:sz w:val="14"/>
                <w:szCs w:val="14"/>
                <w:color w:val="auto"/>
              </w:rPr>
              <w:t>Business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2,556</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2,614</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2,695</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880" w:type="dxa"/>
            <w:vAlign w:val="bottom"/>
            <w:gridSpan w:val="4"/>
          </w:tcPr>
          <w:p>
            <w:pPr>
              <w:jc w:val="right"/>
              <w:ind w:right="20"/>
              <w:spacing w:after="0"/>
              <w:rPr>
                <w:sz w:val="20"/>
                <w:szCs w:val="20"/>
                <w:color w:val="auto"/>
              </w:rPr>
            </w:pPr>
            <w:r>
              <w:rPr>
                <w:rFonts w:ascii="Arial" w:cs="Arial" w:eastAsia="Arial" w:hAnsi="Arial"/>
                <w:sz w:val="14"/>
                <w:szCs w:val="14"/>
                <w:color w:val="auto"/>
              </w:rPr>
              <w:t>5.5%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899</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871</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928</w:t>
            </w:r>
          </w:p>
        </w:tc>
        <w:tc>
          <w:tcPr>
            <w:tcW w:w="780" w:type="dxa"/>
            <w:vAlign w:val="bottom"/>
            <w:gridSpan w:val="2"/>
            <w:shd w:val="clear" w:color="auto" w:fill="C5D9F1"/>
          </w:tcPr>
          <w:p>
            <w:pPr>
              <w:jc w:val="right"/>
              <w:ind w:right="20"/>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46.4%</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 Pyme</w:t>
            </w:r>
          </w:p>
        </w:tc>
        <w:tc>
          <w:tcPr>
            <w:tcW w:w="8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9,124</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9,628</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9,982</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120" w:type="dxa"/>
            <w:vAlign w:val="bottom"/>
            <w:shd w:val="clear" w:color="auto" w:fill="C5D9F1"/>
          </w:tcPr>
          <w:p>
            <w:pPr>
              <w:spacing w:after="0"/>
              <w:rPr>
                <w:sz w:val="12"/>
                <w:szCs w:val="12"/>
                <w:color w:val="auto"/>
              </w:rPr>
            </w:pPr>
          </w:p>
        </w:tc>
        <w:tc>
          <w:tcPr>
            <w:tcW w:w="660" w:type="dxa"/>
            <w:vAlign w:val="bottom"/>
            <w:gridSpan w:val="2"/>
            <w:shd w:val="clear" w:color="auto" w:fill="C5D9F1"/>
          </w:tcPr>
          <w:p>
            <w:pPr>
              <w:jc w:val="right"/>
              <w:ind w:right="20"/>
              <w:spacing w:after="0" w:line="130" w:lineRule="exact"/>
              <w:rPr>
                <w:sz w:val="20"/>
                <w:szCs w:val="20"/>
                <w:color w:val="auto"/>
              </w:rPr>
            </w:pPr>
            <w:r>
              <w:rPr>
                <w:rFonts w:ascii="Arial" w:cs="Arial" w:eastAsia="Arial" w:hAnsi="Arial"/>
                <w:sz w:val="14"/>
                <w:szCs w:val="14"/>
                <w:color w:val="auto"/>
              </w:rPr>
              <w:t>9.4%</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63</w:t>
            </w:r>
          </w:p>
        </w:tc>
        <w:tc>
          <w:tcPr>
            <w:tcW w:w="7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-21.8%</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97.9%</w:t>
            </w:r>
          </w:p>
        </w:tc>
        <w:tc>
          <w:tcPr>
            <w:tcW w:w="5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1180" w:type="dxa"/>
            <w:vAlign w:val="bottom"/>
          </w:tcPr>
          <w:p>
            <w:pPr>
              <w:ind w:left="340"/>
              <w:spacing w:after="0" w:line="130" w:lineRule="exact"/>
              <w:rPr>
                <w:sz w:val="20"/>
                <w:szCs w:val="20"/>
                <w:color w:val="auto"/>
              </w:rPr>
            </w:pPr>
            <w:r>
              <w:rPr>
                <w:rFonts w:ascii="Arial" w:cs="Arial" w:eastAsia="Arial" w:hAnsi="Arial"/>
                <w:sz w:val="14"/>
                <w:szCs w:val="14"/>
                <w:color w:val="auto"/>
              </w:rPr>
              <w:t>Mortgage</w:t>
            </w:r>
          </w:p>
        </w:tc>
        <w:tc>
          <w:tcPr>
            <w:tcW w:w="8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11,892</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13,632</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14,250</w:t>
            </w:r>
          </w:p>
        </w:tc>
        <w:tc>
          <w:tcPr>
            <w:tcW w:w="160" w:type="dxa"/>
            <w:vAlign w:val="bottom"/>
            <w:shd w:val="clear" w:color="auto" w:fill="C5D9F1"/>
          </w:tcPr>
          <w:p>
            <w:pPr>
              <w:spacing w:after="0"/>
              <w:rPr>
                <w:sz w:val="12"/>
                <w:szCs w:val="12"/>
                <w:color w:val="auto"/>
              </w:rPr>
            </w:pPr>
          </w:p>
        </w:tc>
        <w:tc>
          <w:tcPr>
            <w:tcW w:w="620" w:type="dxa"/>
            <w:vAlign w:val="bottom"/>
            <w:gridSpan w:val="2"/>
            <w:shd w:val="clear" w:color="auto" w:fill="C5D9F1"/>
          </w:tcPr>
          <w:p>
            <w:pPr>
              <w:jc w:val="right"/>
              <w:ind w:right="40"/>
              <w:spacing w:after="0" w:line="130" w:lineRule="exact"/>
              <w:rPr>
                <w:sz w:val="20"/>
                <w:szCs w:val="20"/>
                <w:color w:val="auto"/>
              </w:rPr>
            </w:pPr>
            <w:r>
              <w:rPr>
                <w:rFonts w:ascii="Arial" w:cs="Arial" w:eastAsia="Arial" w:hAnsi="Arial"/>
                <w:sz w:val="14"/>
                <w:szCs w:val="14"/>
                <w:color w:val="auto"/>
              </w:rPr>
              <w:t>4.5%</w:t>
            </w:r>
          </w:p>
        </w:tc>
        <w:tc>
          <w:tcPr>
            <w:tcW w:w="100" w:type="dxa"/>
            <w:vAlign w:val="bottom"/>
            <w:shd w:val="clear" w:color="auto" w:fill="C5D9F1"/>
          </w:tcPr>
          <w:p>
            <w:pPr>
              <w:spacing w:after="0"/>
              <w:rPr>
                <w:sz w:val="12"/>
                <w:szCs w:val="12"/>
                <w:color w:val="auto"/>
              </w:rPr>
            </w:pPr>
          </w:p>
        </w:tc>
        <w:tc>
          <w:tcPr>
            <w:tcW w:w="120" w:type="dxa"/>
            <w:vAlign w:val="bottom"/>
            <w:shd w:val="clear" w:color="auto" w:fill="C5D9F1"/>
          </w:tcPr>
          <w:p>
            <w:pPr>
              <w:spacing w:after="0"/>
              <w:rPr>
                <w:sz w:val="12"/>
                <w:szCs w:val="12"/>
                <w:color w:val="auto"/>
              </w:rPr>
            </w:pPr>
          </w:p>
        </w:tc>
        <w:tc>
          <w:tcPr>
            <w:tcW w:w="660" w:type="dxa"/>
            <w:vAlign w:val="bottom"/>
            <w:gridSpan w:val="2"/>
            <w:shd w:val="clear" w:color="auto" w:fill="C5D9F1"/>
          </w:tcPr>
          <w:p>
            <w:pPr>
              <w:jc w:val="right"/>
              <w:ind w:right="20"/>
              <w:spacing w:after="0" w:line="149" w:lineRule="exact"/>
              <w:rPr>
                <w:sz w:val="20"/>
                <w:szCs w:val="20"/>
                <w:color w:val="auto"/>
              </w:rPr>
            </w:pPr>
            <w:r>
              <w:rPr>
                <w:rFonts w:ascii="Arial" w:cs="Arial" w:eastAsia="Arial" w:hAnsi="Arial"/>
                <w:sz w:val="14"/>
                <w:szCs w:val="14"/>
                <w:color w:val="auto"/>
              </w:rPr>
              <w:t>19.8%</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837</w:t>
            </w:r>
          </w:p>
        </w:tc>
        <w:tc>
          <w:tcPr>
            <w:tcW w:w="220" w:type="dxa"/>
            <w:vAlign w:val="bottom"/>
          </w:tcPr>
          <w:p>
            <w:pPr>
              <w:spacing w:after="0"/>
              <w:rPr>
                <w:sz w:val="12"/>
                <w:szCs w:val="12"/>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733</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698</w:t>
            </w:r>
          </w:p>
        </w:tc>
        <w:tc>
          <w:tcPr>
            <w:tcW w:w="780" w:type="dxa"/>
            <w:vAlign w:val="bottom"/>
            <w:gridSpan w:val="2"/>
            <w:shd w:val="clear" w:color="auto" w:fill="FCD5B4"/>
          </w:tcPr>
          <w:p>
            <w:pPr>
              <w:jc w:val="right"/>
              <w:ind w:right="20"/>
              <w:spacing w:after="0" w:line="130" w:lineRule="exact"/>
              <w:rPr>
                <w:sz w:val="20"/>
                <w:szCs w:val="20"/>
                <w:color w:val="auto"/>
              </w:rPr>
            </w:pPr>
            <w:r>
              <w:rPr>
                <w:rFonts w:ascii="Arial" w:cs="Arial" w:eastAsia="Arial" w:hAnsi="Arial"/>
                <w:sz w:val="14"/>
                <w:szCs w:val="14"/>
                <w:color w:val="auto"/>
              </w:rPr>
              <w:t>-4.7%</w:t>
            </w:r>
          </w:p>
        </w:tc>
        <w:tc>
          <w:tcPr>
            <w:tcW w:w="120" w:type="dxa"/>
            <w:vAlign w:val="bottom"/>
            <w:shd w:val="clear" w:color="auto" w:fill="FCD5B4"/>
          </w:tcPr>
          <w:p>
            <w:pPr>
              <w:spacing w:after="0"/>
              <w:rPr>
                <w:sz w:val="12"/>
                <w:szCs w:val="12"/>
                <w:color w:val="auto"/>
              </w:rPr>
            </w:pPr>
          </w:p>
        </w:tc>
        <w:tc>
          <w:tcPr>
            <w:tcW w:w="800" w:type="dxa"/>
            <w:vAlign w:val="bottom"/>
            <w:gridSpan w:val="2"/>
            <w:shd w:val="clear" w:color="auto" w:fill="FCD5B4"/>
          </w:tcPr>
          <w:p>
            <w:pPr>
              <w:jc w:val="right"/>
              <w:ind w:right="20"/>
              <w:spacing w:after="0" w:line="130" w:lineRule="exact"/>
              <w:rPr>
                <w:sz w:val="20"/>
                <w:szCs w:val="20"/>
                <w:color w:val="auto"/>
              </w:rPr>
            </w:pPr>
            <w:r>
              <w:rPr>
                <w:rFonts w:ascii="Arial" w:cs="Arial" w:eastAsia="Arial" w:hAnsi="Arial"/>
                <w:sz w:val="14"/>
                <w:szCs w:val="14"/>
                <w:color w:val="auto"/>
              </w:rPr>
              <w:t>-16.6%</w:t>
            </w:r>
          </w:p>
        </w:tc>
        <w:tc>
          <w:tcPr>
            <w:tcW w:w="102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85.9%</w:t>
            </w:r>
          </w:p>
        </w:tc>
        <w:tc>
          <w:tcPr>
            <w:tcW w:w="5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6,315</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7,057</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7,465</w:t>
            </w:r>
          </w:p>
        </w:tc>
        <w:tc>
          <w:tcPr>
            <w:tcW w:w="160" w:type="dxa"/>
            <w:vAlign w:val="bottom"/>
            <w:shd w:val="clear" w:color="auto" w:fill="C5D9F1"/>
          </w:tcPr>
          <w:p>
            <w:pPr>
              <w:spacing w:after="0"/>
              <w:rPr>
                <w:sz w:val="12"/>
                <w:szCs w:val="12"/>
                <w:color w:val="auto"/>
              </w:rPr>
            </w:pPr>
          </w:p>
        </w:tc>
        <w:tc>
          <w:tcPr>
            <w:tcW w:w="62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5D9F1"/>
          </w:tcPr>
          <w:p>
            <w:pPr>
              <w:spacing w:after="0"/>
              <w:rPr>
                <w:sz w:val="12"/>
                <w:szCs w:val="12"/>
                <w:color w:val="auto"/>
              </w:rPr>
            </w:pPr>
          </w:p>
        </w:tc>
        <w:tc>
          <w:tcPr>
            <w:tcW w:w="120" w:type="dxa"/>
            <w:vAlign w:val="bottom"/>
            <w:shd w:val="clear" w:color="auto" w:fill="C5D9F1"/>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86.2%</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118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4,324</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4,742</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4,865</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8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85.4%</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Mibanco</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9,223</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9,522</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9,785</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94.9%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Arial" w:cs="Arial" w:eastAsia="Arial" w:hAnsi="Arial"/>
                <w:sz w:val="14"/>
                <w:szCs w:val="14"/>
                <w:b w:val="1"/>
                <w:bCs w:val="1"/>
                <w:color w:val="auto"/>
              </w:rPr>
              <w:t>Bolivia</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2,121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2,210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2,256</w:t>
            </w:r>
          </w:p>
        </w:tc>
        <w:tc>
          <w:tcPr>
            <w:tcW w:w="7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5D9F1"/>
          </w:tcPr>
          <w:p>
            <w:pPr>
              <w:spacing w:after="0"/>
              <w:rPr>
                <w:sz w:val="12"/>
                <w:szCs w:val="12"/>
                <w:color w:val="auto"/>
              </w:rPr>
            </w:pPr>
          </w:p>
        </w:tc>
        <w:tc>
          <w:tcPr>
            <w:tcW w:w="8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ASB</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705</w:t>
            </w:r>
          </w:p>
        </w:tc>
        <w:tc>
          <w:tcPr>
            <w:tcW w:w="780" w:type="dxa"/>
            <w:vAlign w:val="bottom"/>
            <w:gridSpan w:val="2"/>
            <w:shd w:val="clear" w:color="auto" w:fill="FCD5B4"/>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FCD5B4"/>
          </w:tcPr>
          <w:p>
            <w:pPr>
              <w:spacing w:after="0"/>
              <w:rPr>
                <w:sz w:val="14"/>
                <w:szCs w:val="14"/>
                <w:color w:val="auto"/>
              </w:rPr>
            </w:pPr>
          </w:p>
        </w:tc>
        <w:tc>
          <w:tcPr>
            <w:tcW w:w="800" w:type="dxa"/>
            <w:vAlign w:val="bottom"/>
            <w:gridSpan w:val="2"/>
            <w:shd w:val="clear" w:color="auto" w:fill="FCD5B4"/>
          </w:tcPr>
          <w:p>
            <w:pPr>
              <w:jc w:val="right"/>
              <w:spacing w:after="0"/>
              <w:rPr>
                <w:sz w:val="20"/>
                <w:szCs w:val="20"/>
                <w:color w:val="auto"/>
              </w:rPr>
            </w:pPr>
            <w:r>
              <w:rPr>
                <w:rFonts w:ascii="Arial" w:cs="Arial" w:eastAsia="Arial" w:hAnsi="Arial"/>
                <w:sz w:val="14"/>
                <w:szCs w:val="14"/>
                <w:b w:val="1"/>
                <w:bCs w:val="1"/>
                <w:color w:val="auto"/>
              </w:rPr>
              <w:t>-6.7%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rPr>
              <w:t>Total loans</w:t>
            </w: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64,066</w:t>
            </w:r>
          </w:p>
        </w:tc>
        <w:tc>
          <w:tcPr>
            <w:tcW w:w="18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67,158</w:t>
            </w:r>
          </w:p>
        </w:tc>
        <w:tc>
          <w:tcPr>
            <w:tcW w:w="20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70,655</w:t>
            </w:r>
          </w:p>
        </w:tc>
        <w:tc>
          <w:tcPr>
            <w:tcW w:w="2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5.2%</w:t>
            </w:r>
          </w:p>
        </w:tc>
        <w:tc>
          <w:tcPr>
            <w:tcW w:w="100" w:type="dxa"/>
            <w:vAlign w:val="bottom"/>
            <w:vMerge w:val="continue"/>
          </w:tcPr>
          <w:p>
            <w:pPr>
              <w:spacing w:after="0"/>
              <w:rPr>
                <w:sz w:val="13"/>
                <w:szCs w:val="13"/>
                <w:color w:val="auto"/>
              </w:rPr>
            </w:pPr>
          </w:p>
        </w:tc>
        <w:tc>
          <w:tcPr>
            <w:tcW w:w="7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10.3%</w:t>
            </w: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13,077</w:t>
            </w:r>
          </w:p>
        </w:tc>
        <w:tc>
          <w:tcPr>
            <w:tcW w:w="2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13,238</w:t>
            </w:r>
          </w:p>
        </w:tc>
        <w:tc>
          <w:tcPr>
            <w:tcW w:w="2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13,117</w:t>
            </w:r>
          </w:p>
        </w:tc>
        <w:tc>
          <w:tcPr>
            <w:tcW w:w="220" w:type="dxa"/>
            <w:vAlign w:val="bottom"/>
            <w:vMerge w:val="continue"/>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-0.9%</w:t>
            </w:r>
          </w:p>
        </w:tc>
        <w:tc>
          <w:tcPr>
            <w:tcW w:w="12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0.3%</w:t>
            </w:r>
          </w:p>
        </w:tc>
        <w:tc>
          <w:tcPr>
            <w:tcW w:w="120" w:type="dxa"/>
            <w:vAlign w:val="bottom"/>
            <w:vMerge w:val="continue"/>
          </w:tcPr>
          <w:p>
            <w:pPr>
              <w:spacing w:after="0"/>
              <w:rPr>
                <w:sz w:val="13"/>
                <w:szCs w:val="13"/>
                <w:color w:val="auto"/>
              </w:rPr>
            </w:pP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61.6%</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38.4%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-694055</wp:posOffset>
            </wp:positionV>
            <wp:extent cx="33464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645" cy="188595"/>
                    </a:xfrm>
                    <a:prstGeom prst="rect">
                      <a:avLst/>
                    </a:prstGeom>
                    <a:noFill/>
                  </pic:spPr>
                </pic:pic>
              </a:graphicData>
            </a:graphic>
          </wp:anchor>
        </w:drawing>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1148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480" cy="94615"/>
                    </a:xfrm>
                    <a:prstGeom prst="rect">
                      <a:avLst/>
                    </a:prstGeom>
                    <a:noFill/>
                  </pic:spPr>
                </pic:pic>
              </a:graphicData>
            </a:graphic>
          </wp:anchor>
        </w:drawing>
      </w:r>
    </w:p>
    <w:p>
      <w:pPr>
        <w:spacing w:after="0" w:line="4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1148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 cy="94615"/>
                    </a:xfrm>
                    <a:prstGeom prst="rect">
                      <a:avLst/>
                    </a:prstGeom>
                    <a:noFill/>
                  </pic:spPr>
                </pic:pic>
              </a:graphicData>
            </a:graphic>
          </wp:anchor>
        </w:drawing>
      </w:r>
    </w:p>
    <w:p>
      <w:pPr>
        <w:spacing w:after="0" w:line="21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Work out unit, and other banking.</w:t>
      </w: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analysis of loan expansion by currency shows that the QoQ and YoY expansion registered by the Wholesale and Retail segments, as well as by Mibanco, were driven by the LC portfolio. In contrast, a QoQ and YoY increase was posted in average daily balances in foreign currency in the Corporate Banking portfolio within Wholesale Banking and for the Mortgage and SME-Pyme segments in Retail Banking. A decrease was reported for the same period in the FC portfolio at ASB.</w:t>
      </w:r>
    </w:p>
    <w:p>
      <w:pPr>
        <w:spacing w:after="0" w:line="200" w:lineRule="exact"/>
        <w:rPr>
          <w:sz w:val="20"/>
          <w:szCs w:val="20"/>
          <w:color w:val="auto"/>
        </w:rPr>
      </w:pPr>
    </w:p>
    <w:p>
      <w:pPr>
        <w:spacing w:after="0" w:line="20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30"/>
          <w:szCs w:val="30"/>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90170</wp:posOffset>
            </wp:positionV>
            <wp:extent cx="6689090" cy="255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8909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right="20" w:firstLine="8"/>
        <w:spacing w:after="0" w:line="250"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year with the historic maximum level of dollarization for Wholesale Banking was 2012, for Mibanco was 2016 and for the rest of segments was 2009.</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BCP Individual, the loan dollarization level fell YoY to situate at 36%. The downward trend in the dollarization level for the Mortgage segment continued, after falling 19% in December 2018 to 14% in December 2019. The aforementioned is a reflection of the fact that a large proportion of mortgage loans are denominated in LC.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as is evident in the figure below, the percentage of the loan portfolio that is highly exposed to FX-risk on credit risk remains very 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154940</wp:posOffset>
            </wp:positionV>
            <wp:extent cx="3610610" cy="1818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061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2014, BCRP set up a Program to reduce the dollarization level of the loan book in the Peruvian Banking System. As part of this Program, BCRP set some targets to reduce the loan balances in US Dollars progressively at the end of June 2015, December 2015, December 2016, December 2017, December 2018 and December 2019. The balances that are subject to reduction targets are the total FC portfolio, with some exceptions, and the balance of the joint mortgage and car loan portfolio. The balance required at the end of December 2019 is as follows:</w:t>
      </w:r>
    </w:p>
    <w:p>
      <w:pPr>
        <w:spacing w:after="0" w:line="187" w:lineRule="exact"/>
        <w:rPr>
          <w:sz w:val="20"/>
          <w:szCs w:val="20"/>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total portfolio in FC, the goal set for 2018 will continue to apply. In this context, the balance at the end of December 2018 must represent no more than 80% of the total loan balance in FC reported at the end of September 2013 (excluding loans that meet certain requirements.)</w:t>
      </w:r>
    </w:p>
    <w:p>
      <w:pPr>
        <w:spacing w:after="0" w:line="1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At the end of September 2019, BCP Stand-alone reported a compliance level of 106% with regard to the goal set by BCRP for December 2019.</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left="660" w:right="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combined FC Mortgage and Car portfolio, the target was adjusted in December 2018 to stipulate that the balance at the end of December of 2019 must represent no more than 40% of the balance of the combined Mortgage and Car portfolio reported at the end of February 2013. Every year, the target will be adjusted by 10% to reach a minimum of 5% of Net Equity.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end of December 2019, BCP Stand-alone reported a compliance level of 92% of the dedollarization target set by BCRP.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90170</wp:posOffset>
            </wp:positionV>
            <wp:extent cx="6723380" cy="1878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2338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 Market shares are different that previously reported because now includes non-performing loans in the sample.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9"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 xml:space="preserve">At the end of November 2019, BCP </w:t>
      </w:r>
      <w:r>
        <w:rPr>
          <w:rFonts w:ascii="Arial" w:cs="Arial" w:eastAsia="Arial" w:hAnsi="Arial"/>
          <w:sz w:val="17"/>
          <w:szCs w:val="17"/>
          <w:b w:val="1"/>
          <w:bCs w:val="1"/>
          <w:color w:val="auto"/>
        </w:rPr>
        <w:t>Stand-alone</w:t>
      </w:r>
      <w:r>
        <w:rPr>
          <w:rFonts w:ascii="Arial" w:cs="Arial" w:eastAsia="Arial" w:hAnsi="Arial"/>
          <w:sz w:val="17"/>
          <w:szCs w:val="17"/>
          <w:color w:val="auto"/>
        </w:rPr>
        <w:t xml:space="preserve"> continued to lead the Peruvian financial market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with a market share (MS) of de 28.8%, which surpasses the 18.0% MS posted by its closest competitor. This level is higher than that obtained in 3Q19 (+20 bps) but lower than that registered in 4Q18 (-80 bps). </w:t>
      </w:r>
      <w:r>
        <w:rPr>
          <w:rFonts w:ascii="Arial" w:cs="Arial" w:eastAsia="Arial" w:hAnsi="Arial"/>
          <w:sz w:val="17"/>
          <w:szCs w:val="17"/>
          <w:b w:val="1"/>
          <w:bCs w:val="1"/>
          <w:color w:val="auto"/>
        </w:rPr>
        <w:t>Mibanco</w:t>
      </w:r>
      <w:r>
        <w:rPr>
          <w:rFonts w:ascii="Arial" w:cs="Arial" w:eastAsia="Arial" w:hAnsi="Arial"/>
          <w:sz w:val="17"/>
          <w:szCs w:val="17"/>
          <w:color w:val="auto"/>
        </w:rPr>
        <w:t>’s market share of the total financial system was situated at 3.2%, which was the same level posted in both 3Q19 and 4Q18.</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Wholesale Banking, the Corporate Banking segment reported growth of +40 bps in its MS with regard to 3Q19’s figure. Middle Market banking followed the same trend, increasing +20 bps. In the YoY evolution, Corporate Banking registered a drop of -170 bps in its MS while Middle Market banking was down -40bps. It is important to note that these segments at BCP continue to lead in their respective markets.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Within Retail Banking, BCP continued to lead the market in the Mortgage segment (+0 bps QoQ and +80 bps YoY) and in the SME-Business segment (+90 bps QoQ and +330 bps YoY) as both make gains in market share. In the Consumer and Credit Card segments, BCP continues to rank second for market share.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SME-Pyme segment, Mibanco continued to lead the market with an MS of 21.7%, which nonetheless represented a decline with regard to the figures reported in 3Q19 and 4Q18 of 22.2% respectively. BCP Stand-alone ranks second in this segment with an MS of 11.8%.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Finally, the MS of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held steady in QoQ terms and in the previous year comparison. The subsidiary ranks fifth in the Bolivian financial system with a market share of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Includes Multipurpose Banks, Finance Companies, Municipal and Rural Banks, EDPYMEs and Leasing and Mortgages Companies.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At the end of 2019, total funding increased QoQ and YoY. The funding structure at Credicorp registered an increase in deposits, posting an uptick in its share of total funding. It is important to note the on-going expansion reported for savings deposits and non-interest bearing demand deposits, both of which constitute lower cost sources of funding. During this same period, time deposits, which imply somewhat higher costs, also increased considerably. All of the aforementioned offset the contraction registered on wholesale funding. Regarding Credicorps funding cost, the increase of 12 basis points in 2019 is due to (i) the currency mix effect, which reflected an increase in funding in local currency, which accounted for 90% of total funding expansion, and (ii) the rate effect, generated by the increase in time deposits of 8.7%.</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ind w:left="580"/>
              <w:spacing w:after="0"/>
              <w:rPr>
                <w:sz w:val="20"/>
                <w:szCs w:val="20"/>
                <w:color w:val="auto"/>
              </w:rPr>
            </w:pPr>
            <w:r>
              <w:rPr>
                <w:rFonts w:ascii="Arial" w:cs="Arial" w:eastAsia="Arial" w:hAnsi="Arial"/>
                <w:sz w:val="18"/>
                <w:szCs w:val="18"/>
                <w:b w:val="1"/>
                <w:bCs w:val="1"/>
                <w:color w:val="auto"/>
                <w:w w:val="88"/>
              </w:rPr>
              <w:t>% change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18</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19</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32,515,165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32,626,001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34,213,188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32,593,978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33,681,765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35,179,770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31,303,607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33,194,331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34,034,037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7,571,375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7,205,449</w:t>
            </w:r>
          </w:p>
        </w:tc>
        <w:tc>
          <w:tcPr>
            <w:tcW w:w="1000" w:type="dxa"/>
            <w:vAlign w:val="bottom"/>
          </w:tcPr>
          <w:p>
            <w:pPr>
              <w:jc w:val="right"/>
              <w:spacing w:after="0"/>
              <w:rPr>
                <w:sz w:val="20"/>
                <w:szCs w:val="20"/>
                <w:color w:val="auto"/>
              </w:rPr>
            </w:pPr>
            <w:r>
              <w:rPr>
                <w:rFonts w:ascii="Arial" w:cs="Arial" w:eastAsia="Arial" w:hAnsi="Arial"/>
                <w:sz w:val="18"/>
                <w:szCs w:val="18"/>
                <w:color w:val="auto"/>
              </w:rPr>
              <w:t>7,897,199</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567,186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684,174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681,191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Deposits and obligations</w:t>
            </w: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104,551,311</w:t>
            </w:r>
          </w:p>
        </w:tc>
        <w:tc>
          <w:tcPr>
            <w:tcW w:w="20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107,391,720</w:t>
            </w:r>
          </w:p>
        </w:tc>
        <w:tc>
          <w:tcPr>
            <w:tcW w:w="18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112,005,385</w:t>
            </w:r>
          </w:p>
        </w:tc>
        <w:tc>
          <w:tcPr>
            <w:tcW w:w="200" w:type="dxa"/>
            <w:vAlign w:val="bottom"/>
            <w:vMerge w:val="continue"/>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8,448,139</w:t>
            </w:r>
          </w:p>
        </w:tc>
        <w:tc>
          <w:tcPr>
            <w:tcW w:w="2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8,624,286</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8,841,732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5,226,870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4,144,908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4,381,011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2,638,231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2,031,025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1,820,911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15,457,540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17,160,564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14,946,363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funding</w:t>
            </w: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gridSpan w:val="2"/>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136,322,091</w:t>
            </w:r>
          </w:p>
        </w:tc>
        <w:tc>
          <w:tcPr>
            <w:tcW w:w="200" w:type="dxa"/>
            <w:vAlign w:val="bottom"/>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139,352,503</w:t>
            </w:r>
          </w:p>
        </w:tc>
        <w:tc>
          <w:tcPr>
            <w:tcW w:w="180" w:type="dxa"/>
            <w:vAlign w:val="bottom"/>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141,995,402</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142875</wp:posOffset>
            </wp:positionV>
            <wp:extent cx="6140450" cy="26073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4045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depicting the Evolution of Credicorp’s funding structure and cost is calculated with quarter-end balances. In global terms, the funding structure reflects:</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importance of deposits as the main source of funding, which imply lower costs than other alternatives in the mix. The share of deposits in total funding increased considerably QoQ and YoY, situating at 78.8% (vs. 77.1% in Sep 19 and 76.7% in Dec 18). This growth was attributable to an increase in the volumes posted by all deposit types both QoQ and YoY.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of savings deposits and non-interest bearing demand deposits within the deposits mix continued to increase, registering growth both QoQ and YoY. At the end of Dec 19, they represented 57.0% of total deposits (vs. 56.6% in Sep 19 and 56.9% in Dec 18). Both deposit types are considered lower-cost alternatives within the deposit mix. It is important to note the on-going growth in time deposits, which had a negative impact on the funding cost for deposits due to a volume effect and rate effect.</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terms of other funding sources, the QoQ analysis shows a contraction; this was mainly attributable to a decrease in the volume of Bonds and notes issued (-12.9%), whose share of total funding (10.5%) has fallen to its lowest level since 2014. In the YoY analysis, the decline was associated primarily with a drop in the volume of BCRP instruments, which have fallen consistently since 2016, when the special instruments issued by BCRP under its de-dollarization initiative began to expire. The share of BCRP instruments in total funding fell to 3.1% at the end of Dec 19 (vs. 3.8% in Dec 18). For further details, see section 2.3 Other funding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has allowed Credicorp to maintain a relatively stable cost of funding since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2.2. Deposits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120" w:type="dxa"/>
            <w:vAlign w:val="bottom"/>
            <w:gridSpan w:val="3"/>
          </w:tcPr>
          <w:p>
            <w:pPr>
              <w:ind w:left="80"/>
              <w:spacing w:after="0"/>
              <w:rPr>
                <w:sz w:val="20"/>
                <w:szCs w:val="20"/>
                <w:color w:val="auto"/>
              </w:rPr>
            </w:pPr>
            <w:r>
              <w:rPr>
                <w:rFonts w:ascii="Arial" w:cs="Arial" w:eastAsia="Arial" w:hAnsi="Arial"/>
                <w:sz w:val="18"/>
                <w:szCs w:val="18"/>
                <w:b w:val="1"/>
                <w:bCs w:val="1"/>
                <w:color w:val="auto"/>
              </w:rPr>
              <w:t>Deposits and obligations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580"/>
              <w:spacing w:after="0"/>
              <w:rPr>
                <w:sz w:val="20"/>
                <w:szCs w:val="20"/>
                <w:color w:val="auto"/>
              </w:rPr>
            </w:pPr>
            <w:r>
              <w:rPr>
                <w:rFonts w:ascii="Arial" w:cs="Arial" w:eastAsia="Arial" w:hAnsi="Arial"/>
                <w:sz w:val="18"/>
                <w:szCs w:val="18"/>
                <w:b w:val="1"/>
                <w:bCs w:val="1"/>
                <w:color w:val="auto"/>
                <w:w w:val="88"/>
              </w:rPr>
              <w:t>% change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ind w:left="80"/>
              <w:spacing w:after="0"/>
              <w:rPr>
                <w:sz w:val="20"/>
                <w:szCs w:val="20"/>
                <w:color w:val="auto"/>
              </w:rPr>
            </w:pPr>
            <w:r>
              <w:rPr>
                <w:rFonts w:ascii="Arial" w:cs="Arial" w:eastAsia="Arial" w:hAnsi="Arial"/>
                <w:sz w:val="18"/>
                <w:szCs w:val="18"/>
                <w:b w:val="1"/>
                <w:bCs w:val="1"/>
                <w:color w:val="auto"/>
              </w:rPr>
              <w:t>S/ 000</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 18</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Sep 19</w:t>
            </w: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 19</w:t>
            </w:r>
          </w:p>
        </w:tc>
        <w:tc>
          <w:tcPr>
            <w:tcW w:w="1340" w:type="dxa"/>
            <w:vAlign w:val="bottom"/>
            <w:gridSpan w:val="3"/>
          </w:tcPr>
          <w:p>
            <w:pPr>
              <w:ind w:left="220"/>
              <w:spacing w:after="0"/>
              <w:rPr>
                <w:sz w:val="20"/>
                <w:szCs w:val="20"/>
                <w:color w:val="auto"/>
              </w:rPr>
            </w:pPr>
            <w:r>
              <w:rPr>
                <w:rFonts w:ascii="Arial" w:cs="Arial" w:eastAsia="Arial" w:hAnsi="Arial"/>
                <w:sz w:val="18"/>
                <w:szCs w:val="18"/>
                <w:b w:val="1"/>
                <w:bCs w:val="1"/>
                <w:color w:val="auto"/>
              </w:rPr>
              <w:t>QoQ</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Demand deposits</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32,515,165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32,626,001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34,213,188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Saving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32,593,978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33,681,765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35,179,770</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31,303,607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33,194,331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34,034,037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Severance indemnity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7,571,375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7,205,449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7,897,199</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567,186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684,174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681,191</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Deposits and obligations</w:t>
            </w: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104,551,311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107,391,720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112,005,385</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Deposits and obligations </w:t>
      </w:r>
      <w:r>
        <w:rPr>
          <w:rFonts w:ascii="Arial" w:cs="Arial" w:eastAsia="Arial" w:hAnsi="Arial"/>
          <w:sz w:val="18"/>
          <w:szCs w:val="18"/>
          <w:color w:val="auto"/>
        </w:rPr>
        <w:t>grew 4.3% QoQ. The QoQ evolution of the mix of deposits shows: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increased 4.4% QoQ. This was driven primarily by an increase in the LC volume (which accounts for 84% of the increase). Growth reflects (i) payments of employee bonuses with saving accounts at BCP Stand-alone and Mibanco in the month of December and (ii) the results of campaigns to capture savings deposits through cost-efficient channels (Kiosko and Vía BCP). These channels drove almost 50% of the uptick in savings accounts openings at BCP Stand-alone.</w:t>
      </w:r>
    </w:p>
    <w:p>
      <w:pPr>
        <w:spacing w:after="0" w:line="180"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4.9% increase in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due to an increase in the deposit volume for non-interest bearing demand deposits (+40 bps), mainly from Middle-market at BCP Stand-alone.</w:t>
      </w:r>
    </w:p>
    <w:p>
      <w:pPr>
        <w:spacing w:after="0" w:line="16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 increase in the volume of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at Mibanco, after different campaigns were rolled out, and at BCP Bolivia, which is implementing a strategy to capture deposits that offer more stability in the mid-term.</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Severance indemnity deposits</w:t>
      </w:r>
      <w:r>
        <w:rPr>
          <w:rFonts w:ascii="Arial" w:cs="Arial" w:eastAsia="Arial" w:hAnsi="Arial"/>
          <w:sz w:val="18"/>
          <w:szCs w:val="18"/>
          <w:color w:val="auto"/>
        </w:rPr>
        <w:t>, growth of 9.6% was reported after employers deposited the obligatory payment required every 4Q (the second of</w:t>
      </w:r>
      <w:r>
        <w:rPr>
          <w:rFonts w:ascii="Arial" w:cs="Arial" w:eastAsia="Arial" w:hAnsi="Arial"/>
          <w:sz w:val="18"/>
          <w:szCs w:val="18"/>
          <w:b w:val="1"/>
          <w:bCs w:val="1"/>
          <w:color w:val="auto"/>
        </w:rPr>
        <w:t xml:space="preserve"> </w:t>
      </w:r>
      <w:r>
        <w:rPr>
          <w:rFonts w:ascii="Arial" w:cs="Arial" w:eastAsia="Arial" w:hAnsi="Arial"/>
          <w:sz w:val="18"/>
          <w:szCs w:val="18"/>
          <w:color w:val="auto"/>
        </w:rPr>
        <w:t>two statutory deposits). This deposit was made in November.</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 terms</w:t>
      </w:r>
      <w:r>
        <w:rPr>
          <w:rFonts w:ascii="Arial" w:cs="Arial" w:eastAsia="Arial" w:hAnsi="Arial"/>
          <w:sz w:val="18"/>
          <w:szCs w:val="18"/>
          <w:color w:val="auto"/>
        </w:rPr>
        <w:t xml:space="preserve">, total </w:t>
      </w:r>
      <w:r>
        <w:rPr>
          <w:rFonts w:ascii="Arial" w:cs="Arial" w:eastAsia="Arial" w:hAnsi="Arial"/>
          <w:sz w:val="18"/>
          <w:szCs w:val="18"/>
          <w:b w:val="1"/>
          <w:bCs w:val="1"/>
          <w:color w:val="auto"/>
        </w:rPr>
        <w:t>deposits and obligations</w:t>
      </w:r>
      <w:r>
        <w:rPr>
          <w:rFonts w:ascii="Arial" w:cs="Arial" w:eastAsia="Arial" w:hAnsi="Arial"/>
          <w:sz w:val="18"/>
          <w:szCs w:val="18"/>
          <w:color w:val="auto"/>
        </w:rPr>
        <w:t xml:space="preserve"> registered an increase across all deposit types, which translated into growth of 7.1% in the main source of funding.</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90170</wp:posOffset>
            </wp:positionV>
            <wp:extent cx="4416425" cy="1500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1642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154940</wp:posOffset>
            </wp:positionV>
            <wp:extent cx="5925820" cy="1612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2582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dollarization level of Credicorp’s deposits fell </w:t>
      </w:r>
      <w:r>
        <w:rPr>
          <w:rFonts w:ascii="Arial" w:cs="Arial" w:eastAsia="Arial" w:hAnsi="Arial"/>
          <w:sz w:val="18"/>
          <w:szCs w:val="18"/>
          <w:b w:val="1"/>
          <w:bCs w:val="1"/>
          <w:color w:val="auto"/>
        </w:rPr>
        <w:t>QoQ</w:t>
      </w:r>
      <w:r>
        <w:rPr>
          <w:rFonts w:ascii="Arial" w:cs="Arial" w:eastAsia="Arial" w:hAnsi="Arial"/>
          <w:sz w:val="18"/>
          <w:szCs w:val="18"/>
          <w:color w:val="auto"/>
        </w:rPr>
        <w:t xml:space="preserve"> after growth in LC volumes outpaced that of FC volumes.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in LC volumes was seen across all deposit types, outpacing the expansion registered by FC volumes by four-fold. The increase in the LC volume was mainly attributable to savings deposits and to a lesser extent, to non-interest bearing demand deposits. Expansion in FC volumes was reported across all deposit types, with the exception of severance indemnity deposits, and was due primarily to growth in the level of savings deposits and interest-bearing demand deposits.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w:t>
      </w:r>
      <w:r>
        <w:rPr>
          <w:rFonts w:ascii="Arial" w:cs="Arial" w:eastAsia="Arial" w:hAnsi="Arial"/>
          <w:sz w:val="18"/>
          <w:szCs w:val="18"/>
          <w:color w:val="auto"/>
        </w:rPr>
        <w:t xml:space="preserve"> evolution shows a similar trend to that seen QoQ, where growth in LC was two times higher than that posted by FC. LC deposits increased 10.1% YoY, compared to 4.2% for FC deposits for the same period. The aforementioned was attributable to growth in all types of LC deposits, which was primarily associated with an increase in the volume of savings deposits and time deposits. In the case of FC deposits, growth was also registered across all deposit types, with the exception of severance indemnity deposits. The evolution described was aligned with Credicorp’s objective of maintaining an adequate match between assets and liabilities by currency, respecting the group’s appetite for risk.</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780405" cy="2444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040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Nov 19, Credicorp’s subsidiaries in Peru, BCP Stand-alone and Mibanco, reported an MS of 29.9% and 2.8% (in comparison to 29.3% and 2.8% at the end of Sep 19, respectively). Credicorp continued to lead the market for total deposits, and is situated significantly ahead of its closest competitor (which holds a 19.1% market share).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BCP Stand-alone registered a drop with regard to the level registered at the end of Dec 18. This was mainly due to a decrease in the MS of demand deposits. The MS of Mibanco also fell YoY (2.8% Nov 19 vs. 3.1% Dec 18) due to a contraction in the MS of time deposits, which fell from 7.0% in Dec 18 to 6.2% in Nov 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continued to rank fifth in the Bolivian financial system with a MS of 9.8% at the end of Dec 19 in comparison to 9.6% in Sep 19. In the YoY analysis, the figure for MS was the same as that seen at the end of Dec 18 (9.8%).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19</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19</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8,448,139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8,624,286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8,841,732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BCRP instruments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5,226,870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4,144,908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4,381,011</w:t>
            </w:r>
          </w:p>
        </w:tc>
        <w:tc>
          <w:tcPr>
            <w:tcW w:w="7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Repurchase agreements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2,638,231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2,031,025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1,820,911</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r>
      <w:tr>
        <w:trPr>
          <w:trHeight w:val="216"/>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Bonds and notes issued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15,457,540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17,160,564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14,946,363</w:t>
            </w:r>
          </w:p>
        </w:tc>
        <w:tc>
          <w:tcPr>
            <w:tcW w:w="7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 funding sources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31,770,780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31,960,783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29,990,017</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w:t>
            </w:r>
          </w:p>
        </w:tc>
      </w:tr>
    </w:tbl>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Total of other funding sources</w:t>
      </w:r>
      <w:r>
        <w:rPr>
          <w:rFonts w:ascii="Arial" w:cs="Arial" w:eastAsia="Arial" w:hAnsi="Arial"/>
          <w:sz w:val="18"/>
          <w:szCs w:val="18"/>
          <w:color w:val="auto"/>
        </w:rPr>
        <w:t xml:space="preserve"> fell -6.2% QoQ, which was primarily attributable to a decrease in the level of Bonds and notes issued. The aforementioned was slightly attenuated by an increase in Due to banks and correspondents and in BCRP instruments.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61" w:lineRule="auto"/>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increased due to growth in the level of obligations with COFIDE and with companies in the Peruvian financial system</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Mibanco and in LC. To a lesser extent, growth was attributable to new debt with foreign financial institutions in FC. These transactions were conducted in the month of November through BCP Stand-alone. The aforementioned was attenuated by a decrease in the exchange rate in a context in which FC represents approximately 60% of Due to banks and correspondents.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BCRP Instruments</w:t>
      </w:r>
      <w:r>
        <w:rPr>
          <w:rFonts w:ascii="Arial" w:cs="Arial" w:eastAsia="Arial" w:hAnsi="Arial"/>
          <w:sz w:val="18"/>
          <w:szCs w:val="18"/>
          <w:color w:val="auto"/>
        </w:rPr>
        <w:t>, where the slight increase QoQ was associated with growth in the level of regular repos with BCRP both at BCP Stand-alone and</w:t>
      </w:r>
      <w:r>
        <w:rPr>
          <w:rFonts w:ascii="Arial" w:cs="Arial" w:eastAsia="Arial" w:hAnsi="Arial"/>
          <w:sz w:val="18"/>
          <w:szCs w:val="18"/>
          <w:b w:val="1"/>
          <w:bCs w:val="1"/>
          <w:color w:val="auto"/>
        </w:rPr>
        <w:t xml:space="preserve"> </w:t>
      </w:r>
      <w:r>
        <w:rPr>
          <w:rFonts w:ascii="Arial" w:cs="Arial" w:eastAsia="Arial" w:hAnsi="Arial"/>
          <w:sz w:val="18"/>
          <w:szCs w:val="18"/>
          <w:color w:val="auto"/>
        </w:rPr>
        <w:t>Mibanco.</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18"/>
          <w:szCs w:val="18"/>
          <w:color w:val="auto"/>
        </w:rPr>
        <w:t>fell QoQ due to the expiration of interbank repurchase agreements and Certificates of Deposits (CDs), mainly through ASB and</w:t>
      </w:r>
      <w:r>
        <w:rPr>
          <w:rFonts w:ascii="Arial" w:cs="Arial" w:eastAsia="Arial" w:hAnsi="Arial"/>
          <w:sz w:val="18"/>
          <w:szCs w:val="18"/>
          <w:b w:val="1"/>
          <w:bCs w:val="1"/>
          <w:color w:val="auto"/>
        </w:rPr>
        <w:t xml:space="preserve"> </w:t>
      </w:r>
      <w:r>
        <w:rPr>
          <w:rFonts w:ascii="Arial" w:cs="Arial" w:eastAsia="Arial" w:hAnsi="Arial"/>
          <w:sz w:val="18"/>
          <w:szCs w:val="18"/>
          <w:color w:val="auto"/>
        </w:rPr>
        <w:t>BCP Stand-alone, both in FC.</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Bonds and notes issued </w:t>
      </w:r>
      <w:r>
        <w:rPr>
          <w:rFonts w:ascii="Arial" w:cs="Arial" w:eastAsia="Arial" w:hAnsi="Arial"/>
          <w:sz w:val="16"/>
          <w:szCs w:val="16"/>
          <w:color w:val="auto"/>
        </w:rPr>
        <w:t>reported a contraction of -12.9% QoQ. This was due to (i) the expiration of corporate and subordinated bonds at BCP Stand-alone,</w:t>
      </w:r>
    </w:p>
    <w:p>
      <w:pPr>
        <w:spacing w:after="0" w:line="50" w:lineRule="exact"/>
        <w:rPr>
          <w:sz w:val="20"/>
          <w:szCs w:val="20"/>
          <w:color w:val="auto"/>
        </w:rPr>
      </w:pPr>
    </w:p>
    <w:p>
      <w:pPr>
        <w:ind w:firstLine="8"/>
        <w:spacing w:after="0" w:line="261" w:lineRule="auto"/>
        <w:tabs>
          <w:tab w:leader="none" w:pos="2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advance redemption of a hybrid bond at BCP Stand-alone, and (iii) the variation in the exchange rate, which had a negative effect given that 73% of the total volume is in FC.</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evolution</w:t>
      </w:r>
      <w:r>
        <w:rPr>
          <w:rFonts w:ascii="Arial" w:cs="Arial" w:eastAsia="Arial" w:hAnsi="Arial"/>
          <w:sz w:val="18"/>
          <w:szCs w:val="18"/>
          <w:color w:val="auto"/>
        </w:rPr>
        <w:t>, a 5.6% reduction in other funding sources is evident. This was attributable to a reconfiguration of the funding structure to decrease the level of BCRP Instruments and repurchase agreements and increase the level of lower-cost deposits with higher liquidity levels.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154940</wp:posOffset>
            </wp:positionV>
            <wp:extent cx="3764915" cy="1689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491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The L/D ratio at Credicorp fell QoQ to situate at 103.2% given that the increase in deposits (+4.3%) outpaced the growth posted by loans (+3.0%).</w:t>
      </w:r>
    </w:p>
    <w:p>
      <w:pPr>
        <w:spacing w:after="0" w:line="2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analysis by subsidiary shows that the same trend is in play at BCP Stand-alone (105.1% Dec 19 vs. 105.9% Sep 19). The QoQ reduction in the L/D at BCP Stand-alone was generated in a scenario in which growth in the deposit volume (+3.5%) was greater than the expansion registered for loans (+2.7%); the aforementioned was driven by an increase in demand deposits and savings deposits. In the case of Mibanco, QoQ growth in the L/D was attributable to the fact that loan growth (+3.7%) outpaced the expansion registered for deposits (3.4%).</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the L/D ratio for Credicorp and its subsidiaries followed the same trend seen in the QoQ analysis, where growth in deposits exceeded loan growth (7.1% vs. 4.4%, respectively).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60"/>
        <w:spacing w:after="0"/>
        <w:tabs>
          <w:tab w:leader="none" w:pos="792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154940</wp:posOffset>
            </wp:positionV>
            <wp:extent cx="6500495" cy="1483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049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QoQ analysis by currency, a reduction is evident in the L/D ratio in LC at Credicorp, which was attributable to an increase in LC deposits, which was driven by demand deposits and savings deposits at BCP Stand-alone. The L/D in FC at Credicorp registered growth of 100 bps QoQ after loan growth (+3.0%) exceeded the expansion reported for deposits (+1.8%). The aforementioned was in turn driven by loan growth in FC (+1.5%) and a contraction in FC deposits (-0.1%) at BCP Stand-alone.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L/D ratio in LC and FC at Credicorp fell after the deposit level in both currencies increased and outpaced loan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90170</wp:posOffset>
            </wp:positionV>
            <wp:extent cx="5360035" cy="2426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6003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780" w:firstLine="1781"/>
        <w:spacing w:after="0" w:line="501" w:lineRule="auto"/>
        <w:tabs>
          <w:tab w:leader="none" w:pos="20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 The funding cost at Credicorp fell QoQ and YoY. The QoQ evolution shows:</w:t>
      </w:r>
    </w:p>
    <w:p>
      <w:pPr>
        <w:ind w:left="880" w:hanging="49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Growth in the funding cost in FC (+8 bps), which was primarily attributable to an increase in interest expenses on bonds and notes issued; this accounts for 90% of the increase in expenses in FC (96% of which were generated by BCP Stand-alone).</w:t>
      </w:r>
    </w:p>
    <w:p>
      <w:pPr>
        <w:spacing w:after="0" w:line="170" w:lineRule="exact"/>
        <w:rPr>
          <w:rFonts w:ascii="Arial" w:cs="Arial" w:eastAsia="Arial" w:hAnsi="Arial"/>
          <w:sz w:val="18"/>
          <w:szCs w:val="18"/>
          <w:color w:val="auto"/>
        </w:rPr>
      </w:pPr>
    </w:p>
    <w:p>
      <w:pPr>
        <w:jc w:val="both"/>
        <w:ind w:left="880" w:right="20" w:hanging="494"/>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reduction in the total funding cost (-13 bps), which was primarily due to a drop in the expense for all funding sources, which reflects the global trend toward lower interest rates. The mix of total funding has improved to favor higher volumes of lower-cost sources of funding, such as deposits.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880" w:hanging="49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drop in the cost of funding in LC (-36 bps), which was mainly driven by a decrease in interest expenses on bonds and notes issued at BCP Stand-alone after a drop was registered in the interest rates on corporate bonds issued in 3Q19.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funding cost fell -6 bps due to:</w:t>
      </w:r>
    </w:p>
    <w:p>
      <w:pPr>
        <w:spacing w:after="0" w:line="225" w:lineRule="exact"/>
        <w:rPr>
          <w:sz w:val="20"/>
          <w:szCs w:val="20"/>
          <w:color w:val="auto"/>
        </w:rPr>
      </w:pPr>
    </w:p>
    <w:p>
      <w:pPr>
        <w:ind w:left="880" w:right="20" w:hanging="49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more favorable deposit mix where lower-cost deposits such as savings and non-interest bearing demand deposits grew 7.9% and 6.4%, respectively.</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Due to the recomposition of the funding structure, given that deposits’ share of total funding increased significantly (from 76.7% in 4Q18 to 78.8% in 4T19), edging out BCRP Instruments (substitution with a less expensive source of funding).</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reduction in national and international interest rates since 3Q19 meant that the impact of this shift was more visible in 4Q19.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FY analysis of the cost of funding reflects:</w:t>
      </w:r>
    </w:p>
    <w:p>
      <w:pPr>
        <w:spacing w:after="0" w:line="225" w:lineRule="exact"/>
        <w:rPr>
          <w:sz w:val="20"/>
          <w:szCs w:val="20"/>
          <w:color w:val="auto"/>
        </w:rPr>
      </w:pPr>
    </w:p>
    <w:p>
      <w:pPr>
        <w:ind w:left="880" w:hanging="49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adoption of new requirements relative to IFRS 16, which has been in place since the beginning of 2019 and stipulates that part of the expenses for leases, which were previously registered in Administrative expenses, must be included in interest expenses.</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expenses on deposits, which was mainly attributable to the volume, deposit mix and currency effects, where time deposits growth in LC (8.3%) is noteworthy.</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interest expenses on bonds and notes issued at BCP Stand-alone in 3Q19, which was attributable to the liability management of bonds that carry one-off expenses.</w:t>
      </w:r>
    </w:p>
    <w:p>
      <w:pPr>
        <w:spacing w:after="0" w:line="170"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aforementioned was partially attenuated by the group’s decision to secure lower-cost funding, such as deposits, and to reduce the volume of other, higher-cost funding sources such as BCRP Instruments and bonds and notes issued. Additionally, national and international interest rates fell in 3Q19, which had a positive effect on the funding cost in 4Q19.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led the funding cost to increase 12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 of funding by subsidiary is depicted in the following figure: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Cost by subsidiary–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154940</wp:posOffset>
            </wp:positionV>
            <wp:extent cx="4965700" cy="2375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6570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left="494" w:hanging="494"/>
        <w:spacing w:after="0" w:line="258"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followed the same trend as that seen at Credicorp, where contractions were registered QoQ and YoY. In both cases, the decrease was generated by an increase in the volume of deposits and the impact of lower international interest rates (48% of the bank’s funding is in FC). In 2019, the funding cost increased 9 bps. This took place in a scenario marked by the following events at BCP Stand-alone: (i) the bank absorbed the most impact of the application of IFRS 16, (ii) the liability management of bonds in 3Q19, which included one-off expenses, and ii) 5.2% growth was recorded in time deposits, mainly in LC.</w:t>
      </w:r>
    </w:p>
    <w:p>
      <w:pPr>
        <w:spacing w:after="0" w:line="183" w:lineRule="exact"/>
        <w:rPr>
          <w:rFonts w:ascii="Arial" w:cs="Arial" w:eastAsia="Arial" w:hAnsi="Arial"/>
          <w:sz w:val="18"/>
          <w:szCs w:val="18"/>
          <w:color w:val="auto"/>
        </w:rPr>
      </w:pPr>
    </w:p>
    <w:p>
      <w:pPr>
        <w:jc w:val="both"/>
        <w:ind w:left="494" w:hanging="494"/>
        <w:spacing w:after="0" w:line="256"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registered considerable growth both QoQ and YoY, which reflects efforts to roll out a strategy to capture more retail funding by offering competitive rates. In this context, the increase in interest expenses (4.9% QoQ and 4.2% YoY), which outpaced growth in total funding (4.2% QoQ and 0.5% YoY), led this ratio to increase. FY, the funding cost remained stable due to mix and volume effects. The mix effect was attributable to the fact that the interest rates on deposits were lower than those associated with other sources of funding. The volume effect was driven by an increase in total funding in 4Q18 and 4Q19 (calculation denominator) and by growth in the deposit volume, which represents 78.7% of the funding mix.</w:t>
      </w:r>
    </w:p>
    <w:p>
      <w:pPr>
        <w:spacing w:after="0" w:line="187" w:lineRule="exact"/>
        <w:rPr>
          <w:rFonts w:ascii="Arial" w:cs="Arial" w:eastAsia="Arial" w:hAnsi="Arial"/>
          <w:sz w:val="18"/>
          <w:szCs w:val="18"/>
          <w:color w:val="auto"/>
        </w:rPr>
      </w:pPr>
    </w:p>
    <w:p>
      <w:pPr>
        <w:jc w:val="both"/>
        <w:ind w:left="494" w:hanging="494"/>
        <w:spacing w:after="0" w:line="266"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increased QoQ and YoY, which was primarily attributable to an increase in interest expenses (3.0% and 7.9%, respectively) on deposits, due to volume and mix effect (time deposits posted the highest growth). FY, growth of 14 bps was attributable to an increase in interest expenses on deposits.</w:t>
      </w:r>
    </w:p>
    <w:p>
      <w:pPr>
        <w:spacing w:after="0" w:line="396" w:lineRule="exact"/>
        <w:rPr>
          <w:sz w:val="20"/>
          <w:szCs w:val="20"/>
          <w:color w:val="auto"/>
        </w:rPr>
      </w:pPr>
    </w:p>
    <w:p>
      <w:pPr>
        <w:ind w:left="10854"/>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29210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34"/>
          </w:cols>
          <w:pgMar w:left="626" w:top="904" w:right="239" w:bottom="1440" w:gutter="0" w:footer="0" w:header="0"/>
        </w:sectPr>
      </w:pPr>
    </w:p>
    <w:bookmarkStart w:id="21" w:name="page22"/>
    <w:bookmarkEnd w:id="21"/>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Cost of Risk (CofR) at Credicorp fell 2 bps QoQ. This was primarily attributable to a reduction in provisions for loan losses at Mibanco after adjustments were made to origination and collection guidelines in 1H19. This offset the increase in provisions at BCP Bolivia, which was attributable to political uncertainty. In YoY terms and FY, the CofR at Credicorp rose 30 bps and 22 bps respectively due to an increase in provisions requirements in Retail Banking. The delinquency rations improved QoQ, which was mainly due to a reduction in the IOL portfolio in Wholesale Banking.</w:t>
      </w:r>
    </w:p>
    <w:p>
      <w:pPr>
        <w:spacing w:after="0" w:line="167" w:lineRule="exact"/>
        <w:rPr>
          <w:sz w:val="20"/>
          <w:szCs w:val="20"/>
          <w:color w:val="auto"/>
        </w:rPr>
      </w:pPr>
    </w:p>
    <w:p>
      <w:pPr>
        <w:ind w:left="1160"/>
        <w:spacing w:after="0"/>
        <w:tabs>
          <w:tab w:leader="none" w:pos="6860" w:val="left"/>
        </w:tabs>
        <w:rPr>
          <w:sz w:val="20"/>
          <w:szCs w:val="20"/>
          <w:color w:val="auto"/>
        </w:rPr>
      </w:pPr>
      <w:r>
        <w:rPr>
          <w:rFonts w:ascii="Arial" w:cs="Arial" w:eastAsia="Arial" w:hAnsi="Arial"/>
          <w:sz w:val="18"/>
          <w:szCs w:val="18"/>
          <w:b w:val="1"/>
          <w:bCs w:val="1"/>
          <w:color w:val="auto"/>
        </w:rPr>
        <w:t>Quarterly evolution of the Cost of Risk (bps)</w:t>
      </w:r>
      <w:r>
        <w:rPr>
          <w:sz w:val="20"/>
          <w:szCs w:val="20"/>
          <w:color w:val="auto"/>
        </w:rPr>
        <w:tab/>
      </w:r>
      <w:r>
        <w:rPr>
          <w:rFonts w:ascii="Arial" w:cs="Arial" w:eastAsia="Arial" w:hAnsi="Arial"/>
          <w:sz w:val="16"/>
          <w:szCs w:val="16"/>
          <w:b w:val="1"/>
          <w:bCs w:val="1"/>
          <w:color w:val="auto"/>
        </w:rPr>
        <w:t>Full Year evolution of 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154940</wp:posOffset>
            </wp:positionV>
            <wp:extent cx="6680835" cy="1500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083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(1) Includes BCP Bolivia, Encumbra, Bancompartir, ASB and eliminations for consolidation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w w:val="98"/>
              </w:rPr>
              <w:t>Provision for credit losses on loan portfolio, net of</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Gross provision for credit losses on loan portfolio</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(479,184)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(568,034)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(568,727)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18.7%</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(1,814,898)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(2,100,091)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3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Recoveries of written-off loans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71,230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65,262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57,067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283,190</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254,155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26"/>
        </w:trPr>
        <w:tc>
          <w:tcPr>
            <w:tcW w:w="3340" w:type="dxa"/>
            <w:vAlign w:val="bottom"/>
            <w:gridSpan w:val="2"/>
            <w:shd w:val="clear" w:color="auto" w:fill="CCEEFF"/>
          </w:tcPr>
          <w:p>
            <w:pPr>
              <w:ind w:left="40"/>
              <w:spacing w:after="0" w:line="126" w:lineRule="exact"/>
              <w:rPr>
                <w:sz w:val="20"/>
                <w:szCs w:val="20"/>
                <w:color w:val="auto"/>
              </w:rPr>
            </w:pPr>
            <w:r>
              <w:rPr>
                <w:rFonts w:ascii="Arial" w:cs="Arial" w:eastAsia="Arial" w:hAnsi="Arial"/>
                <w:sz w:val="14"/>
                <w:szCs w:val="14"/>
                <w:b w:val="1"/>
                <w:bCs w:val="1"/>
                <w:color w:val="auto"/>
                <w:w w:val="97"/>
              </w:rPr>
              <w:t>Provision for credit losses on loan portfolio, net of</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(407,954)</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(502,772)</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(511,660)</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w:t>
            </w: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25.4%</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(1,531,708)</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(1,845,936)</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recoveries</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Provisions for loan losses net recoveries were relatively stable QoQ. This was due to the fact that provisions requirements fell at Mibanco after adjustments were made in origination and collection guidelines. This offset the increase in provisions at BCP Bolivia, and for the SME-Pyme segment in particular, in a context marked by political uncertainty. Additionally, provisions at BCP Stand-alone fell after provisions were reversed for some companies in the construction sector; this offset the increase in provisions in Retail Banking. The YoY increase, and FY increase were 25.7% and 20.5% respectively. FY growth was attributable to:</w:t>
      </w:r>
    </w:p>
    <w:p>
      <w:pPr>
        <w:spacing w:after="0" w:line="188"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Consumer: Growth in digital loans, which target higher risk clients. It is important to note that this product may imply higher risk but also generates higher income.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SME-Pyme: This increase reflects an increase in the level of deterioration of loans to finance fixed assets and revolving credit.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Credit Card: This result reflects an increase in the probability of default in the portfolio. This situation was related to the increase in individual indebtedness seen across the Peruvian financial system.</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aforementioned was attenuated by a reversal in provisions in Wholesale Banking, specifically in the construction sector and in Mibanco for the reasons explained in the QoQ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Cost of risk and Provisions</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4Q18</w:t>
            </w:r>
          </w:p>
        </w:tc>
        <w:tc>
          <w:tcPr>
            <w:tcW w:w="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3Q19</w:t>
            </w: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4Q19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YoY</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00" w:type="dxa"/>
            <w:vAlign w:val="bottom"/>
            <w:tcBorders>
              <w:bottom w:val="single" w:sz="8" w:color="CCEEFF"/>
            </w:tcBorders>
          </w:tcPr>
          <w:p>
            <w:pPr>
              <w:spacing w:after="0"/>
              <w:rPr>
                <w:sz w:val="14"/>
                <w:szCs w:val="14"/>
                <w:color w:val="auto"/>
              </w:rPr>
            </w:pPr>
          </w:p>
        </w:tc>
      </w:tr>
      <w:tr>
        <w:trPr>
          <w:trHeight w:val="183"/>
        </w:trPr>
        <w:tc>
          <w:tcPr>
            <w:tcW w:w="3200" w:type="dxa"/>
            <w:vAlign w:val="bottom"/>
            <w:shd w:val="clear" w:color="auto" w:fill="CCEEFF"/>
          </w:tcPr>
          <w:p>
            <w:pPr>
              <w:ind w:left="40"/>
              <w:spacing w:after="0" w:line="183"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-2 bps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 bps</w:t>
            </w:r>
          </w:p>
        </w:tc>
      </w:tr>
      <w:tr>
        <w:trPr>
          <w:trHeight w:val="130"/>
        </w:trPr>
        <w:tc>
          <w:tcPr>
            <w:tcW w:w="33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Provision for credit losses on loan portfolio, net of</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recoveries / Net interest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18.2%</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22.1%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21.7%</w:t>
            </w:r>
          </w:p>
        </w:tc>
        <w:tc>
          <w:tcPr>
            <w:tcW w:w="1240" w:type="dxa"/>
            <w:vAlign w:val="bottom"/>
            <w:gridSpan w:val="3"/>
          </w:tcPr>
          <w:p>
            <w:pPr>
              <w:jc w:val="right"/>
              <w:ind w:right="460"/>
              <w:spacing w:after="0"/>
              <w:rPr>
                <w:sz w:val="20"/>
                <w:szCs w:val="20"/>
                <w:color w:val="auto"/>
              </w:rPr>
            </w:pPr>
            <w:r>
              <w:rPr>
                <w:rFonts w:ascii="Arial" w:cs="Arial" w:eastAsia="Arial" w:hAnsi="Arial"/>
                <w:sz w:val="14"/>
                <w:szCs w:val="14"/>
                <w:color w:val="auto"/>
              </w:rPr>
              <w:t>-30 bps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360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18.0%</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190 bps</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(1) Annualized Provision for credit losses on loan portfolio, net of recoveries / Total loans.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CofR at Credicorp remained stable QoQ but deteriorated 30 bps YoY and 22 bps FY given that growth in provisions outpaced the expansion registered for loans.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3.2. Portfolio Quality: Delinquency ratios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Portfolio quality and Delinquency ratios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As of</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ind w:left="80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 18</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 19</w:t>
            </w: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 19</w:t>
            </w: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(Quarter-end balance)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110,759,390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112,209,990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115,609,679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16"/>
                <w:szCs w:val="16"/>
                <w:color w:val="auto"/>
              </w:rPr>
              <w:t>Allowance for loan losses</w:t>
            </w: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20" w:type="dxa"/>
            <w:vAlign w:val="bottom"/>
            <w:gridSpan w:val="2"/>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4,952,392</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4,977,809</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5,070,279</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Write-offs</w:t>
            </w: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20" w:type="dxa"/>
            <w:vAlign w:val="bottom"/>
            <w:gridSpan w:val="2"/>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518,558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456,932</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509,571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line="242" w:lineRule="exact"/>
              <w:rPr>
                <w:sz w:val="20"/>
                <w:szCs w:val="20"/>
                <w:color w:val="auto"/>
              </w:rPr>
            </w:pPr>
            <w:r>
              <w:rPr>
                <w:rFonts w:ascii="Arial" w:cs="Arial" w:eastAsia="Arial" w:hAnsi="Arial"/>
                <w:sz w:val="16"/>
                <w:szCs w:val="16"/>
                <w:color w:val="auto"/>
              </w:rPr>
              <w:t xml:space="preserve">Internal overdue loans (IOLs) </w:t>
            </w:r>
            <w:r>
              <w:rPr>
                <w:rFonts w:ascii="Arial" w:cs="Arial" w:eastAsia="Arial" w:hAnsi="Arial"/>
                <w:sz w:val="27"/>
                <w:szCs w:val="27"/>
                <w:color w:val="auto"/>
                <w:vertAlign w:val="superscript"/>
              </w:rPr>
              <w:t>(1)</w:t>
            </w: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3,117,078</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3,346,389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3,297,791</w:t>
            </w:r>
          </w:p>
        </w:tc>
        <w:tc>
          <w:tcPr>
            <w:tcW w:w="2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3"/>
        </w:trPr>
        <w:tc>
          <w:tcPr>
            <w:tcW w:w="512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Internal overdue loans over 90-days </w:t>
            </w:r>
            <w:r>
              <w:rPr>
                <w:rFonts w:ascii="Arial" w:cs="Arial" w:eastAsia="Arial" w:hAnsi="Arial"/>
                <w:sz w:val="27"/>
                <w:szCs w:val="27"/>
                <w:color w:val="auto"/>
                <w:vertAlign w:val="superscript"/>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2,353,669</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2,539,751</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2,479,940</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5120" w:type="dxa"/>
            <w:vAlign w:val="bottom"/>
            <w:gridSpan w:val="2"/>
          </w:tcPr>
          <w:p>
            <w:pPr>
              <w:ind w:left="40"/>
              <w:spacing w:after="0"/>
              <w:rPr>
                <w:sz w:val="20"/>
                <w:szCs w:val="20"/>
                <w:color w:val="auto"/>
              </w:rPr>
            </w:pPr>
            <w:r>
              <w:rPr>
                <w:rFonts w:ascii="Arial" w:cs="Arial" w:eastAsia="Arial" w:hAnsi="Arial"/>
                <w:sz w:val="16"/>
                <w:szCs w:val="16"/>
                <w:color w:val="auto"/>
              </w:rPr>
              <w:t>Refinanced loans</w:t>
            </w:r>
          </w:p>
        </w:tc>
        <w:tc>
          <w:tcPr>
            <w:tcW w:w="1020" w:type="dxa"/>
            <w:vAlign w:val="bottom"/>
          </w:tcPr>
          <w:p>
            <w:pPr>
              <w:jc w:val="right"/>
              <w:spacing w:after="0"/>
              <w:rPr>
                <w:sz w:val="20"/>
                <w:szCs w:val="20"/>
                <w:color w:val="auto"/>
              </w:rPr>
            </w:pPr>
            <w:r>
              <w:rPr>
                <w:rFonts w:ascii="Arial" w:cs="Arial" w:eastAsia="Arial" w:hAnsi="Arial"/>
                <w:sz w:val="16"/>
                <w:szCs w:val="16"/>
                <w:color w:val="auto"/>
              </w:rPr>
              <w:t>1,278,169</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1,225,691</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1,182,797</w:t>
            </w:r>
          </w:p>
        </w:tc>
        <w:tc>
          <w:tcPr>
            <w:tcW w:w="28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6"/>
                <w:szCs w:val="16"/>
                <w:color w:val="auto"/>
              </w:rPr>
              <w:t xml:space="preserve">Non-performing loans (NPLs) </w:t>
            </w:r>
            <w:r>
              <w:rPr>
                <w:rFonts w:ascii="Arial" w:cs="Arial" w:eastAsia="Arial" w:hAnsi="Arial"/>
                <w:sz w:val="27"/>
                <w:szCs w:val="27"/>
                <w:color w:val="auto"/>
                <w:vertAlign w:val="superscript"/>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4,395,247</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4,572,080</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4,480,588</w:t>
            </w: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IOL ratio</w:t>
            </w: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
            <w:vMerge w:val="continue"/>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2.81%</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2.98%</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2.85%</w:t>
            </w:r>
          </w:p>
        </w:tc>
        <w:tc>
          <w:tcPr>
            <w:tcW w:w="1000" w:type="dxa"/>
            <w:vAlign w:val="bottom"/>
          </w:tcPr>
          <w:p>
            <w:pPr>
              <w:jc w:val="right"/>
              <w:spacing w:after="0"/>
              <w:rPr>
                <w:sz w:val="20"/>
                <w:szCs w:val="20"/>
                <w:color w:val="auto"/>
              </w:rPr>
            </w:pPr>
            <w:r>
              <w:rPr>
                <w:rFonts w:ascii="Arial" w:cs="Arial" w:eastAsia="Arial" w:hAnsi="Arial"/>
                <w:sz w:val="16"/>
                <w:szCs w:val="16"/>
                <w:color w:val="auto"/>
              </w:rPr>
              <w:t>-13 bps</w:t>
            </w:r>
          </w:p>
        </w:tc>
        <w:tc>
          <w:tcPr>
            <w:tcW w:w="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 bps</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2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b w:val="1"/>
                <w:bCs w:val="1"/>
                <w:color w:val="auto"/>
              </w:rPr>
              <w:t xml:space="preserve">IOL over 90-days ratio </w:t>
            </w:r>
            <w:r>
              <w:rPr>
                <w:rFonts w:ascii="Arial" w:cs="Arial" w:eastAsia="Arial" w:hAnsi="Arial"/>
                <w:sz w:val="27"/>
                <w:szCs w:val="27"/>
                <w:b w:val="1"/>
                <w:bCs w:val="1"/>
                <w:color w:val="auto"/>
                <w:vertAlign w:val="superscript"/>
              </w:rPr>
              <w:t>(3)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2.15%</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-11 bps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 bps</w:t>
            </w:r>
          </w:p>
        </w:tc>
        <w:tc>
          <w:tcPr>
            <w:tcW w:w="0" w:type="dxa"/>
            <w:vAlign w:val="bottom"/>
          </w:tcPr>
          <w:p>
            <w:pPr>
              <w:spacing w:after="0"/>
              <w:rPr>
                <w:sz w:val="1"/>
                <w:szCs w:val="1"/>
                <w:color w:val="auto"/>
              </w:rPr>
            </w:pPr>
          </w:p>
        </w:tc>
      </w:tr>
      <w:tr>
        <w:trPr>
          <w:trHeight w:val="203"/>
        </w:trPr>
        <w:tc>
          <w:tcPr>
            <w:tcW w:w="5120" w:type="dxa"/>
            <w:vAlign w:val="bottom"/>
            <w:gridSpan w:val="2"/>
          </w:tcPr>
          <w:p>
            <w:pPr>
              <w:ind w:left="40"/>
              <w:spacing w:after="0"/>
              <w:rPr>
                <w:sz w:val="20"/>
                <w:szCs w:val="20"/>
                <w:color w:val="auto"/>
              </w:rPr>
            </w:pPr>
            <w:r>
              <w:rPr>
                <w:rFonts w:ascii="Arial" w:cs="Arial" w:eastAsia="Arial" w:hAnsi="Arial"/>
                <w:sz w:val="16"/>
                <w:szCs w:val="16"/>
                <w:b w:val="1"/>
                <w:bCs w:val="1"/>
                <w:color w:val="auto"/>
              </w:rPr>
              <w:t>NPL ratio</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3.97%</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4.07%</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3.88%</w:t>
            </w:r>
          </w:p>
        </w:tc>
        <w:tc>
          <w:tcPr>
            <w:tcW w:w="1560" w:type="dxa"/>
            <w:vAlign w:val="bottom"/>
            <w:gridSpan w:val="3"/>
          </w:tcPr>
          <w:p>
            <w:pPr>
              <w:jc w:val="right"/>
              <w:ind w:right="560"/>
              <w:spacing w:after="0"/>
              <w:rPr>
                <w:sz w:val="20"/>
                <w:szCs w:val="20"/>
                <w:color w:val="auto"/>
              </w:rPr>
            </w:pPr>
            <w:r>
              <w:rPr>
                <w:rFonts w:ascii="Arial" w:cs="Arial" w:eastAsia="Arial" w:hAnsi="Arial"/>
                <w:sz w:val="16"/>
                <w:szCs w:val="16"/>
                <w:color w:val="auto"/>
              </w:rPr>
              <w:t>-19 bps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 bps</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Coverage ratio of IOLs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153.7%</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490 bps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-520 bps</w:t>
            </w:r>
          </w:p>
        </w:tc>
        <w:tc>
          <w:tcPr>
            <w:tcW w:w="0" w:type="dxa"/>
            <w:vAlign w:val="bottom"/>
          </w:tcPr>
          <w:p>
            <w:pPr>
              <w:spacing w:after="0"/>
              <w:rPr>
                <w:sz w:val="1"/>
                <w:szCs w:val="1"/>
                <w:color w:val="auto"/>
              </w:rPr>
            </w:pPr>
          </w:p>
        </w:tc>
      </w:tr>
      <w:tr>
        <w:trPr>
          <w:trHeight w:val="203"/>
        </w:trPr>
        <w:tc>
          <w:tcPr>
            <w:tcW w:w="5120" w:type="dxa"/>
            <w:vAlign w:val="bottom"/>
            <w:gridSpan w:val="2"/>
          </w:tcPr>
          <w:p>
            <w:pPr>
              <w:ind w:left="40"/>
              <w:spacing w:after="0"/>
              <w:rPr>
                <w:sz w:val="20"/>
                <w:szCs w:val="20"/>
                <w:color w:val="auto"/>
              </w:rPr>
            </w:pPr>
            <w:r>
              <w:rPr>
                <w:rFonts w:ascii="Arial" w:cs="Arial" w:eastAsia="Arial" w:hAnsi="Arial"/>
                <w:sz w:val="16"/>
                <w:szCs w:val="16"/>
                <w:color w:val="auto"/>
              </w:rPr>
              <w:t>Coverage ratio of IOL 90-days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210.4%</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196.0%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204.5%</w:t>
            </w:r>
          </w:p>
        </w:tc>
        <w:tc>
          <w:tcPr>
            <w:tcW w:w="1560" w:type="dxa"/>
            <w:vAlign w:val="bottom"/>
            <w:gridSpan w:val="3"/>
          </w:tcPr>
          <w:p>
            <w:pPr>
              <w:jc w:val="right"/>
              <w:ind w:right="560"/>
              <w:spacing w:after="0"/>
              <w:rPr>
                <w:sz w:val="20"/>
                <w:szCs w:val="20"/>
                <w:color w:val="auto"/>
              </w:rPr>
            </w:pPr>
            <w:r>
              <w:rPr>
                <w:rFonts w:ascii="Arial" w:cs="Arial" w:eastAsia="Arial" w:hAnsi="Arial"/>
                <w:sz w:val="16"/>
                <w:szCs w:val="16"/>
                <w:color w:val="auto"/>
              </w:rPr>
              <w:t>850 bps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-590 bps</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Coverage ratio of NPLs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113.2%</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430 bps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terms of delinquency, it is important to note that:</w:t>
      </w:r>
    </w:p>
    <w:p>
      <w:pPr>
        <w:spacing w:after="0" w:line="225" w:lineRule="exact"/>
        <w:rPr>
          <w:sz w:val="20"/>
          <w:szCs w:val="20"/>
          <w:color w:val="auto"/>
        </w:rPr>
      </w:pPr>
    </w:p>
    <w:p>
      <w:pPr>
        <w:jc w:val="both"/>
        <w:ind w:left="66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total IOL portfolio fell 1.5% QoQ due to the increase in write-offs of the loans with more than 150 days of overdue and where already correctly provisioned in the SME-Pyme segment. In the YoY analysis, internal overdue loans increase 5.8%, which was primarily attributable to IOL loans of a small number of clients in the SME-Business and Wholesale segments. These loans have already been correctly provisioned.</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NPL portfolio registered a 2.0% decrease QoQ. This was mainly attributable to the amortization of refinanced loans for Wholesale Banking loans in the construction sector, which led to a subsequent reduction in total refinanced loans. Despite this evolution, the NPL portfolio increased 1.9% YoY, in line with growth in the IOL portfolio.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Delinquency ratios improved favorably QoQ in the context described above; nonetheless, in the YoY analysis, the IOL ratio deteriorated 4 bps given that growth in the IOL portfolio outpaced the expansion registered for loan expansion. The NPL ratio improved 9 bps YoY, in line with a drop in refinanced loans, mainly in the Wholesale Banking segment.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coverage ratios improved QoQ given that the increase registered by the IOL portfolio and refinanced loan balances fell below the growth registered in net provisions for loan losses. In the YoY analysis, however, coverage for the IOL portfolio deteriorated due to the increase in write-offs during the year, which drove a decrease in the Allowance for loan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ratios, it is important to note that:</w:t>
      </w:r>
    </w:p>
    <w:p>
      <w:pPr>
        <w:spacing w:after="0" w:line="225" w:lineRule="exact"/>
        <w:rPr>
          <w:sz w:val="20"/>
          <w:szCs w:val="20"/>
          <w:color w:val="auto"/>
        </w:rPr>
      </w:pPr>
    </w:p>
    <w:p>
      <w:pPr>
        <w:jc w:val="both"/>
        <w:ind w:left="660" w:hanging="328"/>
        <w:spacing w:after="0" w:line="31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146"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154940</wp:posOffset>
            </wp:positionV>
            <wp:extent cx="5394325" cy="2135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9432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80" w:hanging="251"/>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NPL ratio = (Non-performing loans+ Write-offs) / (Total loans + Write-offs).</w:t>
      </w:r>
    </w:p>
    <w:p>
      <w:pPr>
        <w:spacing w:after="0" w:line="23" w:lineRule="exact"/>
        <w:rPr>
          <w:rFonts w:ascii="Arial" w:cs="Arial" w:eastAsia="Arial" w:hAnsi="Arial"/>
          <w:sz w:val="18"/>
          <w:szCs w:val="18"/>
          <w:color w:val="auto"/>
        </w:rPr>
      </w:pPr>
    </w:p>
    <w:p>
      <w:pPr>
        <w:ind w:left="1280" w:hanging="251"/>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569075" cy="2727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907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QoQ analysis shows a slight reduction in the IOL and NPL ratio. This decrease was primarily due to the amortization of loans that were included in the internal overdue loans, mainly from the construction sector. In the YoY evolution, the IOL and NPL ratio increased. This was primarily attributable to a migration of current loans to internal overdue loans in 1H19 and, to a lesser extent, to the reduction of loans measured in quarter-end balances.</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ind w:right="312"/>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17145</wp:posOffset>
            </wp:positionV>
            <wp:extent cx="6595110" cy="2735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5110"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328" w:hanging="328"/>
        <w:spacing w:after="0" w:line="276"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Both the IOL and NPL ratios posted a decrease QoQ. This was mainly attributable to the fact that an IOL loan was recovered and subsequently migrated to the current loans portfolio. In the YoY analysis, however, the IOL and NPL ratios increased, which was attributable to a deterioration in the debt service capacity of a small number of clients in the 1S19. These loans have been fully provisioned or are backed by guarantees. It is important to note that this segment’s risk quality indicators are within the appetite for risk that has been set where the objective is to maximize the portfolio’s profitability by striking an adequate balance between risk quality and growth.</w:t>
      </w:r>
    </w:p>
    <w:p>
      <w:pPr>
        <w:spacing w:after="0" w:line="16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17145</wp:posOffset>
            </wp:positionV>
            <wp:extent cx="6603365" cy="2710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336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328" w:hanging="328"/>
        <w:spacing w:after="0" w:line="286"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65" w:lineRule="exact"/>
        <w:rPr>
          <w:rFonts w:ascii="Arial" w:cs="Arial" w:eastAsia="Arial" w:hAnsi="Arial"/>
          <w:sz w:val="17"/>
          <w:szCs w:val="17"/>
          <w:color w:val="auto"/>
        </w:rPr>
      </w:pPr>
    </w:p>
    <w:p>
      <w:pPr>
        <w:jc w:val="both"/>
        <w:ind w:left="328"/>
        <w:spacing w:after="0" w:line="257" w:lineRule="auto"/>
        <w:rPr>
          <w:rFonts w:ascii="Arial" w:cs="Arial" w:eastAsia="Arial" w:hAnsi="Arial"/>
          <w:sz w:val="17"/>
          <w:szCs w:val="17"/>
          <w:color w:val="auto"/>
        </w:rPr>
      </w:pPr>
      <w:r>
        <w:rPr>
          <w:rFonts w:ascii="Arial" w:cs="Arial" w:eastAsia="Arial" w:hAnsi="Arial"/>
          <w:sz w:val="18"/>
          <w:szCs w:val="18"/>
          <w:color w:val="auto"/>
        </w:rPr>
        <w:t>The early delinquency ratio registered an improvement QoQ. However, this ratio reported an increase YoY since the in the last three quarters. The aforementioned was attributable to the increase in provisions, which was in line with an uptick in deterioration for fixed asset loans and revolving credit. The IOL ratio and the NPL ratio, however, followed a different trend to post improvements QoQ and YoY. This was mainly attributable to the sale of a portfolio in the last quarter, the increase in the write-offs of loans with more than 150 overdue days, and to strong loan growth in SME-Pyme segment.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5" w:name="page26"/>
    <w:bookmarkEnd w:id="25"/>
    <w:p>
      <w:pPr>
        <w:jc w:val="center"/>
        <w:ind w:right="312"/>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17145</wp:posOffset>
            </wp:positionV>
            <wp:extent cx="6629400" cy="2735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9400"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328" w:hanging="328"/>
        <w:spacing w:after="0" w:line="264"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terms of Mortgage loans, it is important to remember that these ratios are also affected by the existence of real estate collateral, where the recovery process is protracted (around 5 years) and as such, impedes the bank’s capacity to write-off loans even if the same are completely provisioned.</w:t>
      </w:r>
    </w:p>
    <w:p>
      <w:pPr>
        <w:spacing w:after="0" w:line="181"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Traditional delinquency ratios fell QoQ and YoY given that although total loans increased, the NPL portfolio remained at stable levels.</w:t>
      </w:r>
    </w:p>
    <w:p>
      <w:pPr>
        <w:spacing w:after="0" w:line="225" w:lineRule="exact"/>
        <w:rPr>
          <w:sz w:val="20"/>
          <w:szCs w:val="20"/>
          <w:color w:val="auto"/>
        </w:rPr>
      </w:pPr>
    </w:p>
    <w:p>
      <w:pPr>
        <w:ind w:left="328" w:right="20"/>
        <w:spacing w:after="0" w:line="277" w:lineRule="auto"/>
        <w:rPr>
          <w:sz w:val="20"/>
          <w:szCs w:val="20"/>
          <w:color w:val="auto"/>
        </w:rPr>
      </w:pPr>
      <w:r>
        <w:rPr>
          <w:rFonts w:ascii="Arial" w:cs="Arial" w:eastAsia="Arial" w:hAnsi="Arial"/>
          <w:sz w:val="18"/>
          <w:szCs w:val="18"/>
          <w:color w:val="auto"/>
        </w:rPr>
        <w:t>The early delinquency ratio, which excludes the effect of loans that are more than 150 days overdue, fell QoQ and YoY. It is important to note that this ratio is better than the average levels reported over the past three years and is within the business’s risk appetite.</w:t>
      </w:r>
    </w:p>
    <w:p>
      <w:pPr>
        <w:spacing w:after="0" w:line="166"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17145</wp:posOffset>
            </wp:positionV>
            <wp:extent cx="6534785" cy="2693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34785"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328" w:right="20" w:hanging="328"/>
        <w:spacing w:after="0" w:line="264"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IOL ratio, NPL ratio and early delinquency ratio increased QoQ. This was due primarily to the increase registered for loans in riskier segments, which are sold through digital channels. In the YoY analysis, the IOL and NPL ratios posted improvements, in line with the sale of a portion of the IOL portfolio over the past three quarters.</w:t>
      </w:r>
    </w:p>
    <w:p>
      <w:pPr>
        <w:spacing w:after="0" w:line="181"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It is important to note that the traditional delinquency ratios and early delinquency ratio are at the lowest levels seen in the past 5 years and reflect the positive results of different management and collections initiatives.</w:t>
      </w:r>
    </w:p>
    <w:p>
      <w:pPr>
        <w:spacing w:after="0" w:line="170" w:lineRule="exact"/>
        <w:rPr>
          <w:rFonts w:ascii="Arial" w:cs="Arial" w:eastAsia="Arial" w:hAnsi="Arial"/>
          <w:sz w:val="18"/>
          <w:szCs w:val="18"/>
          <w:color w:val="auto"/>
        </w:rPr>
      </w:pPr>
    </w:p>
    <w:p>
      <w:pPr>
        <w:jc w:val="both"/>
        <w:ind w:left="328"/>
        <w:spacing w:after="0" w:line="264" w:lineRule="auto"/>
        <w:rPr>
          <w:rFonts w:ascii="Arial" w:cs="Arial" w:eastAsia="Arial" w:hAnsi="Arial"/>
          <w:sz w:val="18"/>
          <w:szCs w:val="18"/>
          <w:color w:val="auto"/>
        </w:rPr>
      </w:pPr>
      <w:r>
        <w:rPr>
          <w:rFonts w:ascii="Arial" w:cs="Arial" w:eastAsia="Arial" w:hAnsi="Arial"/>
          <w:sz w:val="18"/>
          <w:szCs w:val="18"/>
          <w:color w:val="auto"/>
        </w:rPr>
        <w:t>Although the delinquency ratios have improved, the consumer segment registered an increase in provisions that was, in part, attributable to the need to cover higher risks on certain products in the digital channel. Nevertheless, it is important to remember that products which imply higher risk also tend to generate higher profit and lower expenses.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6" w:name="page27"/>
    <w:bookmarkEnd w:id="26"/>
    <w:p>
      <w:pPr>
        <w:jc w:val="center"/>
        <w:ind w:right="312"/>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17145</wp:posOffset>
            </wp:positionV>
            <wp:extent cx="6706235" cy="2701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623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28" w:hanging="328"/>
        <w:spacing w:after="0" w:line="302"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Credit Card segment registered an increase in its IOL and NPL ratios both QoQ and YoY. This growth has been on-going since the first quarter of the year and is attributable to the increase registered for individual indebtedness in the Peruvian financial system. This occurrence was attenuated by the sale of a portion of the IOL portfolio in the previous quarter. Early delinquency also increased YoY, which was attributable to the fact that more provisions were set aside in the second half of the year to cover an increase in the probability of default of the portfolio.</w:t>
      </w:r>
    </w:p>
    <w:p>
      <w:pPr>
        <w:spacing w:after="0" w:line="15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17145</wp:posOffset>
            </wp:positionV>
            <wp:extent cx="6534785" cy="2941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347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328" w:hanging="323"/>
        <w:spacing w:after="0" w:line="259" w:lineRule="auto"/>
        <w:rPr>
          <w:sz w:val="20"/>
          <w:szCs w:val="20"/>
          <w:color w:val="auto"/>
        </w:rPr>
      </w:pPr>
      <w:r>
        <w:rPr>
          <w:rFonts w:ascii="Arial" w:cs="Arial" w:eastAsia="Arial" w:hAnsi="Arial"/>
          <w:sz w:val="18"/>
          <w:szCs w:val="18"/>
          <w:color w:val="auto"/>
        </w:rPr>
        <w:t>(vii)The IOL and NPL ratios fell QoQ. This was primarily attributable to growth in loans, which registered a decrease in risk after adjustments were made in 1H19, as indicated in section 3.1 Net provisions for loan losses. In the YoY analysis, the IOL portfolio posted growth, which was attributable to a drop in the number of loans that were written off during the year. The NPL ratio decrease YoY due to an improvement in the acceptance process for new loans, which led to the need for les refinancing.</w:t>
      </w:r>
    </w:p>
    <w:p>
      <w:pPr>
        <w:spacing w:after="0" w:line="187" w:lineRule="exact"/>
        <w:rPr>
          <w:sz w:val="20"/>
          <w:szCs w:val="20"/>
          <w:color w:val="auto"/>
        </w:rPr>
      </w:pPr>
    </w:p>
    <w:p>
      <w:pPr>
        <w:ind w:left="328" w:right="20"/>
        <w:spacing w:after="0" w:line="277" w:lineRule="auto"/>
        <w:rPr>
          <w:sz w:val="20"/>
          <w:szCs w:val="20"/>
          <w:color w:val="auto"/>
        </w:rPr>
      </w:pPr>
      <w:r>
        <w:rPr>
          <w:rFonts w:ascii="Arial" w:cs="Arial" w:eastAsia="Arial" w:hAnsi="Arial"/>
          <w:sz w:val="18"/>
          <w:szCs w:val="18"/>
          <w:color w:val="auto"/>
        </w:rPr>
        <w:t>The cost of risk improved QoQ and YoY, which reflected improvements in the new loan origination and in the collections process, as indicated in the previous paragraph.</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7" w:name="page28"/>
    <w:bookmarkEnd w:id="27"/>
    <w:p>
      <w:pPr>
        <w:jc w:val="center"/>
        <w:ind w:right="320"/>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17145</wp:posOffset>
            </wp:positionV>
            <wp:extent cx="6586220" cy="2675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8622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(viii)BCP Bolivia reported an improvement QoQ and YoY in its IOL and NPL ratio; this was primarily due to an increase in write-offs this quarter.</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cost of risk deteriorated QoQ and YoY; this was mainly attributable to an uncertain political environment in Bolivia, as indicated in section 3.1.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provisions for loan losses, at to loan growth.</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28" w:name="page29"/>
    <w:bookmarkEnd w:id="28"/>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 4Q19, NII, the main source of income, posted positive results QoQ, with +3.4% growth, and YoY, with +4.9% expansion. Additionally, average interest earning assets grew +2.2% QoQ and +8.4% YoY. This led NIM to increase 6 bps QoQ but fall -18 bps YoY. In 2019, NII increased +6.9%, which led to a +11bps increase in NIM. The improvement over 2018’s result was attributable to an increase in interest income on loans, which was in turn due to an increase in average daily loan balances. NIM improved 6bps QoQ as a result of the reduction of cost of risk QoQ. Nevertheless, due to an increase in the cost of risk, risk-adjusted NIM contracted -35 bps YoY and -4bps in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ind w:left="82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3Q19</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4Q19</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2019 / 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Interest income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3,033,544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3,123,672</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3,172,695</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1.6%</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4.6%</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11,522,634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12,381,663</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Interest on loans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2,625,181</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2,701,117</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2,768,468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10,041,097</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10,664,519</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Dividends on investments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6,205</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2,915</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3,764</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29.1%</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-39.3%</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24,391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25,259</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Interest on deposits with banks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63,709</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79,723</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68,813</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-13.7%</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159,381</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320,713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Interest on securities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327,208</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325,311</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311,414</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1,252,799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1,311,442</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Other interest income</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11,241</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14,606</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20,236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44,966</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59,730</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Interest expense</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789,292</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846,288</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818,573</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-3.3%</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3.7%</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3,033,530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3,304,483</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Interest on deposits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324,622</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372,822</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367,257</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1,202,025</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1,458,910</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Interest on borrowed funds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157,205</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151,221</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141,552</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623,001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590,908</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233,233</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236,567</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209,238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911,006</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900,172</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8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4"/>
                <w:szCs w:val="14"/>
                <w:color w:val="auto"/>
              </w:rPr>
              <w:t xml:space="preserve">Other interest expense </w:t>
            </w:r>
            <w:r>
              <w:rPr>
                <w:rFonts w:ascii="Arial" w:cs="Arial" w:eastAsia="Arial" w:hAnsi="Arial"/>
                <w:sz w:val="23"/>
                <w:szCs w:val="23"/>
                <w:color w:val="auto"/>
                <w:vertAlign w:val="superscript"/>
              </w:rPr>
              <w:t>(1)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74,232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85,678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100,526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17.3%</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297,498</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354,493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40"/>
              <w:spacing w:after="0" w:line="202"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gridSpan w:val="2"/>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2,244,252</w:t>
            </w:r>
          </w:p>
        </w:tc>
        <w:tc>
          <w:tcPr>
            <w:tcW w:w="26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2,277,384</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2,354,122</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3.4%</w:t>
            </w: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4.9%</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8,489,104</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9,077,180</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20"/>
        </w:trPr>
        <w:tc>
          <w:tcPr>
            <w:tcW w:w="2880" w:type="dxa"/>
            <w:vAlign w:val="bottom"/>
            <w:gridSpan w:val="2"/>
            <w:vMerge w:val="restart"/>
            <w:shd w:val="clear" w:color="auto" w:fill="CCEEFF"/>
          </w:tcPr>
          <w:p>
            <w:pPr>
              <w:ind w:left="40"/>
              <w:spacing w:after="0" w:line="202" w:lineRule="exact"/>
              <w:rPr>
                <w:sz w:val="20"/>
                <w:szCs w:val="20"/>
                <w:color w:val="auto"/>
              </w:rPr>
            </w:pPr>
            <w:r>
              <w:rPr>
                <w:rFonts w:ascii="Arial" w:cs="Arial" w:eastAsia="Arial" w:hAnsi="Arial"/>
                <w:sz w:val="14"/>
                <w:szCs w:val="14"/>
                <w:b w:val="1"/>
                <w:bCs w:val="1"/>
                <w:color w:val="auto"/>
              </w:rPr>
              <w:t xml:space="preserve">Risk-adjusted Net interest income </w:t>
            </w:r>
            <w:r>
              <w:rPr>
                <w:rFonts w:ascii="Arial" w:cs="Arial" w:eastAsia="Arial" w:hAnsi="Arial"/>
                <w:sz w:val="23"/>
                <w:szCs w:val="23"/>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1,836,298</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1,774,612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1,842,462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3.8%</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6,957,396</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7,231,243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color w:val="auto"/>
              </w:rPr>
              <w:t>Average interest earning assets</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80" w:type="dxa"/>
            <w:vAlign w:val="bottom"/>
            <w:gridSpan w:val="2"/>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159,104,005</w:t>
            </w:r>
          </w:p>
        </w:tc>
        <w:tc>
          <w:tcPr>
            <w:tcW w:w="2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168,631,427</w:t>
            </w:r>
          </w:p>
        </w:tc>
        <w:tc>
          <w:tcPr>
            <w:tcW w:w="26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172,406,741</w:t>
            </w:r>
          </w:p>
        </w:tc>
        <w:tc>
          <w:tcPr>
            <w:tcW w:w="260" w:type="dxa"/>
            <w:vAlign w:val="bottom"/>
            <w:vMerge w:val="continue"/>
          </w:tcPr>
          <w:p>
            <w:pPr>
              <w:spacing w:after="0"/>
              <w:rPr>
                <w:sz w:val="13"/>
                <w:szCs w:val="13"/>
                <w:color w:val="auto"/>
              </w:rPr>
            </w:pPr>
          </w:p>
        </w:tc>
        <w:tc>
          <w:tcPr>
            <w:tcW w:w="10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8.4%</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160,750,873</w:t>
            </w: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168,413,997</w:t>
            </w:r>
          </w:p>
        </w:tc>
        <w:tc>
          <w:tcPr>
            <w:tcW w:w="260" w:type="dxa"/>
            <w:vAlign w:val="bottom"/>
            <w:vMerge w:val="continue"/>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880" w:type="dxa"/>
            <w:vAlign w:val="bottom"/>
            <w:gridSpan w:val="2"/>
            <w:vMerge w:val="restart"/>
            <w:shd w:val="clear" w:color="auto" w:fill="CCEEFF"/>
          </w:tcPr>
          <w:p>
            <w:pPr>
              <w:ind w:left="40"/>
              <w:spacing w:after="0" w:line="189"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1"/>
                <w:szCs w:val="21"/>
                <w:b w:val="1"/>
                <w:bCs w:val="1"/>
                <w:color w:val="auto"/>
                <w:vertAlign w:val="superscript"/>
              </w:rPr>
              <w:t>(1)(2)</w:t>
            </w: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gridSpan w:val="2"/>
            <w:vMerge w:val="continue"/>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5.64%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5.40%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5.46%</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6bps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-18bps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5.28%</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11bps</w:t>
            </w:r>
          </w:p>
        </w:tc>
        <w:tc>
          <w:tcPr>
            <w:tcW w:w="0" w:type="dxa"/>
            <w:vAlign w:val="bottom"/>
          </w:tcPr>
          <w:p>
            <w:pPr>
              <w:spacing w:after="0"/>
              <w:rPr>
                <w:sz w:val="1"/>
                <w:szCs w:val="1"/>
                <w:color w:val="auto"/>
              </w:rPr>
            </w:pPr>
          </w:p>
        </w:tc>
      </w:tr>
      <w:tr>
        <w:trPr>
          <w:trHeight w:val="189"/>
        </w:trPr>
        <w:tc>
          <w:tcPr>
            <w:tcW w:w="2880" w:type="dxa"/>
            <w:vAlign w:val="bottom"/>
            <w:gridSpan w:val="2"/>
          </w:tcPr>
          <w:p>
            <w:pPr>
              <w:ind w:left="40"/>
              <w:spacing w:after="0" w:line="189"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1"/>
                <w:szCs w:val="21"/>
                <w:b w:val="1"/>
                <w:bCs w:val="1"/>
                <w:color w:val="auto"/>
                <w:vertAlign w:val="superscript"/>
              </w:rPr>
              <w:t>(1)(2)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7.75%</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7.74%</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7.82%</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8bps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7bps</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7.62%</w:t>
            </w: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7.46%</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-16bps</w:t>
            </w: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b w:val="1"/>
                <w:bCs w:val="1"/>
                <w:color w:val="auto"/>
              </w:rPr>
              <w:t xml:space="preserve">Risk-adjusted Net interest margin </w:t>
            </w:r>
            <w:r>
              <w:rPr>
                <w:rFonts w:ascii="Arial" w:cs="Arial" w:eastAsia="Arial" w:hAnsi="Arial"/>
                <w:sz w:val="21"/>
                <w:szCs w:val="21"/>
                <w:b w:val="1"/>
                <w:bCs w:val="1"/>
                <w:color w:val="auto"/>
                <w:vertAlign w:val="superscript"/>
              </w:rPr>
              <w:t>(1)(2)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4.62%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4.21%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4.27%</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6bps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-35bps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4.33%</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-4bps</w:t>
            </w:r>
          </w:p>
        </w:tc>
        <w:tc>
          <w:tcPr>
            <w:tcW w:w="0" w:type="dxa"/>
            <w:vAlign w:val="bottom"/>
          </w:tcPr>
          <w:p>
            <w:pPr>
              <w:spacing w:after="0"/>
              <w:rPr>
                <w:sz w:val="1"/>
                <w:szCs w:val="1"/>
                <w:color w:val="auto"/>
              </w:rPr>
            </w:pPr>
          </w:p>
        </w:tc>
      </w:tr>
      <w:tr>
        <w:trPr>
          <w:trHeight w:val="136"/>
        </w:trPr>
        <w:tc>
          <w:tcPr>
            <w:tcW w:w="2880" w:type="dxa"/>
            <w:vAlign w:val="bottom"/>
            <w:gridSpan w:val="2"/>
          </w:tcPr>
          <w:p>
            <w:pPr>
              <w:ind w:left="40"/>
              <w:spacing w:after="0" w:line="136" w:lineRule="exact"/>
              <w:rPr>
                <w:sz w:val="20"/>
                <w:szCs w:val="20"/>
                <w:color w:val="auto"/>
              </w:rPr>
            </w:pPr>
            <w:r>
              <w:rPr>
                <w:rFonts w:ascii="Arial" w:cs="Arial" w:eastAsia="Arial" w:hAnsi="Arial"/>
                <w:sz w:val="14"/>
                <w:szCs w:val="14"/>
                <w:b w:val="1"/>
                <w:bCs w:val="1"/>
                <w:color w:val="auto"/>
                <w:w w:val="97"/>
              </w:rPr>
              <w:t>Net provisions for loan losses / Net interest</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28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3"/>
                <w:szCs w:val="23"/>
                <w:b w:val="1"/>
                <w:bCs w:val="1"/>
                <w:color w:val="auto"/>
                <w:vertAlign w:val="superscript"/>
              </w:rPr>
              <w:t>(1)(2)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18.18%</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22.08%</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21.73%</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-35bps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355bps</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18.04%</w:t>
            </w:r>
          </w:p>
        </w:tc>
        <w:tc>
          <w:tcPr>
            <w:tcW w:w="8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20.34%</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230bps</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w:t>
      </w: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Interest Income - LC</w:t>
      </w:r>
    </w:p>
    <w:p>
      <w:pPr>
        <w:spacing w:after="0" w:line="5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40"/>
        <w:spacing w:after="0"/>
        <w:rPr>
          <w:sz w:val="20"/>
          <w:szCs w:val="20"/>
          <w:color w:val="auto"/>
        </w:rPr>
      </w:pPr>
      <w:r>
        <w:rPr>
          <w:rFonts w:ascii="Arial" w:cs="Arial" w:eastAsia="Arial" w:hAnsi="Arial"/>
          <w:sz w:val="16"/>
          <w:szCs w:val="16"/>
          <w:b w:val="1"/>
          <w:bCs w:val="1"/>
          <w:color w:val="auto"/>
        </w:rPr>
        <w:t>Interest Income – FC</w:t>
      </w:r>
    </w:p>
    <w:p>
      <w:pPr>
        <w:spacing w:after="0" w:line="50" w:lineRule="exact"/>
        <w:rPr>
          <w:sz w:val="20"/>
          <w:szCs w:val="20"/>
          <w:color w:val="auto"/>
        </w:rPr>
      </w:pPr>
    </w:p>
    <w:p>
      <w:pPr>
        <w:jc w:val="center"/>
        <w:ind w:right="20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5715</wp:posOffset>
            </wp:positionV>
            <wp:extent cx="6586220" cy="2769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86220" cy="2769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66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QoQ analysis</w:t>
      </w:r>
      <w:r>
        <w:rPr>
          <w:rFonts w:ascii="Arial" w:cs="Arial" w:eastAsia="Arial" w:hAnsi="Arial"/>
          <w:sz w:val="17"/>
          <w:szCs w:val="17"/>
          <w:color w:val="auto"/>
        </w:rPr>
        <w:t>, the increase of +1.6% in Interest Income was due primarily to growth in interest income on loans, which was attributable to:</w:t>
      </w:r>
    </w:p>
    <w:p>
      <w:pPr>
        <w:spacing w:after="0" w:line="241" w:lineRule="exact"/>
        <w:rPr>
          <w:sz w:val="20"/>
          <w:szCs w:val="20"/>
          <w:color w:val="auto"/>
        </w:rPr>
      </w:pPr>
    </w:p>
    <w:p>
      <w:pPr>
        <w:ind w:left="880" w:hanging="49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Slight acceleration in the growth of average daily loan balances (+2.7% QoQ), which was led by Retail Banking.</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9" w:name="page30"/>
    <w:bookmarkEnd w:id="29"/>
    <w:p>
      <w:pPr>
        <w:jc w:val="both"/>
        <w:ind w:left="880" w:hanging="494"/>
        <w:spacing w:after="0" w:line="286"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mix per segment given that although Wholesale Banking continues to account for the largest percentage of loans with a share of 41.4%, Retail Banking increased its share to 40.5% in 3Q19 and 41.0% in 4Q19. Additionally, although mortgage loans lead growth in terms of volumes, segments that offer higher margins, such as Consumer and SME-Pyme, also registered a significant increase.</w:t>
      </w:r>
    </w:p>
    <w:p>
      <w:pPr>
        <w:spacing w:after="0" w:line="165" w:lineRule="exact"/>
        <w:rPr>
          <w:rFonts w:ascii="Arial" w:cs="Arial" w:eastAsia="Arial" w:hAnsi="Arial"/>
          <w:sz w:val="17"/>
          <w:szCs w:val="17"/>
          <w:color w:val="auto"/>
        </w:rPr>
      </w:pPr>
    </w:p>
    <w:p>
      <w:pPr>
        <w:ind w:left="880" w:hanging="494"/>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mix given that loan expansion was generated mainly in LC (5.2%), which offers higher margins that FC. Accordingly, the currency mix also favored growth in interest income on loans.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income expanded +4.6%, which represented lower growth than that registered in 3Q19. The increase in interest income was mainly attributable to growth in interest income on loans (+5.5%).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w:t>
      </w:r>
      <w:r>
        <w:rPr>
          <w:rFonts w:ascii="Arial" w:cs="Arial" w:eastAsia="Arial" w:hAnsi="Arial"/>
          <w:sz w:val="18"/>
          <w:szCs w:val="18"/>
          <w:color w:val="auto"/>
        </w:rPr>
        <w:t>, interest income increased +6.9%. This was primarily due to an increase in interest income on loans, which was in turn attributable to:</w:t>
      </w:r>
    </w:p>
    <w:p>
      <w:pPr>
        <w:spacing w:after="0" w:line="229" w:lineRule="exact"/>
        <w:rPr>
          <w:sz w:val="20"/>
          <w:szCs w:val="20"/>
          <w:color w:val="auto"/>
        </w:rPr>
      </w:pPr>
    </w:p>
    <w:p>
      <w:pPr>
        <w:jc w:val="both"/>
        <w:ind w:left="880" w:right="20" w:hanging="494"/>
        <w:spacing w:after="0" w:line="264"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volume effect due to an uptick in the pace of growth of average daily balances in all segments with the exception of ASB. This translated in growth of +6.6% of total loans and was driven primarily by Retail Banking, which registered a +11.6% increase in FY average daily loan balances.</w:t>
      </w:r>
    </w:p>
    <w:p>
      <w:pPr>
        <w:spacing w:after="0" w:line="181" w:lineRule="exact"/>
        <w:rPr>
          <w:rFonts w:ascii="Arial" w:cs="Arial" w:eastAsia="Arial" w:hAnsi="Arial"/>
          <w:sz w:val="18"/>
          <w:szCs w:val="18"/>
          <w:color w:val="auto"/>
        </w:rPr>
      </w:pPr>
    </w:p>
    <w:p>
      <w:pPr>
        <w:ind w:left="880" w:hanging="49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mix by segment given that Retail Banking now accounts for 38.5% of total loans compared to 40.3% in 4Q18.</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mix was also favorable given that the expansion in average daily balances was primarily driven by +9.2% growth in the FY LC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a lesser extent, interest income increased by:</w:t>
      </w:r>
    </w:p>
    <w:p>
      <w:pPr>
        <w:spacing w:after="0" w:line="225" w:lineRule="exact"/>
        <w:rPr>
          <w:sz w:val="20"/>
          <w:szCs w:val="20"/>
          <w:color w:val="auto"/>
        </w:rPr>
      </w:pPr>
    </w:p>
    <w:p>
      <w:pPr>
        <w:ind w:left="880" w:hanging="494"/>
        <w:spacing w:after="0" w:line="342"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increase in interest on deposits in other banks, which reflects an increase in the volume of BCRP funds. It is important to note that the majority of the funds held in BCRP are in FC given that the reserve requirement for this currency is much lower than that associated with LC.</w:t>
      </w:r>
    </w:p>
    <w:p>
      <w:pPr>
        <w:spacing w:after="0" w:line="124" w:lineRule="exact"/>
        <w:rPr>
          <w:sz w:val="20"/>
          <w:szCs w:val="20"/>
          <w:color w:val="auto"/>
        </w:rPr>
      </w:pPr>
    </w:p>
    <w:p>
      <w:pPr>
        <w:jc w:val="both"/>
        <w:ind w:left="880" w:hanging="494"/>
        <w:spacing w:after="0" w:line="264"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Slight growth in interest on securities, which was attributable to 10.0% YoY growth in the fair value through other comprehensive income investment portfolio and 4.0% in the fair value through profit and loss portfolio. Portfolio growth at the Credicorp level was attributable to expansion in the portfolios of Pacifico, ASB and Credicorp Capital which grew 158%, 35% and 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Interest Expenses – LC</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960"/>
        <w:spacing w:after="0"/>
        <w:rPr>
          <w:sz w:val="20"/>
          <w:szCs w:val="20"/>
          <w:color w:val="auto"/>
        </w:rPr>
      </w:pPr>
      <w:r>
        <w:rPr>
          <w:rFonts w:ascii="Arial" w:cs="Arial" w:eastAsia="Arial" w:hAnsi="Arial"/>
          <w:sz w:val="16"/>
          <w:szCs w:val="16"/>
          <w:b w:val="1"/>
          <w:bCs w:val="1"/>
          <w:color w:val="auto"/>
        </w:rPr>
        <w:t>Interest Expenses – FC</w:t>
      </w:r>
    </w:p>
    <w:p>
      <w:pPr>
        <w:spacing w:after="0" w:line="50"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5715</wp:posOffset>
            </wp:positionV>
            <wp:extent cx="6689090" cy="2135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89090" cy="2135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74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interest expenses fell +3.3%, which was attributable, in order of importance, to a drop in interest expenses on bonds and subordinated notes and a contraction in interest on loans.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The 11.6% decline in expenses for bonds and subordinated notes was associated with the issuances made at BCP Stand-alone in the third quarter of the year to replace bonds that expire in 2020. As indicated in the previous report, a debt restructuring strategy has been applied to extend the tenure and reduce rates. The positive effects of these transactions have materialized this quarter given that FC bonds expired during this period. The financing provided by these bonds was replaced by issuing an additional amount at lower rates.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-6.45 contraction in expenses for interest on loans was attributable to the expiration of loans for working capital and repurchasing agreements with the Central Bank of Peru. These expirations have been replaced with financing that carries lower rates, which reflects the decrease posted in market rates.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analysis</w:t>
      </w:r>
      <w:r>
        <w:rPr>
          <w:rFonts w:ascii="Arial" w:cs="Arial" w:eastAsia="Arial" w:hAnsi="Arial"/>
          <w:sz w:val="16"/>
          <w:szCs w:val="16"/>
          <w:color w:val="auto"/>
        </w:rPr>
        <w:t>, interest expenses grew +3.7%. Growth in this item was mainly attributable to +13.1% growth YoY in interest expenses on deposits.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FY</w:t>
      </w:r>
      <w:r>
        <w:rPr>
          <w:rFonts w:ascii="Arial" w:cs="Arial" w:eastAsia="Arial" w:hAnsi="Arial"/>
          <w:sz w:val="16"/>
          <w:szCs w:val="16"/>
          <w:color w:val="auto"/>
        </w:rPr>
        <w:t>, interest expenses grew +8.9%. This expansion was due primarily to a +21.4% increase in interest expenses on deposits, which as in turn attributable to:</w:t>
      </w:r>
    </w:p>
    <w:p>
      <w:pPr>
        <w:spacing w:after="0" w:line="252" w:lineRule="exact"/>
        <w:rPr>
          <w:sz w:val="20"/>
          <w:szCs w:val="20"/>
          <w:color w:val="auto"/>
        </w:rPr>
      </w:pPr>
    </w:p>
    <w:p>
      <w:pPr>
        <w:ind w:left="880" w:hanging="494"/>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volume effect, given that all deposit types posted growth YoY with the exception of interest-earning demand deposits, which registered relatively stable results.</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 effect of the deposit mix, given that the deposits that registered the largest increase in volume were time deposits (+8.7%) and savings deposits (7.9%).</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the currency mix, given that the increase in the volume of deposits was posted in LC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interest expenses for deposits was offset by a drop in interest on loans and interest on bonds and subordinated notes, which fell -5.2% and -1.2% respectively after market rates declined.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90170</wp:posOffset>
            </wp:positionV>
            <wp:extent cx="5934710" cy="2212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3471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8"/>
        <w:spacing w:after="0" w:line="277" w:lineRule="auto"/>
        <w:tabs>
          <w:tab w:leader="none" w:pos="2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evolved favorably QoQ, YoY and FY, which was attributable to:</w:t>
      </w:r>
    </w:p>
    <w:p>
      <w:pPr>
        <w:spacing w:after="0" w:line="229" w:lineRule="exact"/>
        <w:rPr>
          <w:sz w:val="20"/>
          <w:szCs w:val="20"/>
          <w:color w:val="auto"/>
        </w:rPr>
      </w:pPr>
    </w:p>
    <w:p>
      <w:pPr>
        <w:ind w:left="880" w:hanging="49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growth in NII, as indicated above. This was attributable to an improvement in loan growth, particularly in retail banking.</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improvement in the funding structure, where deposits currently account for the largest proportion of funding within the funding structure.</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20"/>
        <w:spacing w:after="0" w:line="347" w:lineRule="auto"/>
        <w:rPr>
          <w:sz w:val="20"/>
          <w:szCs w:val="20"/>
          <w:color w:val="auto"/>
        </w:rPr>
      </w:pPr>
      <w:r>
        <w:rPr>
          <w:rFonts w:ascii="Arial" w:cs="Arial" w:eastAsia="Arial" w:hAnsi="Arial"/>
          <w:sz w:val="16"/>
          <w:szCs w:val="16"/>
          <w:b w:val="1"/>
          <w:bCs w:val="1"/>
          <w:color w:val="auto"/>
        </w:rPr>
        <w:t xml:space="preserve">Risk-adjusted NIM </w:t>
      </w:r>
      <w:r>
        <w:rPr>
          <w:rFonts w:ascii="Arial" w:cs="Arial" w:eastAsia="Arial" w:hAnsi="Arial"/>
          <w:sz w:val="16"/>
          <w:szCs w:val="16"/>
          <w:color w:val="auto"/>
        </w:rPr>
        <w:t>increased +6 bps QoQ the levels fell YoY and FY by -35 bps and -4 bps respectively due to an increase in provisions as explained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 section. As mentioned earlier, loan growth was driven primarily by Retail Banking which offers higher margins but also implies higher risk.</w:t>
      </w:r>
    </w:p>
    <w:p>
      <w:pPr>
        <w:spacing w:after="0" w:line="7"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30"/>
          <w:szCs w:val="30"/>
          <w:b w:val="1"/>
          <w:bCs w:val="1"/>
          <w:color w:val="auto"/>
          <w:vertAlign w:val="superscript"/>
        </w:rPr>
        <w:t>(2)</w:t>
      </w:r>
    </w:p>
    <w:p>
      <w:pPr>
        <w:jc w:val="both"/>
        <w:ind w:left="80" w:right="5360"/>
        <w:spacing w:after="0" w:line="252" w:lineRule="auto"/>
        <w:rPr>
          <w:sz w:val="20"/>
          <w:szCs w:val="20"/>
          <w:color w:val="auto"/>
        </w:rPr>
      </w:pPr>
      <w:r>
        <w:rPr>
          <w:rFonts w:ascii="Arial" w:cs="Arial" w:eastAsia="Arial" w:hAnsi="Arial"/>
          <w:sz w:val="18"/>
          <w:szCs w:val="18"/>
          <w:color w:val="auto"/>
        </w:rPr>
        <w:t>NIM on loans increased +8 bps QoQ and +7 bps YoY after new pricing strategies were rolled out in retail banking to cover the new levels of risks that have been assumed. At the FY level, however, NIM on loans fell -16 bps. NIM on loan has been affected by downward pressures in a competitive context for both retail banking and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-664845</wp:posOffset>
            </wp:positionV>
            <wp:extent cx="2418080" cy="1577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1808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Next, we will present the interest margins for each of Credicorp’s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BCP</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BCP</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7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6"/>
              </w:rPr>
              <w:t xml:space="preserve">Stand-alone </w:t>
            </w:r>
            <w:r>
              <w:rPr>
                <w:rFonts w:ascii="Arial" w:cs="Arial" w:eastAsia="Arial" w:hAnsi="Arial"/>
                <w:sz w:val="30"/>
                <w:szCs w:val="30"/>
                <w:b w:val="1"/>
                <w:bCs w:val="1"/>
                <w:color w:val="auto"/>
                <w:w w:val="86"/>
                <w:vertAlign w:val="superscript"/>
              </w:rPr>
              <w:t>(1)</w:t>
            </w:r>
          </w:p>
        </w:tc>
        <w:tc>
          <w:tcPr>
            <w:tcW w:w="28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Mibanco</w:t>
            </w:r>
          </w:p>
        </w:tc>
        <w:tc>
          <w:tcPr>
            <w:tcW w:w="28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5"/>
              </w:rPr>
              <w:t xml:space="preserve">Bolivia </w:t>
            </w:r>
            <w:r>
              <w:rPr>
                <w:rFonts w:ascii="Arial" w:cs="Arial" w:eastAsia="Arial" w:hAnsi="Arial"/>
                <w:sz w:val="30"/>
                <w:szCs w:val="30"/>
                <w:b w:val="1"/>
                <w:bCs w:val="1"/>
                <w:color w:val="auto"/>
                <w:w w:val="85"/>
                <w:vertAlign w:val="superscript"/>
              </w:rPr>
              <w:t>(1)</w:t>
            </w:r>
          </w:p>
        </w:tc>
        <w:tc>
          <w:tcPr>
            <w:tcW w:w="28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ind w:left="40"/>
              <w:spacing w:after="0" w:line="271" w:lineRule="exact"/>
              <w:rPr>
                <w:sz w:val="20"/>
                <w:szCs w:val="20"/>
                <w:color w:val="auto"/>
              </w:rPr>
            </w:pPr>
            <w:r>
              <w:rPr>
                <w:rFonts w:ascii="Arial" w:cs="Arial" w:eastAsia="Arial" w:hAnsi="Arial"/>
                <w:sz w:val="18"/>
                <w:szCs w:val="18"/>
                <w:b w:val="1"/>
                <w:bCs w:val="1"/>
                <w:color w:val="auto"/>
                <w:w w:val="86"/>
              </w:rPr>
              <w:t xml:space="preserve">Credicorp </w:t>
            </w:r>
            <w:r>
              <w:rPr>
                <w:rFonts w:ascii="Arial" w:cs="Arial" w:eastAsia="Arial" w:hAnsi="Arial"/>
                <w:sz w:val="30"/>
                <w:szCs w:val="30"/>
                <w:b w:val="1"/>
                <w:bCs w:val="1"/>
                <w:color w:val="auto"/>
                <w:w w:val="86"/>
                <w:vertAlign w:val="superscript"/>
              </w:rPr>
              <w:t>(1)(2)</w:t>
            </w:r>
          </w:p>
        </w:tc>
        <w:tc>
          <w:tcPr>
            <w:tcW w:w="220" w:type="dxa"/>
            <w:vAlign w:val="bottom"/>
            <w:tcBorders>
              <w:bottom w:val="single" w:sz="8" w:color="CCEEFF"/>
            </w:tcBorders>
          </w:tcPr>
          <w:p>
            <w:pPr>
              <w:spacing w:after="0"/>
              <w:rPr>
                <w:sz w:val="23"/>
                <w:szCs w:val="23"/>
                <w:color w:val="auto"/>
              </w:rPr>
            </w:pPr>
          </w:p>
        </w:tc>
      </w:tr>
      <w:tr>
        <w:trPr>
          <w:trHeight w:val="21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4Q18</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15.33%</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5.64%</w:t>
            </w:r>
          </w:p>
        </w:tc>
      </w:tr>
      <w:tr>
        <w:trPr>
          <w:trHeight w:val="216"/>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3Q19</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15.16%</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5.40%</w:t>
            </w:r>
          </w:p>
        </w:tc>
      </w:tr>
      <w:tr>
        <w:trPr>
          <w:trHeight w:val="216"/>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4Q19</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5.46%</w:t>
            </w:r>
          </w:p>
        </w:tc>
      </w:tr>
      <w:tr>
        <w:trPr>
          <w:trHeight w:val="216"/>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2018</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15.64%</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5.28%</w:t>
            </w:r>
          </w:p>
        </w:tc>
      </w:tr>
      <w:tr>
        <w:trPr>
          <w:trHeight w:val="216"/>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 2019</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FY evolution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a slight recovery is evident. This improvement corresponds to the positive evolution of NIM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which generates around 70% of interest income. The aforementioned offset the deterioration in NIM reported by </w:t>
      </w:r>
      <w:r>
        <w:rPr>
          <w:rFonts w:ascii="Arial" w:cs="Arial" w:eastAsia="Arial" w:hAnsi="Arial"/>
          <w:sz w:val="18"/>
          <w:szCs w:val="18"/>
          <w:b w:val="1"/>
          <w:bCs w:val="1"/>
          <w:color w:val="auto"/>
        </w:rPr>
        <w:t>Mibanco</w:t>
      </w:r>
      <w:r>
        <w:rPr>
          <w:rFonts w:ascii="Arial" w:cs="Arial" w:eastAsia="Arial" w:hAnsi="Arial"/>
          <w:sz w:val="18"/>
          <w:szCs w:val="18"/>
          <w:color w:val="auto"/>
        </w:rPr>
        <w:t>.</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NIM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improved 5bps QoQ and 26bps in 2019. The improvement in the margin was attributable to loan growth in segments with higher margins and to the implementation of new pricing strategies in retail banking, as outlined above.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NIM at </w:t>
      </w:r>
      <w:r>
        <w:rPr>
          <w:rFonts w:ascii="Arial" w:cs="Arial" w:eastAsia="Arial" w:hAnsi="Arial"/>
          <w:sz w:val="18"/>
          <w:szCs w:val="18"/>
          <w:b w:val="1"/>
          <w:bCs w:val="1"/>
          <w:color w:val="auto"/>
        </w:rPr>
        <w:t>Mibanco</w:t>
      </w:r>
      <w:r>
        <w:rPr>
          <w:rFonts w:ascii="Arial" w:cs="Arial" w:eastAsia="Arial" w:hAnsi="Arial"/>
          <w:sz w:val="18"/>
          <w:szCs w:val="18"/>
          <w:color w:val="auto"/>
        </w:rPr>
        <w:t>, accounts for 20% of interest income, deteriorated 5 bps QoQ, 22bps YoY and 76bps in 2019. This reduction was primarily attributable to lower interest rates in LC in a highly competitive market, which had a negative impact on interest generation on loans.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also important to analyze risk-adjusted NIM at each subsidiary. The table below shows the risk-adjusted net interest margins for each of the main subsidiaries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7"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137160</wp:posOffset>
            </wp:positionV>
            <wp:extent cx="454533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453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BCP</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BCP</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700" w:type="dxa"/>
            <w:vAlign w:val="bottom"/>
          </w:tcPr>
          <w:p>
            <w:pPr>
              <w:spacing w:after="0"/>
              <w:rPr>
                <w:sz w:val="20"/>
                <w:szCs w:val="20"/>
                <w:color w:val="auto"/>
              </w:rPr>
            </w:pPr>
            <w:r>
              <w:rPr>
                <w:rFonts w:ascii="Arial" w:cs="Arial" w:eastAsia="Arial" w:hAnsi="Arial"/>
                <w:sz w:val="18"/>
                <w:szCs w:val="18"/>
                <w:b w:val="1"/>
                <w:bCs w:val="1"/>
                <w:color w:val="auto"/>
              </w:rPr>
              <w:t>Risk Adjusted NIM Breakdown</w:t>
            </w:r>
          </w:p>
        </w:tc>
        <w:tc>
          <w:tcPr>
            <w:tcW w:w="80" w:type="dxa"/>
            <w:vAlign w:val="bottom"/>
          </w:tcPr>
          <w:p>
            <w:pPr>
              <w:spacing w:after="0"/>
              <w:rPr>
                <w:sz w:val="23"/>
                <w:szCs w:val="23"/>
                <w:color w:val="auto"/>
              </w:rPr>
            </w:pPr>
          </w:p>
        </w:tc>
        <w:tc>
          <w:tcPr>
            <w:tcW w:w="1400" w:type="dxa"/>
            <w:vAlign w:val="bottom"/>
            <w:gridSpan w:val="2"/>
          </w:tcPr>
          <w:p>
            <w:pPr>
              <w:jc w:val="right"/>
              <w:ind w:right="260"/>
              <w:spacing w:after="0" w:line="271" w:lineRule="exact"/>
              <w:rPr>
                <w:sz w:val="20"/>
                <w:szCs w:val="20"/>
                <w:color w:val="auto"/>
              </w:rPr>
            </w:pPr>
            <w:r>
              <w:rPr>
                <w:rFonts w:ascii="Arial" w:cs="Arial" w:eastAsia="Arial" w:hAnsi="Arial"/>
                <w:sz w:val="18"/>
                <w:szCs w:val="18"/>
                <w:b w:val="1"/>
                <w:bCs w:val="1"/>
                <w:color w:val="auto"/>
                <w:w w:val="84"/>
              </w:rPr>
              <w:t xml:space="preserve">Stand-alone </w:t>
            </w:r>
            <w:r>
              <w:rPr>
                <w:rFonts w:ascii="Arial" w:cs="Arial" w:eastAsia="Arial" w:hAnsi="Arial"/>
                <w:sz w:val="30"/>
                <w:szCs w:val="30"/>
                <w:b w:val="1"/>
                <w:bCs w:val="1"/>
                <w:color w:val="auto"/>
                <w:w w:val="84"/>
                <w:vertAlign w:val="superscript"/>
              </w:rPr>
              <w:t>(1)</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Mibanco</w:t>
            </w:r>
          </w:p>
        </w:tc>
        <w:tc>
          <w:tcPr>
            <w:tcW w:w="1360" w:type="dxa"/>
            <w:vAlign w:val="bottom"/>
            <w:gridSpan w:val="2"/>
          </w:tcPr>
          <w:p>
            <w:pPr>
              <w:jc w:val="right"/>
              <w:ind w:right="420"/>
              <w:spacing w:after="0" w:line="271" w:lineRule="exact"/>
              <w:rPr>
                <w:sz w:val="20"/>
                <w:szCs w:val="20"/>
                <w:color w:val="auto"/>
              </w:rPr>
            </w:pPr>
            <w:r>
              <w:rPr>
                <w:rFonts w:ascii="Arial" w:cs="Arial" w:eastAsia="Arial" w:hAnsi="Arial"/>
                <w:sz w:val="18"/>
                <w:szCs w:val="18"/>
                <w:b w:val="1"/>
                <w:bCs w:val="1"/>
                <w:color w:val="auto"/>
              </w:rPr>
              <w:t xml:space="preserve">Bolivia </w:t>
            </w:r>
            <w:r>
              <w:rPr>
                <w:rFonts w:ascii="Arial" w:cs="Arial" w:eastAsia="Arial" w:hAnsi="Arial"/>
                <w:sz w:val="30"/>
                <w:szCs w:val="30"/>
                <w:b w:val="1"/>
                <w:bCs w:val="1"/>
                <w:color w:val="auto"/>
                <w:vertAlign w:val="superscript"/>
              </w:rPr>
              <w:t>(1)</w:t>
            </w:r>
          </w:p>
        </w:tc>
        <w:tc>
          <w:tcPr>
            <w:tcW w:w="1380" w:type="dxa"/>
            <w:vAlign w:val="bottom"/>
            <w:gridSpan w:val="2"/>
          </w:tcPr>
          <w:p>
            <w:pPr>
              <w:jc w:val="right"/>
              <w:ind w:right="200"/>
              <w:spacing w:after="0" w:line="271" w:lineRule="exact"/>
              <w:rPr>
                <w:sz w:val="20"/>
                <w:szCs w:val="20"/>
                <w:color w:val="auto"/>
              </w:rPr>
            </w:pPr>
            <w:r>
              <w:rPr>
                <w:rFonts w:ascii="Arial" w:cs="Arial" w:eastAsia="Arial" w:hAnsi="Arial"/>
                <w:sz w:val="18"/>
                <w:szCs w:val="18"/>
                <w:b w:val="1"/>
                <w:bCs w:val="1"/>
                <w:color w:val="auto"/>
                <w:w w:val="83"/>
              </w:rPr>
              <w:t xml:space="preserve">Credicorp </w:t>
            </w:r>
            <w:r>
              <w:rPr>
                <w:rFonts w:ascii="Arial" w:cs="Arial" w:eastAsia="Arial" w:hAnsi="Arial"/>
                <w:sz w:val="30"/>
                <w:szCs w:val="30"/>
                <w:b w:val="1"/>
                <w:bCs w:val="1"/>
                <w:color w:val="auto"/>
                <w:w w:val="83"/>
                <w:vertAlign w:val="superscript"/>
              </w:rPr>
              <w:t>(1)(2)</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4Q18</w:t>
            </w:r>
          </w:p>
        </w:tc>
        <w:tc>
          <w:tcPr>
            <w:tcW w:w="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4.62%</w:t>
            </w:r>
          </w:p>
        </w:tc>
        <w:tc>
          <w:tcPr>
            <w:tcW w:w="0" w:type="dxa"/>
            <w:vAlign w:val="bottom"/>
          </w:tcPr>
          <w:p>
            <w:pPr>
              <w:spacing w:after="0"/>
              <w:rPr>
                <w:sz w:val="1"/>
                <w:szCs w:val="1"/>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3Q19</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3.67%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4Q19</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Year 2018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3.69%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Year 2019</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FY, Credicorp registered a slight drop in risk-adjusted NIM of 4 bps, which corresponds primarily to deterioration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and to a lesser extent at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Bolivia. </w:t>
      </w:r>
      <w:r>
        <w:rPr>
          <w:rFonts w:ascii="Arial" w:cs="Arial" w:eastAsia="Arial" w:hAnsi="Arial"/>
          <w:sz w:val="18"/>
          <w:szCs w:val="18"/>
          <w:color w:val="auto"/>
        </w:rPr>
        <w:t>Risk-adjusted NIM at Mibanco deteriorated 62 bps in 2019 due to a drop in NIM.</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BCP Stand-alone</w:t>
      </w:r>
      <w:r>
        <w:rPr>
          <w:rFonts w:ascii="Arial" w:cs="Arial" w:eastAsia="Arial" w:hAnsi="Arial"/>
          <w:sz w:val="18"/>
          <w:szCs w:val="18"/>
          <w:color w:val="auto"/>
        </w:rPr>
        <w:t>, risk-adjusted NIM improved 7bps in 2019. Similar to NIM, growth in risk-adjusted NIM was attributable to the new pricing strategies that have been rolled out in Retail Banking over the last few quarters to cover higher risks.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2019, Non-financial income increased 11.1%. This was primarily attributable to an increase in the Net gain on securities (+173.8%); this component’s share of non-financial income rose to 9.5% (vs. 3.9% in 2018) after the sale and revaluation of investments at BCP Stand-alone. The main components of Non-financial income, Fee income and Net gain on foreign exchange transactions, also evolved positively with growth of 3.4% and 1.4% respectively, in line with an uptick in transactional activity at Credicorp.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gridSpan w:val="2"/>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Fee income</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836,642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815,403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847,206</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3,126,857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3,232,781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3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212,213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188,073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193,528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737,954</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748,382</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Net gain on securities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47,139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150,427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102,011</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116.4%</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170,575</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466,970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89"/>
        </w:trPr>
        <w:tc>
          <w:tcPr>
            <w:tcW w:w="334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(1) (2)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18,844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21,842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22,738</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72,254</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79,844</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Net gain on derivatives held for trading</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2,158</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7,043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226.4%</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515.0%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13,262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6,043</w:t>
            </w:r>
          </w:p>
        </w:tc>
        <w:tc>
          <w:tcPr>
            <w:tcW w:w="10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49"/>
        </w:trPr>
        <w:tc>
          <w:tcPr>
            <w:tcW w:w="3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Net gain from exchange differences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24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(1,964)</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22,258</w:t>
            </w:r>
          </w:p>
        </w:tc>
        <w:tc>
          <w:tcPr>
            <w:tcW w:w="126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16,022</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24,351</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non-financial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39,825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94,647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74,713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-21.1%</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273,884</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343,668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non-financial income, net</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2"/>
            <w:vMerge w:val="continue"/>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1,153,234</w:t>
            </w: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1,270,586</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1,269,497</w:t>
            </w:r>
          </w:p>
        </w:tc>
        <w:tc>
          <w:tcPr>
            <w:tcW w:w="200" w:type="dxa"/>
            <w:vAlign w:val="bottom"/>
          </w:tcPr>
          <w:p>
            <w:pPr>
              <w:spacing w:after="0"/>
              <w:rPr>
                <w:sz w:val="13"/>
                <w:szCs w:val="13"/>
                <w:color w:val="auto"/>
              </w:rPr>
            </w:pPr>
          </w:p>
        </w:tc>
        <w:tc>
          <w:tcPr>
            <w:tcW w:w="10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-0.1%</w:t>
            </w:r>
          </w:p>
        </w:tc>
        <w:tc>
          <w:tcPr>
            <w:tcW w:w="22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4,410,808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4,902,039</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gain from other investments in related companies has been included in the item "Net gain from associates"; which previously was presented in the item "Net gain on sales of securities".</w:t>
      </w:r>
    </w:p>
    <w:p>
      <w:pPr>
        <w:spacing w:after="0" w:line="11" w:lineRule="exact"/>
        <w:rPr>
          <w:rFonts w:ascii="Arial" w:cs="Arial" w:eastAsia="Arial" w:hAnsi="Arial"/>
          <w:sz w:val="13"/>
          <w:szCs w:val="13"/>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gains on other investments, mainly made up of the profit of Banmedica.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40" w:type="dxa"/>
            <w:vAlign w:val="bottom"/>
            <w:tcBorders>
              <w:bottom w:val="single" w:sz="8" w:color="CCEEFF"/>
            </w:tcBorders>
          </w:tcPr>
          <w:p>
            <w:pPr>
              <w:spacing w:after="0"/>
              <w:rPr>
                <w:sz w:val="14"/>
                <w:szCs w:val="14"/>
                <w:color w:val="auto"/>
              </w:rPr>
            </w:pPr>
          </w:p>
        </w:tc>
      </w:tr>
      <w:tr>
        <w:trPr>
          <w:trHeight w:val="142"/>
        </w:trPr>
        <w:tc>
          <w:tcPr>
            <w:tcW w:w="3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 EPS contribution (50%)</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13,141</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14,720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17,262</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17.3%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31.4%</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50,364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53,658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r>
      <w:tr>
        <w:trPr>
          <w:trHeight w:val="162"/>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 Private health insurance deduction (50%)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(171)</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(5,350)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(9,806)</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83.3%</w:t>
            </w:r>
          </w:p>
        </w:tc>
        <w:tc>
          <w:tcPr>
            <w:tcW w:w="22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(14,526)</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(22,638)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55.8%</w:t>
            </w:r>
          </w:p>
        </w:tc>
      </w:tr>
      <w:tr>
        <w:trPr>
          <w:trHeight w:val="156"/>
        </w:trPr>
        <w:tc>
          <w:tcPr>
            <w:tcW w:w="3340" w:type="dxa"/>
            <w:vAlign w:val="bottom"/>
            <w:tcBorders>
              <w:top w:val="single" w:sz="8" w:color="CCEEFF"/>
            </w:tcBorders>
            <w:gridSpan w:val="2"/>
            <w:shd w:val="clear" w:color="auto" w:fill="CCEEFF"/>
          </w:tcPr>
          <w:p>
            <w:pPr>
              <w:ind w:left="40"/>
              <w:spacing w:after="0" w:line="155" w:lineRule="exact"/>
              <w:rPr>
                <w:sz w:val="20"/>
                <w:szCs w:val="20"/>
                <w:color w:val="auto"/>
              </w:rPr>
            </w:pPr>
            <w:r>
              <w:rPr>
                <w:rFonts w:ascii="Arial" w:cs="Arial" w:eastAsia="Arial" w:hAnsi="Arial"/>
                <w:sz w:val="14"/>
                <w:szCs w:val="14"/>
                <w:b w:val="1"/>
                <w:bCs w:val="1"/>
                <w:color w:val="auto"/>
              </w:rPr>
              <w:t>(=) Net gain from association with Banmedica</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12,971</w:t>
            </w:r>
          </w:p>
        </w:tc>
        <w:tc>
          <w:tcPr>
            <w:tcW w:w="2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9,380</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7,456</w:t>
            </w:r>
          </w:p>
        </w:tc>
        <w:tc>
          <w:tcPr>
            <w:tcW w:w="2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-20.5</w:t>
            </w:r>
          </w:p>
        </w:tc>
        <w:tc>
          <w:tcPr>
            <w:tcW w:w="240" w:type="dxa"/>
            <w:vAlign w:val="bottom"/>
            <w:tcBorders>
              <w:top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-42.5</w:t>
            </w:r>
          </w:p>
        </w:tc>
        <w:tc>
          <w:tcPr>
            <w:tcW w:w="240" w:type="dxa"/>
            <w:vAlign w:val="bottom"/>
            <w:tcBorders>
              <w:top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35,838</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31,030</w:t>
            </w:r>
          </w:p>
        </w:tc>
        <w:tc>
          <w:tcPr>
            <w:tcW w:w="2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-13.4</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evolution</w:t>
      </w:r>
      <w:r>
        <w:rPr>
          <w:rFonts w:ascii="Arial" w:cs="Arial" w:eastAsia="Arial" w:hAnsi="Arial"/>
          <w:sz w:val="18"/>
          <w:szCs w:val="18"/>
          <w:color w:val="auto"/>
        </w:rPr>
        <w:t xml:space="preserve"> posted a slight contraction of -0.1% of non-financial income:</w:t>
      </w:r>
    </w:p>
    <w:p>
      <w:pPr>
        <w:spacing w:after="0" w:line="225" w:lineRule="exact"/>
        <w:rPr>
          <w:sz w:val="20"/>
          <w:szCs w:val="20"/>
          <w:color w:val="auto"/>
        </w:rPr>
      </w:pPr>
    </w:p>
    <w:p>
      <w:pPr>
        <w:jc w:val="both"/>
        <w:ind w:left="880" w:hanging="494"/>
        <w:spacing w:after="0" w:line="26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drop in the </w:t>
      </w:r>
      <w:r>
        <w:rPr>
          <w:rFonts w:ascii="Arial" w:cs="Arial" w:eastAsia="Arial" w:hAnsi="Arial"/>
          <w:sz w:val="18"/>
          <w:szCs w:val="18"/>
          <w:b w:val="1"/>
          <w:bCs w:val="1"/>
          <w:color w:val="auto"/>
        </w:rPr>
        <w:t>Net gain on securities</w:t>
      </w:r>
      <w:r>
        <w:rPr>
          <w:rFonts w:ascii="Arial" w:cs="Arial" w:eastAsia="Arial" w:hAnsi="Arial"/>
          <w:sz w:val="18"/>
          <w:szCs w:val="18"/>
          <w:color w:val="auto"/>
        </w:rPr>
        <w:t xml:space="preserve"> was attributable to lower results for sales and fluctuations in the Trading portfolio and to the fact that in 3Q19, the result was exceptionally high after government bonds were sold in a context marked by declining international interest rates. The majority of this movement took place at BCP Stand-alone.</w:t>
      </w:r>
    </w:p>
    <w:p>
      <w:pPr>
        <w:spacing w:after="0" w:line="176" w:lineRule="exact"/>
        <w:rPr>
          <w:rFonts w:ascii="Arial" w:cs="Arial" w:eastAsia="Arial" w:hAnsi="Arial"/>
          <w:sz w:val="18"/>
          <w:szCs w:val="18"/>
          <w:color w:val="auto"/>
        </w:rPr>
      </w:pPr>
    </w:p>
    <w:p>
      <w:pPr>
        <w:jc w:val="both"/>
        <w:ind w:left="880" w:hanging="494"/>
        <w:spacing w:after="0" w:line="289"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contraction in </w:t>
      </w:r>
      <w:r>
        <w:rPr>
          <w:rFonts w:ascii="Arial" w:cs="Arial" w:eastAsia="Arial" w:hAnsi="Arial"/>
          <w:sz w:val="17"/>
          <w:szCs w:val="17"/>
          <w:b w:val="1"/>
          <w:bCs w:val="1"/>
          <w:color w:val="auto"/>
        </w:rPr>
        <w:t>Other non-financial income</w:t>
      </w:r>
      <w:r>
        <w:rPr>
          <w:rFonts w:ascii="Arial" w:cs="Arial" w:eastAsia="Arial" w:hAnsi="Arial"/>
          <w:sz w:val="17"/>
          <w:szCs w:val="17"/>
          <w:color w:val="auto"/>
        </w:rPr>
        <w:t>, which was attributable to a drop-in income at BCP Stand-alone after a property (former Branches) was sold at a loss. It is also important to note that this account’s level has normalized, given that the last quarter reported extraordinary gains after the sale of holdings from the written-off and judicial loan portfolio and for the sale of assets from former branches.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was attenuated by:</w:t>
      </w:r>
    </w:p>
    <w:p>
      <w:pPr>
        <w:spacing w:after="0" w:line="221" w:lineRule="exact"/>
        <w:rPr>
          <w:sz w:val="20"/>
          <w:szCs w:val="20"/>
          <w:color w:val="auto"/>
        </w:rPr>
      </w:pPr>
    </w:p>
    <w:p>
      <w:pPr>
        <w:ind w:left="880" w:right="20" w:hanging="494"/>
        <w:spacing w:after="0" w:line="282"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Fee income</w:t>
      </w:r>
      <w:r>
        <w:rPr>
          <w:rFonts w:ascii="Arial" w:cs="Arial" w:eastAsia="Arial" w:hAnsi="Arial"/>
          <w:sz w:val="18"/>
          <w:szCs w:val="18"/>
          <w:color w:val="auto"/>
        </w:rPr>
        <w:t>, which was attributable to higher income from the banking business, mainly due to personal loan services and drafts and transfers at BCP Stand-alone, and at Credicorp Capital for the corporate finance business.</w:t>
      </w:r>
    </w:p>
    <w:p>
      <w:pPr>
        <w:spacing w:after="0" w:line="161" w:lineRule="exact"/>
        <w:rPr>
          <w:rFonts w:ascii="Arial" w:cs="Arial" w:eastAsia="Arial" w:hAnsi="Arial"/>
          <w:sz w:val="18"/>
          <w:szCs w:val="18"/>
          <w:color w:val="auto"/>
        </w:rPr>
      </w:pPr>
    </w:p>
    <w:p>
      <w:pPr>
        <w:jc w:val="both"/>
        <w:ind w:left="880" w:right="20" w:hanging="494"/>
        <w:spacing w:after="0" w:line="26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Net gain from exchange differences</w:t>
      </w:r>
      <w:r>
        <w:rPr>
          <w:rFonts w:ascii="Arial" w:cs="Arial" w:eastAsia="Arial" w:hAnsi="Arial"/>
          <w:sz w:val="18"/>
          <w:szCs w:val="18"/>
          <w:color w:val="auto"/>
        </w:rPr>
        <w:t xml:space="preserve"> at BCP Stand-alone primarily for the Trading position, which in the first 3 weeks of November maintained a long position for exchange rate depreciation (went from 3.347 to 3.378). Exchange rate volatility was primarily attributable to political uncertainty and geopolitical tensions.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shows expansion of 10.1% in non-financial income due to:</w:t>
      </w:r>
    </w:p>
    <w:p>
      <w:pPr>
        <w:spacing w:after="0" w:line="225" w:lineRule="exact"/>
        <w:rPr>
          <w:sz w:val="20"/>
          <w:szCs w:val="20"/>
          <w:color w:val="auto"/>
        </w:rPr>
      </w:pPr>
    </w:p>
    <w:p>
      <w:pPr>
        <w:jc w:val="both"/>
        <w:ind w:left="880" w:hanging="494"/>
        <w:spacing w:after="0" w:line="26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Net gain on securities</w:t>
      </w:r>
      <w:r>
        <w:rPr>
          <w:rFonts w:ascii="Arial" w:cs="Arial" w:eastAsia="Arial" w:hAnsi="Arial"/>
          <w:sz w:val="18"/>
          <w:szCs w:val="18"/>
          <w:color w:val="auto"/>
        </w:rPr>
        <w:t>, mainly at ASB due to a gain generated by the sale of positions in the fair value through other comprehensive income portfolio and fair value through profit or loss investments, and to a lesser extent, to an improvement in results at Prima AFP due to an increase in the profitability of the reserve account associated with the portfolio growth.</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left="880" w:hanging="494"/>
        <w:spacing w:after="0"/>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increase in </w:t>
      </w:r>
      <w:r>
        <w:rPr>
          <w:rFonts w:ascii="Arial" w:cs="Arial" w:eastAsia="Arial" w:hAnsi="Arial"/>
          <w:sz w:val="16"/>
          <w:szCs w:val="16"/>
          <w:b w:val="1"/>
          <w:bCs w:val="1"/>
          <w:color w:val="auto"/>
        </w:rPr>
        <w:t>Other non-financial Income</w:t>
      </w:r>
      <w:r>
        <w:rPr>
          <w:rFonts w:ascii="Arial" w:cs="Arial" w:eastAsia="Arial" w:hAnsi="Arial"/>
          <w:sz w:val="16"/>
          <w:szCs w:val="16"/>
          <w:color w:val="auto"/>
        </w:rPr>
        <w:t xml:space="preserve"> due to recoveries of expenses for judicial collections for personal loan products and credit cards.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Growth in the </w:t>
      </w:r>
      <w:r>
        <w:rPr>
          <w:rFonts w:ascii="Arial" w:cs="Arial" w:eastAsia="Arial" w:hAnsi="Arial"/>
          <w:sz w:val="18"/>
          <w:szCs w:val="18"/>
          <w:b w:val="1"/>
          <w:bCs w:val="1"/>
          <w:color w:val="auto"/>
        </w:rPr>
        <w:t>Net gain from exchange differences</w:t>
      </w:r>
      <w:r>
        <w:rPr>
          <w:rFonts w:ascii="Arial" w:cs="Arial" w:eastAsia="Arial" w:hAnsi="Arial"/>
          <w:sz w:val="18"/>
          <w:szCs w:val="18"/>
          <w:color w:val="auto"/>
        </w:rPr>
        <w:t>, due to good results in 4Q19 as indicated in the QoQ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offset by:</w:t>
      </w:r>
    </w:p>
    <w:p>
      <w:pPr>
        <w:spacing w:after="0" w:line="221" w:lineRule="exact"/>
        <w:rPr>
          <w:sz w:val="20"/>
          <w:szCs w:val="20"/>
          <w:color w:val="auto"/>
        </w:rPr>
      </w:pPr>
    </w:p>
    <w:p>
      <w:pPr>
        <w:jc w:val="both"/>
        <w:ind w:left="880" w:hanging="494"/>
        <w:spacing w:after="0" w:line="26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contraction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due to lower incomes in Credicorp Capital, which was offset by the coverage of these positions through derivatives. To a lesser extent, the reduction was due to BCP Bolivia, due to lower commissioned spreads, and to BCP Stand-alone, due to the high incomes in 4Q18 (generated by a spread at maximum historical levels) and a reduction in transactions from an important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FY </w:t>
      </w:r>
      <w:r>
        <w:rPr>
          <w:rFonts w:ascii="Arial" w:cs="Arial" w:eastAsia="Arial" w:hAnsi="Arial"/>
          <w:sz w:val="18"/>
          <w:szCs w:val="18"/>
          <w:color w:val="auto"/>
        </w:rPr>
        <w:t>(2019 vs. 2018), non-financial income increased 11.1% due to:</w:t>
      </w:r>
    </w:p>
    <w:p>
      <w:pPr>
        <w:spacing w:after="0" w:line="225" w:lineRule="exact"/>
        <w:rPr>
          <w:sz w:val="20"/>
          <w:szCs w:val="20"/>
          <w:color w:val="auto"/>
        </w:rPr>
      </w:pPr>
    </w:p>
    <w:p>
      <w:pPr>
        <w:jc w:val="both"/>
        <w:ind w:left="880" w:right="20" w:hanging="494"/>
        <w:spacing w:after="0" w:line="277"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Net gain on securities,</w:t>
      </w:r>
      <w:r>
        <w:rPr>
          <w:rFonts w:ascii="Arial" w:cs="Arial" w:eastAsia="Arial" w:hAnsi="Arial"/>
          <w:sz w:val="17"/>
          <w:szCs w:val="17"/>
          <w:color w:val="auto"/>
        </w:rPr>
        <w:t xml:space="preserve"> which was primarily attributable to an improvement in the results at ASB and BCP Stand-alone and, to a lesser extent, to positive results at Prima AFP and Credicorp Capital. The aforementioned was generated by higher gains on proprietary investment portfolios at each subsidiary due to both an increase in the mark-to-market value (MtM) and to the gain produced by the sale of some positions. In addition, the recovery in 2019 vs. 2018 is noteworthy given that last year, the scenario was marked by an upward tick in international interest rates, which negatively affected investments, whereas in 2019, the tables turned, and interest rates fell.</w:t>
      </w:r>
    </w:p>
    <w:p>
      <w:pPr>
        <w:spacing w:after="0" w:line="168" w:lineRule="exact"/>
        <w:rPr>
          <w:rFonts w:ascii="Arial" w:cs="Arial" w:eastAsia="Arial" w:hAnsi="Arial"/>
          <w:sz w:val="17"/>
          <w:szCs w:val="17"/>
          <w:color w:val="auto"/>
        </w:rPr>
      </w:pPr>
    </w:p>
    <w:p>
      <w:pPr>
        <w:ind w:left="880" w:right="20" w:hanging="494"/>
        <w:spacing w:after="0" w:line="282"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 primarily due to the positive evolution of this component at BCP Stand-alone and Mibanco, which we will explain in greater detail</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5.1.2 Fee Income in the Banking Business.</w:t>
      </w:r>
    </w:p>
    <w:p>
      <w:pPr>
        <w:spacing w:after="0" w:line="161" w:lineRule="exact"/>
        <w:rPr>
          <w:rFonts w:ascii="Arial" w:cs="Arial" w:eastAsia="Arial" w:hAnsi="Arial"/>
          <w:sz w:val="18"/>
          <w:szCs w:val="18"/>
          <w:color w:val="auto"/>
        </w:rPr>
      </w:pPr>
    </w:p>
    <w:p>
      <w:pPr>
        <w:ind w:left="880" w:right="20" w:hanging="494"/>
        <w:spacing w:after="0" w:line="313"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Growth in </w:t>
      </w:r>
      <w:r>
        <w:rPr>
          <w:rFonts w:ascii="Arial" w:cs="Arial" w:eastAsia="Arial" w:hAnsi="Arial"/>
          <w:sz w:val="17"/>
          <w:szCs w:val="17"/>
          <w:b w:val="1"/>
          <w:bCs w:val="1"/>
          <w:color w:val="auto"/>
        </w:rPr>
        <w:t>Other non-financial income</w:t>
      </w:r>
      <w:r>
        <w:rPr>
          <w:rFonts w:ascii="Arial" w:cs="Arial" w:eastAsia="Arial" w:hAnsi="Arial"/>
          <w:sz w:val="17"/>
          <w:szCs w:val="17"/>
          <w:color w:val="auto"/>
        </w:rPr>
        <w:t>, mainly at BCP Stand-alone after the sale of different properties in 2019, in line with the strategy to migrate clients from traditional channels (branches) to cost-efficient channels (digital and agentes) and to sale of some loan portfolios.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offset by:</w:t>
      </w:r>
    </w:p>
    <w:p>
      <w:pPr>
        <w:spacing w:after="0" w:line="221" w:lineRule="exact"/>
        <w:rPr>
          <w:sz w:val="20"/>
          <w:szCs w:val="20"/>
          <w:color w:val="auto"/>
        </w:rPr>
      </w:pPr>
    </w:p>
    <w:p>
      <w:pPr>
        <w:ind w:left="880" w:right="20" w:hanging="494"/>
        <w:spacing w:after="0" w:line="282"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 contraction in the </w:t>
      </w:r>
      <w:r>
        <w:rPr>
          <w:rFonts w:ascii="Arial" w:cs="Arial" w:eastAsia="Arial" w:hAnsi="Arial"/>
          <w:sz w:val="18"/>
          <w:szCs w:val="18"/>
          <w:b w:val="1"/>
          <w:bCs w:val="1"/>
          <w:color w:val="auto"/>
        </w:rPr>
        <w:t>Net gain on derivatives held for trading</w:t>
      </w:r>
      <w:r>
        <w:rPr>
          <w:rFonts w:ascii="Arial" w:cs="Arial" w:eastAsia="Arial" w:hAnsi="Arial"/>
          <w:sz w:val="18"/>
          <w:szCs w:val="18"/>
          <w:color w:val="auto"/>
        </w:rPr>
        <w:t xml:space="preserve"> at Credicorp Capital due to a drop-in income in the forwards business to cover exchange rate exposure on investments in the trading portfolio and for trading swaps, despite growth of 515.0% in 4Q19.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growth in fee income at Credicorp in 4Q19.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551815</wp:posOffset>
            </wp:positionH>
            <wp:positionV relativeFrom="page">
              <wp:posOffset>586105</wp:posOffset>
            </wp:positionV>
            <wp:extent cx="6466205" cy="2135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46620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Encumbra, Bancompartir, Grupo Pacifico and eliminations for consolidation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annual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154940</wp:posOffset>
            </wp:positionV>
            <wp:extent cx="6466205" cy="23583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620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Encumbra, Bancompartir, Grupo Pacifico and eliminations for consolidation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evolution of fee income by subsidiary FY: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154940</wp:posOffset>
            </wp:positionV>
            <wp:extent cx="6423025" cy="25215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2302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Encumbra, Bancompartir,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221"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40"/>
              <w:spacing w:after="0" w:line="183" w:lineRule="exact"/>
              <w:rPr>
                <w:sz w:val="20"/>
                <w:szCs w:val="20"/>
                <w:color w:val="auto"/>
              </w:rPr>
            </w:pPr>
            <w:r>
              <w:rPr>
                <w:rFonts w:ascii="Arial" w:cs="Arial" w:eastAsia="Arial" w:hAnsi="Arial"/>
                <w:sz w:val="13"/>
                <w:szCs w:val="13"/>
                <w:color w:val="auto"/>
              </w:rPr>
              <w:t xml:space="preserve">Miscellaneous accounts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187,989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184,826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186,506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8"/>
              </w:rPr>
              <w:t>-0.8%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721,377</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718,581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9"/>
        </w:trPr>
        <w:tc>
          <w:tcPr>
            <w:tcW w:w="334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Credit cards </w:t>
            </w:r>
            <w:r>
              <w:rPr>
                <w:rFonts w:ascii="Arial" w:cs="Arial" w:eastAsia="Arial" w:hAnsi="Arial"/>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79,103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71,633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72,051</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298,290</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284,213</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Drafts and transfers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62,602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68,526</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71,547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225,825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264,791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9"/>
        </w:trPr>
        <w:tc>
          <w:tcPr>
            <w:tcW w:w="334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Personal loans </w:t>
            </w:r>
            <w:r>
              <w:rPr>
                <w:rFonts w:ascii="Arial" w:cs="Arial" w:eastAsia="Arial" w:hAnsi="Arial"/>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26,694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24,989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28,127</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12.6%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96,112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101,638</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SME loans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16,987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16,970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18,452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66,548</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70,957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334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Insurance </w:t>
            </w:r>
            <w:r>
              <w:rPr>
                <w:rFonts w:ascii="Arial" w:cs="Arial" w:eastAsia="Arial" w:hAnsi="Arial"/>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22,478</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26,951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25,774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14.7%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84,105</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98,470</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Mortgage loans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9,213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10,678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15.9%</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8"/>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40,028</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39,057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334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Off-balance sheet </w:t>
            </w:r>
            <w:r>
              <w:rPr>
                <w:rFonts w:ascii="Arial" w:cs="Arial" w:eastAsia="Arial" w:hAnsi="Arial"/>
                <w:sz w:val="21"/>
                <w:szCs w:val="21"/>
                <w:color w:val="auto"/>
                <w:vertAlign w:val="superscript"/>
              </w:rPr>
              <w:t>(3)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54,050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53,954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51,875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208,530</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208,836</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Payments and collections </w:t>
            </w:r>
            <w:r>
              <w:rPr>
                <w:rFonts w:ascii="Arial" w:cs="Arial" w:eastAsia="Arial" w:hAnsi="Arial"/>
                <w:sz w:val="21"/>
                <w:szCs w:val="21"/>
                <w:color w:val="auto"/>
                <w:vertAlign w:val="superscript"/>
              </w:rPr>
              <w:t>(3)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107,599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108,619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109,321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412,214</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426,661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9"/>
        </w:trPr>
        <w:tc>
          <w:tcPr>
            <w:tcW w:w="334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Commercial loans </w:t>
            </w:r>
            <w:r>
              <w:rPr>
                <w:rFonts w:ascii="Arial" w:cs="Arial" w:eastAsia="Arial" w:hAnsi="Arial"/>
                <w:sz w:val="21"/>
                <w:szCs w:val="21"/>
                <w:color w:val="auto"/>
                <w:vertAlign w:val="superscript"/>
              </w:rPr>
              <w:t>(3)(4)</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18,667</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21,633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24,495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79,228</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89,468</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Foreign trade </w:t>
            </w:r>
            <w:r>
              <w:rPr>
                <w:rFonts w:ascii="Arial" w:cs="Arial" w:eastAsia="Arial" w:hAnsi="Arial"/>
                <w:sz w:val="21"/>
                <w:szCs w:val="21"/>
                <w:color w:val="auto"/>
                <w:vertAlign w:val="superscript"/>
              </w:rPr>
              <w:t>(3)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10,522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9,561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9,752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8"/>
              </w:rPr>
              <w:t>-7.3%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3340" w:type="dxa"/>
            <w:vAlign w:val="bottom"/>
            <w:gridSpan w:val="2"/>
          </w:tcPr>
          <w:p>
            <w:pPr>
              <w:ind w:left="40"/>
              <w:spacing w:after="0" w:line="189" w:lineRule="exact"/>
              <w:rPr>
                <w:sz w:val="20"/>
                <w:szCs w:val="20"/>
                <w:color w:val="auto"/>
              </w:rPr>
            </w:pPr>
            <w:r>
              <w:rPr>
                <w:rFonts w:ascii="Arial" w:cs="Arial" w:eastAsia="Arial" w:hAnsi="Arial"/>
                <w:sz w:val="13"/>
                <w:szCs w:val="13"/>
                <w:color w:val="auto"/>
              </w:rPr>
              <w:t xml:space="preserve">Corporate finance and mutual funds </w:t>
            </w:r>
            <w:r>
              <w:rPr>
                <w:rFonts w:ascii="Arial" w:cs="Arial" w:eastAsia="Arial" w:hAnsi="Arial"/>
                <w:sz w:val="21"/>
                <w:szCs w:val="21"/>
                <w:color w:val="auto"/>
                <w:vertAlign w:val="superscript"/>
              </w:rPr>
              <w:t>(4)</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15,744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15,889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18,690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59,790</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71,496</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ASB </w:t>
            </w:r>
            <w:r>
              <w:rPr>
                <w:rFonts w:ascii="Arial" w:cs="Arial" w:eastAsia="Arial" w:hAnsi="Arial"/>
                <w:sz w:val="21"/>
                <w:szCs w:val="21"/>
                <w:color w:val="auto"/>
                <w:vertAlign w:val="superscript"/>
              </w:rPr>
              <w:t>(4)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8,259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11,923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11,550</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0"/>
              </w:rPr>
              <w:t>39.8%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32,363</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45,659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3"/>
        </w:trPr>
        <w:tc>
          <w:tcPr>
            <w:tcW w:w="3340" w:type="dxa"/>
            <w:vAlign w:val="bottom"/>
            <w:gridSpan w:val="2"/>
          </w:tcPr>
          <w:p>
            <w:pPr>
              <w:ind w:left="40"/>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(4)(5)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67,993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80,253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79,907</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17.5%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250,339</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303,322</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Total fee income</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2"/>
            <w:vMerge w:val="continue"/>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689,687</w:t>
            </w:r>
          </w:p>
        </w:tc>
        <w:tc>
          <w:tcPr>
            <w:tcW w:w="240" w:type="dxa"/>
            <w:vAlign w:val="bottom"/>
            <w:vMerge w:val="continue"/>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704,940</w:t>
            </w:r>
          </w:p>
        </w:tc>
        <w:tc>
          <w:tcPr>
            <w:tcW w:w="220" w:type="dxa"/>
            <w:vAlign w:val="bottom"/>
            <w:vMerge w:val="continue"/>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718,725</w:t>
            </w:r>
          </w:p>
        </w:tc>
        <w:tc>
          <w:tcPr>
            <w:tcW w:w="200" w:type="dxa"/>
            <w:vAlign w:val="bottom"/>
            <w:vMerge w:val="continue"/>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b w:val="1"/>
                <w:bCs w:val="1"/>
                <w:color w:val="auto"/>
              </w:rPr>
              <w:t>2.0%</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2,615,461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2,763,232</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BCP</w:t>
      </w:r>
    </w:p>
    <w:p>
      <w:pPr>
        <w:ind w:left="22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Saving accounts, current accounts, debit card and master account.</w:t>
      </w:r>
    </w:p>
    <w:p>
      <w:pPr>
        <w:ind w:left="22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Mainly Retail fees.</w:t>
      </w:r>
    </w:p>
    <w:p>
      <w:pPr>
        <w:ind w:left="22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Mainly Wholesale fees.</w:t>
      </w:r>
    </w:p>
    <w:p>
      <w:pPr>
        <w:ind w:left="220" w:hanging="212"/>
        <w:spacing w:after="0" w:line="221" w:lineRule="auto"/>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w:t>
      </w: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fees from BCP Bolivia, Mibanco, network usage and other services to third parties, among others.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 analysis</w:t>
      </w:r>
      <w:r>
        <w:rPr>
          <w:rFonts w:ascii="Arial" w:cs="Arial" w:eastAsia="Arial" w:hAnsi="Arial"/>
          <w:sz w:val="17"/>
          <w:szCs w:val="17"/>
          <w:color w:val="auto"/>
        </w:rPr>
        <w:t>, fee income in the banking business increased 2.0% QoQ. The components that registered the highest quarterly growth were:</w:t>
      </w:r>
    </w:p>
    <w:p>
      <w:pPr>
        <w:spacing w:after="0" w:line="237" w:lineRule="exact"/>
        <w:rPr>
          <w:sz w:val="20"/>
          <w:szCs w:val="20"/>
          <w:color w:val="auto"/>
        </w:rPr>
      </w:pPr>
    </w:p>
    <w:p>
      <w:pPr>
        <w:ind w:left="880" w:hanging="49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Personal loans </w:t>
      </w:r>
      <w:r>
        <w:rPr>
          <w:rFonts w:ascii="Arial" w:cs="Arial" w:eastAsia="Arial" w:hAnsi="Arial"/>
          <w:sz w:val="18"/>
          <w:szCs w:val="18"/>
          <w:color w:val="auto"/>
        </w:rPr>
        <w:t>and</w:t>
      </w:r>
      <w:r>
        <w:rPr>
          <w:rFonts w:ascii="Arial" w:cs="Arial" w:eastAsia="Arial" w:hAnsi="Arial"/>
          <w:sz w:val="18"/>
          <w:szCs w:val="18"/>
          <w:b w:val="1"/>
          <w:bCs w:val="1"/>
          <w:color w:val="auto"/>
        </w:rPr>
        <w:t xml:space="preserve"> Commercial loans</w:t>
      </w:r>
      <w:r>
        <w:rPr>
          <w:rFonts w:ascii="Arial" w:cs="Arial" w:eastAsia="Arial" w:hAnsi="Arial"/>
          <w:sz w:val="18"/>
          <w:szCs w:val="18"/>
          <w:color w:val="auto"/>
        </w:rPr>
        <w:t>, in line with loan growth this quarter.</w:t>
      </w:r>
    </w:p>
    <w:p>
      <w:pPr>
        <w:spacing w:after="0" w:line="225"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which was mainly attributable to an increase in fees for transfers from saving products, domestic transfers, interbank</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and foreign transfers. The share of drafts and transfers increased to 10.0% (vs. 9.7% in 3Q19).</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Growth was attenuated by:</w:t>
      </w:r>
    </w:p>
    <w:p>
      <w:pPr>
        <w:spacing w:after="0" w:line="221" w:lineRule="exact"/>
        <w:rPr>
          <w:sz w:val="20"/>
          <w:szCs w:val="20"/>
          <w:color w:val="auto"/>
        </w:rPr>
      </w:pPr>
    </w:p>
    <w:p>
      <w:pPr>
        <w:ind w:left="880" w:right="20" w:hanging="494"/>
        <w:spacing w:after="0" w:line="282"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Off-balance sheet</w:t>
      </w:r>
      <w:r>
        <w:rPr>
          <w:rFonts w:ascii="Arial" w:cs="Arial" w:eastAsia="Arial" w:hAnsi="Arial"/>
          <w:sz w:val="18"/>
          <w:szCs w:val="18"/>
          <w:color w:val="auto"/>
        </w:rPr>
        <w:t>, given that the number of letters of guarantee dropped. The share of this component of total fee income for banking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fell to 7.2% (vs. 7.7% in 3Q19).</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contracted 3.9%, mainly due to the expenses assumed by BCP Stand-alone in the month of November, relative to survivorship,</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and car insurance.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growth was situated at +4.2%. This increase was attributable to the same components responsible for the increase in fee income QoQ but is also associated with an improvement in the performance of </w:t>
      </w:r>
      <w:r>
        <w:rPr>
          <w:rFonts w:ascii="Arial" w:cs="Arial" w:eastAsia="Arial" w:hAnsi="Arial"/>
          <w:sz w:val="18"/>
          <w:szCs w:val="18"/>
          <w:b w:val="1"/>
          <w:bCs w:val="1"/>
          <w:color w:val="auto"/>
        </w:rPr>
        <w:t>Others</w:t>
      </w:r>
      <w:r>
        <w:rPr>
          <w:rFonts w:ascii="Arial" w:cs="Arial" w:eastAsia="Arial" w:hAnsi="Arial"/>
          <w:sz w:val="18"/>
          <w:szCs w:val="18"/>
          <w:color w:val="auto"/>
        </w:rPr>
        <w:t xml:space="preserve">, due to growth at Mibanco. The aforementioned offset the reduction in income from </w:t>
      </w:r>
      <w:r>
        <w:rPr>
          <w:rFonts w:ascii="Arial" w:cs="Arial" w:eastAsia="Arial" w:hAnsi="Arial"/>
          <w:sz w:val="18"/>
          <w:szCs w:val="18"/>
          <w:b w:val="1"/>
          <w:bCs w:val="1"/>
          <w:color w:val="auto"/>
        </w:rPr>
        <w:t>Credit Cards</w:t>
      </w:r>
      <w:r>
        <w:rPr>
          <w:rFonts w:ascii="Arial" w:cs="Arial" w:eastAsia="Arial" w:hAnsi="Arial"/>
          <w:sz w:val="18"/>
          <w:szCs w:val="18"/>
          <w:color w:val="auto"/>
        </w:rPr>
        <w:t>, due to a decrease in the billing volume, in line with a transactional strategy to encourage clients to migrate to digital channels, and to a drop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income from the </w:t>
      </w:r>
      <w:r>
        <w:rPr>
          <w:rFonts w:ascii="Arial" w:cs="Arial" w:eastAsia="Arial" w:hAnsi="Arial"/>
          <w:sz w:val="18"/>
          <w:szCs w:val="18"/>
          <w:b w:val="1"/>
          <w:bCs w:val="1"/>
          <w:color w:val="auto"/>
        </w:rPr>
        <w:t>Off-balance sheet</w:t>
      </w:r>
      <w:r>
        <w:rPr>
          <w:rFonts w:ascii="Arial" w:cs="Arial" w:eastAsia="Arial" w:hAnsi="Arial"/>
          <w:sz w:val="18"/>
          <w:szCs w:val="18"/>
          <w:color w:val="auto"/>
        </w:rPr>
        <w:t>, as mentioned in the QoQ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FY analysis</w:t>
      </w:r>
      <w:r>
        <w:rPr>
          <w:rFonts w:ascii="Arial" w:cs="Arial" w:eastAsia="Arial" w:hAnsi="Arial"/>
          <w:sz w:val="18"/>
          <w:szCs w:val="18"/>
          <w:color w:val="auto"/>
        </w:rPr>
        <w:t xml:space="preserve"> (2019 vs. 2018), fee income for the banking business increased +5.6%; this was primarily attributable to:</w:t>
      </w:r>
    </w:p>
    <w:p>
      <w:pPr>
        <w:spacing w:after="0" w:line="225" w:lineRule="exact"/>
        <w:rPr>
          <w:sz w:val="20"/>
          <w:szCs w:val="20"/>
          <w:color w:val="auto"/>
        </w:rPr>
      </w:pPr>
    </w:p>
    <w:p>
      <w:pPr>
        <w:jc w:val="both"/>
        <w:ind w:left="880" w:hanging="494"/>
        <w:spacing w:after="0" w:line="25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Others</w:t>
      </w:r>
      <w:r>
        <w:rPr>
          <w:rFonts w:ascii="Arial" w:cs="Arial" w:eastAsia="Arial" w:hAnsi="Arial"/>
          <w:sz w:val="18"/>
          <w:szCs w:val="18"/>
          <w:color w:val="auto"/>
        </w:rPr>
        <w:t>, mainly in Mibanco, due to a methodological change in insurance reporting, as explained in 1Q19, and through BCP Bolivia, due to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increase in the volume of drafts and foreign transfers. The aforementioned led the share of </w:t>
      </w:r>
      <w:r>
        <w:rPr>
          <w:rFonts w:ascii="Arial" w:cs="Arial" w:eastAsia="Arial" w:hAnsi="Arial"/>
          <w:sz w:val="18"/>
          <w:szCs w:val="18"/>
          <w:b w:val="1"/>
          <w:bCs w:val="1"/>
          <w:color w:val="auto"/>
        </w:rPr>
        <w:t>Others</w:t>
      </w:r>
      <w:r>
        <w:rPr>
          <w:rFonts w:ascii="Arial" w:cs="Arial" w:eastAsia="Arial" w:hAnsi="Arial"/>
          <w:sz w:val="18"/>
          <w:szCs w:val="18"/>
          <w:color w:val="auto"/>
        </w:rPr>
        <w:t xml:space="preserve"> in total fee income for banking services to reach 11.0% in 2019 (vs. 9.6% in 2018).</w:t>
      </w:r>
    </w:p>
    <w:p>
      <w:pPr>
        <w:spacing w:after="0" w:line="1" w:lineRule="exact"/>
        <w:rPr>
          <w:rFonts w:ascii="Arial" w:cs="Arial" w:eastAsia="Arial" w:hAnsi="Arial"/>
          <w:sz w:val="18"/>
          <w:szCs w:val="18"/>
          <w:color w:val="auto"/>
        </w:rPr>
      </w:pPr>
    </w:p>
    <w:p>
      <w:pPr>
        <w:ind w:left="880" w:hanging="494"/>
        <w:spacing w:after="0" w:line="261"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Drafts and Transfers</w:t>
      </w:r>
      <w:r>
        <w:rPr>
          <w:rFonts w:ascii="Arial" w:cs="Arial" w:eastAsia="Arial" w:hAnsi="Arial"/>
          <w:sz w:val="18"/>
          <w:szCs w:val="18"/>
          <w:color w:val="auto"/>
        </w:rPr>
        <w:t xml:space="preserve"> for national transfers; foreign transfers; and interbank transfers, in line with a higher volume of transactional activity.</w:t>
      </w:r>
    </w:p>
    <w:p>
      <w:pPr>
        <w:spacing w:after="0" w:line="179" w:lineRule="exact"/>
        <w:rPr>
          <w:rFonts w:ascii="Arial" w:cs="Arial" w:eastAsia="Arial" w:hAnsi="Arial"/>
          <w:sz w:val="18"/>
          <w:szCs w:val="18"/>
          <w:color w:val="auto"/>
        </w:rPr>
      </w:pPr>
    </w:p>
    <w:p>
      <w:pPr>
        <w:ind w:left="880" w:right="20" w:hanging="494"/>
        <w:spacing w:after="0" w:line="282"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 higher level of </w:t>
      </w:r>
      <w:r>
        <w:rPr>
          <w:rFonts w:ascii="Arial" w:cs="Arial" w:eastAsia="Arial" w:hAnsi="Arial"/>
          <w:sz w:val="18"/>
          <w:szCs w:val="18"/>
          <w:b w:val="1"/>
          <w:bCs w:val="1"/>
          <w:color w:val="auto"/>
        </w:rPr>
        <w:t>Collections and payments,</w:t>
      </w:r>
      <w:r>
        <w:rPr>
          <w:rFonts w:ascii="Arial" w:cs="Arial" w:eastAsia="Arial" w:hAnsi="Arial"/>
          <w:sz w:val="18"/>
          <w:szCs w:val="18"/>
          <w:color w:val="auto"/>
        </w:rPr>
        <w:t xml:space="preserve"> due to an increase in services for collections, payments to companies for services and insurance coverage payments.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aforementioned offset the drop in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as explained in the YoY analysis, and in </w:t>
      </w:r>
      <w:r>
        <w:rPr>
          <w:rFonts w:ascii="Arial" w:cs="Arial" w:eastAsia="Arial" w:hAnsi="Arial"/>
          <w:sz w:val="18"/>
          <w:szCs w:val="18"/>
          <w:b w:val="1"/>
          <w:bCs w:val="1"/>
          <w:color w:val="auto"/>
        </w:rPr>
        <w:t>Miscellaneous Accounts</w:t>
      </w:r>
      <w:r>
        <w:rPr>
          <w:rFonts w:ascii="Arial" w:cs="Arial" w:eastAsia="Arial" w:hAnsi="Arial"/>
          <w:sz w:val="18"/>
          <w:szCs w:val="18"/>
          <w:color w:val="auto"/>
        </w:rPr>
        <w:t>, due to a decrease in income for account maintenance.</w:t>
      </w:r>
    </w:p>
    <w:p>
      <w:pPr>
        <w:spacing w:after="0" w:line="38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insurance underwriting result increased 15.5% QoQ. This was primarily attributable to an increase in net earned premiums in the life and P&amp;C businesses and to a decrease in acquisition costs in P&amp;C, which was attenuated by an increase in net claims in the life insurance business. In the YoY analysis, the underwriting result registered a 19.9% increase, which was mainly attributable to an increase in net earned premiums in both P&amp;C and life; this was attenuated by an increase in net claims in life insurance and a higher acquisition cost in P&amp;C. FY, the underwriting result increase 5.9%, which was mainly driven by an increase in the net earned premiums registered for both businesses and to a decrease in commissions for life insurance; this was attenuated by an increase in net claims for life insurance and to a lesser extent, to growth in claims at P&amp;C.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ind w:left="440"/>
              <w:spacing w:after="0"/>
              <w:rPr>
                <w:sz w:val="20"/>
                <w:szCs w:val="20"/>
                <w:color w:val="auto"/>
              </w:rPr>
            </w:pPr>
            <w:r>
              <w:rPr>
                <w:rFonts w:ascii="Arial" w:cs="Arial" w:eastAsia="Arial" w:hAnsi="Arial"/>
                <w:sz w:val="18"/>
                <w:szCs w:val="18"/>
                <w:b w:val="1"/>
                <w:bCs w:val="1"/>
                <w:color w:val="auto"/>
                <w:w w:val="90"/>
              </w:rPr>
              <w:t>% change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Year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9"/>
              </w:rPr>
              <w:t>% change</w:t>
            </w:r>
          </w:p>
        </w:tc>
      </w:tr>
      <w:tr>
        <w:trPr>
          <w:trHeight w:val="248"/>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4Q18</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3Q19</w:t>
            </w:r>
          </w:p>
        </w:tc>
        <w:tc>
          <w:tcPr>
            <w:tcW w:w="3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4Q19</w:t>
            </w:r>
          </w:p>
        </w:tc>
        <w:tc>
          <w:tcPr>
            <w:tcW w:w="3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4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YoY</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2019/2018</w:t>
            </w:r>
          </w:p>
        </w:tc>
        <w:tc>
          <w:tcPr>
            <w:tcW w:w="180" w:type="dxa"/>
            <w:vAlign w:val="bottom"/>
            <w:tcBorders>
              <w:bottom w:val="single" w:sz="8" w:color="CCEEFF"/>
            </w:tcBorders>
          </w:tcPr>
          <w:p>
            <w:pPr>
              <w:spacing w:after="0"/>
              <w:rPr>
                <w:sz w:val="21"/>
                <w:szCs w:val="2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534,380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612,534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629,593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2,091,364</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2,419,349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(325,402)</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(392,520)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(395,718)</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21.6%</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(1,239,636)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(1,554,477)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25.4%</w:t>
            </w:r>
          </w:p>
        </w:tc>
      </w:tr>
      <w:tr>
        <w:trPr>
          <w:trHeight w:val="270"/>
        </w:trPr>
        <w:tc>
          <w:tcPr>
            <w:tcW w:w="3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(87,824)</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(94,239)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(88,662)</w:t>
            </w:r>
          </w:p>
        </w:tc>
        <w:tc>
          <w:tcPr>
            <w:tcW w:w="10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(380,310)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(365,848)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121,154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125,775</w:t>
            </w: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145,213</w:t>
            </w: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471,418</w:t>
            </w:r>
          </w:p>
        </w:tc>
        <w:tc>
          <w:tcPr>
            <w:tcW w:w="3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3960" w:type="dxa"/>
            <w:vAlign w:val="bottom"/>
            <w:gridSpan w:val="4"/>
          </w:tcPr>
          <w:p>
            <w:pPr>
              <w:spacing w:after="0"/>
              <w:rPr>
                <w:sz w:val="20"/>
                <w:szCs w:val="20"/>
                <w:color w:val="auto"/>
              </w:rPr>
            </w:pPr>
            <w:r>
              <w:rPr>
                <w:rFonts w:ascii="Arial" w:cs="Arial" w:eastAsia="Arial" w:hAnsi="Arial"/>
                <w:sz w:val="18"/>
                <w:szCs w:val="18"/>
                <w:color w:val="auto"/>
              </w:rPr>
              <w:t>(1) Includes net fees and underwriting expenses.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6.1. Net earned premiums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3960" w:type="dxa"/>
            <w:vAlign w:val="bottom"/>
            <w:gridSpan w:val="4"/>
          </w:tcPr>
          <w:p>
            <w:pPr>
              <w:ind w:left="1740"/>
              <w:spacing w:after="0"/>
              <w:rPr>
                <w:sz w:val="20"/>
                <w:szCs w:val="20"/>
                <w:color w:val="auto"/>
              </w:rPr>
            </w:pPr>
            <w:r>
              <w:rPr>
                <w:rFonts w:ascii="Arial" w:cs="Arial" w:eastAsia="Arial" w:hAnsi="Arial"/>
                <w:sz w:val="18"/>
                <w:szCs w:val="18"/>
                <w:b w:val="1"/>
                <w:bCs w:val="1"/>
                <w:color w:val="auto"/>
                <w:w w:val="90"/>
              </w:rPr>
              <w:t>Total premiums by business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8"/>
              </w:rPr>
              <w:t>Net earned premiums by business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960" w:type="dxa"/>
            <w:vAlign w:val="bottom"/>
            <w:gridSpan w:val="4"/>
          </w:tcPr>
          <w:p>
            <w:pPr>
              <w:ind w:left="2360"/>
              <w:spacing w:after="0"/>
              <w:rPr>
                <w:sz w:val="20"/>
                <w:szCs w:val="20"/>
                <w:color w:val="auto"/>
              </w:rPr>
            </w:pPr>
            <w:r>
              <w:rPr>
                <w:rFonts w:ascii="Arial" w:cs="Arial" w:eastAsia="Arial" w:hAnsi="Arial"/>
                <w:sz w:val="18"/>
                <w:szCs w:val="18"/>
                <w:color w:val="auto"/>
              </w:rPr>
              <w:t>(S/ millions)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(S/ millions)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0</wp:posOffset>
            </wp:positionV>
            <wp:extent cx="6920865" cy="1792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086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premiums </w:t>
      </w:r>
      <w:r>
        <w:rPr>
          <w:rFonts w:ascii="Arial" w:cs="Arial" w:eastAsia="Arial" w:hAnsi="Arial"/>
          <w:sz w:val="18"/>
          <w:szCs w:val="18"/>
          <w:color w:val="auto"/>
        </w:rPr>
        <w:t>increased +12.6% QoQ, which was attributable to growth in the premium level at P&amp;C and to a lesser extent, in life insurance:</w:t>
      </w:r>
    </w:p>
    <w:p>
      <w:pPr>
        <w:spacing w:after="0" w:line="229" w:lineRule="exact"/>
        <w:rPr>
          <w:sz w:val="20"/>
          <w:szCs w:val="20"/>
          <w:color w:val="auto"/>
        </w:rPr>
      </w:pPr>
    </w:p>
    <w:p>
      <w:pPr>
        <w:ind w:left="660" w:hanging="328"/>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Growth in P&amp;C was registered in (i) Commercial lines due to an increase in policy renewals in the fire risks and marine hull segments, (ii) Cars due to an increase in sales of new policies; the aforementioned was slightly offset by a decrease in premium production in the Personal Lines and SOAT.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Life insurance increased due to a growth in production in (i) Credit life, through the bancassurance channel and alliances, (ii) Annuities, mainly for individual annuities product, (iii) Disability and Survivorship (D&amp;S), due to an increase in premiums through SISCO IV; this was attenuated by the result of Group Life, which registered a decline in the sales of SCTR and Statutory Life product.</w:t>
      </w:r>
    </w:p>
    <w:p>
      <w:pPr>
        <w:spacing w:after="0" w:line="18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b w:val="1"/>
          <w:bCs w:val="1"/>
          <w:color w:val="auto"/>
        </w:rPr>
        <w:t>Net earned premiums</w:t>
      </w:r>
      <w:r>
        <w:rPr>
          <w:rFonts w:ascii="Arial" w:cs="Arial" w:eastAsia="Arial" w:hAnsi="Arial"/>
          <w:sz w:val="30"/>
          <w:szCs w:val="30"/>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+2.8% QoQ due to the positive evolution in both businesses. Growth in life insurance premiums was reported in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Life and D&amp;S for the reasons outlined in the analysis of total premiums. In P&amp;C, the increase was primarily attributable to Cars due to higher sales and Personal Lines due to fewer reserves in line with the decrease in sales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4" w:lineRule="exact"/>
        <w:rPr>
          <w:sz w:val="20"/>
          <w:szCs w:val="20"/>
          <w:color w:val="auto"/>
        </w:rPr>
      </w:pPr>
    </w:p>
    <w:p>
      <w:pPr>
        <w:ind w:left="120" w:hanging="112"/>
        <w:spacing w:after="0"/>
        <w:tabs>
          <w:tab w:leader="none" w:pos="120" w:val="left"/>
        </w:tabs>
        <w:numPr>
          <w:ilvl w:val="0"/>
          <w:numId w:val="66"/>
        </w:numPr>
        <w:rPr>
          <w:rFonts w:ascii="Arial" w:cs="Arial" w:eastAsia="Arial" w:hAnsi="Arial"/>
          <w:sz w:val="30"/>
          <w:szCs w:val="30"/>
          <w:color w:val="auto"/>
          <w:vertAlign w:val="superscript"/>
        </w:rPr>
      </w:pPr>
      <w:r>
        <w:rPr>
          <w:rFonts w:ascii="Arial" w:cs="Arial" w:eastAsia="Arial" w:hAnsi="Arial"/>
          <w:sz w:val="18"/>
          <w:szCs w:val="18"/>
          <w:color w:val="auto"/>
        </w:rPr>
        <w:t>Total premiums without considering reinsurance nor reserve premiums.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9" w:name="page40"/>
    <w:bookmarkEnd w:id="39"/>
    <w:p>
      <w:pPr>
        <w:jc w:val="both"/>
        <w:spacing w:after="0" w:line="293" w:lineRule="auto"/>
        <w:rPr>
          <w:sz w:val="20"/>
          <w:szCs w:val="20"/>
          <w:color w:val="auto"/>
        </w:rPr>
      </w:pPr>
      <w:r>
        <w:rPr>
          <w:rFonts w:ascii="Arial" w:cs="Arial" w:eastAsia="Arial" w:hAnsi="Arial"/>
          <w:sz w:val="16"/>
          <w:szCs w:val="16"/>
          <w:color w:val="auto"/>
        </w:rPr>
        <w:t xml:space="preserve">In the YoY analysis, </w:t>
      </w:r>
      <w:r>
        <w:rPr>
          <w:rFonts w:ascii="Arial" w:cs="Arial" w:eastAsia="Arial" w:hAnsi="Arial"/>
          <w:sz w:val="16"/>
          <w:szCs w:val="16"/>
          <w:b w:val="1"/>
          <w:bCs w:val="1"/>
          <w:color w:val="auto"/>
        </w:rPr>
        <w:t>total premiums</w:t>
      </w:r>
      <w:r>
        <w:rPr>
          <w:rFonts w:ascii="Arial" w:cs="Arial" w:eastAsia="Arial" w:hAnsi="Arial"/>
          <w:sz w:val="16"/>
          <w:szCs w:val="16"/>
          <w:color w:val="auto"/>
        </w:rPr>
        <w:t xml:space="preserve"> increased +2.9%. This increase was primarily attributable to growth in life insurance, which was attenuated by the result in P&amp;C. In the life insurance business, the increase was associated with growth in premium production in D&amp;S lines after the company won two tranches of</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SISCO IV contract</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(2019-2020), which compared favorably with the single tranche won in SISCO III (2017-2018). Growth was also attributable to Credit Life, which registered an increase in premium production in the bancassurance and alliance channels; this was attenuated by a drop in premium production in Annuities through the individual annuity product. In P&amp;C, the decline registered was mainly attributable to a drop in the commercial lines via the fire and aviation risks and in Cars, after fewer sales were made in the Alliance channel.</w:t>
      </w:r>
    </w:p>
    <w:p>
      <w:pPr>
        <w:spacing w:after="0" w:line="20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Net earned premiums </w:t>
      </w:r>
      <w:r>
        <w:rPr>
          <w:rFonts w:ascii="Arial" w:cs="Arial" w:eastAsia="Arial" w:hAnsi="Arial"/>
          <w:sz w:val="16"/>
          <w:szCs w:val="16"/>
          <w:color w:val="auto"/>
        </w:rPr>
        <w:t>increased +17.8% YoY, which was attributable to growth in both businesses. In the life insurance business, the increase was mainly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ii) D&amp;S, after the premium level increased under the new SISCO IV tender; and ii) Credit Life, where growth was mainly associated with an increase in sales in the bancassurance channel. In P&amp;C insurance, the increase was driven by Personal Lines, which reported an increase in issuances and average premiums; in Medical Assistance, after sales rose for comprehensive products; and Cars, given the fewer reserves registered.</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FY, in 2019, total premiums increased +7.1% while the level of net premiums reported growth of +15.7% with regard to 2018. This increase was mainly attributable to the D&amp;S lines in the life insurance business, after the company won two tranches of SISCO IV; and to Credit Life, due to an increase in premium production in the bancassurance channel and alliances. These results were attenuated by Group Life, which posted a decrease in premiums for renewals of the SCTR product. In the P&amp;C business, growth was mainly attributable to the Medical Assistance line, which registered higher sales of</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oncological and comprehensive products; to Personal Lines, which reported higher sales for financial products and properties; and to Cars and SOAT</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due to an uptick in sales.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142875</wp:posOffset>
            </wp:positionV>
            <wp:extent cx="4168140" cy="2186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6814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claims increased +0.8% QoQ due to an increase in life insurance; which was mitigated by the decreased in P&amp;C. In the life insurance business, the increase is primarily attributable to the D&amp;S lines, given that the discount rates used to calculate claims fell in a scenario in which the number of cases and average costs rose. Growth in life claims was also attributable, albeit it to a lesser extent, to Annuities after pension payments rose for individual annuity products; this was attenuated by a decrease in net claims in Credit Life. In P&amp;C, net claims dropped in Medical Assistance after fewer incurred but not reported reserves were set aside for comprehensive products; this was attenuated by the result in Personal Lines, which registered an increase in case frequency.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YoY analysis, net claims rose +21.6% after claims in life insurance rose; this was mitigated by the evolution in P&amp;C. The increase in the life insurance business was mainly attributable to the D&amp;S lines, where growth was registered after the company won two tranches of SISCO IV, compared with the single tranche secured under SISCO II in 4Q18. Growth in claims was also due, albeit to a lesser extent, to Annuities after higher pensions payments were made for individual annuities. At the P&amp;C level, the result was attributable to medical assistance due to a decrease in average costs and frequency relative to comprehensive products and to Cars, which registered a decrease in the average cost after claims were channeled to preferred repair shops; this was mitigated by Personal Lines, after claims frequency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097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9" w:lineRule="exact"/>
        <w:rPr>
          <w:sz w:val="20"/>
          <w:szCs w:val="20"/>
          <w:color w:val="auto"/>
        </w:rPr>
      </w:pPr>
    </w:p>
    <w:p>
      <w:pPr>
        <w:ind w:right="20" w:firstLine="8"/>
        <w:spacing w:after="0" w:line="227" w:lineRule="auto"/>
        <w:tabs>
          <w:tab w:leader="none" w:pos="212" w:val="left"/>
        </w:tabs>
        <w:numPr>
          <w:ilvl w:val="0"/>
          <w:numId w:val="67"/>
        </w:numPr>
        <w:rPr>
          <w:rFonts w:ascii="Arial" w:cs="Arial" w:eastAsia="Arial" w:hAnsi="Arial"/>
          <w:sz w:val="25"/>
          <w:szCs w:val="25"/>
          <w:color w:val="auto"/>
          <w:vertAlign w:val="superscript"/>
        </w:rPr>
      </w:pPr>
      <w:r>
        <w:rPr>
          <w:rFonts w:ascii="Arial" w:cs="Arial" w:eastAsia="Arial" w:hAnsi="Arial"/>
          <w:sz w:val="16"/>
          <w:szCs w:val="16"/>
          <w:color w:val="auto"/>
        </w:rPr>
        <w:t>Consist in the join administration of the risk of disability, survival and burial expenses of the AFP affiliates by the insurance companies that are winners in the public bidding process.</w:t>
      </w:r>
    </w:p>
    <w:p>
      <w:pPr>
        <w:ind w:left="220" w:hanging="212"/>
        <w:spacing w:after="0" w:line="216" w:lineRule="auto"/>
        <w:tabs>
          <w:tab w:leader="none" w:pos="220" w:val="left"/>
        </w:tabs>
        <w:numPr>
          <w:ilvl w:val="0"/>
          <w:numId w:val="67"/>
        </w:numPr>
        <w:rPr>
          <w:rFonts w:ascii="Arial" w:cs="Arial" w:eastAsia="Arial" w:hAnsi="Arial"/>
          <w:sz w:val="26"/>
          <w:szCs w:val="26"/>
          <w:color w:val="auto"/>
          <w:vertAlign w:val="superscript"/>
        </w:rPr>
      </w:pPr>
      <w:r>
        <w:rPr>
          <w:rFonts w:ascii="Arial" w:cs="Arial" w:eastAsia="Arial" w:hAnsi="Arial"/>
          <w:sz w:val="16"/>
          <w:szCs w:val="16"/>
          <w:color w:val="auto"/>
        </w:rPr>
        <w:t>Mandatory Traffic Accident Insurance.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FY, net claims increased +25.4%. This was primarily attributable to the evolution in the life insurance business (+40.7%), and to a lesser extent, to the results in P&amp;C (+7.4%). The result in life insurance was primarily driven by the D&amp;S lines, where the variation was mainly associated with the SISCO IV tender as indicated above, and, to a lesser extent, with Annuities, after pension payments increased in individual annuities. In the P&amp;C business, the claims result was attributable primarily to SOAT, after an increase was registered in case frequency; to Medical Assistance, given that more IBNR reserves were set aside; and to Personal Lines, which experienced an uptick in case frequency.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per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142875</wp:posOffset>
            </wp:positionV>
            <wp:extent cx="4202430" cy="22212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0243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b w:val="1"/>
                <w:bCs w:val="1"/>
                <w:color w:val="auto"/>
              </w:rPr>
              <w:t>Quarter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6"/>
          </w:tcPr>
          <w:p>
            <w:pPr>
              <w:ind w:left="440"/>
              <w:spacing w:after="0"/>
              <w:rPr>
                <w:sz w:val="20"/>
                <w:szCs w:val="20"/>
                <w:color w:val="auto"/>
              </w:rPr>
            </w:pPr>
            <w:r>
              <w:rPr>
                <w:rFonts w:ascii="Arial" w:cs="Arial" w:eastAsia="Arial" w:hAnsi="Arial"/>
                <w:sz w:val="18"/>
                <w:szCs w:val="18"/>
                <w:b w:val="1"/>
                <w:bCs w:val="1"/>
                <w:color w:val="auto"/>
              </w:rPr>
              <w:t>% change</w:t>
            </w:r>
          </w:p>
        </w:tc>
        <w:tc>
          <w:tcPr>
            <w:tcW w:w="100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Year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0"/>
              </w:rPr>
              <w:t>% change</w:t>
            </w:r>
          </w:p>
        </w:tc>
      </w:tr>
      <w:tr>
        <w:trPr>
          <w:trHeight w:val="248"/>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4Q18</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3Q19</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4Q19</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2019 / 2018</w:t>
            </w:r>
          </w:p>
        </w:tc>
        <w:tc>
          <w:tcPr>
            <w:tcW w:w="160" w:type="dxa"/>
            <w:vAlign w:val="bottom"/>
            <w:tcBorders>
              <w:bottom w:val="single" w:sz="8" w:color="CCEEFF"/>
            </w:tcBorders>
          </w:tcPr>
          <w:p>
            <w:pPr>
              <w:spacing w:after="0"/>
              <w:rPr>
                <w:sz w:val="21"/>
                <w:szCs w:val="2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(68,411)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(65,316)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(273,931)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(249,761)</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Underwriting expenses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(24,470)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(35,206)</w:t>
            </w:r>
          </w:p>
        </w:tc>
        <w:tc>
          <w:tcPr>
            <w:tcW w:w="1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(115,790)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(149,057)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11,860</w:t>
            </w: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9,411</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32,970</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250.3%</w:t>
            </w:r>
          </w:p>
        </w:tc>
      </w:tr>
      <w:tr>
        <w:trPr>
          <w:trHeight w:val="210"/>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(87,824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(94,239</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(88,662</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(380,310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(365,848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acquisition cost fell -5.9% QoQ given that underwriting income increased in both businesses due to: i) profit sharing with reinsurers; and ii) an increase in commissions ceded in P&amp;C, which was attenuated by an increase in underwriting expenses in life insurance. The decrease in the acquisition cost in P&amp;C was due primarily to Commercial Lines after an increase was registered in fee income from reinsurers; in Cars, due to the release of expenses for promotions; and in Personal Lines, due to profit sharing with reinsurers. In life insurance, the increase was due primarily to growth in commissions through the Alliance channel in Credit Life after premiums increased; this was mitigated by income from profit sharing.</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YoY analysis, the acquisition cost increased +1.0% due to the evolution in P&amp;C and mitigated by the life insurance result. The result in P&amp;C was due to an increase in fee income in Personal Lines after the premium level rose; to Commercial Lines, after commissions ceded to reinsurers fell; and to an increase in underwriting expenses. In the life insurance business, the decrease in the acquisition cost is due to profit sharing with reinsurers.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FY, the acquisition cost fell -3.8%. This was primarily due to the life insurance result, which was mitigated by growth in P&amp;C. The drop registered in life insurance was attributable to a decrease in commissions in Credit Life through the alliance channel. In P&amp;C, the increase in the acquisition cost was associated with growth in fee income in all business lines, which went hand-in-hand with an increase in the premium levels; and to an increase in underwriting expenses.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6.4. Total Underwriting result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142875</wp:posOffset>
            </wp:positionV>
            <wp:extent cx="4313555" cy="20923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355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YoY analysis, the increase reported in the underwriting result was due primarily to the evolution in P&amp;C and to a lesser extent, to results in life insurance. In P&amp;C, the increase was attributable to growth in net premiums in Cars, Personal Lines and Medical Assistance; to a decrease in claims in Medical Assistance; and to a decrease in the acquisition cost after higher income was reported for underwriting and for commissions ceded in Wholesale Risks. In the life insurance business, the increase was attributable to growth in net premiums in Credit Life and in the D&amp;S lines and to an increase in underwriting income, which was attenuated by growth in net claims in the D&amp;S and Annuities lines and to an increase in commissions in line with growth in the premium level.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analysis, the increase in the underwriting result was due primarily to business evolution in P&amp;C and to a lesser extent, to the results in life insurance. In P&amp;C, the variation was attributable to an increase in the net earned premium in the Personal Lines, Medical Assistance and Cars and to a decrease in net claims in Medical Life, the Commercial Lines and Cars; this was attenuated by an increase in the acquisition cost. In the life insurance business, the increase was attributable to growth in net earned premiums in the D&amp;S, Credit Life and Group Life lines and to growth in underwriting income; these effects were attenuated by the increase in net claims in D&amp;S, Annuities and Individual Life.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FY, the improvement in the underwriting result was attributable to an increase in the result posted by P&amp;C, which was attenuated by a decrease in the underwriting result for the life business. In P&amp;C, the result was drive by an increase in the net earned premium reported for Medical Assistance, Personal Lines, Cars and SOAT; this was attenuated by an increase in net claims and higher acquisition costs in all business lines. In the life insurance business, the drop reported in the underwriting result was attributable to an increase in net claims in all business lines; this was mitigated by an increase in the net earned premium, which was registered primarily in D&amp;S, and to a lesser extent, to growth in Individual Life and Annuities and to a decrease in fee income in Credit Life.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7. Operating Expenses and Efficiency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the YoY analysis, the operating efficiency ratio deteriorated 20 bps. This was primarily attributable to an increase in expenses for consultancy and marketing services. In contrast, the operating efficiency ratio improved 30 bps in 2019, which was associated with higher growth in operating income, particularly net interest income, which offset the increase in salaries and employee benefits.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7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867,069</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845,345</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885,526</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2.1%</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3,219,875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3,411,023</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682,118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560,780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675,142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2,330,045</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2,280,399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110,412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185,574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201,790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429,122</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708,442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Association in participation</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5,348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9,806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83.4%</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14,526</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22,636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87,824</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94,239</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88,662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380,310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365,848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Operating expenses </w:t>
            </w:r>
            <w:r>
              <w:rPr>
                <w:rFonts w:ascii="Arial" w:cs="Arial" w:eastAsia="Arial" w:hAnsi="Arial"/>
                <w:sz w:val="23"/>
                <w:szCs w:val="23"/>
                <w:b w:val="1"/>
                <w:bCs w:val="1"/>
                <w:color w:val="auto"/>
                <w:vertAlign w:val="superscript"/>
              </w:rPr>
              <w:t>(3)</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1,747,594</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1,691,286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1,860,926</w:t>
            </w:r>
          </w:p>
        </w:tc>
        <w:tc>
          <w:tcPr>
            <w:tcW w:w="2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6,373,878</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6,788,348</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23"/>
                <w:szCs w:val="23"/>
                <w:b w:val="1"/>
                <w:bCs w:val="1"/>
                <w:color w:val="auto"/>
                <w:vertAlign w:val="superscript"/>
              </w:rPr>
              <w:t>(4)</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3,844,902</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3,915,430</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4,076,488</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14,546,817</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w w:val="99"/>
              </w:rPr>
              <w:t>15,587,931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Efficiency ratio </w:t>
            </w:r>
            <w:r>
              <w:rPr>
                <w:rFonts w:ascii="Arial" w:cs="Arial" w:eastAsia="Arial" w:hAnsi="Arial"/>
                <w:sz w:val="23"/>
                <w:szCs w:val="23"/>
                <w:b w:val="1"/>
                <w:bCs w:val="1"/>
                <w:color w:val="auto"/>
                <w:vertAlign w:val="superscript"/>
              </w:rPr>
              <w:t>(5)</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45.5%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45.7%</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250 bps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43.8%</w:t>
            </w: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43.5%</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 bps</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(6)</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4.04%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3.97%</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29 bps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3.67%</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 bps</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8"/>
        <w:spacing w:after="0" w:line="230" w:lineRule="auto"/>
        <w:tabs>
          <w:tab w:leader="none" w:pos="229" w:val="left"/>
        </w:tabs>
        <w:numPr>
          <w:ilvl w:val="0"/>
          <w:numId w:val="68"/>
        </w:numPr>
        <w:rPr>
          <w:rFonts w:ascii="Arial" w:cs="Arial" w:eastAsia="Arial" w:hAnsi="Arial"/>
          <w:sz w:val="14"/>
          <w:szCs w:val="14"/>
          <w:color w:val="auto"/>
        </w:rPr>
      </w:pPr>
      <w:r>
        <w:rPr>
          <w:rFonts w:ascii="Arial" w:cs="Arial" w:eastAsia="Arial" w:hAnsi="Arial"/>
          <w:sz w:val="14"/>
          <w:szCs w:val="14"/>
          <w:color w:val="auto"/>
        </w:rPr>
        <w:t>Since the 1Q19, the application of IFRS 16 is in effect, which corresponds to a greater depreciation for the asset for right-of-use. Likewise, the expenses related to the depreciation of improvements in building for rent is being reclassified to the item "Other expenses".</w:t>
      </w:r>
    </w:p>
    <w:p>
      <w:pPr>
        <w:ind w:left="220" w:hanging="212"/>
        <w:spacing w:after="0" w:line="221"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acquisition cost of Pacifico includes net fees and underwriting expenses.</w:t>
      </w:r>
    </w:p>
    <w:p>
      <w:pPr>
        <w:ind w:left="220" w:hanging="212"/>
        <w:spacing w:after="0" w:line="221"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Operating expenses = Salaries and employee’s benefits + Administrative, general and tax expenses + Depreciation and amortization + Acquisition cost + Association in participation.</w:t>
      </w:r>
    </w:p>
    <w:p>
      <w:pPr>
        <w:ind w:firstLine="8"/>
        <w:spacing w:after="0" w:line="221" w:lineRule="auto"/>
        <w:tabs>
          <w:tab w:leader="none" w:pos="21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Operating income = Net interest income + Fee income + Net gain on foreign exchange transactions + Net gain from associates + Net gain on derivatives held for trading + Result on exchange differences + Net premiums earned.</w:t>
      </w:r>
    </w:p>
    <w:p>
      <w:pPr>
        <w:ind w:left="220" w:hanging="212"/>
        <w:spacing w:after="0" w:line="221"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 Operating expenses / Operating income.</w:t>
      </w:r>
    </w:p>
    <w:p>
      <w:pPr>
        <w:ind w:right="20" w:firstLine="8"/>
        <w:spacing w:after="0" w:line="237" w:lineRule="auto"/>
        <w:tabs>
          <w:tab w:leader="none" w:pos="208"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Figures differ from previously reported, please consider the data presented on this report. Operating expenses / Average of Total Assets. Average is calculated with period-beginning and period-ending balances.</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deterioration in the efficiency ratio was due to the seasonal factors that affect operating expenses; as such, the YoY analysis provides a clearer picture of the evolution of efficiency.</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reveals a deterioration of 20 bps in the efficiency ratio, primarily due to the fact that operating expenses registered higher growth than operating income.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following figure, we can see the impact that the variation of each component of income and of operating expenses used to calculate the YoY efficiency ratio: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154940</wp:posOffset>
            </wp:positionV>
            <wp:extent cx="6595110" cy="2160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9511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80" w:firstLine="8"/>
        <w:spacing w:after="0" w:line="258"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both"/>
        <w:spacing w:after="0" w:line="293" w:lineRule="auto"/>
        <w:rPr>
          <w:sz w:val="20"/>
          <w:szCs w:val="20"/>
          <w:color w:val="auto"/>
        </w:rPr>
      </w:pPr>
      <w:r>
        <w:rPr>
          <w:rFonts w:ascii="Arial" w:cs="Arial" w:eastAsia="Arial" w:hAnsi="Arial"/>
          <w:sz w:val="16"/>
          <w:szCs w:val="16"/>
          <w:color w:val="auto"/>
        </w:rPr>
        <w:t>Operating efficiency deteriorated in a scenario in which the growth of operating expenses outpaced the expansion registered in operating income. Operating expenses increased primarily due to depreciation and amortization and specifically speaking, to expenses associated with leasing. It is important to mention that this this line should be analyzed alongside general and administrative expenses and taxes given that under IFRS 16, part of the expenses for leasing, which were formerly included in general and administrative expenses, must be reclassified and included in Depreciation and Amortization. When we analyze administrative and general expenses and taxes alongside depreciation and amortization, we see that the increase is mainly attributable to an uptick in consultancy and marketing services, which we will explain further in section 7.1. Credicorp – Administrative and general expenses and taxes.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was offset by the increase in net interest income, which was attributable to: i) growth in average daily balances, primarily in the Retail Banking segment; ii) the increase in average daily balances, mainly in Retail Banking; and iii) the increase in Net premiums, which was primarily associated with growth in Life insurance at Grupo Pacifico.</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FY, the efficiency ratio improved 30 bps. The following figure shows the impact of the variation of each account on the efficiency ratio at Credicorp.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154940</wp:posOffset>
            </wp:positionV>
            <wp:extent cx="6003290" cy="1800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329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8"/>
        <w:spacing w:after="0" w:line="258" w:lineRule="auto"/>
        <w:tabs>
          <w:tab w:leader="none" w:pos="2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When we analyze the impact of operating expenses, the improvement in the efficiency ratio was due to:</w:t>
      </w:r>
    </w:p>
    <w:p>
      <w:pPr>
        <w:spacing w:after="0" w:line="225" w:lineRule="exact"/>
        <w:rPr>
          <w:sz w:val="20"/>
          <w:szCs w:val="20"/>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Growth in net interest income, which was attributable to an increase in average daily loan balances in all segments, as indicated in section </w:t>
      </w:r>
      <w:r>
        <w:rPr>
          <w:rFonts w:ascii="Arial" w:cs="Arial" w:eastAsia="Arial" w:hAnsi="Arial"/>
          <w:sz w:val="18"/>
          <w:szCs w:val="18"/>
          <w:i w:val="1"/>
          <w:iCs w:val="1"/>
          <w:color w:val="auto"/>
        </w:rPr>
        <w:t>4.1.</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Income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increase in net earned premiums at Grupo Pacífico, which was attributable mainly to the life insurance lines, as indicated in section </w:t>
      </w:r>
      <w:r>
        <w:rPr>
          <w:rFonts w:ascii="Arial" w:cs="Arial" w:eastAsia="Arial" w:hAnsi="Arial"/>
          <w:sz w:val="18"/>
          <w:szCs w:val="18"/>
          <w:i w:val="1"/>
          <w:iCs w:val="1"/>
          <w:color w:val="auto"/>
        </w:rPr>
        <w:t>6.1 Net</w:t>
      </w:r>
      <w:r>
        <w:rPr>
          <w:rFonts w:ascii="Arial" w:cs="Arial" w:eastAsia="Arial" w:hAnsi="Arial"/>
          <w:sz w:val="18"/>
          <w:szCs w:val="18"/>
          <w:color w:val="auto"/>
        </w:rPr>
        <w:t xml:space="preserve"> </w:t>
      </w:r>
      <w:r>
        <w:rPr>
          <w:rFonts w:ascii="Arial" w:cs="Arial" w:eastAsia="Arial" w:hAnsi="Arial"/>
          <w:sz w:val="18"/>
          <w:szCs w:val="18"/>
          <w:i w:val="1"/>
          <w:iCs w:val="1"/>
          <w:color w:val="auto"/>
        </w:rPr>
        <w:t>earned premiums.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Higher net fee income at BCP Stand-alone and to a lesser extent, at BCP Bolivia and Mibanco, as indicated in section 5.1.2 Fee income in the banking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Growth in operating expenses, and the subsequent negative effect on the efficiency ratio, was due to the following:</w:t>
      </w:r>
    </w:p>
    <w:p>
      <w:pPr>
        <w:spacing w:after="0" w:line="225" w:lineRule="exact"/>
        <w:rPr>
          <w:sz w:val="20"/>
          <w:szCs w:val="20"/>
          <w:color w:val="auto"/>
        </w:rPr>
      </w:pPr>
    </w:p>
    <w:p>
      <w:pPr>
        <w:jc w:val="both"/>
        <w:ind w:left="660" w:hanging="328"/>
        <w:spacing w:after="0" w:line="255"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in salaries and employee benefits, which was registered mainly at Mibanco and to a lesser extent, at BCP Stand-alone and Credicorp Capital. In the case of Mibanco, the increase was attributable primarily to an 11.8% increase in headcount in 2019 as the sales force was bolstered and efforts were made to build capacities to harness growth down the line. At BCP, the increase was mainly associated with an increase in fixed compensation after new employees with specialized profiles were hired in 1H19 and, to a lesser extent, with an increase to cover additional productivity incentives in Retail Banking. Salaries and employee benefits at Credicorp Capital was attributable to an increase in headcount, mainly in Peru and Chile.</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increase in the depreciation and amortization line, due to growth in leasing expenses in 2019, as indicated in the YoY analysis.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Administrative, general</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2"/>
        </w:trPr>
        <w:tc>
          <w:tcPr>
            <w:tcW w:w="1500" w:type="dxa"/>
            <w:vAlign w:val="bottom"/>
            <w:gridSpan w:val="2"/>
          </w:tcPr>
          <w:p>
            <w:pPr>
              <w:spacing w:after="0" w:line="182" w:lineRule="exact"/>
              <w:rPr>
                <w:sz w:val="20"/>
                <w:szCs w:val="20"/>
                <w:color w:val="auto"/>
              </w:rPr>
            </w:pPr>
            <w:r>
              <w:rPr>
                <w:rFonts w:ascii="Arial" w:cs="Arial" w:eastAsia="Arial" w:hAnsi="Arial"/>
                <w:sz w:val="13"/>
                <w:szCs w:val="13"/>
                <w:b w:val="1"/>
                <w:bCs w:val="1"/>
                <w:color w:val="auto"/>
              </w:rPr>
              <w:t xml:space="preserve">and tax expenses </w:t>
            </w:r>
            <w:r>
              <w:rPr>
                <w:rFonts w:ascii="Arial" w:cs="Arial" w:eastAsia="Arial" w:hAnsi="Arial"/>
                <w:sz w:val="20"/>
                <w:szCs w:val="20"/>
                <w:b w:val="1"/>
                <w:bCs w:val="1"/>
                <w:color w:val="auto"/>
                <w:vertAlign w:val="superscript"/>
              </w:rPr>
              <w:t>(1)</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4"/>
          </w:tcPr>
          <w:p>
            <w:pPr>
              <w:ind w:left="520"/>
              <w:spacing w:after="0"/>
              <w:rPr>
                <w:sz w:val="20"/>
                <w:szCs w:val="20"/>
                <w:color w:val="auto"/>
              </w:rPr>
            </w:pPr>
            <w:r>
              <w:rPr>
                <w:rFonts w:ascii="Arial" w:cs="Arial" w:eastAsia="Arial" w:hAnsi="Arial"/>
                <w:sz w:val="13"/>
                <w:szCs w:val="13"/>
                <w:b w:val="1"/>
                <w:bCs w:val="1"/>
                <w:color w:val="auto"/>
              </w:rPr>
              <w:t>Quarter</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ind w:left="520"/>
              <w:spacing w:after="0"/>
              <w:rPr>
                <w:sz w:val="20"/>
                <w:szCs w:val="20"/>
                <w:color w:val="auto"/>
              </w:rPr>
            </w:pPr>
            <w:r>
              <w:rPr>
                <w:rFonts w:ascii="Arial" w:cs="Arial" w:eastAsia="Arial" w:hAnsi="Arial"/>
                <w:sz w:val="13"/>
                <w:szCs w:val="13"/>
                <w:b w:val="1"/>
                <w:bCs w:val="1"/>
                <w:color w:val="auto"/>
                <w:w w:val="92"/>
              </w:rPr>
              <w:t>% change</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660"/>
              <w:spacing w:after="0"/>
              <w:rPr>
                <w:sz w:val="20"/>
                <w:szCs w:val="20"/>
                <w:color w:val="auto"/>
              </w:rPr>
            </w:pPr>
            <w:r>
              <w:rPr>
                <w:rFonts w:ascii="Arial" w:cs="Arial" w:eastAsia="Arial" w:hAnsi="Arial"/>
                <w:sz w:val="13"/>
                <w:szCs w:val="13"/>
                <w:b w:val="1"/>
                <w:bCs w:val="1"/>
                <w:color w:val="auto"/>
              </w:rPr>
              <w:t>Year</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 change</w:t>
            </w:r>
          </w:p>
        </w:tc>
      </w:tr>
      <w:tr>
        <w:trPr>
          <w:trHeight w:val="153"/>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 000</w:t>
            </w: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4Q18</w:t>
            </w: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3Q19</w:t>
            </w:r>
          </w:p>
        </w:tc>
        <w:tc>
          <w:tcPr>
            <w:tcW w:w="220" w:type="dxa"/>
            <w:vAlign w:val="bottom"/>
            <w:tcBorders>
              <w:bottom w:val="single" w:sz="8" w:color="CCEEFF"/>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4Q19</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2019 / 2018</w:t>
            </w:r>
          </w:p>
        </w:tc>
        <w:tc>
          <w:tcPr>
            <w:tcW w:w="140" w:type="dxa"/>
            <w:vAlign w:val="bottom"/>
            <w:tcBorders>
              <w:bottom w:val="single" w:sz="8" w:color="CCEEFF"/>
            </w:tcBorders>
          </w:tcPr>
          <w:p>
            <w:pPr>
              <w:spacing w:after="0"/>
              <w:rPr>
                <w:sz w:val="13"/>
                <w:szCs w:val="13"/>
                <w:color w:val="auto"/>
              </w:rPr>
            </w:pPr>
          </w:p>
        </w:tc>
      </w:tr>
      <w:tr>
        <w:trPr>
          <w:trHeight w:val="129"/>
        </w:trPr>
        <w:tc>
          <w:tcPr>
            <w:tcW w:w="1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Marketing</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102,463</w:t>
            </w: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15%</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86,768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15%</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121,694</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18%</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40.3%</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18.8%</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327,832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374,675</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14.3%</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Taxes and contributions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68,646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65,981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77,685</w:t>
            </w:r>
          </w:p>
        </w:tc>
        <w:tc>
          <w:tcPr>
            <w:tcW w:w="4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17.7%</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13.2%</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244,400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274,556</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12.3%</w:t>
            </w: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Insfrastructure</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77,747</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76,719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83,411</w:t>
            </w:r>
          </w:p>
        </w:tc>
        <w:tc>
          <w:tcPr>
            <w:tcW w:w="4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8.7%</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288,163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304,862</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Systems outsourcing</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69,290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47,933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7,378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-84.6%</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-89.4%</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235,178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131,594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-44.0%</w:t>
            </w: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Programs and systems</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77,169</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69,462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84,076</w:t>
            </w:r>
          </w:p>
        </w:tc>
        <w:tc>
          <w:tcPr>
            <w:tcW w:w="4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21.0%</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265,958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286,925</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7.9%</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Communications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28,008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18,937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22,413</w:t>
            </w:r>
          </w:p>
        </w:tc>
        <w:tc>
          <w:tcPr>
            <w:tcW w:w="4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91,375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85,287</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-6.7%</w:t>
            </w: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Rent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50,720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12,037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28,675</w:t>
            </w:r>
          </w:p>
        </w:tc>
        <w:tc>
          <w:tcPr>
            <w:tcW w:w="4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138.2%</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-43.5%</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194,838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92,203</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-52.7%</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Consulting</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57,535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61,082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81,933</w:t>
            </w:r>
          </w:p>
        </w:tc>
        <w:tc>
          <w:tcPr>
            <w:tcW w:w="4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34.1%</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42.4%</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189,788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207,654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9.4%</w:t>
            </w: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Channels</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60,220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62,333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66,711</w:t>
            </w:r>
          </w:p>
        </w:tc>
        <w:tc>
          <w:tcPr>
            <w:tcW w:w="4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221,113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242,955</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Gastos Legales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19,632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8,793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18,483</w:t>
            </w:r>
          </w:p>
        </w:tc>
        <w:tc>
          <w:tcPr>
            <w:tcW w:w="4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110.2%</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47,814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44,462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w:t>
            </w: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6"/>
              </w:rPr>
              <w:t>Gastos de Representación</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5,503</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5,086</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17,914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20,568</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14.8%</w:t>
            </w: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3"/>
                <w:szCs w:val="13"/>
                <w:color w:val="auto"/>
              </w:rPr>
              <w:t>Seguros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20,469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16,417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20,063</w:t>
            </w:r>
          </w:p>
        </w:tc>
        <w:tc>
          <w:tcPr>
            <w:tcW w:w="44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22.2%</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51,644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61,802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19.7%</w:t>
            </w:r>
          </w:p>
        </w:tc>
      </w:tr>
      <w:tr>
        <w:trPr>
          <w:trHeight w:val="189"/>
        </w:trPr>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Others </w:t>
            </w:r>
            <w:r>
              <w:rPr>
                <w:rFonts w:ascii="Arial" w:cs="Arial" w:eastAsia="Arial" w:hAnsi="Arial"/>
                <w:sz w:val="20"/>
                <w:szCs w:val="20"/>
                <w:color w:val="auto"/>
                <w:vertAlign w:val="superscript"/>
              </w:rPr>
              <w:t>(2)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44,717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29,018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57,535</w:t>
            </w:r>
          </w:p>
        </w:tc>
        <w:tc>
          <w:tcPr>
            <w:tcW w:w="4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98.3%</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28.7%</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152,855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r>
      <w:tr>
        <w:trPr>
          <w:trHeight w:val="97"/>
        </w:trPr>
        <w:tc>
          <w:tcPr>
            <w:tcW w:w="150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Total administrative and</w:t>
            </w:r>
          </w:p>
        </w:tc>
        <w:tc>
          <w:tcPr>
            <w:tcW w:w="7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r>
      <w:tr>
        <w:trPr>
          <w:trHeight w:val="166"/>
        </w:trPr>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general expenses</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682,118</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560,780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675,142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20.4%</w:t>
            </w:r>
          </w:p>
        </w:tc>
        <w:tc>
          <w:tcPr>
            <w:tcW w:w="2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2,330,044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2,280,398</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-2.1%</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Administrative, general and tax expenses differ from previously reported because BCP Bolivia has been included.</w:t>
      </w:r>
    </w:p>
    <w:p>
      <w:pPr>
        <w:ind w:left="180" w:hanging="172"/>
        <w:spacing w:after="0"/>
        <w:tabs>
          <w:tab w:leader="none" w:pos="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Others include ASB, BCP Bolivia, Grupo Credito and eliminations for consolidation.</w:t>
      </w:r>
    </w:p>
    <w:p>
      <w:pPr>
        <w:spacing w:after="0" w:line="1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QoQ </w:t>
      </w:r>
      <w:r>
        <w:rPr>
          <w:rFonts w:ascii="Arial" w:cs="Arial" w:eastAsia="Arial" w:hAnsi="Arial"/>
          <w:sz w:val="18"/>
          <w:szCs w:val="18"/>
          <w:b w:val="1"/>
          <w:bCs w:val="1"/>
          <w:color w:val="auto"/>
        </w:rPr>
        <w:t>increase</w:t>
      </w:r>
      <w:r>
        <w:rPr>
          <w:rFonts w:ascii="Arial" w:cs="Arial" w:eastAsia="Arial" w:hAnsi="Arial"/>
          <w:sz w:val="18"/>
          <w:szCs w:val="18"/>
          <w:color w:val="auto"/>
        </w:rPr>
        <w:t xml:space="preserve"> in administrative and general expenses and taxes was attributable primarily to a seasonal effect given that this item reaches its highest point in the last quarter of every year.</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 analysis</w:t>
      </w:r>
      <w:r>
        <w:rPr>
          <w:rFonts w:ascii="Arial" w:cs="Arial" w:eastAsia="Arial" w:hAnsi="Arial"/>
          <w:sz w:val="17"/>
          <w:szCs w:val="17"/>
          <w:color w:val="auto"/>
        </w:rPr>
        <w:t>, which excludes the seasonal effect on operating expenses, reported a decrease that was mainly attributable to a drop in expenses for Systems Outsourcing and Leasing. This effect was registered due to the application of IFRS 16, which does not include financial leasing expenses in administrative and general expenses and taxes and instead reports approximately 90% of the same in the expenses for depreciation 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 the increase in</w:t>
      </w:r>
    </w:p>
    <w:p>
      <w:pPr>
        <w:spacing w:after="0" w:line="225" w:lineRule="exact"/>
        <w:rPr>
          <w:sz w:val="20"/>
          <w:szCs w:val="20"/>
          <w:color w:val="auto"/>
        </w:rPr>
      </w:pPr>
    </w:p>
    <w:p>
      <w:pPr>
        <w:ind w:left="880" w:hanging="49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Expenses for Consultants, mainly at BCP Stand-alone, for projects associated with transformation and improvements in IT models.</w:t>
      </w:r>
    </w:p>
    <w:p>
      <w:pPr>
        <w:spacing w:after="0" w:line="225" w:lineRule="exact"/>
        <w:rPr>
          <w:rFonts w:ascii="Arial" w:cs="Arial" w:eastAsia="Arial" w:hAnsi="Arial"/>
          <w:sz w:val="18"/>
          <w:szCs w:val="18"/>
          <w:color w:val="auto"/>
        </w:rPr>
      </w:pPr>
    </w:p>
    <w:p>
      <w:pPr>
        <w:ind w:left="880" w:hanging="494"/>
        <w:spacing w:after="0" w:line="308"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increase in Marketing, mainly at BCP Stand-alone, due to an increase in expenses for different campaigns to advertise Yape and to sell digital products, which are both part of the transformation strategy and, to a lesser extent, to the increase in expenses for Latam miles.</w:t>
      </w:r>
    </w:p>
    <w:p>
      <w:pPr>
        <w:spacing w:after="0" w:line="146" w:lineRule="exact"/>
        <w:rPr>
          <w:rFonts w:ascii="Arial" w:cs="Arial" w:eastAsia="Arial" w:hAnsi="Arial"/>
          <w:sz w:val="17"/>
          <w:szCs w:val="17"/>
          <w:color w:val="auto"/>
        </w:rPr>
      </w:pPr>
    </w:p>
    <w:p>
      <w:pPr>
        <w:jc w:val="both"/>
        <w:ind w:left="880" w:hanging="494"/>
        <w:spacing w:after="0" w:line="264"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increase in Programming and Systems expenses, mainly at Prima AFP, which has invested in a project to improve the system’s functionality. Additionally, the balance of this account has grown across subsidiaries, which reflects Credicorp’s on-going efforts to improve the systems at its subsidiaries.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FY posted an evolution similar to that of YoY; nevertheless, it also registered strong growth in expenses in Credicorp’s channels after fee income increased along with an uptick in the volume of national and international transfers, as is evident in chapter 5.1.2. Fee income for the Banking Business.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7.2. Efficiency Ratio</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9"/>
          </w:tcPr>
          <w:p>
            <w:pPr>
              <w:ind w:left="800"/>
              <w:spacing w:after="0"/>
              <w:rPr>
                <w:sz w:val="20"/>
                <w:szCs w:val="20"/>
                <w:color w:val="auto"/>
              </w:rPr>
            </w:pPr>
            <w:r>
              <w:rPr>
                <w:rFonts w:ascii="Arial" w:cs="Arial" w:eastAsia="Arial" w:hAnsi="Arial"/>
                <w:sz w:val="18"/>
                <w:szCs w:val="18"/>
                <w:b w:val="1"/>
                <w:bCs w:val="1"/>
                <w:color w:val="auto"/>
              </w:rPr>
              <w:t xml:space="preserve">Efficiency Ratio by Subsidiary </w:t>
            </w:r>
            <w:r>
              <w:rPr>
                <w:rFonts w:ascii="Arial" w:cs="Arial" w:eastAsia="Arial" w:hAnsi="Arial"/>
                <w:sz w:val="30"/>
                <w:szCs w:val="30"/>
                <w:b w:val="1"/>
                <w:bCs w:val="1"/>
                <w:color w:val="auto"/>
                <w:vertAlign w:val="superscript"/>
              </w:rPr>
              <w:t>(1)(2)</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BCP</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Stand-alone</w:t>
            </w:r>
          </w:p>
        </w:tc>
        <w:tc>
          <w:tcPr>
            <w:tcW w:w="380" w:type="dxa"/>
            <w:vAlign w:val="bottom"/>
          </w:tcPr>
          <w:p>
            <w:pPr>
              <w:spacing w:after="0"/>
              <w:rPr>
                <w:sz w:val="20"/>
                <w:szCs w:val="20"/>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BCP Bolivia</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Mibanco</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pacifico</w:t>
            </w:r>
          </w:p>
        </w:tc>
        <w:tc>
          <w:tcPr>
            <w:tcW w:w="1440" w:type="dxa"/>
            <w:vAlign w:val="bottom"/>
            <w:gridSpan w:val="4"/>
          </w:tcPr>
          <w:p>
            <w:pPr>
              <w:ind w:left="20"/>
              <w:spacing w:after="0"/>
              <w:rPr>
                <w:sz w:val="20"/>
                <w:szCs w:val="20"/>
                <w:color w:val="auto"/>
              </w:rPr>
            </w:pPr>
            <w:r>
              <w:rPr>
                <w:rFonts w:ascii="Arial" w:cs="Arial" w:eastAsia="Arial" w:hAnsi="Arial"/>
                <w:sz w:val="18"/>
                <w:szCs w:val="18"/>
                <w:b w:val="1"/>
                <w:bCs w:val="1"/>
                <w:color w:val="auto"/>
              </w:rPr>
              <w:t>Prima AFP</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credicorp</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4Q18</w:t>
            </w:r>
          </w:p>
        </w:tc>
        <w:tc>
          <w:tcPr>
            <w:tcW w:w="960" w:type="dxa"/>
            <w:vAlign w:val="bottom"/>
            <w:gridSpan w:val="2"/>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44.8%</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34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3Q19</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40.8%</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4Q19</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43.8%</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34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Var. QoQ</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300bps</w:t>
            </w:r>
          </w:p>
        </w:tc>
        <w:tc>
          <w:tcPr>
            <w:tcW w:w="1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330bps</w:t>
            </w: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350bps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-10bps</w:t>
            </w:r>
          </w:p>
        </w:tc>
        <w:tc>
          <w:tcPr>
            <w:tcW w:w="10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110bps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250bps</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Var. YoY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-100bps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-560bps</w:t>
            </w:r>
          </w:p>
        </w:tc>
        <w:tc>
          <w:tcPr>
            <w:tcW w:w="138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470bps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-150bps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230bps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20bps</w:t>
            </w:r>
          </w:p>
        </w:tc>
        <w:tc>
          <w:tcPr>
            <w:tcW w:w="0" w:type="dxa"/>
            <w:vAlign w:val="bottom"/>
          </w:tcPr>
          <w:p>
            <w:pPr>
              <w:spacing w:after="0"/>
              <w:rPr>
                <w:sz w:val="1"/>
                <w:szCs w:val="1"/>
                <w:color w:val="auto"/>
              </w:rPr>
            </w:pPr>
          </w:p>
        </w:tc>
      </w:tr>
      <w:tr>
        <w:trPr>
          <w:trHeight w:val="216"/>
        </w:trPr>
        <w:tc>
          <w:tcPr>
            <w:tcW w:w="34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41.8%</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40.7%</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3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 change 2019 / 2018</w:t>
            </w:r>
          </w:p>
        </w:tc>
        <w:tc>
          <w:tcPr>
            <w:tcW w:w="120" w:type="dxa"/>
            <w:vAlign w:val="bottom"/>
          </w:tcPr>
          <w:p>
            <w:pPr>
              <w:spacing w:after="0"/>
              <w:rPr>
                <w:sz w:val="19"/>
                <w:szCs w:val="19"/>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b w:val="1"/>
                <w:bCs w:val="1"/>
                <w:color w:val="auto"/>
                <w:w w:val="99"/>
              </w:rPr>
              <w:t>-110bps</w:t>
            </w:r>
          </w:p>
        </w:tc>
        <w:tc>
          <w:tcPr>
            <w:tcW w:w="10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b w:val="1"/>
                <w:bCs w:val="1"/>
                <w:color w:val="auto"/>
              </w:rPr>
              <w:t>-330bps</w:t>
            </w: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490bps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-340bps</w:t>
            </w:r>
          </w:p>
        </w:tc>
        <w:tc>
          <w:tcPr>
            <w:tcW w:w="100" w:type="dxa"/>
            <w:vAlign w:val="bottom"/>
          </w:tcPr>
          <w:p>
            <w:pPr>
              <w:spacing w:after="0"/>
              <w:rPr>
                <w:sz w:val="19"/>
                <w:szCs w:val="19"/>
                <w:color w:val="auto"/>
              </w:rPr>
            </w:pPr>
          </w:p>
        </w:tc>
        <w:tc>
          <w:tcPr>
            <w:tcW w:w="1340" w:type="dxa"/>
            <w:vAlign w:val="bottom"/>
            <w:gridSpan w:val="3"/>
          </w:tcPr>
          <w:p>
            <w:pPr>
              <w:ind w:left="500"/>
              <w:spacing w:after="0"/>
              <w:rPr>
                <w:sz w:val="20"/>
                <w:szCs w:val="20"/>
                <w:color w:val="auto"/>
              </w:rPr>
            </w:pPr>
            <w:r>
              <w:rPr>
                <w:rFonts w:ascii="Arial" w:cs="Arial" w:eastAsia="Arial" w:hAnsi="Arial"/>
                <w:sz w:val="18"/>
                <w:szCs w:val="18"/>
                <w:b w:val="1"/>
                <w:bCs w:val="1"/>
                <w:color w:val="auto"/>
              </w:rPr>
              <w:t>-240bps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-30bps</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6" w:lineRule="auto"/>
        <w:tabs>
          <w:tab w:leader="none" w:pos="2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efficiency ratio differs from previously reported, please consider the data presented on this report.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QoQ analysis, the deterioration in the efficiency ratio was attributable to the seasonal nature of operating expenses. As such, the YoY analysis provides a clearer picture of the business result.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contribution of each subsidiary to the evolution of the efficiency ratio YoY.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525895" cy="2143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2589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right="400" w:hanging="4"/>
        <w:spacing w:after="0" w:line="277" w:lineRule="auto"/>
        <w:tabs>
          <w:tab w:leader="none" w:pos="3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Credito, among other subsidiaries and the eliminations for consolidation purposes.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efficiency ratio deteriorated 20 bps. This was primarily attributable to Mibanco, which registered an increase in salaries and employee benefits due to an increase in headcount. An increase was also reported in operating expenses at Credicorp Capital, mainly due to the higher salaries and employee benefits expenses, in line with the increase in the headcount.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was attenuated by an improvement in business evolution at Grupo Pacifico after net earned premiums registered an increase in the Life insurance line and at BCP Stand-alone, which went hand-in-hand with growth in net interest income. It is important to note that the increase in net earned premiums was offset by growth in net claims, which are not included in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the FY analysis, the efficiency ratio by subsidiary improved 30 bps. The following figure shows the impact of the variation at each subsidiary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Credicorp’s efficiency ratio:</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FY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154940</wp:posOffset>
            </wp:positionV>
            <wp:extent cx="6534785" cy="1929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3478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8"/>
        <w:spacing w:after="0" w:line="277" w:lineRule="auto"/>
        <w:tabs>
          <w:tab w:leader="none" w:pos="283"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Credito, among other subsidiaries and the eliminations for consolidation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Credicorp’s efficiency ratio is attributable to:</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Grupo Pacífico, which reported an improvement that was primarily due to an increase in operating income after net earned premiums registered growth, mainly in the Life line. It is important to note that growth in net earned premiums was attenuated by the increase registered in net claims, which are not included in operating expenses and;</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improvement in the efficiency ratio at BCP Stand-alone, in a scenario in which growth in operating income fell below that of operating expenses. The increase in operating expenses was due primarily to growth in interest income on loans, which went hand-in-hand with an increase in average daily balances. The aforementioned offset growth in administrative expenses, as indicated in section 7.1. Credicorp – Administrative and general expenses and taxes.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offset the deterioration in the efficiency ratio at (i) Mibanco, which was attributable to an increase in headcount for the sales force to strengthen long-term capabilities and to the reduction in net interest income, which was primarily due to and more competitive environment and (ii) Credicorp Capital, due to an increase in expenses for salaries and employee benefits after the headcount increased.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3"/>
          </w:tcPr>
          <w:p>
            <w:pPr>
              <w:ind w:left="160"/>
              <w:spacing w:after="0"/>
              <w:rPr>
                <w:sz w:val="20"/>
                <w:szCs w:val="20"/>
                <w:color w:val="auto"/>
              </w:rPr>
            </w:pPr>
            <w:r>
              <w:rPr>
                <w:rFonts w:ascii="Arial" w:cs="Arial" w:eastAsia="Arial" w:hAnsi="Arial"/>
                <w:sz w:val="18"/>
                <w:szCs w:val="18"/>
                <w:b w:val="1"/>
                <w:bCs w:val="1"/>
                <w:color w:val="auto"/>
              </w:rPr>
              <w:t>Regulatory Capital</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8.1. Regulatory Capital – BAP</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4Q18</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3Q19</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4Q19</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320" w:type="dxa"/>
            <w:vAlign w:val="bottom"/>
            <w:gridSpan w:val="4"/>
          </w:tcPr>
          <w:p>
            <w:pPr>
              <w:spacing w:after="0"/>
              <w:rPr>
                <w:sz w:val="20"/>
                <w:szCs w:val="20"/>
                <w:color w:val="auto"/>
              </w:rPr>
            </w:pPr>
            <w:r>
              <w:rPr>
                <w:rFonts w:ascii="Arial" w:cs="Arial" w:eastAsia="Arial" w:hAnsi="Arial"/>
                <w:sz w:val="18"/>
                <w:szCs w:val="18"/>
                <w:color w:val="auto"/>
              </w:rPr>
              <w:t>Treasury Stocks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(207,994)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(207,839)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(207,839)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246,194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222,605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226,037</w:t>
            </w:r>
          </w:p>
        </w:tc>
        <w:tc>
          <w:tcPr>
            <w:tcW w:w="20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5320" w:type="dxa"/>
            <w:vAlign w:val="bottom"/>
            <w:gridSpan w:val="4"/>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17,598,556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19,416,912</w:t>
            </w:r>
          </w:p>
        </w:tc>
        <w:tc>
          <w:tcPr>
            <w:tcW w:w="1020" w:type="dxa"/>
            <w:vAlign w:val="bottom"/>
          </w:tcPr>
          <w:p>
            <w:pPr>
              <w:jc w:val="right"/>
              <w:spacing w:after="0"/>
              <w:rPr>
                <w:sz w:val="20"/>
                <w:szCs w:val="20"/>
                <w:color w:val="auto"/>
              </w:rPr>
            </w:pPr>
            <w:r>
              <w:rPr>
                <w:rFonts w:ascii="Arial" w:cs="Arial" w:eastAsia="Arial" w:hAnsi="Arial"/>
                <w:sz w:val="18"/>
                <w:szCs w:val="18"/>
                <w:color w:val="auto"/>
              </w:rPr>
              <w:t>19,437,645</w:t>
            </w:r>
          </w:p>
        </w:tc>
        <w:tc>
          <w:tcPr>
            <w:tcW w:w="20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53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311,230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357,157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393,019</w:t>
            </w:r>
          </w:p>
        </w:tc>
        <w:tc>
          <w:tcPr>
            <w:tcW w:w="200" w:type="dxa"/>
            <w:vAlign w:val="bottom"/>
            <w:tcBorders>
              <w:left w:val="single" w:sz="8" w:color="CCEEFF"/>
            </w:tcBorders>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5320" w:type="dxa"/>
            <w:vAlign w:val="bottom"/>
            <w:gridSpan w:val="4"/>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1,591,484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1,633,135</w:t>
            </w:r>
          </w:p>
        </w:tc>
        <w:tc>
          <w:tcPr>
            <w:tcW w:w="1020" w:type="dxa"/>
            <w:vAlign w:val="bottom"/>
          </w:tcPr>
          <w:p>
            <w:pPr>
              <w:jc w:val="right"/>
              <w:spacing w:after="0"/>
              <w:rPr>
                <w:sz w:val="20"/>
                <w:szCs w:val="20"/>
                <w:color w:val="auto"/>
              </w:rPr>
            </w:pPr>
            <w:r>
              <w:rPr>
                <w:rFonts w:ascii="Arial" w:cs="Arial" w:eastAsia="Arial" w:hAnsi="Arial"/>
                <w:sz w:val="18"/>
                <w:szCs w:val="18"/>
                <w:color w:val="auto"/>
              </w:rPr>
              <w:t>1,690,510</w:t>
            </w:r>
          </w:p>
        </w:tc>
        <w:tc>
          <w:tcPr>
            <w:tcW w:w="20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674,600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592,025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gridSpan w:val="4"/>
          </w:tcPr>
          <w:p>
            <w:pPr>
              <w:spacing w:after="0"/>
              <w:rPr>
                <w:sz w:val="20"/>
                <w:szCs w:val="20"/>
                <w:color w:val="auto"/>
              </w:rPr>
            </w:pPr>
            <w:r>
              <w:rPr>
                <w:rFonts w:ascii="Arial" w:cs="Arial" w:eastAsia="Arial" w:hAnsi="Arial"/>
                <w:sz w:val="18"/>
                <w:szCs w:val="18"/>
                <w:color w:val="auto"/>
              </w:rPr>
              <w:t>Subordinated Debt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4,770,421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4,778,365</w:t>
            </w:r>
          </w:p>
        </w:tc>
        <w:tc>
          <w:tcPr>
            <w:tcW w:w="1020" w:type="dxa"/>
            <w:vAlign w:val="bottom"/>
          </w:tcPr>
          <w:p>
            <w:pPr>
              <w:jc w:val="right"/>
              <w:spacing w:after="0"/>
              <w:rPr>
                <w:sz w:val="20"/>
                <w:szCs w:val="20"/>
                <w:color w:val="auto"/>
              </w:rPr>
            </w:pPr>
            <w:r>
              <w:rPr>
                <w:rFonts w:ascii="Arial" w:cs="Arial" w:eastAsia="Arial" w:hAnsi="Arial"/>
                <w:sz w:val="18"/>
                <w:szCs w:val="18"/>
                <w:color w:val="auto"/>
              </w:rPr>
              <w:t>4,409,840</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5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4"/>
              </w:rPr>
              <w:t>Investments in equity and subordinated debt of financial and insurance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companies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(648,230)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(775,048)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(700,859)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32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(591,366)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(621,686)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(834,881)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5"/>
        </w:trPr>
        <w:tc>
          <w:tcPr>
            <w:tcW w:w="532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color w:val="auto"/>
              </w:rPr>
              <w:t>Deduction for subordinated debt limit (50% of Tier I excluding</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320" w:type="dxa"/>
            <w:vAlign w:val="bottom"/>
            <w:gridSpan w:val="4"/>
            <w:shd w:val="clear" w:color="auto" w:fill="CCEEFF"/>
          </w:tcPr>
          <w:p>
            <w:pPr>
              <w:spacing w:after="0" w:line="266" w:lineRule="exact"/>
              <w:rPr>
                <w:sz w:val="20"/>
                <w:szCs w:val="20"/>
                <w:color w:val="auto"/>
              </w:rPr>
            </w:pPr>
            <w:r>
              <w:rPr>
                <w:rFonts w:ascii="Arial" w:cs="Arial" w:eastAsia="Arial" w:hAnsi="Arial"/>
                <w:sz w:val="18"/>
                <w:szCs w:val="18"/>
                <w:color w:val="auto"/>
              </w:rPr>
              <w:t xml:space="preserve">deductions) </w:t>
            </w:r>
            <w:r>
              <w:rPr>
                <w:rFonts w:ascii="Arial" w:cs="Arial" w:eastAsia="Arial" w:hAnsi="Arial"/>
                <w:sz w:val="30"/>
                <w:szCs w:val="30"/>
                <w:color w:val="auto"/>
                <w:vertAlign w:val="superscript"/>
              </w:rPr>
              <w:t>(4)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gridSpan w:val="4"/>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4"/>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4"/>
            <w:vMerge w:val="continue"/>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25,063,888</w:t>
            </w:r>
          </w:p>
        </w:tc>
        <w:tc>
          <w:tcPr>
            <w:tcW w:w="220" w:type="dxa"/>
            <w:vAlign w:val="bottom"/>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26,714,619</w:t>
            </w:r>
          </w:p>
        </w:tc>
        <w:tc>
          <w:tcPr>
            <w:tcW w:w="220" w:type="dxa"/>
            <w:vAlign w:val="bottom"/>
            <w:vMerge w:val="continue"/>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25,732,465</w:t>
            </w:r>
          </w:p>
        </w:tc>
        <w:tc>
          <w:tcPr>
            <w:tcW w:w="200" w:type="dxa"/>
            <w:vAlign w:val="bottom"/>
            <w:tcBorders>
              <w:left w:val="single" w:sz="8" w:color="CCEEFF"/>
            </w:tcBorders>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5320" w:type="dxa"/>
            <w:vAlign w:val="bottom"/>
            <w:gridSpan w:val="4"/>
            <w:vMerge w:val="restart"/>
          </w:tcPr>
          <w:p>
            <w:pPr>
              <w:spacing w:after="0" w:line="256"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9"/>
                <w:szCs w:val="29"/>
                <w:color w:val="auto"/>
                <w:vertAlign w:val="superscript"/>
              </w:rPr>
              <w:t>(5)</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gridSpan w:val="4"/>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13,498,505</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14,739,047</w:t>
            </w:r>
          </w:p>
        </w:tc>
        <w:tc>
          <w:tcPr>
            <w:tcW w:w="1020" w:type="dxa"/>
            <w:vAlign w:val="bottom"/>
          </w:tcPr>
          <w:p>
            <w:pPr>
              <w:jc w:val="right"/>
              <w:spacing w:after="0"/>
              <w:rPr>
                <w:sz w:val="20"/>
                <w:szCs w:val="20"/>
                <w:color w:val="auto"/>
              </w:rPr>
            </w:pPr>
            <w:r>
              <w:rPr>
                <w:rFonts w:ascii="Arial" w:cs="Arial" w:eastAsia="Arial" w:hAnsi="Arial"/>
                <w:sz w:val="18"/>
                <w:szCs w:val="18"/>
                <w:color w:val="auto"/>
              </w:rPr>
              <w:t>14,010,215</w:t>
            </w: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53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 Tier 3 </w:t>
            </w:r>
            <w:r>
              <w:rPr>
                <w:rFonts w:ascii="Arial" w:cs="Arial" w:eastAsia="Arial" w:hAnsi="Arial"/>
                <w:sz w:val="29"/>
                <w:szCs w:val="29"/>
                <w:color w:val="auto"/>
                <w:vertAlign w:val="superscript"/>
              </w:rPr>
              <w:t>(7)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11,565,383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11,975,572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11,722,249</w:t>
            </w:r>
          </w:p>
        </w:tc>
        <w:tc>
          <w:tcPr>
            <w:tcW w:w="200" w:type="dxa"/>
            <w:vAlign w:val="bottom"/>
            <w:tcBorders>
              <w:left w:val="single" w:sz="8" w:color="CCEEFF"/>
            </w:tcBorders>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5"/>
        </w:trPr>
        <w:tc>
          <w:tcPr>
            <w:tcW w:w="5320" w:type="dxa"/>
            <w:vAlign w:val="bottom"/>
            <w:gridSpan w:val="4"/>
          </w:tcPr>
          <w:p>
            <w:pPr>
              <w:spacing w:after="0" w:line="206" w:lineRule="exact"/>
              <w:rPr>
                <w:sz w:val="20"/>
                <w:szCs w:val="20"/>
                <w:color w:val="auto"/>
              </w:rPr>
            </w:pPr>
            <w:r>
              <w:rPr>
                <w:rFonts w:ascii="Arial" w:cs="Arial" w:eastAsia="Arial" w:hAnsi="Arial"/>
                <w:sz w:val="18"/>
                <w:szCs w:val="18"/>
                <w:color w:val="auto"/>
              </w:rPr>
              <w:t>Financial Consolidated Group (FCG) Regulatory Capital</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320" w:type="dxa"/>
            <w:vAlign w:val="bottom"/>
            <w:gridSpan w:val="4"/>
          </w:tcPr>
          <w:p>
            <w:pPr>
              <w:spacing w:after="0" w:line="266" w:lineRule="exact"/>
              <w:rPr>
                <w:sz w:val="20"/>
                <w:szCs w:val="20"/>
                <w:color w:val="auto"/>
              </w:rPr>
            </w:pPr>
            <w:r>
              <w:rPr>
                <w:rFonts w:ascii="Arial" w:cs="Arial" w:eastAsia="Arial" w:hAnsi="Arial"/>
                <w:sz w:val="18"/>
                <w:szCs w:val="18"/>
                <w:color w:val="auto"/>
              </w:rPr>
              <w:t xml:space="preserve">Requirements </w:t>
            </w:r>
            <w:r>
              <w:rPr>
                <w:rFonts w:ascii="Arial" w:cs="Arial" w:eastAsia="Arial" w:hAnsi="Arial"/>
                <w:sz w:val="30"/>
                <w:szCs w:val="30"/>
                <w:color w:val="auto"/>
                <w:vertAlign w:val="superscript"/>
              </w:rPr>
              <w:t>(8)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19,629,305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20,170,802</w:t>
            </w:r>
          </w:p>
        </w:tc>
        <w:tc>
          <w:tcPr>
            <w:tcW w:w="1020" w:type="dxa"/>
            <w:vAlign w:val="bottom"/>
          </w:tcPr>
          <w:p>
            <w:pPr>
              <w:jc w:val="right"/>
              <w:spacing w:after="0"/>
              <w:rPr>
                <w:sz w:val="20"/>
                <w:szCs w:val="20"/>
                <w:color w:val="auto"/>
              </w:rPr>
            </w:pPr>
            <w:r>
              <w:rPr>
                <w:rFonts w:ascii="Arial" w:cs="Arial" w:eastAsia="Arial" w:hAnsi="Arial"/>
                <w:sz w:val="18"/>
                <w:szCs w:val="18"/>
                <w:color w:val="auto"/>
              </w:rPr>
              <w:t>20,686,904</w:t>
            </w:r>
          </w:p>
        </w:tc>
        <w:tc>
          <w:tcPr>
            <w:tcW w:w="20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53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Insurance Consolidated Group (ICG) Capital Requirements </w:t>
            </w:r>
            <w:r>
              <w:rPr>
                <w:rFonts w:ascii="Arial" w:cs="Arial" w:eastAsia="Arial" w:hAnsi="Arial"/>
                <w:sz w:val="29"/>
                <w:szCs w:val="29"/>
                <w:color w:val="auto"/>
                <w:vertAlign w:val="superscript"/>
              </w:rPr>
              <w:t>(9)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1,139,617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1,199,850</w:t>
            </w:r>
          </w:p>
        </w:tc>
        <w:tc>
          <w:tcPr>
            <w:tcW w:w="200" w:type="dxa"/>
            <w:vAlign w:val="bottom"/>
            <w:tcBorders>
              <w:left w:val="single" w:sz="8" w:color="CCEEFF"/>
            </w:tcBorders>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5320" w:type="dxa"/>
            <w:vAlign w:val="bottom"/>
            <w:gridSpan w:val="4"/>
          </w:tcPr>
          <w:p>
            <w:pPr>
              <w:spacing w:after="0"/>
              <w:rPr>
                <w:sz w:val="20"/>
                <w:szCs w:val="20"/>
                <w:color w:val="auto"/>
              </w:rPr>
            </w:pPr>
            <w:r>
              <w:rPr>
                <w:rFonts w:ascii="Arial" w:cs="Arial" w:eastAsia="Arial" w:hAnsi="Arial"/>
                <w:sz w:val="18"/>
                <w:szCs w:val="18"/>
                <w:color w:val="auto"/>
              </w:rPr>
              <w:t>FCG Capital Requirements related to operations with ICG</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(212,498)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(236,036)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(329,262)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ICG Capital Requirements related to operations with FCG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4"/>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20,436,791</w:t>
            </w:r>
          </w:p>
        </w:tc>
        <w:tc>
          <w:tcPr>
            <w:tcW w:w="2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21,074,383</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21,557,491</w:t>
            </w: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tcBorders>
              <w:top w:val="single" w:sz="8" w:color="CCEEFF"/>
              <w:left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gridSpan w:val="4"/>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13,465 million) and optional capital reserves (S/ 5,972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Minority interest includes Tier I (S/ 393 million).</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Perú, Solucion Empresa Administradora Hipotecaria, Mibanco and Atlantic Security Bank.</w:t>
      </w: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regulatory capital at Credicorp fell-3.7% QoQ. This was primarily due to -7.7% decrease in subordinated debt and in perpetual subordinated debt in its entirety after a subordinated bond expired and a perpetual subordinated bond at BCP Stand-alone was called. Growth of +2.7% was reported in YoY terms after an increase was registered in legal and restricted reserves, as announced in 1Q19. Additionally, Credicorp’s regulatory capital requirement rose 2.3% QoQ and 5.5% YoY.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Regulatory Capital Ratio remained at comfortable levels at the end of 4Q19 and represented 1.19 times the capital required by the regulator in Peru at the end of 4Q19.</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8.2. Regulatory Capital – BCP Stand-alone based on Peru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and Capital Adequacy Ratios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800"/>
              <w:spacing w:after="0"/>
              <w:rPr>
                <w:sz w:val="20"/>
                <w:szCs w:val="20"/>
                <w:color w:val="auto"/>
              </w:rPr>
            </w:pPr>
            <w:r>
              <w:rPr>
                <w:rFonts w:ascii="Arial" w:cs="Arial" w:eastAsia="Arial" w:hAnsi="Arial"/>
                <w:sz w:val="16"/>
                <w:szCs w:val="16"/>
                <w:b w:val="1"/>
                <w:bCs w:val="1"/>
                <w:color w:val="auto"/>
                <w:w w:val="99"/>
              </w:rPr>
              <w:t>% change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4Q18</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3Q19</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4Q19</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Stock</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8,770,365</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10,217,387</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10,217,387</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3"/>
        </w:trPr>
        <w:tc>
          <w:tcPr>
            <w:tcW w:w="5200" w:type="dxa"/>
            <w:vAlign w:val="bottom"/>
            <w:gridSpan w:val="2"/>
          </w:tcPr>
          <w:p>
            <w:pPr>
              <w:ind w:left="40"/>
              <w:spacing w:after="0"/>
              <w:rPr>
                <w:sz w:val="20"/>
                <w:szCs w:val="20"/>
                <w:color w:val="auto"/>
              </w:rPr>
            </w:pPr>
            <w:r>
              <w:rPr>
                <w:rFonts w:ascii="Arial" w:cs="Arial" w:eastAsia="Arial" w:hAnsi="Arial"/>
                <w:sz w:val="16"/>
                <w:szCs w:val="16"/>
                <w:color w:val="auto"/>
              </w:rPr>
              <w:t>Legal and Other capital reserves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4,184,309</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4,695,118</w:t>
            </w:r>
          </w:p>
        </w:tc>
        <w:tc>
          <w:tcPr>
            <w:tcW w:w="1020" w:type="dxa"/>
            <w:vAlign w:val="bottom"/>
          </w:tcPr>
          <w:p>
            <w:pPr>
              <w:jc w:val="right"/>
              <w:spacing w:after="0"/>
              <w:rPr>
                <w:sz w:val="20"/>
                <w:szCs w:val="20"/>
                <w:color w:val="auto"/>
              </w:rPr>
            </w:pPr>
            <w:r>
              <w:rPr>
                <w:rFonts w:ascii="Arial" w:cs="Arial" w:eastAsia="Arial" w:hAnsi="Arial"/>
                <w:sz w:val="16"/>
                <w:szCs w:val="16"/>
                <w:color w:val="auto"/>
              </w:rPr>
              <w:t>4,695,118</w:t>
            </w:r>
          </w:p>
        </w:tc>
        <w:tc>
          <w:tcPr>
            <w:tcW w:w="2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Accumulated earnings with capitalization agreement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850,000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850,000</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line="242" w:lineRule="exact"/>
              <w:rPr>
                <w:sz w:val="20"/>
                <w:szCs w:val="20"/>
                <w:color w:val="auto"/>
              </w:rPr>
            </w:pPr>
            <w:r>
              <w:rPr>
                <w:rFonts w:ascii="Arial" w:cs="Arial" w:eastAsia="Arial" w:hAnsi="Arial"/>
                <w:sz w:val="16"/>
                <w:szCs w:val="16"/>
                <w:color w:val="auto"/>
              </w:rPr>
              <w:t xml:space="preserve">Loan loss reserves </w:t>
            </w:r>
            <w:r>
              <w:rPr>
                <w:rFonts w:ascii="Arial" w:cs="Arial" w:eastAsia="Arial" w:hAnsi="Arial"/>
                <w:sz w:val="27"/>
                <w:szCs w:val="27"/>
                <w:color w:val="auto"/>
                <w:vertAlign w:val="superscript"/>
              </w:rPr>
              <w:t>(1)</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1,307,303</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1,320,345</w:t>
            </w:r>
          </w:p>
        </w:tc>
        <w:tc>
          <w:tcPr>
            <w:tcW w:w="1020" w:type="dxa"/>
            <w:vAlign w:val="bottom"/>
          </w:tcPr>
          <w:p>
            <w:pPr>
              <w:jc w:val="right"/>
              <w:spacing w:after="0"/>
              <w:rPr>
                <w:sz w:val="20"/>
                <w:szCs w:val="20"/>
                <w:color w:val="auto"/>
              </w:rPr>
            </w:pPr>
            <w:r>
              <w:rPr>
                <w:rFonts w:ascii="Arial" w:cs="Arial" w:eastAsia="Arial" w:hAnsi="Arial"/>
                <w:sz w:val="16"/>
                <w:szCs w:val="16"/>
                <w:color w:val="auto"/>
              </w:rPr>
              <w:t>1,367,259</w:t>
            </w:r>
          </w:p>
        </w:tc>
        <w:tc>
          <w:tcPr>
            <w:tcW w:w="240" w:type="dxa"/>
            <w:vAlign w:val="bottom"/>
          </w:tcPr>
          <w:p>
            <w:pPr>
              <w:spacing w:after="0"/>
              <w:rPr>
                <w:sz w:val="21"/>
                <w:szCs w:val="21"/>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Perpetual subordinated debt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674,600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592,025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200" w:type="dxa"/>
            <w:vAlign w:val="bottom"/>
            <w:gridSpan w:val="2"/>
          </w:tcPr>
          <w:p>
            <w:pPr>
              <w:ind w:left="40"/>
              <w:spacing w:after="0"/>
              <w:rPr>
                <w:sz w:val="20"/>
                <w:szCs w:val="20"/>
                <w:color w:val="auto"/>
              </w:rPr>
            </w:pPr>
            <w:r>
              <w:rPr>
                <w:rFonts w:ascii="Arial" w:cs="Arial" w:eastAsia="Arial" w:hAnsi="Arial"/>
                <w:sz w:val="16"/>
                <w:szCs w:val="16"/>
                <w:color w:val="auto"/>
              </w:rPr>
              <w:t>Subordinated Debt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4,224,153</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4,319,204</w:t>
            </w:r>
          </w:p>
        </w:tc>
        <w:tc>
          <w:tcPr>
            <w:tcW w:w="1020" w:type="dxa"/>
            <w:vAlign w:val="bottom"/>
          </w:tcPr>
          <w:p>
            <w:pPr>
              <w:jc w:val="right"/>
              <w:spacing w:after="0"/>
              <w:rPr>
                <w:sz w:val="20"/>
                <w:szCs w:val="20"/>
                <w:color w:val="auto"/>
              </w:rPr>
            </w:pPr>
            <w:r>
              <w:rPr>
                <w:rFonts w:ascii="Arial" w:cs="Arial" w:eastAsia="Arial" w:hAnsi="Arial"/>
                <w:sz w:val="16"/>
                <w:szCs w:val="16"/>
                <w:color w:val="auto"/>
              </w:rPr>
              <w:t>3,980,904</w:t>
            </w:r>
          </w:p>
        </w:tc>
        <w:tc>
          <w:tcPr>
            <w:tcW w:w="2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profit (loss)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00" w:type="dxa"/>
            <w:vAlign w:val="bottom"/>
            <w:gridSpan w:val="2"/>
          </w:tcPr>
          <w:p>
            <w:pPr>
              <w:ind w:left="40"/>
              <w:spacing w:after="0"/>
              <w:rPr>
                <w:sz w:val="20"/>
                <w:szCs w:val="20"/>
                <w:color w:val="auto"/>
              </w:rPr>
            </w:pPr>
            <w:r>
              <w:rPr>
                <w:rFonts w:ascii="Arial" w:cs="Arial" w:eastAsia="Arial" w:hAnsi="Arial"/>
                <w:sz w:val="16"/>
                <w:szCs w:val="16"/>
                <w:color w:val="auto"/>
                <w:w w:val="94"/>
              </w:rPr>
              <w:t>Investment in subsidiaries and others, net of unrealized profit and net income</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(1,359,608)</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(1,722,979)</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(1,580,583)</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Investment in subsidiaries and others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(1,794,992)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(2,006,574)</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(1,965,037)</w:t>
            </w: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5200" w:type="dxa"/>
            <w:vAlign w:val="bottom"/>
            <w:gridSpan w:val="2"/>
          </w:tcPr>
          <w:p>
            <w:pPr>
              <w:ind w:left="400"/>
              <w:spacing w:after="0"/>
              <w:rPr>
                <w:sz w:val="20"/>
                <w:szCs w:val="20"/>
                <w:color w:val="auto"/>
              </w:rPr>
            </w:pPr>
            <w:r>
              <w:rPr>
                <w:rFonts w:ascii="Arial" w:cs="Arial" w:eastAsia="Arial" w:hAnsi="Arial"/>
                <w:sz w:val="16"/>
                <w:szCs w:val="16"/>
                <w:color w:val="auto"/>
              </w:rPr>
              <w:t>Unrealized profit and net income in subsidiaries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435,384</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283,595</w:t>
            </w:r>
          </w:p>
        </w:tc>
        <w:tc>
          <w:tcPr>
            <w:tcW w:w="1020" w:type="dxa"/>
            <w:vAlign w:val="bottom"/>
          </w:tcPr>
          <w:p>
            <w:pPr>
              <w:jc w:val="right"/>
              <w:spacing w:after="0"/>
              <w:rPr>
                <w:sz w:val="20"/>
                <w:szCs w:val="20"/>
                <w:color w:val="auto"/>
              </w:rPr>
            </w:pPr>
            <w:r>
              <w:rPr>
                <w:rFonts w:ascii="Arial" w:cs="Arial" w:eastAsia="Arial" w:hAnsi="Arial"/>
                <w:sz w:val="16"/>
                <w:szCs w:val="16"/>
                <w:color w:val="auto"/>
              </w:rPr>
              <w:t>384,454</w:t>
            </w:r>
          </w:p>
        </w:tc>
        <w:tc>
          <w:tcPr>
            <w:tcW w:w="2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35.6%</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(122,083)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(122,083)</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(122,083)</w:t>
            </w: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52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17,679,038</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20,149,017</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19,408,002</w:t>
            </w:r>
          </w:p>
        </w:tc>
        <w:tc>
          <w:tcPr>
            <w:tcW w:w="240" w:type="dxa"/>
            <w:vAlign w:val="bottom"/>
          </w:tcPr>
          <w:p>
            <w:pPr>
              <w:spacing w:after="0"/>
              <w:rPr>
                <w:sz w:val="18"/>
                <w:szCs w:val="18"/>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-3.7%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Off-balance sheet</w:t>
            </w: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line="20" w:lineRule="exact"/>
              <w:rPr>
                <w:sz w:val="1"/>
                <w:szCs w:val="1"/>
                <w:color w:val="auto"/>
              </w:rPr>
            </w:pPr>
          </w:p>
        </w:tc>
      </w:tr>
      <w:tr>
        <w:trPr>
          <w:trHeight w:val="212"/>
        </w:trPr>
        <w:tc>
          <w:tcPr>
            <w:tcW w:w="5200" w:type="dxa"/>
            <w:vAlign w:val="bottom"/>
            <w:gridSpan w:val="2"/>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84,543,806</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88,421,907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86,319,031</w:t>
            </w:r>
          </w:p>
        </w:tc>
        <w:tc>
          <w:tcPr>
            <w:tcW w:w="240" w:type="dxa"/>
            <w:vAlign w:val="bottom"/>
            <w:tcBorders>
              <w:lef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40"/>
              <w:spacing w:after="0" w:line="242" w:lineRule="exact"/>
              <w:rPr>
                <w:sz w:val="20"/>
                <w:szCs w:val="20"/>
                <w:color w:val="auto"/>
              </w:rPr>
            </w:pPr>
            <w:r>
              <w:rPr>
                <w:rFonts w:ascii="Arial" w:cs="Arial" w:eastAsia="Arial" w:hAnsi="Arial"/>
                <w:sz w:val="16"/>
                <w:szCs w:val="16"/>
                <w:color w:val="auto"/>
              </w:rPr>
              <w:t xml:space="preserve">Tier 1 </w:t>
            </w:r>
            <w:r>
              <w:rPr>
                <w:rFonts w:ascii="Arial" w:cs="Arial" w:eastAsia="Arial" w:hAnsi="Arial"/>
                <w:sz w:val="27"/>
                <w:szCs w:val="27"/>
                <w:color w:val="auto"/>
                <w:vertAlign w:val="superscript"/>
              </w:rPr>
              <w:t>(2)</w:t>
            </w: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12,827,386</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15,370,957</w:t>
            </w:r>
          </w:p>
        </w:tc>
        <w:tc>
          <w:tcPr>
            <w:tcW w:w="1020" w:type="dxa"/>
            <w:vAlign w:val="bottom"/>
          </w:tcPr>
          <w:p>
            <w:pPr>
              <w:jc w:val="right"/>
              <w:spacing w:after="0"/>
              <w:rPr>
                <w:sz w:val="20"/>
                <w:szCs w:val="20"/>
                <w:color w:val="auto"/>
              </w:rPr>
            </w:pPr>
            <w:r>
              <w:rPr>
                <w:rFonts w:ascii="Arial" w:cs="Arial" w:eastAsia="Arial" w:hAnsi="Arial"/>
                <w:sz w:val="16"/>
                <w:szCs w:val="16"/>
                <w:color w:val="auto"/>
              </w:rPr>
              <w:t>14,850,131</w:t>
            </w:r>
          </w:p>
        </w:tc>
        <w:tc>
          <w:tcPr>
            <w:tcW w:w="24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Tier 2 </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 Tier 3 </w:t>
            </w:r>
            <w:r>
              <w:rPr>
                <w:rFonts w:ascii="Arial" w:cs="Arial" w:eastAsia="Arial" w:hAnsi="Arial"/>
                <w:sz w:val="27"/>
                <w:szCs w:val="27"/>
                <w:color w:val="auto"/>
                <w:vertAlign w:val="superscript"/>
              </w:rPr>
              <w:t>(4)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4,851,652</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4,778,060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4,557,871</w:t>
            </w:r>
          </w:p>
        </w:tc>
        <w:tc>
          <w:tcPr>
            <w:tcW w:w="240" w:type="dxa"/>
            <w:vAlign w:val="bottom"/>
            <w:tcBorders>
              <w:left w:val="single" w:sz="8" w:color="CCEEFF"/>
            </w:tcBorders>
            <w:shd w:val="clear" w:color="auto" w:fill="CCEEFF"/>
          </w:tcPr>
          <w:p>
            <w:pPr>
              <w:spacing w:after="0"/>
              <w:rPr>
                <w:sz w:val="21"/>
                <w:szCs w:val="21"/>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5200" w:type="dxa"/>
            <w:vAlign w:val="bottom"/>
            <w:gridSpan w:val="2"/>
          </w:tcPr>
          <w:p>
            <w:pPr>
              <w:ind w:left="40"/>
              <w:spacing w:after="0"/>
              <w:rPr>
                <w:sz w:val="20"/>
                <w:szCs w:val="20"/>
                <w:color w:val="auto"/>
              </w:rPr>
            </w:pPr>
            <w:r>
              <w:rPr>
                <w:rFonts w:ascii="Arial" w:cs="Arial" w:eastAsia="Arial" w:hAnsi="Arial"/>
                <w:sz w:val="16"/>
                <w:szCs w:val="16"/>
                <w:color w:val="auto"/>
              </w:rPr>
              <w:t>Common Equity Tier 1</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14,234,319</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15,048,138</w:t>
            </w:r>
          </w:p>
        </w:tc>
        <w:tc>
          <w:tcPr>
            <w:tcW w:w="1020" w:type="dxa"/>
            <w:vAlign w:val="bottom"/>
          </w:tcPr>
          <w:p>
            <w:pPr>
              <w:jc w:val="right"/>
              <w:spacing w:after="0"/>
              <w:rPr>
                <w:sz w:val="20"/>
                <w:szCs w:val="20"/>
                <w:color w:val="auto"/>
              </w:rPr>
            </w:pPr>
            <w:r>
              <w:rPr>
                <w:rFonts w:ascii="Arial" w:cs="Arial" w:eastAsia="Arial" w:hAnsi="Arial"/>
                <w:sz w:val="16"/>
                <w:szCs w:val="16"/>
                <w:color w:val="auto"/>
              </w:rPr>
              <w:t>15,842,022</w:t>
            </w:r>
          </w:p>
        </w:tc>
        <w:tc>
          <w:tcPr>
            <w:tcW w:w="240" w:type="dxa"/>
            <w:vAlign w:val="bottom"/>
          </w:tcPr>
          <w:p>
            <w:pPr>
              <w:spacing w:after="0"/>
              <w:rPr>
                <w:sz w:val="18"/>
                <w:szCs w:val="18"/>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risk-weighted assets - SBS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124,798,031</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130,413,864</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134,128,850</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40"/>
              <w:spacing w:after="0" w:line="223" w:lineRule="exact"/>
              <w:rPr>
                <w:sz w:val="20"/>
                <w:szCs w:val="20"/>
                <w:color w:val="auto"/>
              </w:rPr>
            </w:pPr>
            <w:r>
              <w:rPr>
                <w:rFonts w:ascii="Arial" w:cs="Arial" w:eastAsia="Arial" w:hAnsi="Arial"/>
                <w:sz w:val="15"/>
                <w:szCs w:val="15"/>
                <w:color w:val="auto"/>
              </w:rPr>
              <w:t xml:space="preserve">Market risk-weighted assets </w:t>
            </w:r>
            <w:r>
              <w:rPr>
                <w:rFonts w:ascii="Arial" w:cs="Arial" w:eastAsia="Arial" w:hAnsi="Arial"/>
                <w:sz w:val="25"/>
                <w:szCs w:val="25"/>
                <w:color w:val="auto"/>
                <w:vertAlign w:val="superscript"/>
              </w:rPr>
              <w:t>(5)</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1,760,750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2,143,263</w:t>
            </w:r>
          </w:p>
        </w:tc>
        <w:tc>
          <w:tcPr>
            <w:tcW w:w="1020" w:type="dxa"/>
            <w:vAlign w:val="bottom"/>
          </w:tcPr>
          <w:p>
            <w:pPr>
              <w:jc w:val="right"/>
              <w:spacing w:after="0"/>
              <w:rPr>
                <w:sz w:val="20"/>
                <w:szCs w:val="20"/>
                <w:color w:val="auto"/>
              </w:rPr>
            </w:pPr>
            <w:r>
              <w:rPr>
                <w:rFonts w:ascii="Arial" w:cs="Arial" w:eastAsia="Arial" w:hAnsi="Arial"/>
                <w:sz w:val="16"/>
                <w:szCs w:val="16"/>
                <w:color w:val="auto"/>
              </w:rPr>
              <w:t>2,263,835</w:t>
            </w:r>
          </w:p>
        </w:tc>
        <w:tc>
          <w:tcPr>
            <w:tcW w:w="24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Credit risk-weighted assets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114,006,079</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118,791,053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122,233,929</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0"/>
        </w:trPr>
        <w:tc>
          <w:tcPr>
            <w:tcW w:w="5200" w:type="dxa"/>
            <w:vAlign w:val="bottom"/>
            <w:gridSpan w:val="2"/>
          </w:tcPr>
          <w:p>
            <w:pPr>
              <w:ind w:left="40"/>
              <w:spacing w:after="0"/>
              <w:rPr>
                <w:sz w:val="20"/>
                <w:szCs w:val="20"/>
                <w:color w:val="auto"/>
              </w:rPr>
            </w:pPr>
            <w:r>
              <w:rPr>
                <w:rFonts w:ascii="Arial" w:cs="Arial" w:eastAsia="Arial" w:hAnsi="Arial"/>
                <w:sz w:val="16"/>
                <w:szCs w:val="16"/>
                <w:color w:val="auto"/>
              </w:rPr>
              <w:t>Operational risk-weighted assets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9,031,203</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9,479,548</w:t>
            </w:r>
          </w:p>
        </w:tc>
        <w:tc>
          <w:tcPr>
            <w:tcW w:w="1020" w:type="dxa"/>
            <w:vAlign w:val="bottom"/>
          </w:tcPr>
          <w:p>
            <w:pPr>
              <w:jc w:val="right"/>
              <w:spacing w:after="0"/>
              <w:rPr>
                <w:sz w:val="20"/>
                <w:szCs w:val="20"/>
                <w:color w:val="auto"/>
              </w:rPr>
            </w:pPr>
            <w:r>
              <w:rPr>
                <w:rFonts w:ascii="Arial" w:cs="Arial" w:eastAsia="Arial" w:hAnsi="Arial"/>
                <w:sz w:val="16"/>
                <w:szCs w:val="16"/>
                <w:color w:val="auto"/>
              </w:rPr>
              <w:t>9,631,086</w:t>
            </w:r>
          </w:p>
        </w:tc>
        <w:tc>
          <w:tcPr>
            <w:tcW w:w="240" w:type="dxa"/>
            <w:vAlign w:val="bottom"/>
          </w:tcPr>
          <w:p>
            <w:pPr>
              <w:spacing w:after="0"/>
              <w:rPr>
                <w:sz w:val="18"/>
                <w:szCs w:val="18"/>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Adjusted Risk-Weighted Assets - Basel</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123,261,266</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125,960,200</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128,238,694</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96"/>
        </w:trPr>
        <w:tc>
          <w:tcPr>
            <w:tcW w:w="5200" w:type="dxa"/>
            <w:vAlign w:val="bottom"/>
            <w:gridSpan w:val="2"/>
          </w:tcPr>
          <w:p>
            <w:pPr>
              <w:ind w:left="40"/>
              <w:spacing w:after="0"/>
              <w:rPr>
                <w:sz w:val="20"/>
                <w:szCs w:val="20"/>
                <w:color w:val="auto"/>
              </w:rPr>
            </w:pPr>
            <w:r>
              <w:rPr>
                <w:rFonts w:ascii="Arial" w:cs="Arial" w:eastAsia="Arial" w:hAnsi="Arial"/>
                <w:sz w:val="16"/>
                <w:szCs w:val="16"/>
                <w:color w:val="auto"/>
              </w:rPr>
              <w:t>Total risk-weighted assets</w:t>
            </w:r>
          </w:p>
        </w:tc>
        <w:tc>
          <w:tcPr>
            <w:tcW w:w="1000" w:type="dxa"/>
            <w:vAlign w:val="bottom"/>
          </w:tcPr>
          <w:p>
            <w:pPr>
              <w:jc w:val="right"/>
              <w:spacing w:after="0"/>
              <w:rPr>
                <w:sz w:val="20"/>
                <w:szCs w:val="20"/>
                <w:color w:val="auto"/>
              </w:rPr>
            </w:pPr>
            <w:r>
              <w:rPr>
                <w:rFonts w:ascii="Arial" w:cs="Arial" w:eastAsia="Arial" w:hAnsi="Arial"/>
                <w:sz w:val="16"/>
                <w:szCs w:val="16"/>
                <w:color w:val="auto"/>
              </w:rPr>
              <w:t>124,798,031</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130,413,864</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134,128,850</w:t>
            </w:r>
          </w:p>
        </w:tc>
        <w:tc>
          <w:tcPr>
            <w:tcW w:w="2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RWA Intangible assets, excluding goodwill.</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2,082,049</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4,846,465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6,330,168</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30.6%</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03"/>
        </w:trPr>
        <w:tc>
          <w:tcPr>
            <w:tcW w:w="5200" w:type="dxa"/>
            <w:vAlign w:val="bottom"/>
            <w:gridSpan w:val="2"/>
          </w:tcPr>
          <w:p>
            <w:pPr>
              <w:ind w:left="140"/>
              <w:spacing w:after="0"/>
              <w:rPr>
                <w:sz w:val="20"/>
                <w:szCs w:val="20"/>
                <w:color w:val="auto"/>
              </w:rPr>
            </w:pPr>
            <w:r>
              <w:rPr>
                <w:rFonts w:ascii="Arial" w:cs="Arial" w:eastAsia="Arial" w:hAnsi="Arial"/>
                <w:sz w:val="16"/>
                <w:szCs w:val="16"/>
                <w:color w:val="auto"/>
              </w:rPr>
              <w:t>(+) RWA Deferred tax assets generated as a result of temporary</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differences in income tax, in excess of 10% of CET1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545,285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392,802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440,012</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gridSpan w:val="2"/>
          </w:tcPr>
          <w:p>
            <w:pPr>
              <w:ind w:left="140"/>
              <w:spacing w:after="0"/>
              <w:rPr>
                <w:sz w:val="20"/>
                <w:szCs w:val="20"/>
                <w:color w:val="auto"/>
              </w:rPr>
            </w:pPr>
            <w:r>
              <w:rPr>
                <w:rFonts w:ascii="Arial" w:cs="Arial" w:eastAsia="Arial" w:hAnsi="Arial"/>
                <w:sz w:val="16"/>
                <w:szCs w:val="16"/>
                <w:color w:val="auto"/>
              </w:rPr>
              <w:t>(+) RWA Deferred tax assets generated as a result of past losses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capital requirement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15,914,011</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16,547,822</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16,982,136</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40"/>
              <w:spacing w:after="0" w:line="223" w:lineRule="exact"/>
              <w:rPr>
                <w:sz w:val="20"/>
                <w:szCs w:val="20"/>
                <w:color w:val="auto"/>
              </w:rPr>
            </w:pPr>
            <w:r>
              <w:rPr>
                <w:rFonts w:ascii="Arial" w:cs="Arial" w:eastAsia="Arial" w:hAnsi="Arial"/>
                <w:sz w:val="15"/>
                <w:szCs w:val="15"/>
                <w:color w:val="auto"/>
              </w:rPr>
              <w:t xml:space="preserve">Market risk capital requirement </w:t>
            </w:r>
            <w:r>
              <w:rPr>
                <w:rFonts w:ascii="Arial" w:cs="Arial" w:eastAsia="Arial" w:hAnsi="Arial"/>
                <w:sz w:val="25"/>
                <w:szCs w:val="25"/>
                <w:color w:val="auto"/>
                <w:vertAlign w:val="superscript"/>
              </w:rPr>
              <w:t>(5)</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176,075</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214,326</w:t>
            </w:r>
          </w:p>
        </w:tc>
        <w:tc>
          <w:tcPr>
            <w:tcW w:w="1020" w:type="dxa"/>
            <w:vAlign w:val="bottom"/>
          </w:tcPr>
          <w:p>
            <w:pPr>
              <w:jc w:val="right"/>
              <w:spacing w:after="0"/>
              <w:rPr>
                <w:sz w:val="20"/>
                <w:szCs w:val="20"/>
                <w:color w:val="auto"/>
              </w:rPr>
            </w:pPr>
            <w:r>
              <w:rPr>
                <w:rFonts w:ascii="Arial" w:cs="Arial" w:eastAsia="Arial" w:hAnsi="Arial"/>
                <w:sz w:val="16"/>
                <w:szCs w:val="16"/>
                <w:color w:val="auto"/>
              </w:rPr>
              <w:t>226,384</w:t>
            </w:r>
          </w:p>
        </w:tc>
        <w:tc>
          <w:tcPr>
            <w:tcW w:w="24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Credit risk capital requirement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11,400,608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11,879,105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12,223,393</w:t>
            </w:r>
          </w:p>
        </w:tc>
        <w:tc>
          <w:tcPr>
            <w:tcW w:w="24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3"/>
        </w:trPr>
        <w:tc>
          <w:tcPr>
            <w:tcW w:w="5200" w:type="dxa"/>
            <w:vAlign w:val="bottom"/>
            <w:gridSpan w:val="2"/>
          </w:tcPr>
          <w:p>
            <w:pPr>
              <w:ind w:left="40"/>
              <w:spacing w:after="0"/>
              <w:rPr>
                <w:sz w:val="20"/>
                <w:szCs w:val="20"/>
                <w:color w:val="auto"/>
              </w:rPr>
            </w:pPr>
            <w:r>
              <w:rPr>
                <w:rFonts w:ascii="Arial" w:cs="Arial" w:eastAsia="Arial" w:hAnsi="Arial"/>
                <w:sz w:val="16"/>
                <w:szCs w:val="16"/>
                <w:color w:val="auto"/>
              </w:rPr>
              <w:t>Operational risk capital requirement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903,120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947,955</w:t>
            </w:r>
          </w:p>
        </w:tc>
        <w:tc>
          <w:tcPr>
            <w:tcW w:w="1020" w:type="dxa"/>
            <w:vAlign w:val="bottom"/>
          </w:tcPr>
          <w:p>
            <w:pPr>
              <w:jc w:val="right"/>
              <w:spacing w:after="0"/>
              <w:rPr>
                <w:sz w:val="20"/>
                <w:szCs w:val="20"/>
                <w:color w:val="auto"/>
              </w:rPr>
            </w:pPr>
            <w:r>
              <w:rPr>
                <w:rFonts w:ascii="Arial" w:cs="Arial" w:eastAsia="Arial" w:hAnsi="Arial"/>
                <w:sz w:val="16"/>
                <w:szCs w:val="16"/>
                <w:color w:val="auto"/>
              </w:rPr>
              <w:t>963,109</w:t>
            </w:r>
          </w:p>
        </w:tc>
        <w:tc>
          <w:tcPr>
            <w:tcW w:w="2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Additional capital requirements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3,434,207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3,506,435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3,569,251</w:t>
            </w:r>
          </w:p>
        </w:tc>
        <w:tc>
          <w:tcPr>
            <w:tcW w:w="24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3"/>
        </w:trPr>
        <w:tc>
          <w:tcPr>
            <w:tcW w:w="520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ratios</w:t>
            </w:r>
          </w:p>
        </w:tc>
        <w:tc>
          <w:tcPr>
            <w:tcW w:w="10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200" w:type="dxa"/>
            <w:vAlign w:val="bottom"/>
            <w:gridSpan w:val="2"/>
            <w:shd w:val="clear" w:color="auto" w:fill="CCEEFF"/>
          </w:tcPr>
          <w:p>
            <w:pPr>
              <w:ind w:left="40"/>
              <w:spacing w:after="0" w:line="246" w:lineRule="exact"/>
              <w:rPr>
                <w:sz w:val="20"/>
                <w:szCs w:val="20"/>
                <w:color w:val="auto"/>
              </w:rPr>
            </w:pPr>
            <w:r>
              <w:rPr>
                <w:rFonts w:ascii="Arial" w:cs="Arial" w:eastAsia="Arial" w:hAnsi="Arial"/>
                <w:sz w:val="16"/>
                <w:szCs w:val="16"/>
                <w:color w:val="auto"/>
              </w:rPr>
              <w:t xml:space="preserve">Tier 1 ratio </w:t>
            </w:r>
            <w:r>
              <w:rPr>
                <w:rFonts w:ascii="Arial" w:cs="Arial" w:eastAsia="Arial" w:hAnsi="Arial"/>
                <w:sz w:val="27"/>
                <w:szCs w:val="27"/>
                <w:color w:val="auto"/>
                <w:vertAlign w:val="superscript"/>
              </w:rPr>
              <w:t>(6)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11.07%</w:t>
            </w: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line="242" w:lineRule="exact"/>
              <w:rPr>
                <w:sz w:val="20"/>
                <w:szCs w:val="20"/>
                <w:color w:val="auto"/>
              </w:rPr>
            </w:pPr>
            <w:r>
              <w:rPr>
                <w:rFonts w:ascii="Arial" w:cs="Arial" w:eastAsia="Arial" w:hAnsi="Arial"/>
                <w:sz w:val="16"/>
                <w:szCs w:val="16"/>
                <w:color w:val="auto"/>
              </w:rPr>
              <w:t xml:space="preserve">Common Equity Tier 1 ratio </w:t>
            </w:r>
            <w:r>
              <w:rPr>
                <w:rFonts w:ascii="Arial" w:cs="Arial" w:eastAsia="Arial" w:hAnsi="Arial"/>
                <w:sz w:val="27"/>
                <w:szCs w:val="27"/>
                <w:color w:val="auto"/>
                <w:vertAlign w:val="superscript"/>
              </w:rPr>
              <w:t>(7)</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11.55%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11.95%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12.35%</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BIS ratio </w:t>
            </w:r>
            <w:r>
              <w:rPr>
                <w:rFonts w:ascii="Arial" w:cs="Arial" w:eastAsia="Arial" w:hAnsi="Arial"/>
                <w:sz w:val="27"/>
                <w:szCs w:val="27"/>
                <w:color w:val="auto"/>
                <w:vertAlign w:val="superscript"/>
              </w:rPr>
              <w:t>(8)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14.47%</w:t>
            </w: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gridSpan w:val="2"/>
          </w:tcPr>
          <w:p>
            <w:pPr>
              <w:ind w:left="40"/>
              <w:spacing w:after="0" w:line="257" w:lineRule="exact"/>
              <w:rPr>
                <w:sz w:val="20"/>
                <w:szCs w:val="20"/>
                <w:color w:val="auto"/>
              </w:rPr>
            </w:pPr>
            <w:r>
              <w:rPr>
                <w:rFonts w:ascii="Arial" w:cs="Arial" w:eastAsia="Arial" w:hAnsi="Arial"/>
                <w:sz w:val="16"/>
                <w:szCs w:val="16"/>
                <w:color w:val="auto"/>
              </w:rPr>
              <w:t xml:space="preserve">Risk-Weighted assets / Regulatory capital </w:t>
            </w:r>
            <w:r>
              <w:rPr>
                <w:rFonts w:ascii="Arial" w:cs="Arial" w:eastAsia="Arial" w:hAnsi="Arial"/>
                <w:sz w:val="27"/>
                <w:szCs w:val="27"/>
                <w:color w:val="auto"/>
                <w:vertAlign w:val="superscript"/>
              </w:rPr>
              <w:t>(9)</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7.06</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6.47</w:t>
            </w:r>
          </w:p>
        </w:tc>
        <w:tc>
          <w:tcPr>
            <w:tcW w:w="1020" w:type="dxa"/>
            <w:vAlign w:val="bottom"/>
          </w:tcPr>
          <w:p>
            <w:pPr>
              <w:jc w:val="right"/>
              <w:spacing w:after="0"/>
              <w:rPr>
                <w:sz w:val="20"/>
                <w:szCs w:val="20"/>
                <w:color w:val="auto"/>
              </w:rPr>
            </w:pPr>
            <w:r>
              <w:rPr>
                <w:rFonts w:ascii="Arial" w:cs="Arial" w:eastAsia="Arial" w:hAnsi="Arial"/>
                <w:sz w:val="16"/>
                <w:szCs w:val="16"/>
                <w:color w:val="auto"/>
              </w:rPr>
              <w:t>6.91</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Up to 1.25% of total risk-weighted assets.</w:t>
      </w:r>
    </w:p>
    <w:p>
      <w:pPr>
        <w:spacing w:after="0" w:line="22" w:lineRule="exact"/>
        <w:rPr>
          <w:rFonts w:ascii="Arial" w:cs="Arial" w:eastAsia="Arial" w:hAnsi="Arial"/>
          <w:sz w:val="16"/>
          <w:szCs w:val="16"/>
          <w:color w:val="auto"/>
        </w:rPr>
      </w:pPr>
    </w:p>
    <w:p>
      <w:pPr>
        <w:jc w:val="both"/>
        <w:ind w:firstLine="8"/>
        <w:spacing w:after="0" w:line="264" w:lineRule="auto"/>
        <w:tabs>
          <w:tab w:leader="none" w:pos="2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40" w:hanging="232"/>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Tier 2 = Subordinated debt + Loan loss reserves + (0.5 x Unrealized profit and net income in subsidiaries) - (0.5 x Investment in subsidiaries).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Tier 3 = Subordinated debt covering market risk only. Tier 3 exists since 1Q10.</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It includes capital requirement to cover price and rate risk.</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Tier 1 / Total Risk-weighted assets.</w:t>
      </w:r>
    </w:p>
    <w:p>
      <w:pPr>
        <w:spacing w:after="0" w:line="18" w:lineRule="exact"/>
        <w:rPr>
          <w:rFonts w:ascii="Arial" w:cs="Arial" w:eastAsia="Arial" w:hAnsi="Arial"/>
          <w:sz w:val="16"/>
          <w:szCs w:val="16"/>
          <w:color w:val="auto"/>
        </w:rPr>
      </w:pPr>
    </w:p>
    <w:p>
      <w:pPr>
        <w:jc w:val="both"/>
        <w:ind w:firstLine="8"/>
        <w:spacing w:after="0" w:line="281" w:lineRule="auto"/>
        <w:tabs>
          <w:tab w:leader="none" w:pos="239"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Common Equity Tier I = Capital + Reserves – 100% of applicable deductions (investment in subsidiaries, goodwill, intangibles and net deferred taxes that rely on future profitability) + retained earnings + unrealized gains. 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Regulatory Capital / Risk-weighted assets (legal minimum = 10% since July 2011).</w:t>
      </w:r>
    </w:p>
    <w:p>
      <w:pPr>
        <w:spacing w:after="0" w:line="18" w:lineRule="exact"/>
        <w:rPr>
          <w:rFonts w:ascii="Arial" w:cs="Arial" w:eastAsia="Arial" w:hAnsi="Arial"/>
          <w:sz w:val="16"/>
          <w:szCs w:val="16"/>
          <w:color w:val="auto"/>
        </w:rPr>
      </w:pPr>
    </w:p>
    <w:p>
      <w:pPr>
        <w:ind w:firstLine="8"/>
        <w:spacing w:after="0" w:line="288" w:lineRule="auto"/>
        <w:tabs>
          <w:tab w:leader="none" w:pos="234" w:val="left"/>
        </w:tabs>
        <w:numPr>
          <w:ilvl w:val="0"/>
          <w:numId w:val="80"/>
        </w:numPr>
        <w:rPr>
          <w:rFonts w:ascii="Arial" w:cs="Arial" w:eastAsia="Arial" w:hAnsi="Arial"/>
          <w:sz w:val="16"/>
          <w:szCs w:val="16"/>
          <w:color w:val="auto"/>
        </w:rPr>
      </w:pPr>
      <w:r>
        <w:rPr>
          <w:rFonts w:ascii="Arial" w:cs="Arial" w:eastAsia="Arial" w:hAnsi="Arial"/>
          <w:sz w:val="16"/>
          <w:szCs w:val="16"/>
          <w:color w:val="auto"/>
        </w:rPr>
        <w:t>Since July 2012, Risk-weighted assets = Credit risk-weighted assets * 1.00 + Capital requirement to cover market risk * 10 + Capital requirement to cover operational risk * 10 * 1.00 (since July 2014).</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At the end of 4Q19, the BIS and Tier 1 ratios at BCP Stand-alone fell QoQ to situate at 14.47% and 11.07% respectively. This was attributable to a -3.7% drop in total regulatory capital in a context in which total RWAs grew 2.8% QoQ.</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capital fell QoQ due to a -7.8% drop in subordinated debt and perpetual subordinated debt in its entirety, which corresponded to the expiration of a subordinated debt and the call of a perpetual subordinated bond in accordance with the strategy to reduce rates, which began with the issuances made in the third quarter of the year. Total RWAs increased after the level of Credit RWAs rose. This growth primarily reflects the effect of 2.8% growth QoQ in quarter-end loan balances.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reveals an increase in both the BIS Ratio and the Tier 1 Ratio with regard to the levels posted in 4Q18. This was attributable to a scenario in which growth in total regulatory capital and in Tier 1 capital outpaced the expansion registered for RWAs.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evolution of total RWAs mainly reflects growth of 7.2% in Credit RWAs and to a lesser extent, of Operational RWAs. The increase in Credit RWAs in particular reflects the strategy to grow in riskier segments as well as the fact that credit lines that were not used in 2019 (in accordance with the Peruvian regulator’s requirements) were included in the calculation of RWAs.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240"/>
        <w:spacing w:after="0"/>
        <w:tabs>
          <w:tab w:leader="none" w:pos="7960" w:val="left"/>
        </w:tabs>
        <w:rPr>
          <w:sz w:val="20"/>
          <w:szCs w:val="20"/>
          <w:color w:val="auto"/>
        </w:rPr>
      </w:pPr>
      <w:r>
        <w:rPr>
          <w:rFonts w:ascii="Arial" w:cs="Arial" w:eastAsia="Arial" w:hAnsi="Arial"/>
          <w:sz w:val="18"/>
          <w:szCs w:val="18"/>
          <w:b w:val="1"/>
          <w:bCs w:val="1"/>
          <w:color w:val="auto"/>
        </w:rPr>
        <w:t>September 2019</w:t>
      </w:r>
      <w:r>
        <w:rPr>
          <w:sz w:val="20"/>
          <w:szCs w:val="20"/>
          <w:color w:val="auto"/>
        </w:rPr>
        <w:tab/>
      </w:r>
      <w:r>
        <w:rPr>
          <w:rFonts w:ascii="Arial" w:cs="Arial" w:eastAsia="Arial" w:hAnsi="Arial"/>
          <w:sz w:val="16"/>
          <w:szCs w:val="16"/>
          <w:b w:val="1"/>
          <w:bCs w:val="1"/>
          <w:color w:val="auto"/>
        </w:rPr>
        <w:t>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103505</wp:posOffset>
            </wp:positionV>
            <wp:extent cx="6440170" cy="1200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4017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Ratio Tier 1 Common Equity (CET1), which is considered the most rigorous ratio with which to measure capitalization levels, reported growth of +41 bps QoQ, situating at 12.35% at the end of 4Q19. This result was primarily attributable to a +5.3% increase in the CET1, which was driven by FY results this quarter. In the YoY analysis, the CET 1 Ratio increased 81 bps in a context in which adjusted RWAs increased 4.0%.</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9. Distribution channels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distribution channels at BCP Stand-alone, Mibanco and BCP Bolivia registered a total of 10,998 points of contact at the end of 4Q19. This level represents an increase of 156 points QoQ and expansion of 499 YoY, which was mainly attributable to growth in Agentes BCP at BCP Stand-alone and, to a lesser extent, at BCP Bolivia.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9.1. Universal Banking</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tcPr>
          <w:p>
            <w:pPr>
              <w:spacing w:after="0"/>
              <w:rPr>
                <w:sz w:val="20"/>
                <w:szCs w:val="20"/>
                <w:color w:val="auto"/>
              </w:rPr>
            </w:pPr>
            <w:r>
              <w:rPr>
                <w:rFonts w:ascii="Arial" w:cs="Arial" w:eastAsia="Arial" w:hAnsi="Arial"/>
                <w:sz w:val="18"/>
                <w:szCs w:val="18"/>
                <w:b w:val="1"/>
                <w:bCs w:val="1"/>
                <w:color w:val="auto"/>
                <w:w w:val="98"/>
              </w:rPr>
              <w:t>9.1.1. Points of contact by geographic area – BCP Stand-alone</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5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ind w:left="56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5280" w:type="dxa"/>
            <w:vAlign w:val="bottom"/>
          </w:tcPr>
          <w:p>
            <w:pPr>
              <w:spacing w:after="0"/>
              <w:rPr>
                <w:sz w:val="20"/>
                <w:szCs w:val="20"/>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18</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 19</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19</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QoQ</w:t>
            </w:r>
          </w:p>
        </w:tc>
        <w:tc>
          <w:tcPr>
            <w:tcW w:w="1120" w:type="dxa"/>
            <w:vAlign w:val="bottom"/>
            <w:gridSpan w:val="3"/>
          </w:tcPr>
          <w:p>
            <w:pPr>
              <w:ind w:left="340"/>
              <w:spacing w:after="0"/>
              <w:rPr>
                <w:sz w:val="20"/>
                <w:szCs w:val="20"/>
                <w:color w:val="auto"/>
              </w:rPr>
            </w:pPr>
            <w:r>
              <w:rPr>
                <w:rFonts w:ascii="Arial" w:cs="Arial" w:eastAsia="Arial" w:hAnsi="Arial"/>
                <w:sz w:val="18"/>
                <w:szCs w:val="18"/>
                <w:b w:val="1"/>
                <w:bCs w:val="1"/>
                <w:color w:val="auto"/>
              </w:rPr>
              <w:t>YoY</w:t>
            </w:r>
          </w:p>
        </w:tc>
      </w:tr>
      <w:tr>
        <w:trPr>
          <w:trHeight w:val="210"/>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Lima</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tcPr>
          <w:p>
            <w:pPr>
              <w:ind w:left="40"/>
              <w:spacing w:after="0"/>
              <w:rPr>
                <w:sz w:val="20"/>
                <w:szCs w:val="20"/>
                <w:color w:val="auto"/>
              </w:rPr>
            </w:pPr>
            <w:r>
              <w:rPr>
                <w:rFonts w:ascii="Arial" w:cs="Arial" w:eastAsia="Arial" w:hAnsi="Arial"/>
                <w:sz w:val="18"/>
                <w:szCs w:val="18"/>
                <w:color w:val="auto"/>
              </w:rPr>
              <w:t>Provinces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23"/>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Branches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2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2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10"/>
        </w:trPr>
        <w:tc>
          <w:tcPr>
            <w:tcW w:w="5280" w:type="dxa"/>
            <w:vAlign w:val="bottom"/>
          </w:tcPr>
          <w:p>
            <w:pPr>
              <w:ind w:left="40"/>
              <w:spacing w:after="0"/>
              <w:rPr>
                <w:sz w:val="20"/>
                <w:szCs w:val="20"/>
                <w:color w:val="auto"/>
              </w:rPr>
            </w:pPr>
            <w:r>
              <w:rPr>
                <w:rFonts w:ascii="Arial" w:cs="Arial" w:eastAsia="Arial" w:hAnsi="Arial"/>
                <w:sz w:val="18"/>
                <w:szCs w:val="18"/>
                <w:color w:val="auto"/>
              </w:rPr>
              <w:t>Lima</w:t>
            </w:r>
          </w:p>
        </w:tc>
        <w:tc>
          <w:tcPr>
            <w:tcW w:w="1040" w:type="dxa"/>
            <w:vAlign w:val="bottom"/>
          </w:tcPr>
          <w:p>
            <w:pPr>
              <w:jc w:val="right"/>
              <w:spacing w:after="0"/>
              <w:rPr>
                <w:sz w:val="20"/>
                <w:szCs w:val="20"/>
                <w:color w:val="auto"/>
              </w:rPr>
            </w:pPr>
            <w:r>
              <w:rPr>
                <w:rFonts w:ascii="Arial" w:cs="Arial" w:eastAsia="Arial" w:hAnsi="Arial"/>
                <w:sz w:val="18"/>
                <w:szCs w:val="18"/>
                <w:color w:val="auto"/>
              </w:rPr>
              <w:t>1,501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Provinces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r>
      <w:tr>
        <w:trPr>
          <w:trHeight w:val="223"/>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ATM’s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2,271</w:t>
            </w:r>
          </w:p>
        </w:tc>
        <w:tc>
          <w:tcPr>
            <w:tcW w:w="2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2,266</w:t>
            </w:r>
          </w:p>
        </w:tc>
        <w:tc>
          <w:tcPr>
            <w:tcW w:w="24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w:t>
            </w:r>
          </w:p>
        </w:tc>
        <w:tc>
          <w:tcPr>
            <w:tcW w:w="2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Lima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280" w:type="dxa"/>
            <w:vAlign w:val="bottom"/>
          </w:tcPr>
          <w:p>
            <w:pPr>
              <w:ind w:left="40"/>
              <w:spacing w:after="0"/>
              <w:rPr>
                <w:sz w:val="20"/>
                <w:szCs w:val="20"/>
                <w:color w:val="auto"/>
              </w:rPr>
            </w:pPr>
            <w:r>
              <w:rPr>
                <w:rFonts w:ascii="Arial" w:cs="Arial" w:eastAsia="Arial" w:hAnsi="Arial"/>
                <w:sz w:val="18"/>
                <w:szCs w:val="18"/>
                <w:color w:val="auto"/>
              </w:rPr>
              <w:t>Provinces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3,307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3,548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r>
      <w:tr>
        <w:trPr>
          <w:trHeight w:val="223"/>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Agentes BCP</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6,764</w:t>
            </w:r>
          </w:p>
        </w:tc>
        <w:tc>
          <w:tcPr>
            <w:tcW w:w="2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7,051</w:t>
            </w:r>
          </w:p>
        </w:tc>
        <w:tc>
          <w:tcPr>
            <w:tcW w:w="2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7,187</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Total points of contact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9,721</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9,874</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BCP Stand-alone registered an increase of 153 points of contact QoQ, to total 9,874 points of contact at the end of 4Q19. Growth in points of contact was due primarily to growth in the number of Agentes BCP, which increased by 136 points. Lima posted the highest growth with +76 Agentes while the Provinces were up +58 Agentes. The strategy used to open these new agentes entailed seeking penetration in areas where the population and number of transactions merited expanding coverage. Additionally, the strategy sought to penetrate uncovered cities.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ATMs increased QoQ while the number of branches fell (+19 and -2, respectively). The increase in ATMs was primarily attributable to the higher demand in different points of Lima. During this period, the number of branches fell after two locations, one in La Victoria and the other in the Cercado de Lima, were closed as part of our Transformation Program.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total number of points of contact at BCP Stand-alone increased by 419 units. This was mainly due to growth in Agentes BCP (+423). The aforementioned is aligned with the strategy to be closer to our clients and to the population that has yet to join the financial system; in this context, 70.7% of the growth in Agentes took place in the provinces.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contraction in offices was seen in both Lima (-10) and in the province (-8). This was attributable to the Transformation strategy at BCP Stand Alone, whose objective is to migrate clients to cost-efficient channels. The number of ATMs increased in Lima (32) after neutral points were installed and new balance inquiries were opened in locations in Lima and Callao. In contrast, the number of ATMs fell in the provinces ( -18) after ATMs were removed from branches.</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9.1.2. Transactions per channel – BCP Stand-alone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5"/>
          </w:tcPr>
          <w:p>
            <w:pPr>
              <w:jc w:val="right"/>
              <w:spacing w:after="0"/>
              <w:rPr>
                <w:sz w:val="20"/>
                <w:szCs w:val="20"/>
                <w:color w:val="auto"/>
              </w:rPr>
            </w:pPr>
            <w:r>
              <w:rPr>
                <w:rFonts w:ascii="Arial" w:cs="Arial" w:eastAsia="Arial" w:hAnsi="Arial"/>
                <w:sz w:val="13"/>
                <w:szCs w:val="13"/>
                <w:b w:val="1"/>
                <w:bCs w:val="1"/>
                <w:color w:val="auto"/>
                <w:w w:val="91"/>
              </w:rPr>
              <w:t>Monthly average in each quater</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4"/>
          </w:tcPr>
          <w:p>
            <w:pPr>
              <w:jc w:val="right"/>
              <w:ind w:right="497"/>
              <w:spacing w:after="0"/>
              <w:rPr>
                <w:sz w:val="20"/>
                <w:szCs w:val="20"/>
                <w:color w:val="auto"/>
              </w:rPr>
            </w:pPr>
            <w:r>
              <w:rPr>
                <w:rFonts w:ascii="Arial" w:cs="Arial" w:eastAsia="Arial" w:hAnsi="Arial"/>
                <w:sz w:val="13"/>
                <w:szCs w:val="13"/>
                <w:b w:val="1"/>
                <w:bCs w:val="1"/>
                <w:color w:val="auto"/>
              </w:rPr>
              <w:t>% change</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74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w w:val="88"/>
              </w:rPr>
              <w:t>% change</w:t>
            </w:r>
          </w:p>
        </w:tc>
        <w:tc>
          <w:tcPr>
            <w:tcW w:w="0" w:type="dxa"/>
            <w:vAlign w:val="bottom"/>
          </w:tcPr>
          <w:p>
            <w:pPr>
              <w:spacing w:after="0"/>
              <w:rPr>
                <w:sz w:val="1"/>
                <w:szCs w:val="1"/>
                <w:color w:val="auto"/>
              </w:rPr>
            </w:pPr>
          </w:p>
        </w:tc>
      </w:tr>
      <w:tr>
        <w:trPr>
          <w:trHeight w:val="167"/>
        </w:trPr>
        <w:tc>
          <w:tcPr>
            <w:tcW w:w="6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86"/>
              </w:rPr>
              <w:t>N˚ of Transactions per channel (1)</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4Q18</w:t>
            </w: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3Q19</w:t>
            </w: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4Q19</w:t>
            </w: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QoQ</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YoY</w:t>
            </w: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4"/>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2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b w:val="1"/>
                <w:bCs w:val="1"/>
                <w:color w:val="auto"/>
              </w:rPr>
              <w:t>Traditional</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Teller</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8,253,527</w:t>
            </w:r>
          </w:p>
        </w:tc>
        <w:tc>
          <w:tcPr>
            <w:tcW w:w="2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17"/>
              <w:spacing w:after="0" w:line="110" w:lineRule="exact"/>
              <w:rPr>
                <w:sz w:val="20"/>
                <w:szCs w:val="20"/>
                <w:color w:val="auto"/>
              </w:rPr>
            </w:pPr>
            <w:r>
              <w:rPr>
                <w:rFonts w:ascii="Arial" w:cs="Arial" w:eastAsia="Arial" w:hAnsi="Arial"/>
                <w:sz w:val="12"/>
                <w:szCs w:val="12"/>
                <w:color w:val="auto"/>
              </w:rPr>
              <w:t>4.9%</w:t>
            </w: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7,711,756</w:t>
            </w:r>
          </w:p>
        </w:tc>
        <w:tc>
          <w:tcPr>
            <w:tcW w:w="2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37"/>
              <w:spacing w:after="0" w:line="110" w:lineRule="exact"/>
              <w:rPr>
                <w:sz w:val="20"/>
                <w:szCs w:val="20"/>
                <w:color w:val="auto"/>
              </w:rPr>
            </w:pPr>
            <w:r>
              <w:rPr>
                <w:rFonts w:ascii="Arial" w:cs="Arial" w:eastAsia="Arial" w:hAnsi="Arial"/>
                <w:sz w:val="12"/>
                <w:szCs w:val="12"/>
                <w:color w:val="auto"/>
              </w:rPr>
              <w:t>3.6%</w:t>
            </w: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7,715,870</w:t>
            </w:r>
          </w:p>
        </w:tc>
        <w:tc>
          <w:tcPr>
            <w:tcW w:w="2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17"/>
              <w:spacing w:after="0" w:line="110" w:lineRule="exact"/>
              <w:rPr>
                <w:sz w:val="20"/>
                <w:szCs w:val="20"/>
                <w:color w:val="auto"/>
              </w:rPr>
            </w:pPr>
            <w:r>
              <w:rPr>
                <w:rFonts w:ascii="Arial" w:cs="Arial" w:eastAsia="Arial" w:hAnsi="Arial"/>
                <w:sz w:val="12"/>
                <w:szCs w:val="12"/>
                <w:color w:val="auto"/>
              </w:rPr>
              <w:t>3.1%</w:t>
            </w:r>
          </w:p>
        </w:tc>
        <w:tc>
          <w:tcPr>
            <w:tcW w:w="680" w:type="dxa"/>
            <w:vAlign w:val="bottom"/>
            <w:gridSpan w:val="2"/>
            <w:shd w:val="clear" w:color="auto" w:fill="CCEEFF"/>
          </w:tcPr>
          <w:p>
            <w:pPr>
              <w:jc w:val="right"/>
              <w:ind w:right="137"/>
              <w:spacing w:after="0" w:line="110" w:lineRule="exact"/>
              <w:rPr>
                <w:sz w:val="20"/>
                <w:szCs w:val="20"/>
                <w:color w:val="auto"/>
              </w:rPr>
            </w:pPr>
            <w:r>
              <w:rPr>
                <w:rFonts w:ascii="Arial" w:cs="Arial" w:eastAsia="Arial" w:hAnsi="Arial"/>
                <w:sz w:val="12"/>
                <w:szCs w:val="12"/>
                <w:color w:val="auto"/>
              </w:rPr>
              <w:t>0.1%</w:t>
            </w:r>
          </w:p>
        </w:tc>
        <w:tc>
          <w:tcPr>
            <w:tcW w:w="680" w:type="dxa"/>
            <w:vAlign w:val="bottom"/>
            <w:gridSpan w:val="2"/>
            <w:shd w:val="clear" w:color="auto" w:fill="CCEEFF"/>
          </w:tcPr>
          <w:p>
            <w:pPr>
              <w:jc w:val="right"/>
              <w:ind w:right="137"/>
              <w:spacing w:after="0" w:line="110" w:lineRule="exact"/>
              <w:rPr>
                <w:sz w:val="20"/>
                <w:szCs w:val="20"/>
                <w:color w:val="auto"/>
              </w:rPr>
            </w:pPr>
            <w:r>
              <w:rPr>
                <w:rFonts w:ascii="Arial" w:cs="Arial" w:eastAsia="Arial" w:hAnsi="Arial"/>
                <w:sz w:val="12"/>
                <w:szCs w:val="12"/>
                <w:color w:val="auto"/>
              </w:rPr>
              <w:t>-6.5%</w:t>
            </w: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w w:val="99"/>
              </w:rPr>
              <w:t>32,375,509</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31,007,089</w:t>
            </w:r>
          </w:p>
        </w:tc>
        <w:tc>
          <w:tcPr>
            <w:tcW w:w="2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10"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3"/>
        </w:trPr>
        <w:tc>
          <w:tcPr>
            <w:tcW w:w="6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channels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Telephone banking</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5,352,943</w:t>
            </w:r>
          </w:p>
        </w:tc>
        <w:tc>
          <w:tcPr>
            <w:tcW w:w="6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3.2%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4,803,032</w:t>
            </w: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2.3%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5,056,869</w:t>
            </w:r>
          </w:p>
        </w:tc>
        <w:tc>
          <w:tcPr>
            <w:tcW w:w="6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2.0%</w:t>
            </w:r>
          </w:p>
        </w:tc>
        <w:tc>
          <w:tcPr>
            <w:tcW w:w="6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5.3%</w:t>
            </w:r>
          </w:p>
        </w:tc>
        <w:tc>
          <w:tcPr>
            <w:tcW w:w="6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-5.5%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19,489,811</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19,497,295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17"/>
        </w:trPr>
        <w:tc>
          <w:tcPr>
            <w:tcW w:w="62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0"/>
              </w:rPr>
              <w:t>Cost-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efficient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Agentes BCP</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2"/>
              </w:rPr>
              <w:t>25,641,330</w:t>
            </w:r>
          </w:p>
        </w:tc>
        <w:tc>
          <w:tcPr>
            <w:tcW w:w="6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15.1%</w:t>
            </w: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29,492,554</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13.9%</w:t>
            </w: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32,534,245</w:t>
            </w:r>
          </w:p>
        </w:tc>
        <w:tc>
          <w:tcPr>
            <w:tcW w:w="6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13.0%</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10.3%</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26.9%</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89,116,061</w:t>
            </w:r>
          </w:p>
        </w:tc>
        <w:tc>
          <w:tcPr>
            <w:tcW w:w="11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113,841,169</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53"/>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1"/>
              </w:rPr>
              <w:t>channels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2"/>
          </w:tcPr>
          <w:p>
            <w:pPr>
              <w:ind w:left="40"/>
              <w:spacing w:after="0"/>
              <w:rPr>
                <w:sz w:val="20"/>
                <w:szCs w:val="20"/>
                <w:color w:val="auto"/>
              </w:rPr>
            </w:pPr>
            <w:r>
              <w:rPr>
                <w:rFonts w:ascii="Arial" w:cs="Arial" w:eastAsia="Arial" w:hAnsi="Arial"/>
                <w:sz w:val="13"/>
                <w:szCs w:val="13"/>
                <w:color w:val="auto"/>
              </w:rPr>
              <w:t>ATMs</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21,283,188</w:t>
            </w:r>
          </w:p>
        </w:tc>
        <w:tc>
          <w:tcPr>
            <w:tcW w:w="680" w:type="dxa"/>
            <w:vAlign w:val="bottom"/>
            <w:gridSpan w:val="2"/>
          </w:tcPr>
          <w:p>
            <w:pPr>
              <w:jc w:val="right"/>
              <w:ind w:right="117"/>
              <w:spacing w:after="0"/>
              <w:rPr>
                <w:sz w:val="20"/>
                <w:szCs w:val="20"/>
                <w:color w:val="auto"/>
              </w:rPr>
            </w:pPr>
            <w:r>
              <w:rPr>
                <w:rFonts w:ascii="Arial" w:cs="Arial" w:eastAsia="Arial" w:hAnsi="Arial"/>
                <w:sz w:val="13"/>
                <w:szCs w:val="13"/>
                <w:color w:val="auto"/>
              </w:rPr>
              <w:t>12.5%</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w w:val="95"/>
              </w:rPr>
              <w:t>24,953,751</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11.8%</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w w:val="95"/>
              </w:rPr>
              <w:t>25,678,078</w:t>
            </w:r>
          </w:p>
        </w:tc>
        <w:tc>
          <w:tcPr>
            <w:tcW w:w="680" w:type="dxa"/>
            <w:vAlign w:val="bottom"/>
            <w:gridSpan w:val="2"/>
          </w:tcPr>
          <w:p>
            <w:pPr>
              <w:jc w:val="right"/>
              <w:ind w:right="117"/>
              <w:spacing w:after="0"/>
              <w:rPr>
                <w:sz w:val="20"/>
                <w:szCs w:val="20"/>
                <w:color w:val="auto"/>
              </w:rPr>
            </w:pPr>
            <w:r>
              <w:rPr>
                <w:rFonts w:ascii="Arial" w:cs="Arial" w:eastAsia="Arial" w:hAnsi="Arial"/>
                <w:sz w:val="13"/>
                <w:szCs w:val="13"/>
                <w:color w:val="auto"/>
              </w:rPr>
              <w:t>10.3%</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2.9%</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20.6%</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82,746,643</w:t>
            </w:r>
          </w:p>
        </w:tc>
        <w:tc>
          <w:tcPr>
            <w:tcW w:w="1180" w:type="dxa"/>
            <w:vAlign w:val="bottom"/>
            <w:gridSpan w:val="3"/>
          </w:tcPr>
          <w:p>
            <w:pPr>
              <w:jc w:val="right"/>
              <w:ind w:right="280"/>
              <w:spacing w:after="0"/>
              <w:rPr>
                <w:sz w:val="20"/>
                <w:szCs w:val="20"/>
                <w:color w:val="auto"/>
              </w:rPr>
            </w:pPr>
            <w:r>
              <w:rPr>
                <w:rFonts w:ascii="Arial" w:cs="Arial" w:eastAsia="Arial" w:hAnsi="Arial"/>
                <w:sz w:val="13"/>
                <w:szCs w:val="13"/>
                <w:color w:val="auto"/>
              </w:rPr>
              <w:t>99,722,784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21"/>
        </w:trPr>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0"/>
              </w:rPr>
              <w:t>Digital</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3"/>
                <w:szCs w:val="13"/>
                <w:color w:val="auto"/>
              </w:rPr>
              <w:t>Mobile banking</w:t>
            </w:r>
          </w:p>
        </w:tc>
        <w:tc>
          <w:tcPr>
            <w:tcW w:w="86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w w:val="92"/>
              </w:rPr>
              <w:t>60,966,991</w:t>
            </w:r>
          </w:p>
        </w:tc>
        <w:tc>
          <w:tcPr>
            <w:tcW w:w="68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35.9%</w:t>
            </w: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w w:val="95"/>
              </w:rPr>
              <w:t>95,336,208</w:t>
            </w:r>
          </w:p>
        </w:tc>
        <w:tc>
          <w:tcPr>
            <w:tcW w:w="680" w:type="dxa"/>
            <w:vAlign w:val="bottom"/>
            <w:gridSpan w:val="2"/>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45.1%</w:t>
            </w: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w w:val="85"/>
              </w:rPr>
              <w:t>120,275,484</w:t>
            </w:r>
          </w:p>
        </w:tc>
        <w:tc>
          <w:tcPr>
            <w:tcW w:w="68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48.1%</w:t>
            </w:r>
          </w:p>
        </w:tc>
        <w:tc>
          <w:tcPr>
            <w:tcW w:w="680" w:type="dxa"/>
            <w:vAlign w:val="bottom"/>
            <w:gridSpan w:val="2"/>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26.2%</w:t>
            </w:r>
          </w:p>
        </w:tc>
        <w:tc>
          <w:tcPr>
            <w:tcW w:w="680" w:type="dxa"/>
            <w:vAlign w:val="bottom"/>
            <w:gridSpan w:val="2"/>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97.3%</w:t>
            </w:r>
          </w:p>
        </w:tc>
        <w:tc>
          <w:tcPr>
            <w:tcW w:w="6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82"/>
              </w:rPr>
              <w:t>187,538,750</w:t>
            </w:r>
          </w:p>
        </w:tc>
        <w:tc>
          <w:tcPr>
            <w:tcW w:w="1180" w:type="dxa"/>
            <w:vAlign w:val="bottom"/>
            <w:gridSpan w:val="3"/>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365,203,135</w:t>
            </w:r>
          </w:p>
        </w:tc>
        <w:tc>
          <w:tcPr>
            <w:tcW w:w="7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94.7%</w:t>
            </w:r>
          </w:p>
        </w:tc>
        <w:tc>
          <w:tcPr>
            <w:tcW w:w="0" w:type="dxa"/>
            <w:vAlign w:val="bottom"/>
          </w:tcPr>
          <w:p>
            <w:pPr>
              <w:spacing w:after="0"/>
              <w:rPr>
                <w:sz w:val="1"/>
                <w:szCs w:val="1"/>
                <w:color w:val="auto"/>
              </w:rPr>
            </w:pPr>
          </w:p>
        </w:tc>
      </w:tr>
      <w:tr>
        <w:trPr>
          <w:trHeight w:val="131"/>
        </w:trPr>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ind w:left="40"/>
              <w:spacing w:after="0" w:line="131" w:lineRule="exact"/>
              <w:rPr>
                <w:sz w:val="20"/>
                <w:szCs w:val="20"/>
                <w:color w:val="auto"/>
              </w:rPr>
            </w:pPr>
            <w:r>
              <w:rPr>
                <w:rFonts w:ascii="Arial" w:cs="Arial" w:eastAsia="Arial" w:hAnsi="Arial"/>
                <w:sz w:val="13"/>
                <w:szCs w:val="13"/>
                <w:color w:val="auto"/>
              </w:rPr>
              <w:t>Internet banking Via BCP</w:t>
            </w:r>
          </w:p>
        </w:tc>
        <w:tc>
          <w:tcPr>
            <w:tcW w:w="86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w w:val="92"/>
              </w:rPr>
              <w:t>16,931,303</w:t>
            </w:r>
          </w:p>
        </w:tc>
        <w:tc>
          <w:tcPr>
            <w:tcW w:w="680" w:type="dxa"/>
            <w:vAlign w:val="bottom"/>
            <w:gridSpan w:val="2"/>
            <w:shd w:val="clear" w:color="auto" w:fill="CCEEFF"/>
          </w:tcPr>
          <w:p>
            <w:pPr>
              <w:jc w:val="right"/>
              <w:ind w:right="117"/>
              <w:spacing w:after="0" w:line="131"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w w:val="95"/>
              </w:rPr>
              <w:t>16,371,635</w:t>
            </w:r>
          </w:p>
        </w:tc>
        <w:tc>
          <w:tcPr>
            <w:tcW w:w="680" w:type="dxa"/>
            <w:vAlign w:val="bottom"/>
            <w:gridSpan w:val="2"/>
            <w:shd w:val="clear" w:color="auto" w:fill="CCEEFF"/>
          </w:tcPr>
          <w:p>
            <w:pPr>
              <w:jc w:val="right"/>
              <w:ind w:right="137"/>
              <w:spacing w:after="0" w:line="131" w:lineRule="exact"/>
              <w:rPr>
                <w:sz w:val="20"/>
                <w:szCs w:val="20"/>
                <w:color w:val="auto"/>
              </w:rPr>
            </w:pPr>
            <w:r>
              <w:rPr>
                <w:rFonts w:ascii="Arial" w:cs="Arial" w:eastAsia="Arial" w:hAnsi="Arial"/>
                <w:sz w:val="13"/>
                <w:szCs w:val="13"/>
                <w:color w:val="auto"/>
              </w:rPr>
              <w:t>7.7%</w:t>
            </w:r>
          </w:p>
        </w:tc>
        <w:tc>
          <w:tcPr>
            <w:tcW w:w="8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w w:val="95"/>
              </w:rPr>
              <w:t>23,757,780</w:t>
            </w:r>
          </w:p>
        </w:tc>
        <w:tc>
          <w:tcPr>
            <w:tcW w:w="680" w:type="dxa"/>
            <w:vAlign w:val="bottom"/>
            <w:gridSpan w:val="2"/>
            <w:shd w:val="clear" w:color="auto" w:fill="CCEEFF"/>
          </w:tcPr>
          <w:p>
            <w:pPr>
              <w:jc w:val="right"/>
              <w:ind w:right="117"/>
              <w:spacing w:after="0" w:line="131" w:lineRule="exact"/>
              <w:rPr>
                <w:sz w:val="20"/>
                <w:szCs w:val="20"/>
                <w:color w:val="auto"/>
              </w:rPr>
            </w:pPr>
            <w:r>
              <w:rPr>
                <w:rFonts w:ascii="Arial" w:cs="Arial" w:eastAsia="Arial" w:hAnsi="Arial"/>
                <w:sz w:val="13"/>
                <w:szCs w:val="13"/>
                <w:color w:val="auto"/>
              </w:rPr>
              <w:t>9.5%</w:t>
            </w:r>
          </w:p>
        </w:tc>
        <w:tc>
          <w:tcPr>
            <w:tcW w:w="680" w:type="dxa"/>
            <w:vAlign w:val="bottom"/>
            <w:gridSpan w:val="2"/>
            <w:shd w:val="clear" w:color="auto" w:fill="CCEEFF"/>
          </w:tcPr>
          <w:p>
            <w:pPr>
              <w:jc w:val="right"/>
              <w:ind w:right="137"/>
              <w:spacing w:after="0" w:line="131" w:lineRule="exact"/>
              <w:rPr>
                <w:sz w:val="20"/>
                <w:szCs w:val="20"/>
                <w:color w:val="auto"/>
              </w:rPr>
            </w:pPr>
            <w:r>
              <w:rPr>
                <w:rFonts w:ascii="Arial" w:cs="Arial" w:eastAsia="Arial" w:hAnsi="Arial"/>
                <w:sz w:val="13"/>
                <w:szCs w:val="13"/>
                <w:color w:val="auto"/>
              </w:rPr>
              <w:t>45.1%</w:t>
            </w:r>
          </w:p>
        </w:tc>
        <w:tc>
          <w:tcPr>
            <w:tcW w:w="680" w:type="dxa"/>
            <w:vAlign w:val="bottom"/>
            <w:gridSpan w:val="2"/>
            <w:shd w:val="clear" w:color="auto" w:fill="CCEEFF"/>
          </w:tcPr>
          <w:p>
            <w:pPr>
              <w:jc w:val="right"/>
              <w:ind w:right="137"/>
              <w:spacing w:after="0" w:line="131" w:lineRule="exact"/>
              <w:rPr>
                <w:sz w:val="20"/>
                <w:szCs w:val="20"/>
                <w:color w:val="auto"/>
              </w:rPr>
            </w:pPr>
            <w:r>
              <w:rPr>
                <w:rFonts w:ascii="Arial" w:cs="Arial" w:eastAsia="Arial" w:hAnsi="Arial"/>
                <w:sz w:val="13"/>
                <w:szCs w:val="13"/>
                <w:color w:val="auto"/>
              </w:rPr>
              <w:t>40.3%</w:t>
            </w:r>
          </w:p>
        </w:tc>
        <w:tc>
          <w:tcPr>
            <w:tcW w:w="6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w w:val="92"/>
              </w:rPr>
              <w:t>71,629,947</w:t>
            </w:r>
          </w:p>
        </w:tc>
        <w:tc>
          <w:tcPr>
            <w:tcW w:w="1180" w:type="dxa"/>
            <w:vAlign w:val="bottom"/>
            <w:gridSpan w:val="3"/>
            <w:shd w:val="clear" w:color="auto" w:fill="CCEEFF"/>
          </w:tcPr>
          <w:p>
            <w:pPr>
              <w:jc w:val="right"/>
              <w:ind w:right="280"/>
              <w:spacing w:after="0" w:line="131" w:lineRule="exact"/>
              <w:rPr>
                <w:sz w:val="20"/>
                <w:szCs w:val="20"/>
                <w:color w:val="auto"/>
              </w:rPr>
            </w:pPr>
            <w:r>
              <w:rPr>
                <w:rFonts w:ascii="Arial" w:cs="Arial" w:eastAsia="Arial" w:hAnsi="Arial"/>
                <w:sz w:val="13"/>
                <w:szCs w:val="13"/>
                <w:color w:val="auto"/>
              </w:rPr>
              <w:t>72,465,782</w:t>
            </w:r>
          </w:p>
        </w:tc>
        <w:tc>
          <w:tcPr>
            <w:tcW w:w="7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3"/>
        </w:trPr>
        <w:tc>
          <w:tcPr>
            <w:tcW w:w="6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channels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inquiries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1,441,490</w:t>
            </w:r>
          </w:p>
        </w:tc>
        <w:tc>
          <w:tcPr>
            <w:tcW w:w="6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0.8%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1,342,920</w:t>
            </w: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0.6%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1,238,521</w:t>
            </w:r>
          </w:p>
        </w:tc>
        <w:tc>
          <w:tcPr>
            <w:tcW w:w="6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0.5%</w:t>
            </w:r>
          </w:p>
        </w:tc>
        <w:tc>
          <w:tcPr>
            <w:tcW w:w="6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-7.8%</w:t>
            </w:r>
          </w:p>
        </w:tc>
        <w:tc>
          <w:tcPr>
            <w:tcW w:w="6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-14.1%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6,482,625</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5,103,150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21"/>
        </w:trPr>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Others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2"/>
          </w:tcPr>
          <w:p>
            <w:pPr>
              <w:ind w:left="40"/>
              <w:spacing w:after="0" w:line="121" w:lineRule="exact"/>
              <w:rPr>
                <w:sz w:val="20"/>
                <w:szCs w:val="20"/>
                <w:color w:val="auto"/>
              </w:rPr>
            </w:pPr>
            <w:r>
              <w:rPr>
                <w:rFonts w:ascii="Arial" w:cs="Arial" w:eastAsia="Arial" w:hAnsi="Arial"/>
                <w:sz w:val="13"/>
                <w:szCs w:val="13"/>
                <w:color w:val="auto"/>
              </w:rPr>
              <w:t>Telecrédito</w:t>
            </w:r>
          </w:p>
        </w:tc>
        <w:tc>
          <w:tcPr>
            <w:tcW w:w="86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w w:val="92"/>
              </w:rPr>
              <w:t>12,037,379</w:t>
            </w:r>
          </w:p>
        </w:tc>
        <w:tc>
          <w:tcPr>
            <w:tcW w:w="68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7.1%</w:t>
            </w: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w w:val="95"/>
              </w:rPr>
              <w:t>12,536,785</w:t>
            </w:r>
          </w:p>
        </w:tc>
        <w:tc>
          <w:tcPr>
            <w:tcW w:w="680" w:type="dxa"/>
            <w:vAlign w:val="bottom"/>
            <w:gridSpan w:val="2"/>
          </w:tcPr>
          <w:p>
            <w:pPr>
              <w:jc w:val="right"/>
              <w:ind w:right="137"/>
              <w:spacing w:after="0" w:line="121" w:lineRule="exact"/>
              <w:rPr>
                <w:sz w:val="20"/>
                <w:szCs w:val="20"/>
                <w:color w:val="auto"/>
              </w:rPr>
            </w:pPr>
            <w:r>
              <w:rPr>
                <w:rFonts w:ascii="Arial" w:cs="Arial" w:eastAsia="Arial" w:hAnsi="Arial"/>
                <w:sz w:val="13"/>
                <w:szCs w:val="13"/>
                <w:color w:val="auto"/>
              </w:rPr>
              <w:t>5.9%</w:t>
            </w: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w w:val="95"/>
              </w:rPr>
              <w:t>13,208,492</w:t>
            </w:r>
          </w:p>
        </w:tc>
        <w:tc>
          <w:tcPr>
            <w:tcW w:w="68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5.3%</w:t>
            </w:r>
          </w:p>
        </w:tc>
        <w:tc>
          <w:tcPr>
            <w:tcW w:w="680" w:type="dxa"/>
            <w:vAlign w:val="bottom"/>
            <w:gridSpan w:val="2"/>
          </w:tcPr>
          <w:p>
            <w:pPr>
              <w:jc w:val="right"/>
              <w:ind w:right="137"/>
              <w:spacing w:after="0" w:line="121" w:lineRule="exact"/>
              <w:rPr>
                <w:sz w:val="20"/>
                <w:szCs w:val="20"/>
                <w:color w:val="auto"/>
              </w:rPr>
            </w:pPr>
            <w:r>
              <w:rPr>
                <w:rFonts w:ascii="Arial" w:cs="Arial" w:eastAsia="Arial" w:hAnsi="Arial"/>
                <w:sz w:val="13"/>
                <w:szCs w:val="13"/>
                <w:color w:val="auto"/>
              </w:rPr>
              <w:t>5.4%</w:t>
            </w:r>
          </w:p>
        </w:tc>
        <w:tc>
          <w:tcPr>
            <w:tcW w:w="680" w:type="dxa"/>
            <w:vAlign w:val="bottom"/>
            <w:gridSpan w:val="2"/>
          </w:tcPr>
          <w:p>
            <w:pPr>
              <w:jc w:val="right"/>
              <w:ind w:right="137"/>
              <w:spacing w:after="0" w:line="121" w:lineRule="exact"/>
              <w:rPr>
                <w:sz w:val="20"/>
                <w:szCs w:val="20"/>
                <w:color w:val="auto"/>
              </w:rPr>
            </w:pPr>
            <w:r>
              <w:rPr>
                <w:rFonts w:ascii="Arial" w:cs="Arial" w:eastAsia="Arial" w:hAnsi="Arial"/>
                <w:sz w:val="13"/>
                <w:szCs w:val="13"/>
                <w:color w:val="auto"/>
              </w:rPr>
              <w:t>9.7%</w:t>
            </w:r>
          </w:p>
        </w:tc>
        <w:tc>
          <w:tcPr>
            <w:tcW w:w="6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w w:val="92"/>
              </w:rPr>
              <w:t>44,541,673</w:t>
            </w:r>
          </w:p>
        </w:tc>
        <w:tc>
          <w:tcPr>
            <w:tcW w:w="1180" w:type="dxa"/>
            <w:vAlign w:val="bottom"/>
            <w:gridSpan w:val="3"/>
          </w:tcPr>
          <w:p>
            <w:pPr>
              <w:jc w:val="right"/>
              <w:ind w:right="280"/>
              <w:spacing w:after="0" w:line="121" w:lineRule="exact"/>
              <w:rPr>
                <w:sz w:val="20"/>
                <w:szCs w:val="20"/>
                <w:color w:val="auto"/>
              </w:rPr>
            </w:pPr>
            <w:r>
              <w:rPr>
                <w:rFonts w:ascii="Arial" w:cs="Arial" w:eastAsia="Arial" w:hAnsi="Arial"/>
                <w:sz w:val="13"/>
                <w:szCs w:val="13"/>
                <w:color w:val="auto"/>
              </w:rPr>
              <w:t>48,849,268</w:t>
            </w:r>
          </w:p>
        </w:tc>
        <w:tc>
          <w:tcPr>
            <w:tcW w:w="7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Direct debit</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670,435</w:t>
            </w:r>
          </w:p>
        </w:tc>
        <w:tc>
          <w:tcPr>
            <w:tcW w:w="6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0.4%</w:t>
            </w: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837,254</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0.4%</w:t>
            </w: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920,143</w:t>
            </w:r>
          </w:p>
        </w:tc>
        <w:tc>
          <w:tcPr>
            <w:tcW w:w="6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0.4%</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9.9%</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37.2%</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2,617,447</w:t>
            </w:r>
          </w:p>
        </w:tc>
        <w:tc>
          <w:tcPr>
            <w:tcW w:w="11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3,193,094</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Points of sale P.O.S.</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2"/>
              </w:rPr>
              <w:t>16,986,238</w:t>
            </w:r>
          </w:p>
        </w:tc>
        <w:tc>
          <w:tcPr>
            <w:tcW w:w="6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10.0%</w:t>
            </w: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17,958,329</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8.5%</w:t>
            </w: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19,251,035</w:t>
            </w:r>
          </w:p>
        </w:tc>
        <w:tc>
          <w:tcPr>
            <w:tcW w:w="6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7.7%</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7.2%</w:t>
            </w:r>
          </w:p>
        </w:tc>
        <w:tc>
          <w:tcPr>
            <w:tcW w:w="68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13.3%</w:t>
            </w: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58,606,921</w:t>
            </w:r>
          </w:p>
        </w:tc>
        <w:tc>
          <w:tcPr>
            <w:tcW w:w="118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71,202,988</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tcPr>
          <w:p>
            <w:pPr>
              <w:ind w:left="40"/>
              <w:spacing w:after="0"/>
              <w:rPr>
                <w:sz w:val="20"/>
                <w:szCs w:val="20"/>
                <w:color w:val="auto"/>
              </w:rPr>
            </w:pPr>
            <w:r>
              <w:rPr>
                <w:rFonts w:ascii="Arial" w:cs="Arial" w:eastAsia="Arial" w:hAnsi="Arial"/>
                <w:sz w:val="13"/>
                <w:szCs w:val="13"/>
                <w:color w:val="auto"/>
              </w:rPr>
              <w:t>Other ATMs netw ork</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237,932</w:t>
            </w:r>
          </w:p>
        </w:tc>
        <w:tc>
          <w:tcPr>
            <w:tcW w:w="680" w:type="dxa"/>
            <w:vAlign w:val="bottom"/>
            <w:gridSpan w:val="2"/>
          </w:tcPr>
          <w:p>
            <w:pPr>
              <w:jc w:val="right"/>
              <w:ind w:right="117"/>
              <w:spacing w:after="0"/>
              <w:rPr>
                <w:sz w:val="20"/>
                <w:szCs w:val="20"/>
                <w:color w:val="auto"/>
              </w:rPr>
            </w:pPr>
            <w:r>
              <w:rPr>
                <w:rFonts w:ascii="Arial" w:cs="Arial" w:eastAsia="Arial" w:hAnsi="Arial"/>
                <w:sz w:val="13"/>
                <w:szCs w:val="13"/>
                <w:color w:val="auto"/>
              </w:rPr>
              <w:t>0.1%</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258,168</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0.1%</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290,695</w:t>
            </w:r>
          </w:p>
        </w:tc>
        <w:tc>
          <w:tcPr>
            <w:tcW w:w="680" w:type="dxa"/>
            <w:vAlign w:val="bottom"/>
            <w:gridSpan w:val="2"/>
          </w:tcPr>
          <w:p>
            <w:pPr>
              <w:jc w:val="right"/>
              <w:ind w:right="117"/>
              <w:spacing w:after="0"/>
              <w:rPr>
                <w:sz w:val="20"/>
                <w:szCs w:val="20"/>
                <w:color w:val="auto"/>
              </w:rPr>
            </w:pPr>
            <w:r>
              <w:rPr>
                <w:rFonts w:ascii="Arial" w:cs="Arial" w:eastAsia="Arial" w:hAnsi="Arial"/>
                <w:sz w:val="13"/>
                <w:szCs w:val="13"/>
                <w:color w:val="auto"/>
              </w:rPr>
              <w:t>0.1%</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12.6%</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22.2%</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862,224</w:t>
            </w:r>
          </w:p>
        </w:tc>
        <w:tc>
          <w:tcPr>
            <w:tcW w:w="1180" w:type="dxa"/>
            <w:vAlign w:val="bottom"/>
            <w:gridSpan w:val="3"/>
          </w:tcPr>
          <w:p>
            <w:pPr>
              <w:jc w:val="right"/>
              <w:ind w:right="280"/>
              <w:spacing w:after="0"/>
              <w:rPr>
                <w:sz w:val="20"/>
                <w:szCs w:val="20"/>
                <w:color w:val="auto"/>
              </w:rPr>
            </w:pPr>
            <w:r>
              <w:rPr>
                <w:rFonts w:ascii="Arial" w:cs="Arial" w:eastAsia="Arial" w:hAnsi="Arial"/>
                <w:sz w:val="13"/>
                <w:szCs w:val="13"/>
                <w:color w:val="auto"/>
              </w:rPr>
              <w:t>984,297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29"/>
        </w:trPr>
        <w:tc>
          <w:tcPr>
            <w:tcW w:w="6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CCEEFF"/>
            </w:tcBorders>
            <w:gridSpan w:val="2"/>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Total transactions</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169,802,756</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100.0</w:t>
            </w:r>
          </w:p>
        </w:tc>
        <w:tc>
          <w:tcPr>
            <w:tcW w:w="30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5"/>
              </w:rPr>
              <w:t>211,602,391</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100.0</w:t>
            </w:r>
          </w:p>
        </w:tc>
        <w:tc>
          <w:tcPr>
            <w:tcW w:w="30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b w:val="1"/>
                <w:bCs w:val="1"/>
                <w:color w:val="auto"/>
                <w:w w:val="8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5"/>
              </w:rPr>
              <w:t>249,927,212</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100.0</w:t>
            </w:r>
          </w:p>
        </w:tc>
        <w:tc>
          <w:tcPr>
            <w:tcW w:w="30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b w:val="1"/>
                <w:bCs w:val="1"/>
                <w:color w:val="auto"/>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18.1</w:t>
            </w:r>
          </w:p>
        </w:tc>
        <w:tc>
          <w:tcPr>
            <w:tcW w:w="30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b w:val="1"/>
                <w:bCs w:val="1"/>
                <w:color w:val="auto"/>
                <w:w w:val="86"/>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47.2</w:t>
            </w:r>
          </w:p>
        </w:tc>
        <w:tc>
          <w:tcPr>
            <w:tcW w:w="30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b w:val="1"/>
                <w:bCs w:val="1"/>
                <w:color w:val="auto"/>
                <w:w w:val="8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596,007,611</w:t>
            </w: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5"/>
              </w:rPr>
              <w:t>831,070,050</w:t>
            </w: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39.4</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 Figures include monetary and non-monetary transactions.</w:t>
      </w: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line with the increase in points of contact, the monthly average of transactions increased +18.1% QoQ and +47.2% YoY. In the QoQ analysis, transactions increased across channels, with the exception of Balance Inquiries, which fell 7.8% due to efforts to remodel 100 kiosks (no transactions could be made during this time). It is important to note that in 4Q19, the largest increase in volume was generated by Internet Banking Via BCP (+45.1% QoQ). This took place after we reworked our web page, which now has a new landing page that makes it easier to access different options for transactions and inquiries.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FY analysis, which excludes the seasonal effect, the monthly average of transactions posted an increase, which was due primarily to an increase in the volumes registered in the following channels:</w:t>
      </w:r>
    </w:p>
    <w:p>
      <w:pPr>
        <w:spacing w:after="0" w:line="170" w:lineRule="exact"/>
        <w:rPr>
          <w:sz w:val="20"/>
          <w:szCs w:val="20"/>
          <w:color w:val="auto"/>
        </w:rPr>
      </w:pPr>
    </w:p>
    <w:p>
      <w:pPr>
        <w:ind w:left="900" w:hanging="514"/>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Mobile Banking (+94.7%), which continued to post an upward trend in its share of total transactions as the bank rolls out operating improvements for the mobile application “Banca Movil BCP”.</w:t>
      </w:r>
    </w:p>
    <w:p>
      <w:pPr>
        <w:spacing w:after="0" w:line="170" w:lineRule="exact"/>
        <w:rPr>
          <w:rFonts w:ascii="Arial" w:cs="Arial" w:eastAsia="Arial" w:hAnsi="Arial"/>
          <w:sz w:val="18"/>
          <w:szCs w:val="18"/>
          <w:color w:val="auto"/>
        </w:rPr>
      </w:pPr>
    </w:p>
    <w:p>
      <w:pPr>
        <w:jc w:val="both"/>
        <w:ind w:left="900" w:hanging="514"/>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Agentes BCP (+27.7%), which was due primarily to transactional growth in withdrawals and deposits. Growth was also registered in national drafts, issuances, releases and inquiries through this channel. The aforementioned was in line with an increase in new accounts and growth in Agentes BCP (+423 YoY).</w:t>
      </w:r>
    </w:p>
    <w:p>
      <w:pPr>
        <w:spacing w:after="0" w:line="181" w:lineRule="exact"/>
        <w:rPr>
          <w:rFonts w:ascii="Arial" w:cs="Arial" w:eastAsia="Arial" w:hAnsi="Arial"/>
          <w:sz w:val="18"/>
          <w:szCs w:val="18"/>
          <w:color w:val="auto"/>
        </w:rPr>
      </w:pPr>
    </w:p>
    <w:p>
      <w:pPr>
        <w:ind w:left="900" w:right="20" w:hanging="514"/>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ATMs (+20.5% YoY), where growth was mainly attributable to the increase in non-monetary transactions, due to more client inquiries through this channel.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transactions in the traditional channels continued to fall compared with 2018: (i) Tellers (-4.2%) and (ii) Telephone Banking (0.0%) given that mobile banking offers similar functions, as is the case with digital platforms at the branch level, which allow clients to make inquiries, open savings accounts and collect debit cards.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in transactions in the banks in the region is conducted primarily through Mobile Banking (+97.3% YoY) and Internet Banking (+40.3% YoY), in keeping with our objective to manage an efficient and profitable customer service network. It is also important to note that the interbank application Yape reached 1.5 million users in 4Q19.</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9.1.3. Points of Contact – BCP Bolivia</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3"/>
          </w:tcPr>
          <w:p>
            <w:pPr>
              <w:ind w:left="800"/>
              <w:spacing w:after="0"/>
              <w:rPr>
                <w:sz w:val="20"/>
                <w:szCs w:val="20"/>
                <w:color w:val="auto"/>
              </w:rPr>
            </w:pPr>
            <w:r>
              <w:rPr>
                <w:rFonts w:ascii="Arial" w:cs="Arial" w:eastAsia="Arial" w:hAnsi="Arial"/>
                <w:sz w:val="18"/>
                <w:szCs w:val="18"/>
                <w:b w:val="1"/>
                <w:bCs w:val="1"/>
                <w:color w:val="auto"/>
                <w:w w:val="87"/>
              </w:rPr>
              <w:t>change (units)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8"/>
                <w:szCs w:val="18"/>
                <w:b w:val="1"/>
                <w:bCs w:val="1"/>
                <w:color w:val="auto"/>
                <w:w w:val="96"/>
              </w:rPr>
              <w:t>Dec 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Sep 19</w:t>
            </w: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Dec 19</w:t>
            </w:r>
          </w:p>
        </w:tc>
        <w:tc>
          <w:tcPr>
            <w:tcW w:w="190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YoY</w:t>
            </w: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Branches</w:t>
            </w: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08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ATMs</w:t>
            </w:r>
            <w:r>
              <w:rPr>
                <w:rFonts w:ascii="Arial" w:cs="Arial" w:eastAsia="Arial" w:hAnsi="Arial"/>
                <w:sz w:val="29"/>
                <w:szCs w:val="29"/>
                <w:color w:val="auto"/>
                <w:vertAlign w:val="superscript"/>
              </w:rPr>
              <w:t>(1)</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293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Agentes BCP Bolivia</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369</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34"/>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Bolivia’s Network</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718</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797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 Figures differ than previously reported.</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increased its numbers of contact QoQ by +4 after it opened new Agentes BCP (+8), in line with a growth strategy to top 450 Agentes at year-end while achieving greater cost efficiency.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number of contacts continued to grow YoY (+83), which was mainly attributable to an increase in the number of Agentes BCP (+77) and, to a lesser extent, to growth in ATMS (+8). During this period, the number branches, however, fell (-2). The increase in the number of agentes was due, once again, to our strategy to be cost efficient while compensating for branch closings.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Microfinance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9.2.1. Points of Contact – Mibanco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As of</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ind w:left="620"/>
              <w:spacing w:after="0"/>
              <w:rPr>
                <w:sz w:val="20"/>
                <w:szCs w:val="20"/>
                <w:color w:val="auto"/>
              </w:rPr>
            </w:pPr>
            <w:r>
              <w:rPr>
                <w:rFonts w:ascii="Arial" w:cs="Arial" w:eastAsia="Arial" w:hAnsi="Arial"/>
                <w:sz w:val="16"/>
                <w:szCs w:val="16"/>
                <w:b w:val="1"/>
                <w:bCs w:val="1"/>
                <w:color w:val="auto"/>
              </w:rPr>
              <w:t>change (units)</w:t>
            </w:r>
          </w:p>
        </w:tc>
      </w:tr>
      <w:tr>
        <w:trPr>
          <w:trHeight w:val="219"/>
        </w:trPr>
        <w:tc>
          <w:tcPr>
            <w:tcW w:w="52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w w:val="89"/>
              </w:rPr>
              <w:t>Dec 18</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Sep 19</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 19</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YoY</w:t>
            </w:r>
          </w:p>
        </w:tc>
        <w:tc>
          <w:tcPr>
            <w:tcW w:w="100" w:type="dxa"/>
            <w:vAlign w:val="bottom"/>
            <w:tcBorders>
              <w:bottom w:val="single" w:sz="8" w:color="CCEEFF"/>
            </w:tcBorders>
          </w:tcPr>
          <w:p>
            <w:pPr>
              <w:spacing w:after="0"/>
              <w:rPr>
                <w:sz w:val="19"/>
                <w:szCs w:val="19"/>
                <w:color w:val="auto"/>
              </w:rPr>
            </w:pPr>
          </w:p>
        </w:tc>
      </w:tr>
      <w:tr>
        <w:trPr>
          <w:trHeight w:val="226"/>
        </w:trPr>
        <w:tc>
          <w:tcPr>
            <w:tcW w:w="5280" w:type="dxa"/>
            <w:vAlign w:val="bottom"/>
            <w:shd w:val="clear" w:color="auto" w:fill="CCEEFF"/>
          </w:tcPr>
          <w:p>
            <w:pPr>
              <w:ind w:left="40"/>
              <w:spacing w:after="0" w:line="226" w:lineRule="exact"/>
              <w:rPr>
                <w:sz w:val="20"/>
                <w:szCs w:val="20"/>
                <w:color w:val="auto"/>
              </w:rPr>
            </w:pPr>
            <w:r>
              <w:rPr>
                <w:rFonts w:ascii="Arial" w:cs="Arial" w:eastAsia="Arial" w:hAnsi="Arial"/>
                <w:sz w:val="16"/>
                <w:szCs w:val="16"/>
                <w:b w:val="1"/>
                <w:bCs w:val="1"/>
                <w:color w:val="auto"/>
              </w:rPr>
              <w:t xml:space="preserve">Total Mibanco’s Network </w:t>
            </w:r>
            <w:r>
              <w:rPr>
                <w:rFonts w:ascii="Arial" w:cs="Arial" w:eastAsia="Arial" w:hAnsi="Arial"/>
                <w:sz w:val="26"/>
                <w:szCs w:val="26"/>
                <w:b w:val="1"/>
                <w:bCs w:val="1"/>
                <w:color w:val="auto"/>
                <w:vertAlign w:val="superscript"/>
              </w:rPr>
              <w:t>(1)</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97"/>
              </w:rPr>
              <w:t>326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w:t>
            </w:r>
          </w:p>
        </w:tc>
      </w:tr>
    </w:tbl>
    <w:p>
      <w:pPr>
        <w:spacing w:after="0" w:line="206" w:lineRule="exact"/>
        <w:rPr>
          <w:sz w:val="20"/>
          <w:szCs w:val="20"/>
          <w:color w:val="auto"/>
        </w:rPr>
      </w:pPr>
    </w:p>
    <w:p>
      <w:pPr>
        <w:ind w:right="20" w:firstLine="8"/>
        <w:spacing w:after="0" w:line="293" w:lineRule="auto"/>
        <w:tabs>
          <w:tab w:leader="none" w:pos="239" w:val="left"/>
        </w:tabs>
        <w:numPr>
          <w:ilvl w:val="0"/>
          <w:numId w:val="82"/>
        </w:numPr>
        <w:rPr>
          <w:rFonts w:ascii="Arial" w:cs="Arial" w:eastAsia="Arial" w:hAnsi="Arial"/>
          <w:sz w:val="16"/>
          <w:szCs w:val="16"/>
          <w:color w:val="auto"/>
        </w:rPr>
      </w:pPr>
      <w:r>
        <w:rPr>
          <w:rFonts w:ascii="Arial" w:cs="Arial" w:eastAsia="Arial" w:hAnsi="Arial"/>
          <w:sz w:val="16"/>
          <w:szCs w:val="16"/>
          <w:color w:val="auto"/>
        </w:rPr>
        <w:t>Mibanco does not have Agents or ATMs because it uses the BCP network. Mibanco branches include Banco de la Nacion branches, which in Sep 18, Jun 19 and Set 19 were 38, 35 and 35 respectively.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regard to Mibanco, the points of contact fell by -1 in the QoQ analysis. In the YoY analysis, there was a drop of -3 points of contact after the Banco de la Nacion closed some branches. It is important to note that Mibanco has an agreement with the Banco de la Nacion that allows us to use its offices at the national level to reduce operating costs. At the end of 4Q19, these branches represented 11% (35 branches) of the universe of 323 branches.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10. Economic Perspectives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Peru Economic Forecasts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360" w:type="dxa"/>
            <w:vAlign w:val="bottom"/>
            <w:gridSpan w:val="3"/>
          </w:tcPr>
          <w:p>
            <w:pPr>
              <w:ind w:left="2400"/>
              <w:spacing w:after="0"/>
              <w:rPr>
                <w:sz w:val="20"/>
                <w:szCs w:val="20"/>
                <w:color w:val="auto"/>
              </w:rPr>
            </w:pPr>
            <w:r>
              <w:rPr>
                <w:rFonts w:ascii="Arial" w:cs="Arial" w:eastAsia="Arial" w:hAnsi="Arial"/>
                <w:sz w:val="16"/>
                <w:szCs w:val="16"/>
                <w:b w:val="1"/>
                <w:bCs w:val="1"/>
                <w:color w:val="auto"/>
              </w:rPr>
              <w:t>Peru</w:t>
            </w: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27"/>
                <w:szCs w:val="27"/>
                <w:b w:val="1"/>
                <w:bCs w:val="1"/>
                <w:color w:val="auto"/>
                <w:vertAlign w:val="superscript"/>
              </w:rPr>
              <w:t>(3)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 xml:space="preserve">2020 </w:t>
            </w:r>
            <w:r>
              <w:rPr>
                <w:rFonts w:ascii="Arial" w:cs="Arial" w:eastAsia="Arial" w:hAnsi="Arial"/>
                <w:sz w:val="27"/>
                <w:szCs w:val="27"/>
                <w:b w:val="1"/>
                <w:bCs w:val="1"/>
                <w:color w:val="auto"/>
                <w:vertAlign w:val="superscript"/>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GDP (US$ Millions)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194,653</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214,397</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225,364</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227,767</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239,708</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Real GDP (% change)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GDP per capita (US$)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6,179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6,742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6,999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7,008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7,308</w:t>
            </w:r>
          </w:p>
        </w:tc>
        <w:tc>
          <w:tcPr>
            <w:tcW w:w="0" w:type="dxa"/>
            <w:vAlign w:val="bottom"/>
          </w:tcPr>
          <w:p>
            <w:pPr>
              <w:spacing w:after="0"/>
              <w:rPr>
                <w:sz w:val="1"/>
                <w:szCs w:val="1"/>
                <w:color w:val="auto"/>
              </w:rPr>
            </w:pPr>
          </w:p>
        </w:tc>
      </w:tr>
      <w:tr>
        <w:trPr>
          <w:trHeight w:val="203"/>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Domestic demand (% change)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2.5-3.0</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Total consumption (% change)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5360" w:type="dxa"/>
            <w:vAlign w:val="bottom"/>
            <w:gridSpan w:val="3"/>
          </w:tcPr>
          <w:p>
            <w:pPr>
              <w:ind w:left="260"/>
              <w:spacing w:after="0"/>
              <w:rPr>
                <w:sz w:val="20"/>
                <w:szCs w:val="20"/>
                <w:color w:val="auto"/>
              </w:rPr>
            </w:pPr>
            <w:r>
              <w:rPr>
                <w:rFonts w:ascii="Arial" w:cs="Arial" w:eastAsia="Arial" w:hAnsi="Arial"/>
                <w:sz w:val="16"/>
                <w:szCs w:val="16"/>
                <w:color w:val="auto"/>
              </w:rPr>
              <w:t>Private Consumption (% change)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Gross fixed investment (as % GDP)</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3"/>
        </w:trPr>
        <w:tc>
          <w:tcPr>
            <w:tcW w:w="5360" w:type="dxa"/>
            <w:vAlign w:val="bottom"/>
            <w:gridSpan w:val="3"/>
          </w:tcPr>
          <w:p>
            <w:pPr>
              <w:ind w:left="260"/>
              <w:spacing w:after="0"/>
              <w:rPr>
                <w:sz w:val="20"/>
                <w:szCs w:val="20"/>
                <w:color w:val="auto"/>
              </w:rPr>
            </w:pPr>
            <w:r>
              <w:rPr>
                <w:rFonts w:ascii="Arial" w:cs="Arial" w:eastAsia="Arial" w:hAnsi="Arial"/>
                <w:sz w:val="16"/>
                <w:szCs w:val="16"/>
                <w:color w:val="auto"/>
              </w:rPr>
              <w:t>Private Investment (% change)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0.0-2.0</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Public Investment (% change)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Public Debt (as % GDP)</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57"/>
        </w:trPr>
        <w:tc>
          <w:tcPr>
            <w:tcW w:w="5360" w:type="dxa"/>
            <w:vAlign w:val="bottom"/>
            <w:gridSpan w:val="3"/>
            <w:shd w:val="clear" w:color="auto" w:fill="CCEEFF"/>
          </w:tcPr>
          <w:p>
            <w:pPr>
              <w:ind w:left="40"/>
              <w:spacing w:after="0" w:line="257" w:lineRule="exact"/>
              <w:rPr>
                <w:sz w:val="20"/>
                <w:szCs w:val="20"/>
                <w:color w:val="auto"/>
              </w:rPr>
            </w:pPr>
            <w:r>
              <w:rPr>
                <w:rFonts w:ascii="Arial" w:cs="Arial" w:eastAsia="Arial" w:hAnsi="Arial"/>
                <w:sz w:val="16"/>
                <w:szCs w:val="16"/>
                <w:color w:val="auto"/>
              </w:rPr>
              <w:t>System loan growth (% change)</w:t>
            </w:r>
            <w:r>
              <w:rPr>
                <w:rFonts w:ascii="Arial" w:cs="Arial" w:eastAsia="Arial" w:hAnsi="Arial"/>
                <w:sz w:val="27"/>
                <w:szCs w:val="27"/>
                <w:color w:val="auto"/>
                <w:vertAlign w:val="superscript"/>
              </w:rPr>
              <w:t>(1)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ind w:left="40"/>
              <w:spacing w:after="0" w:line="257" w:lineRule="exact"/>
              <w:rPr>
                <w:sz w:val="20"/>
                <w:szCs w:val="20"/>
                <w:color w:val="auto"/>
              </w:rPr>
            </w:pPr>
            <w:r>
              <w:rPr>
                <w:rFonts w:ascii="Arial" w:cs="Arial" w:eastAsia="Arial" w:hAnsi="Arial"/>
                <w:sz w:val="16"/>
                <w:szCs w:val="16"/>
                <w:color w:val="auto"/>
              </w:rPr>
              <w:t>Inflation</w:t>
            </w:r>
            <w:r>
              <w:rPr>
                <w:rFonts w:ascii="Arial" w:cs="Arial" w:eastAsia="Arial" w:hAnsi="Arial"/>
                <w:sz w:val="27"/>
                <w:szCs w:val="27"/>
                <w:color w:val="auto"/>
                <w:vertAlign w:val="superscript"/>
              </w:rPr>
              <w:t>(2)</w:t>
            </w: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gridSpan w:val="3"/>
            <w:vMerge w:val="continue"/>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Reference Rate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2.00-2.25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Exchange rate, end of period</w:t>
            </w:r>
          </w:p>
        </w:tc>
        <w:tc>
          <w:tcPr>
            <w:tcW w:w="900" w:type="dxa"/>
            <w:vAlign w:val="bottom"/>
          </w:tcPr>
          <w:p>
            <w:pPr>
              <w:jc w:val="right"/>
              <w:spacing w:after="0"/>
              <w:rPr>
                <w:sz w:val="20"/>
                <w:szCs w:val="20"/>
                <w:color w:val="auto"/>
              </w:rPr>
            </w:pPr>
            <w:r>
              <w:rPr>
                <w:rFonts w:ascii="Arial" w:cs="Arial" w:eastAsia="Arial" w:hAnsi="Arial"/>
                <w:sz w:val="16"/>
                <w:szCs w:val="16"/>
                <w:color w:val="auto"/>
              </w:rPr>
              <w:t>3.36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3.35-3.40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Exchange rate, (% change)</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Fiscal balance (% GDP)</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Trade balance (US$ Millions)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(As % GDP)</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Exports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37,082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45,275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48,942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46,400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47,000</w:t>
            </w:r>
          </w:p>
        </w:tc>
        <w:tc>
          <w:tcPr>
            <w:tcW w:w="0" w:type="dxa"/>
            <w:vAlign w:val="bottom"/>
          </w:tcPr>
          <w:p>
            <w:pPr>
              <w:spacing w:after="0"/>
              <w:rPr>
                <w:sz w:val="1"/>
                <w:szCs w:val="1"/>
                <w:color w:val="auto"/>
              </w:rPr>
            </w:pPr>
          </w:p>
        </w:tc>
      </w:tr>
      <w:tr>
        <w:trPr>
          <w:trHeight w:val="203"/>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Imports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35,128</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38,704</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41,893</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41,200</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41,000</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Current account balance (US$ Millions)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-5,303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-3,349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203"/>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(As % GDP)</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international reserves (US$ Millions)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61,686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63,621</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60,121</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68,316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69,000</w:t>
            </w:r>
          </w:p>
        </w:tc>
        <w:tc>
          <w:tcPr>
            <w:tcW w:w="0" w:type="dxa"/>
            <w:vAlign w:val="bottom"/>
          </w:tcPr>
          <w:p>
            <w:pPr>
              <w:spacing w:after="0"/>
              <w:rPr>
                <w:sz w:val="1"/>
                <w:szCs w:val="1"/>
                <w:color w:val="auto"/>
              </w:rPr>
            </w:pPr>
          </w:p>
        </w:tc>
      </w:tr>
      <w:tr>
        <w:trPr>
          <w:trHeight w:val="203"/>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(As % GDP)</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 months of imports)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INEI, BCRP, and SBS.</w:t>
      </w:r>
    </w:p>
    <w:p>
      <w:pPr>
        <w:spacing w:after="0" w:line="22" w:lineRule="exact"/>
        <w:rPr>
          <w:sz w:val="20"/>
          <w:szCs w:val="20"/>
          <w:color w:val="auto"/>
        </w:rPr>
      </w:pPr>
    </w:p>
    <w:p>
      <w:pPr>
        <w:ind w:left="240" w:hanging="232"/>
        <w:spacing w:after="0"/>
        <w:tabs>
          <w:tab w:leader="none" w:pos="2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Financial System, Current Exchange Rate.</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Inflation target: 1% - 3%.</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Estimates by BCP Economic Research as of January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17145</wp:posOffset>
            </wp:positionV>
            <wp:extent cx="4391025" cy="2126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9102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Fuente: INEI</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Our estimates suggest GDP grew around 1.6% YoY in 4Q19 (3Q19: 3.0%). The deceleration registered QoQ is primarily attributable to the downturn in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primary sectors, where growth is expected to have situated at 2% (3Q19: 3.4%). In this context, the inter-annual drop registered for non-primary</w:t>
      </w:r>
    </w:p>
    <w:p>
      <w:pPr>
        <w:spacing w:after="0" w:line="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manufacturing (Oct/Nov-19: -3.1% vs. 3Q19: +2.2%) and the construction sector (Oct/Nov-19: -1.3% vs. 3Q19: +2.9%), as well as a downturn in the service sectors (Oct/Nov-19: 3.0% vs. 3Q19: 3.7%), were noteworthy. In contrast, the primary sectors maintained their dynamism and expanded around 2.1%. This result went hand-in-hand with the YoY recovery in mining production (which returned to the positive terrain after 7 quarters).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this result, in 2019 GDP expanded 2.0%. This represented a deceleration compared to 2018 (4.0%) and also fell below the result registered in 2017 (2.5%), when the economy was battered by the El Niño Phenomenon. The mild expansion in 2019 was mainly attributable to a contraction in the primary sectors of around 1.2% (2018: +3.5%) due to a decline in fishing, mining, and primary resource manufacturing. Public investment by the general government in this period fell 6% in 2019 (2018: +11%). Lastly, private spending (consumption and investment) expanded around 3.2% (2018: 3.9%, 2017: 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17145</wp:posOffset>
            </wp:positionV>
            <wp:extent cx="4442460" cy="2160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4246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Source: INEI, BCRP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Headline inflation closed 2019 at 1.9% (3Q19: 1.9%) to stand slightly below the mid-point of the target range (1%-3%). It is important to note that poultry meat prices fell 7.3% in 2019, which represented the third consecutive year of dropping prices (chicken is an important part of the household’s consumption basket).</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2019, the Central Bank lowered its reference rate 25pbs on two occasions (August and November), which led the rate to close the year at 2.25%. These rate cuts took place in a context of slower economic growth; a decline in growth expectations; and controlled inflation (within the target range).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Result and Current Account Balance (%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17145</wp:posOffset>
            </wp:positionV>
            <wp:extent cx="4039235" cy="2306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3923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Source: BCRP</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*BCP estimates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8"/>
          <w:szCs w:val="18"/>
          <w:color w:val="auto"/>
        </w:rPr>
        <w:t>In 2019, the fiscal deficit represented 1.6% of GDP (2018: 2.3%), the lowest level since late-2015. The decline in the fiscal deficit was driven primarily by an increase in fiscal revenues, which represented 19.7% of GDP this year (2018: 19.3%). In 2019, this increase was attributable to non-resident income (asset sales and oversight by SUNAT, as well as tax revenues for fines and installment agreements. In contrast to the fiscal revenue result, in 2019 non-financial government spending held steady, representing 20.2% of GDP. It is important to highlight that in real terms, current spending expanded 3.1% due to higher wages and salaries (4.1%) and goods and services (4.8%) while public investment fell 6%, mainly due to under-execution at the local government level (-14%).</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Jan/Nov ’19, the trade balance totaled a surplus of USD 4,855 million, which is 19% below the figure registered for the same period last year. In this context, exports decreased 5.0% YoY in the same period (both prices and volumes posted declines) due to a decrease in traditional exports (-8.1%, copper: -9.4%) while non-traditional exports advanced 1.9% YoY (agro-exports: +5.3%). Imports fell 2.8% YoY in the same period but he 4.8% YoY increase in capital goods was noteworthy. Lastly, in Nov-19, terms of trade increased 1.8% YoY to register 5 consecutive months of increases after almost a year in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17145</wp:posOffset>
            </wp:positionV>
            <wp:extent cx="3944620" cy="25215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4462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Source: SBS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exchange rate closed at USD PEN 3.314. In this context, PEN appreciated 2.0% compared to 3Q19 (USD PEN 3.383) and 1.7% compared to 2018 (USD PEN 3.373). In the last quarter of the year, high volatility was observed due to instability on the international and national fronts. On the international front, the main impacts were generated by trade tensions between US and the rest of the world (mainly China) and social unrest in Chile in mid-October (the exchange rate hit nearly USD PEN 3.40). On the local front, on September 30 President Vizcarra dissolved Congress, calling for parliamentary elections on 26-Jan-20. This event generated only limited volatility. It is important to note that although the exchange rate closed 2019 at USD PEN 3.314, PEN appreciation occurred mostly in late Dec-19, in line with expectations regarding the Phase One deal between US and China (average USD PEN during 4Q19: 3.36).</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the region’s FX evolution presented mixed results. On one hand, the Peruvian Sol and Mexican Peso (+3.7%) appreciated. On the other, the Chilean Peso (-8.5%), Brazilian Real (-3.7%) and Colombian Peso (-1.0%) depreciated. In parallel, in 2019 the Central Bank made spot purchases in the FX market for USD 405 million and issued FX Currency Swaps (sales) for USD 1,064 million in a context of depreciation pressure on the Peruvian Sol. Lastly, in 2019 Net International Reserves stood at USD 68,316 million, which represented an increase of USD 8,195 million compared to 2018. During this period, the FX position stood at USD 42,619 million, increasing USD 3,071 million over the year.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line="62"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rFonts w:ascii="Arial" w:cs="Arial" w:eastAsia="Arial" w:hAnsi="Arial"/>
          <w:sz w:val="18"/>
          <w:szCs w:val="18"/>
          <w:b w:val="1"/>
          <w:bCs w:val="1"/>
          <w:color w:val="auto"/>
        </w:rPr>
      </w:pPr>
    </w:p>
    <w:p>
      <w:pPr>
        <w:ind w:left="540" w:hanging="532"/>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As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ind w:left="1040"/>
              <w:spacing w:after="0"/>
              <w:rPr>
                <w:sz w:val="20"/>
                <w:szCs w:val="20"/>
                <w:color w:val="auto"/>
              </w:rPr>
            </w:pPr>
            <w:r>
              <w:rPr>
                <w:rFonts w:ascii="Arial" w:cs="Arial" w:eastAsia="Arial" w:hAnsi="Arial"/>
                <w:sz w:val="16"/>
                <w:szCs w:val="16"/>
                <w:b w:val="1"/>
                <w:bCs w:val="1"/>
                <w:color w:val="auto"/>
              </w:rPr>
              <w:t>% change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 2018</w:t>
            </w:r>
          </w:p>
        </w:tc>
        <w:tc>
          <w:tcPr>
            <w:tcW w:w="14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Sep 2019</w:t>
            </w:r>
          </w:p>
        </w:tc>
        <w:tc>
          <w:tcPr>
            <w:tcW w:w="14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Dec 2019</w:t>
            </w:r>
          </w:p>
        </w:tc>
        <w:tc>
          <w:tcPr>
            <w:tcW w:w="1860" w:type="dxa"/>
            <w:vAlign w:val="bottom"/>
            <w:gridSpan w:val="3"/>
          </w:tcPr>
          <w:p>
            <w:pPr>
              <w:ind w:left="460"/>
              <w:spacing w:after="0"/>
              <w:rPr>
                <w:sz w:val="20"/>
                <w:szCs w:val="20"/>
                <w:color w:val="auto"/>
              </w:rPr>
            </w:pPr>
            <w:r>
              <w:rPr>
                <w:rFonts w:ascii="Arial" w:cs="Arial" w:eastAsia="Arial" w:hAnsi="Arial"/>
                <w:sz w:val="16"/>
                <w:szCs w:val="16"/>
                <w:b w:val="1"/>
                <w:bCs w:val="1"/>
                <w:color w:val="auto"/>
              </w:rPr>
              <w:t>QoQ</w:t>
            </w:r>
          </w:p>
        </w:tc>
        <w:tc>
          <w:tcPr>
            <w:tcW w:w="10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YoY</w:t>
            </w:r>
          </w:p>
        </w:tc>
      </w:tr>
      <w:tr>
        <w:trPr>
          <w:trHeight w:val="202"/>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3"/>
        </w:trPr>
        <w:tc>
          <w:tcPr>
            <w:tcW w:w="4120" w:type="dxa"/>
            <w:vAlign w:val="bottom"/>
          </w:tcPr>
          <w:p>
            <w:pPr>
              <w:ind w:left="40"/>
              <w:spacing w:after="0" w:line="242" w:lineRule="exact"/>
              <w:rPr>
                <w:sz w:val="20"/>
                <w:szCs w:val="20"/>
                <w:color w:val="auto"/>
              </w:rPr>
            </w:pPr>
            <w:r>
              <w:rPr>
                <w:rFonts w:ascii="Arial" w:cs="Arial" w:eastAsia="Arial" w:hAnsi="Arial"/>
                <w:sz w:val="16"/>
                <w:szCs w:val="16"/>
                <w:b w:val="1"/>
                <w:bCs w:val="1"/>
                <w:color w:val="auto"/>
              </w:rPr>
              <w:t xml:space="preserve">Cash and due from banks </w:t>
            </w:r>
            <w:r>
              <w:rPr>
                <w:rFonts w:ascii="Arial" w:cs="Arial" w:eastAsia="Arial" w:hAnsi="Arial"/>
                <w:sz w:val="27"/>
                <w:szCs w:val="27"/>
                <w:b w:val="1"/>
                <w:bCs w:val="1"/>
                <w:color w:val="auto"/>
                <w:vertAlign w:val="superscript"/>
              </w:rPr>
              <w:t>(1)</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3"/>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7,435,807</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6,138,225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6,177,356</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203"/>
        </w:trPr>
        <w:tc>
          <w:tcPr>
            <w:tcW w:w="412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40" w:type="dxa"/>
            <w:vAlign w:val="bottom"/>
          </w:tcPr>
          <w:p>
            <w:pPr>
              <w:jc w:val="right"/>
              <w:spacing w:after="0"/>
              <w:rPr>
                <w:sz w:val="20"/>
                <w:szCs w:val="20"/>
                <w:color w:val="auto"/>
              </w:rPr>
            </w:pPr>
            <w:r>
              <w:rPr>
                <w:rFonts w:ascii="Arial" w:cs="Arial" w:eastAsia="Arial" w:hAnsi="Arial"/>
                <w:sz w:val="16"/>
                <w:szCs w:val="16"/>
                <w:color w:val="auto"/>
              </w:rPr>
              <w:t>14,732,709</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20,258,177</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19,802,459</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34.4%</w:t>
            </w:r>
          </w:p>
        </w:tc>
      </w:tr>
      <w:tr>
        <w:trPr>
          <w:trHeight w:val="203"/>
        </w:trPr>
        <w:tc>
          <w:tcPr>
            <w:tcW w:w="4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Total cash and due from banks</w:t>
            </w: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22,168,516</w:t>
            </w: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26,396,402</w:t>
            </w:r>
          </w:p>
        </w:tc>
        <w:tc>
          <w:tcPr>
            <w:tcW w:w="1700" w:type="dxa"/>
            <w:vAlign w:val="bottom"/>
          </w:tcPr>
          <w:p>
            <w:pPr>
              <w:jc w:val="right"/>
              <w:ind w:right="519"/>
              <w:spacing w:after="0"/>
              <w:rPr>
                <w:sz w:val="20"/>
                <w:szCs w:val="20"/>
                <w:color w:val="auto"/>
              </w:rPr>
            </w:pPr>
            <w:r>
              <w:rPr>
                <w:rFonts w:ascii="Arial" w:cs="Arial" w:eastAsia="Arial" w:hAnsi="Arial"/>
                <w:sz w:val="16"/>
                <w:szCs w:val="16"/>
                <w:b w:val="1"/>
                <w:bCs w:val="1"/>
                <w:color w:val="auto"/>
              </w:rPr>
              <w:t>25,979,815</w:t>
            </w:r>
          </w:p>
        </w:tc>
        <w:tc>
          <w:tcPr>
            <w:tcW w:w="1540" w:type="dxa"/>
            <w:vAlign w:val="bottom"/>
          </w:tcPr>
          <w:p>
            <w:pPr>
              <w:jc w:val="right"/>
              <w:ind w:right="439"/>
              <w:spacing w:after="0"/>
              <w:rPr>
                <w:sz w:val="20"/>
                <w:szCs w:val="20"/>
                <w:color w:val="auto"/>
              </w:rPr>
            </w:pPr>
            <w:r>
              <w:rPr>
                <w:rFonts w:ascii="Arial" w:cs="Arial" w:eastAsia="Arial" w:hAnsi="Arial"/>
                <w:sz w:val="16"/>
                <w:szCs w:val="16"/>
                <w:b w:val="1"/>
                <w:bCs w:val="1"/>
                <w:color w:val="auto"/>
              </w:rPr>
              <w:t>-1.6%</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17.2%</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60" w:type="dxa"/>
            <w:vAlign w:val="bottom"/>
          </w:tcPr>
          <w:p>
            <w:pPr>
              <w:ind w:left="40"/>
              <w:spacing w:after="0"/>
              <w:rPr>
                <w:sz w:val="20"/>
                <w:szCs w:val="20"/>
                <w:color w:val="auto"/>
              </w:rPr>
            </w:pPr>
            <w:r>
              <w:rPr>
                <w:rFonts w:ascii="Arial" w:cs="Arial" w:eastAsia="Arial" w:hAnsi="Arial"/>
                <w:sz w:val="16"/>
                <w:szCs w:val="16"/>
                <w:color w:val="auto"/>
              </w:rPr>
              <w:t>Cash collateral, reverse repurchase agreements and</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40"/>
              <w:spacing w:after="0"/>
              <w:rPr>
                <w:sz w:val="20"/>
                <w:szCs w:val="20"/>
                <w:color w:val="auto"/>
              </w:rPr>
            </w:pPr>
            <w:r>
              <w:rPr>
                <w:rFonts w:ascii="Arial" w:cs="Arial" w:eastAsia="Arial" w:hAnsi="Arial"/>
                <w:sz w:val="16"/>
                <w:szCs w:val="16"/>
                <w:color w:val="auto"/>
              </w:rPr>
              <w:t>securities borrowing</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4,082,942</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3,903,051</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4,288,524</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9.9%</w:t>
            </w: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Fair value through profit or loss investments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3,512,445</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3,808,137</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3,864,531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1.5%</w:t>
            </w: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Fair value through other comprehensive income investments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25,195,835</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26,794,192</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26,205,867</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Amortized cost investments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4,154,838</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3,353,898</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3,477,046</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3.7%</w:t>
            </w:r>
          </w:p>
        </w:tc>
        <w:tc>
          <w:tcPr>
            <w:tcW w:w="1000" w:type="dxa"/>
            <w:vAlign w:val="bottom"/>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Loans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110,759,390</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112,209,990</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115,609,679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3.0%</w:t>
            </w: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107,642,312</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108,863,601</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112,311,888</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6"/>
                <w:szCs w:val="16"/>
                <w:color w:val="auto"/>
              </w:rPr>
              <w:t>Internal overdue loans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3,117,078</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3,346,389</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3,297,791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-1.5%</w:t>
            </w: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 allow ance for loan losses</w:t>
            </w: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(4,952,392)</w:t>
            </w: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(4,977,809)</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(5,070,279)</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Loans, net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105,806,998</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107,232,181</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110,539,400</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3.1%</w:t>
            </w: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60" w:type="dxa"/>
            <w:vAlign w:val="bottom"/>
          </w:tcPr>
          <w:p>
            <w:pPr>
              <w:ind w:left="40"/>
              <w:spacing w:after="0"/>
              <w:rPr>
                <w:sz w:val="20"/>
                <w:szCs w:val="20"/>
                <w:color w:val="auto"/>
              </w:rPr>
            </w:pPr>
            <w:r>
              <w:rPr>
                <w:rFonts w:ascii="Arial" w:cs="Arial" w:eastAsia="Arial" w:hAnsi="Arial"/>
                <w:sz w:val="16"/>
                <w:szCs w:val="16"/>
                <w:color w:val="auto"/>
              </w:rPr>
              <w:t>Financial assets designated at fair value through profit or</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260" w:type="dxa"/>
            <w:vAlign w:val="bottom"/>
          </w:tcPr>
          <w:p>
            <w:pPr>
              <w:ind w:left="40"/>
              <w:spacing w:after="0" w:line="254" w:lineRule="exact"/>
              <w:rPr>
                <w:sz w:val="20"/>
                <w:szCs w:val="20"/>
                <w:color w:val="auto"/>
              </w:rPr>
            </w:pPr>
            <w:r>
              <w:rPr>
                <w:rFonts w:ascii="Arial" w:cs="Arial" w:eastAsia="Arial" w:hAnsi="Arial"/>
                <w:sz w:val="16"/>
                <w:szCs w:val="16"/>
                <w:color w:val="auto"/>
              </w:rPr>
              <w:t xml:space="preserve">loss </w:t>
            </w:r>
            <w:r>
              <w:rPr>
                <w:rFonts w:ascii="Arial" w:cs="Arial" w:eastAsia="Arial" w:hAnsi="Arial"/>
                <w:sz w:val="27"/>
                <w:szCs w:val="27"/>
                <w:color w:val="auto"/>
                <w:vertAlign w:val="superscript"/>
              </w:rPr>
              <w:t>(2)</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521,185</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617,387</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620,544</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0.5%</w:t>
            </w:r>
          </w:p>
        </w:tc>
        <w:tc>
          <w:tcPr>
            <w:tcW w:w="1000" w:type="dxa"/>
            <w:vAlign w:val="bottom"/>
          </w:tcPr>
          <w:p>
            <w:pPr>
              <w:jc w:val="right"/>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from reinsurers and coinsurers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842,043</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779,961</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791,704</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Premiums and other policyholder receivables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887,273</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793,858</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838,731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5.7%</w:t>
            </w: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Property, plant and equipment, net </w:t>
            </w:r>
            <w:r>
              <w:rPr>
                <w:rFonts w:ascii="Arial" w:cs="Arial" w:eastAsia="Arial" w:hAnsi="Arial"/>
                <w:sz w:val="27"/>
                <w:szCs w:val="27"/>
                <w:color w:val="auto"/>
                <w:vertAlign w:val="superscript"/>
              </w:rPr>
              <w:t>(3)</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1,480,702</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2,925,381</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2,519,889</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-13.9%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Due from customers on acceptances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967,968</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434,457</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535,222</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23.2%</w:t>
            </w:r>
          </w:p>
        </w:tc>
        <w:tc>
          <w:tcPr>
            <w:tcW w:w="1000" w:type="dxa"/>
            <w:vAlign w:val="bottom"/>
          </w:tcPr>
          <w:p>
            <w:pPr>
              <w:jc w:val="right"/>
              <w:spacing w:after="0"/>
              <w:rPr>
                <w:sz w:val="20"/>
                <w:szCs w:val="20"/>
                <w:color w:val="auto"/>
              </w:rPr>
            </w:pPr>
            <w:r>
              <w:rPr>
                <w:rFonts w:ascii="Arial" w:cs="Arial" w:eastAsia="Arial" w:hAnsi="Arial"/>
                <w:sz w:val="16"/>
                <w:szCs w:val="16"/>
                <w:color w:val="auto"/>
              </w:rPr>
              <w:t>-44.7%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Investments in associates </w:t>
            </w:r>
            <w:r>
              <w:rPr>
                <w:rFonts w:ascii="Arial" w:cs="Arial" w:eastAsia="Arial" w:hAnsi="Arial"/>
                <w:sz w:val="27"/>
                <w:szCs w:val="27"/>
                <w:color w:val="auto"/>
                <w:vertAlign w:val="superscript"/>
              </w:rPr>
              <w:t>(4)</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582,132</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603,487</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628,822</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Intangible assets and goodwill, net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2,055,702</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2,099,563</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2,453,268</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16.8%</w:t>
            </w:r>
          </w:p>
        </w:tc>
        <w:tc>
          <w:tcPr>
            <w:tcW w:w="100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7"/>
                <w:szCs w:val="27"/>
                <w:color w:val="auto"/>
                <w:vertAlign w:val="superscript"/>
              </w:rPr>
              <w:t>(5)</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5,004,622</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6,562,316</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5,540,074</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86"/>
              </w:rPr>
              <w:t>Total Assets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177,263,201</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186,304,271</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188,283,437</w:t>
            </w:r>
          </w:p>
        </w:tc>
        <w:tc>
          <w:tcPr>
            <w:tcW w:w="15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Deposits and obligations</w:t>
            </w: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26,609,832</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26,707,196</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28,316,170</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77,941,479</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80,684,524</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83,689,215</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3.7%</w:t>
            </w: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104,551,311</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107,391,720</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112,005,385</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Payables from repurchase agreements and securities lending</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9,415,356</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7,684,690</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7,678,016</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-0.1%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6"/>
                <w:szCs w:val="16"/>
                <w:color w:val="auto"/>
              </w:rPr>
              <w:t>BCRP instruments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5,226,870</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4,144,908</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4,381,011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5.7%</w:t>
            </w: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agreements with third parties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2,638,231</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2,031,025</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1,820,911</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6"/>
                <w:szCs w:val="16"/>
                <w:color w:val="auto"/>
              </w:rPr>
              <w:t>Repuchase ageemens with cusomers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1,550,255</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1,508,757</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1,476,094</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-2.2%</w:t>
            </w: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Due to banks and correspondents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8,448,139</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8,624,286</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8,841,732</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2.5%</w:t>
            </w: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Bonds and notes issued</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15,457,540</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17,160,564</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14,946,363</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Banker’s acceptances outstanding</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967,968</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434,457</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535,222</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23.2%</w:t>
            </w:r>
          </w:p>
        </w:tc>
        <w:tc>
          <w:tcPr>
            <w:tcW w:w="1000" w:type="dxa"/>
            <w:vAlign w:val="bottom"/>
          </w:tcPr>
          <w:p>
            <w:pPr>
              <w:jc w:val="right"/>
              <w:spacing w:after="0"/>
              <w:rPr>
                <w:sz w:val="20"/>
                <w:szCs w:val="20"/>
                <w:color w:val="auto"/>
              </w:rPr>
            </w:pPr>
            <w:r>
              <w:rPr>
                <w:rFonts w:ascii="Arial" w:cs="Arial" w:eastAsia="Arial" w:hAnsi="Arial"/>
                <w:sz w:val="16"/>
                <w:szCs w:val="16"/>
                <w:color w:val="auto"/>
              </w:rPr>
              <w:t>-44.7%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Reserves for property and casualty claims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1,366,670</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1,547,981</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1,576,228</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Reserve for unearned premiums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7,086,002</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7,597,409</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8,374,005</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10.2%</w:t>
            </w:r>
          </w:p>
        </w:tc>
        <w:tc>
          <w:tcPr>
            <w:tcW w:w="1000" w:type="dxa"/>
            <w:vAlign w:val="bottom"/>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to reinsurers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291,693</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220,731</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216,734</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line="242" w:lineRule="exact"/>
              <w:rPr>
                <w:sz w:val="20"/>
                <w:szCs w:val="20"/>
                <w:color w:val="auto"/>
              </w:rPr>
            </w:pPr>
            <w:r>
              <w:rPr>
                <w:rFonts w:ascii="Arial" w:cs="Arial" w:eastAsia="Arial" w:hAnsi="Arial"/>
                <w:sz w:val="16"/>
                <w:szCs w:val="16"/>
                <w:color w:val="auto"/>
              </w:rPr>
              <w:t xml:space="preserve">Financial liabilities at fair value through profit or loss </w:t>
            </w:r>
            <w:r>
              <w:rPr>
                <w:rFonts w:ascii="Arial" w:cs="Arial" w:eastAsia="Arial" w:hAnsi="Arial"/>
                <w:sz w:val="27"/>
                <w:szCs w:val="27"/>
                <w:color w:val="auto"/>
                <w:vertAlign w:val="superscript"/>
              </w:rPr>
              <w:t>(6)</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362,310</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417,695</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493,700</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18.2%</w:t>
            </w:r>
          </w:p>
        </w:tc>
        <w:tc>
          <w:tcPr>
            <w:tcW w:w="1000" w:type="dxa"/>
            <w:vAlign w:val="bottom"/>
          </w:tcPr>
          <w:p>
            <w:pPr>
              <w:jc w:val="right"/>
              <w:spacing w:after="0"/>
              <w:rPr>
                <w:sz w:val="20"/>
                <w:szCs w:val="20"/>
                <w:color w:val="auto"/>
              </w:rPr>
            </w:pPr>
            <w:r>
              <w:rPr>
                <w:rFonts w:ascii="Arial" w:cs="Arial" w:eastAsia="Arial" w:hAnsi="Arial"/>
                <w:sz w:val="16"/>
                <w:szCs w:val="16"/>
                <w:color w:val="auto"/>
              </w:rPr>
              <w:t>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5,050,136</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8,764,594</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6,869,742</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-21.6%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2"/>
              </w:rPr>
              <w:t>Total Liabilities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152,997,125</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159,844,127</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161,537,127</w:t>
            </w:r>
          </w:p>
        </w:tc>
        <w:tc>
          <w:tcPr>
            <w:tcW w:w="15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equity</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23,839,243</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26,000,638</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26,237,960</w:t>
            </w:r>
          </w:p>
        </w:tc>
        <w:tc>
          <w:tcPr>
            <w:tcW w:w="15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0.9%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Capital stock</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1,318,993</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1,318,993</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1,318,993</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0.0%</w:t>
            </w:r>
          </w:p>
        </w:tc>
        <w:tc>
          <w:tcPr>
            <w:tcW w:w="100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stock</w:t>
            </w: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(207,994)</w:t>
            </w: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(207,839)</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(207,839)</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Capital surplus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246,194</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222,605</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226,037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1.5%</w:t>
            </w:r>
          </w:p>
        </w:tc>
        <w:tc>
          <w:tcPr>
            <w:tcW w:w="1000" w:type="dxa"/>
            <w:vAlign w:val="bottom"/>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Reserves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17,598,556</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19,416,912</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19,437,645</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0.1%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auto"/>
              </w:rPr>
              <w:t>Unrealized gains and losses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708,453</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1,844,990</w:t>
            </w:r>
          </w:p>
        </w:tc>
        <w:tc>
          <w:tcPr>
            <w:tcW w:w="1700" w:type="dxa"/>
            <w:vAlign w:val="bottom"/>
          </w:tcPr>
          <w:p>
            <w:pPr>
              <w:jc w:val="right"/>
              <w:ind w:right="519"/>
              <w:spacing w:after="0"/>
              <w:rPr>
                <w:sz w:val="20"/>
                <w:szCs w:val="20"/>
                <w:color w:val="auto"/>
              </w:rPr>
            </w:pPr>
            <w:r>
              <w:rPr>
                <w:rFonts w:ascii="Arial" w:cs="Arial" w:eastAsia="Arial" w:hAnsi="Arial"/>
                <w:sz w:val="16"/>
                <w:szCs w:val="16"/>
                <w:color w:val="auto"/>
              </w:rPr>
              <w:t>1,088,189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-41.0%</w:t>
            </w:r>
          </w:p>
        </w:tc>
        <w:tc>
          <w:tcPr>
            <w:tcW w:w="1000" w:type="dxa"/>
            <w:vAlign w:val="bottom"/>
          </w:tcPr>
          <w:p>
            <w:pPr>
              <w:jc w:val="right"/>
              <w:spacing w:after="0"/>
              <w:rPr>
                <w:sz w:val="20"/>
                <w:szCs w:val="20"/>
                <w:color w:val="auto"/>
              </w:rPr>
            </w:pPr>
            <w:r>
              <w:rPr>
                <w:rFonts w:ascii="Arial" w:cs="Arial" w:eastAsia="Arial" w:hAnsi="Arial"/>
                <w:sz w:val="16"/>
                <w:szCs w:val="16"/>
                <w:color w:val="auto"/>
              </w:rPr>
              <w:t>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4,175,041</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3,404,977</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4,374,935</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426,833</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459,506</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508,350</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6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3"/>
              </w:rPr>
              <w:t>Total Net Equity</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24,266,076</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26,460,144</w:t>
            </w: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26,746,310</w:t>
            </w:r>
          </w:p>
        </w:tc>
        <w:tc>
          <w:tcPr>
            <w:tcW w:w="15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21"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177,263,201</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186,304,271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188,283,437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6"/>
                <w:szCs w:val="16"/>
                <w:b w:val="1"/>
                <w:bCs w:val="1"/>
                <w:color w:val="auto"/>
                <w:w w:val="93"/>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Off-balance sheet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121,222,849</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133,337,813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125,344,301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-6.0%</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6"/>
                <w:szCs w:val="16"/>
                <w:b w:val="1"/>
                <w:bCs w:val="1"/>
                <w:color w:val="auto"/>
                <w:w w:val="93"/>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40"/>
              <w:spacing w:after="0"/>
              <w:rPr>
                <w:sz w:val="20"/>
                <w:szCs w:val="20"/>
                <w:color w:val="auto"/>
              </w:rPr>
            </w:pPr>
            <w:r>
              <w:rPr>
                <w:rFonts w:ascii="Arial" w:cs="Arial" w:eastAsia="Arial" w:hAnsi="Arial"/>
                <w:sz w:val="16"/>
                <w:szCs w:val="16"/>
                <w:color w:val="auto"/>
              </w:rPr>
              <w:t>Total performance bonds, stand-by and L/Cs.</w:t>
            </w:r>
          </w:p>
        </w:tc>
        <w:tc>
          <w:tcPr>
            <w:tcW w:w="1240" w:type="dxa"/>
            <w:vAlign w:val="bottom"/>
          </w:tcPr>
          <w:p>
            <w:pPr>
              <w:jc w:val="right"/>
              <w:spacing w:after="0"/>
              <w:rPr>
                <w:sz w:val="20"/>
                <w:szCs w:val="20"/>
                <w:color w:val="auto"/>
              </w:rPr>
            </w:pPr>
            <w:r>
              <w:rPr>
                <w:rFonts w:ascii="Arial" w:cs="Arial" w:eastAsia="Arial" w:hAnsi="Arial"/>
                <w:sz w:val="16"/>
                <w:szCs w:val="16"/>
                <w:color w:val="auto"/>
              </w:rPr>
              <w:t>20,774,271</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20,416,414</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21,081,035</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3.3%</w:t>
            </w:r>
          </w:p>
        </w:tc>
        <w:tc>
          <w:tcPr>
            <w:tcW w:w="1400" w:type="dxa"/>
            <w:vAlign w:val="bottom"/>
            <w:gridSpan w:val="2"/>
          </w:tcPr>
          <w:p>
            <w:pPr>
              <w:ind w:left="1040"/>
              <w:spacing w:after="0"/>
              <w:rPr>
                <w:sz w:val="20"/>
                <w:szCs w:val="20"/>
                <w:color w:val="auto"/>
              </w:rPr>
            </w:pPr>
            <w:r>
              <w:rPr>
                <w:rFonts w:ascii="Arial" w:cs="Arial" w:eastAsia="Arial" w:hAnsi="Arial"/>
                <w:sz w:val="16"/>
                <w:szCs w:val="16"/>
                <w:color w:val="auto"/>
                <w:w w:val="93"/>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Undrawn credit lines, advised but not committed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74,234,033</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80,887,384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75,613,805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w w:val="93"/>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40"/>
              <w:spacing w:after="0"/>
              <w:rPr>
                <w:sz w:val="20"/>
                <w:szCs w:val="20"/>
                <w:color w:val="auto"/>
              </w:rPr>
            </w:pPr>
            <w:r>
              <w:rPr>
                <w:rFonts w:ascii="Arial" w:cs="Arial" w:eastAsia="Arial" w:hAnsi="Arial"/>
                <w:sz w:val="16"/>
                <w:szCs w:val="16"/>
                <w:color w:val="auto"/>
              </w:rPr>
              <w:t>Total derivatives (notional) and others</w:t>
            </w:r>
          </w:p>
        </w:tc>
        <w:tc>
          <w:tcPr>
            <w:tcW w:w="1240" w:type="dxa"/>
            <w:vAlign w:val="bottom"/>
          </w:tcPr>
          <w:p>
            <w:pPr>
              <w:jc w:val="right"/>
              <w:spacing w:after="0"/>
              <w:rPr>
                <w:sz w:val="20"/>
                <w:szCs w:val="20"/>
                <w:color w:val="auto"/>
              </w:rPr>
            </w:pPr>
            <w:r>
              <w:rPr>
                <w:rFonts w:ascii="Arial" w:cs="Arial" w:eastAsia="Arial" w:hAnsi="Arial"/>
                <w:sz w:val="16"/>
                <w:szCs w:val="16"/>
                <w:color w:val="auto"/>
              </w:rPr>
              <w:t>26,214,545</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32,034,015</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28,649,461</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1400" w:type="dxa"/>
            <w:vAlign w:val="bottom"/>
            <w:gridSpan w:val="2"/>
          </w:tcPr>
          <w:p>
            <w:pPr>
              <w:ind w:left="1040"/>
              <w:spacing w:after="0"/>
              <w:rPr>
                <w:sz w:val="20"/>
                <w:szCs w:val="20"/>
                <w:color w:val="auto"/>
              </w:rPr>
            </w:pPr>
            <w:r>
              <w:rPr>
                <w:rFonts w:ascii="Arial" w:cs="Arial" w:eastAsia="Arial" w:hAnsi="Arial"/>
                <w:sz w:val="16"/>
                <w:szCs w:val="16"/>
                <w:color w:val="auto"/>
                <w:w w:val="93"/>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8"/>
        <w:spacing w:after="0" w:line="266" w:lineRule="auto"/>
        <w:tabs>
          <w:tab w:leader="none" w:pos="24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in 2018 period, due to the reclassification to the item "Cash collateral, reverse repurchase agreements and securities borrowing" mainly for the cash collateral in dollars delivered to the BCRP, previously presented in the item "Cash and due from banks".</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 the 2019 period, this item was opened in the statement of financial position; previously presented under the item "Investments at fair value through profit or loss".</w:t>
      </w:r>
    </w:p>
    <w:p>
      <w:pPr>
        <w:spacing w:after="0" w:line="30" w:lineRule="exact"/>
        <w:rPr>
          <w:rFonts w:ascii="Arial" w:cs="Arial" w:eastAsia="Arial" w:hAnsi="Arial"/>
          <w:sz w:val="15"/>
          <w:szCs w:val="15"/>
          <w:color w:val="auto"/>
        </w:rPr>
      </w:pPr>
    </w:p>
    <w:p>
      <w:pPr>
        <w:ind w:firstLine="8"/>
        <w:spacing w:after="0" w:line="264" w:lineRule="auto"/>
        <w:tabs>
          <w:tab w:leader="none" w:pos="23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in 2018 period, due to the reclassification of the expenses on improvements in building for rent, previously presented in the item “Other assets”. Likewise, in the period 2019, the asset for the right to use the lease contracts was incorporated, in application of IFRS 16.</w:t>
      </w:r>
    </w:p>
    <w:p>
      <w:pPr>
        <w:ind w:left="240" w:hanging="232"/>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Includes investments in associates, mainly Banmedica and Visanet, among others.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Includes mainly accounts receivables from brokerage and others.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2019 period, this item was opened in the statement of financial position; previously presented in the item "Other liabilities".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4Q18</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3Q19</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4Q19</w:t>
            </w: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Interest and dividend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3,033,544</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3,123,672</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3,172,695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11,522,634</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12,381,664</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(1 )</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(789,292)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(846,288)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(818,573)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(3,033,530)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(3,304,483)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Net interest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2,244,252</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2,277,384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2,354,122</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4.9%</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8,489,104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9,077,181</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color w:val="auto"/>
              </w:rPr>
              <w:t>Gross provision for credit losses on loan portfolio</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(479,184)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(568,034)</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(568,727)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(1,814,898)</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(2,100,091)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Recoveries of written-off loans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71,230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65,262</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57,067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283,190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254,154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26"/>
        </w:trPr>
        <w:tc>
          <w:tcPr>
            <w:tcW w:w="3340" w:type="dxa"/>
            <w:vAlign w:val="bottom"/>
          </w:tcPr>
          <w:p>
            <w:pPr>
              <w:ind w:left="40"/>
              <w:spacing w:after="0" w:line="126" w:lineRule="exact"/>
              <w:rPr>
                <w:sz w:val="20"/>
                <w:szCs w:val="20"/>
                <w:color w:val="auto"/>
              </w:rPr>
            </w:pPr>
            <w:r>
              <w:rPr>
                <w:rFonts w:ascii="Arial" w:cs="Arial" w:eastAsia="Arial" w:hAnsi="Arial"/>
                <w:sz w:val="14"/>
                <w:szCs w:val="14"/>
                <w:b w:val="1"/>
                <w:bCs w:val="1"/>
                <w:color w:val="auto"/>
                <w:w w:val="97"/>
              </w:rPr>
              <w:t>Provision for credit losses on loan portfolio, net of</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(407,954)</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(502,772)</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(511,660)</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1.8%</w:t>
            </w:r>
          </w:p>
        </w:tc>
        <w:tc>
          <w:tcPr>
            <w:tcW w:w="2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25.4%</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(1,531,708)</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(1,845,937)</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recoveries</w:t>
            </w: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1,836,298</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1,774,612</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1,842,462</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0.3%</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6,957,396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7,231,244</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Non-financial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Fee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836,642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815,403</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847,206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3,126,857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3,232,781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212,213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188,073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193,528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737,954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748,382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Net gain on sales of securities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47,139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150,427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102,011</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170,575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466,970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89"/>
        </w:trPr>
        <w:tc>
          <w:tcPr>
            <w:tcW w:w="334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18,844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21,842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22,738</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20.7%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72,254</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79,844</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derivatives held for trading</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2,158</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7,043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-515.0%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13,262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6,043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Net gain from exchange differences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24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(1,964)</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22,258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1233.3%</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8205.2%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16,022</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24,351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non-financial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39,825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94,647</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74,713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87.6%</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273,884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343,668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 non-financial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1,153,234</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1,270,586</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1,269,497</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-0.1%</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10.1%</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4,410,808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4,902,039</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earned premiums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534,380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612,534</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629,593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2,091,364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2,419,349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Net claims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(325,402)</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(392,520)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(395,718)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(1,239,636)</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(1,554,477)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Acquisition cost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(87,824)</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(94,239)</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(88,662)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(380,310)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(365,848)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121,154</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125,775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145,213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15.5%</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471,418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499,024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Total expenses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Salaries and employee benefits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(867,069)</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(845,345)</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(885,526)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(3,219,875)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(3,411,023)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(682,118)</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(560,780)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(675,142)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(2,330,045)</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(2,280,399)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(110,412)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(185,574)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(201,790)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(429,122)</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(708,442)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Association in participation </w:t>
            </w:r>
            <w:r>
              <w:rPr>
                <w:rFonts w:ascii="Arial" w:cs="Arial" w:eastAsia="Arial" w:hAnsi="Arial"/>
                <w:sz w:val="21"/>
                <w:szCs w:val="21"/>
                <w:color w:val="auto"/>
                <w:vertAlign w:val="superscript"/>
              </w:rPr>
              <w:t>(5)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(5,348)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(9,806)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83.4%</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5634.5%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(14,526)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(22,636)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(51,222)</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(54,575)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(113,520)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(215,652)</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(236,091)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Total expenses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(1,749,181)</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(1,651,622)</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(1,885,784)</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7.8%</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(6,247,409)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(6,658,591)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1,361,505</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1,519,351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1,371,388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5,592,213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5,973,716</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(384,352)</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(403,771)</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(378,431)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(1,520,909)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(1,621,385)</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Net profit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977,153</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1,115,580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992,957</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4,071,304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4,352,331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20,220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22,545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20,127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87,439</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87,027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profit attributable to Credicorp</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956,933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1,093,035</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972,830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3,983,865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4,265,304</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As of 2019, financing expenses related to lease agreements is included according to the application of IFRS 16.</w:t>
      </w:r>
    </w:p>
    <w:p>
      <w:pPr>
        <w:ind w:left="220" w:hanging="212"/>
        <w:spacing w:after="0"/>
        <w:tabs>
          <w:tab w:leader="none" w:pos="2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Starting in 2019 the gain from other investments in related companies has been included in the item "Net gain in associates"; which previously was presented in the item "Net gain on securities".</w:t>
      </w:r>
    </w:p>
    <w:p>
      <w:pPr>
        <w:ind w:left="220" w:hanging="212"/>
        <w:spacing w:after="0" w:line="221" w:lineRule="auto"/>
        <w:tabs>
          <w:tab w:leader="none" w:pos="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gains on other investments, mainly made up of the profit of Banmedica.</w:t>
      </w:r>
    </w:p>
    <w:p>
      <w:pPr>
        <w:ind w:left="220" w:hanging="212"/>
        <w:spacing w:after="0" w:line="221" w:lineRule="auto"/>
        <w:tabs>
          <w:tab w:leader="none" w:pos="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acquisition cost of Pacifico iIncludes net fees and underwriting expenses.</w:t>
      </w:r>
    </w:p>
    <w:p>
      <w:pPr>
        <w:ind w:right="520" w:firstLine="8"/>
        <w:spacing w:after="0" w:line="221" w:lineRule="auto"/>
        <w:tabs>
          <w:tab w:leader="none" w:pos="204" w:val="left"/>
        </w:tabs>
        <w:numPr>
          <w:ilvl w:val="0"/>
          <w:numId w:val="87"/>
        </w:numPr>
        <w:rPr>
          <w:rFonts w:ascii="Arial" w:cs="Arial" w:eastAsia="Arial" w:hAnsi="Arial"/>
          <w:sz w:val="14"/>
          <w:szCs w:val="14"/>
          <w:color w:val="auto"/>
        </w:rPr>
      </w:pPr>
      <w:r>
        <w:rPr>
          <w:rFonts w:ascii="Arial" w:cs="Arial" w:eastAsia="Arial" w:hAnsi="Arial"/>
          <w:sz w:val="14"/>
          <w:szCs w:val="14"/>
          <w:color w:val="auto"/>
        </w:rPr>
        <w:t>From 1Q19,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20" w:hanging="212"/>
        <w:spacing w:after="0"/>
        <w:tabs>
          <w:tab w:leader="none" w:pos="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From this quarter, the item “Association in participation” was incorporated, which previously was presented in the item “Net gain on securities”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ind w:left="800"/>
              <w:spacing w:after="0"/>
              <w:rPr>
                <w:sz w:val="20"/>
                <w:szCs w:val="20"/>
                <w:color w:val="auto"/>
              </w:rPr>
            </w:pPr>
            <w:r>
              <w:rPr>
                <w:rFonts w:ascii="Arial" w:cs="Arial" w:eastAsia="Arial" w:hAnsi="Arial"/>
                <w:sz w:val="16"/>
                <w:szCs w:val="16"/>
                <w:b w:val="1"/>
                <w:bCs w:val="1"/>
                <w:color w:val="auto"/>
                <w:w w:val="99"/>
              </w:rPr>
              <w:t>% change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18</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Sep 19</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19</w:t>
            </w:r>
          </w:p>
        </w:tc>
        <w:tc>
          <w:tcPr>
            <w:tcW w:w="1560" w:type="dxa"/>
            <w:vAlign w:val="bottom"/>
            <w:gridSpan w:val="3"/>
          </w:tcPr>
          <w:p>
            <w:pPr>
              <w:ind w:left="340"/>
              <w:spacing w:after="0"/>
              <w:rPr>
                <w:sz w:val="20"/>
                <w:szCs w:val="20"/>
                <w:color w:val="auto"/>
              </w:rPr>
            </w:pPr>
            <w:r>
              <w:rPr>
                <w:rFonts w:ascii="Arial" w:cs="Arial" w:eastAsia="Arial" w:hAnsi="Arial"/>
                <w:sz w:val="16"/>
                <w:szCs w:val="16"/>
                <w:b w:val="1"/>
                <w:bCs w:val="1"/>
                <w:color w:val="auto"/>
              </w:rPr>
              <w:t>QoQ</w:t>
            </w:r>
          </w:p>
        </w:tc>
        <w:tc>
          <w:tcPr>
            <w:tcW w:w="9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199"/>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Cash and due from banks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5,991,451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4,778,987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4,608,148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14,081,216</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19,146,069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19,148,673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20,072,667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23,925,056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23,756,821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-0.7%</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3"/>
              </w:rPr>
              <w:t>Cash collateral, reverse repurchase agreements and securities borrowing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3,362,285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2,969,737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3,045,261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75,948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182,957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-99.9%</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Fair value through other comprehensive income investments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14,300,023</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14,934,297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14,263,353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-4.5%</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Amortized cost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3,799,355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3,293,125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3,455,877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4.9%</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101,193,839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102,338,510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104,886,920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40"/>
              <w:spacing w:after="0"/>
              <w:rPr>
                <w:sz w:val="20"/>
                <w:szCs w:val="20"/>
                <w:color w:val="auto"/>
              </w:rPr>
            </w:pPr>
            <w:r>
              <w:rPr>
                <w:rFonts w:ascii="Arial" w:cs="Arial" w:eastAsia="Arial" w:hAnsi="Arial"/>
                <w:sz w:val="16"/>
                <w:szCs w:val="16"/>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98,217,198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99,151,976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101,730,830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 overdue 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2,976,641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3,186,534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3,156,090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40"/>
              <w:spacing w:after="0"/>
              <w:rPr>
                <w:sz w:val="20"/>
                <w:szCs w:val="20"/>
                <w:color w:val="auto"/>
              </w:rPr>
            </w:pPr>
            <w:r>
              <w:rPr>
                <w:rFonts w:ascii="Arial" w:cs="Arial" w:eastAsia="Arial" w:hAnsi="Arial"/>
                <w:sz w:val="16"/>
                <w:szCs w:val="16"/>
                <w:color w:val="auto"/>
              </w:rPr>
              <w:t>Less - allow ance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(4,706,870)</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(4,734,401)</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(4,761,111)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96,486,969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97,604,109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100,125,809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2.6%</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b w:val="1"/>
                <w:bCs w:val="1"/>
                <w:color w:val="auto"/>
              </w:rPr>
              <w:t xml:space="preserve">Property, furniture and equipment, net </w:t>
            </w:r>
            <w:r>
              <w:rPr>
                <w:rFonts w:ascii="Arial" w:cs="Arial" w:eastAsia="Arial" w:hAnsi="Arial"/>
                <w:sz w:val="27"/>
                <w:szCs w:val="27"/>
                <w:b w:val="1"/>
                <w:bCs w:val="1"/>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1,246,807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2,670,154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2,250,466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-15.7%</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Due from customers on acceptances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967,968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434,457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535,222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23.2%</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b w:val="1"/>
                <w:bCs w:val="1"/>
                <w:color w:val="auto"/>
              </w:rPr>
              <w:t xml:space="preserve">Other assets </w:t>
            </w:r>
            <w:r>
              <w:rPr>
                <w:rFonts w:ascii="Arial" w:cs="Arial" w:eastAsia="Arial" w:hAnsi="Arial"/>
                <w:sz w:val="27"/>
                <w:szCs w:val="27"/>
                <w:b w:val="1"/>
                <w:bCs w:val="1"/>
                <w:color w:val="auto"/>
                <w:vertAlign w:val="superscript"/>
              </w:rPr>
              <w:t>(2 )</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4,456,929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5,195,664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4,993,797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-3.9%</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Total Assets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144,768,951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151,209,556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152,426,848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0.8%</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Deposits and obligations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23,571,249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24,483,137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26,372,428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69,462,448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71,620,420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73,060,735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93,033,697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96,103,557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99,433,163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3.5%</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7,169,908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5,721,581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5,803,336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40"/>
              <w:spacing w:after="0"/>
              <w:rPr>
                <w:sz w:val="20"/>
                <w:szCs w:val="20"/>
                <w:color w:val="auto"/>
              </w:rPr>
            </w:pPr>
            <w:r>
              <w:rPr>
                <w:rFonts w:ascii="Arial" w:cs="Arial" w:eastAsia="Arial" w:hAnsi="Arial"/>
                <w:sz w:val="16"/>
                <w:szCs w:val="16"/>
                <w:color w:val="auto"/>
              </w:rPr>
              <w:t>BCRP instruments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5,226,870</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4,144,908</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4,381,011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agreements with third parties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1,943,038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1,576,673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1,422,325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Due to banks and correspondents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8,583,889</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8,714,198</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8,865,310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Bonds and notes issued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14,736,828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16,546,780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14,312,926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-13.5%</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Banker’s acceptances outstanding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967,968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434,457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535,222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23.2%</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35,145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13,977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-100.0%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line="242" w:lineRule="exact"/>
              <w:rPr>
                <w:sz w:val="20"/>
                <w:szCs w:val="20"/>
                <w:color w:val="auto"/>
              </w:rPr>
            </w:pPr>
            <w:r>
              <w:rPr>
                <w:rFonts w:ascii="Arial" w:cs="Arial" w:eastAsia="Arial" w:hAnsi="Arial"/>
                <w:sz w:val="16"/>
                <w:szCs w:val="16"/>
                <w:b w:val="1"/>
                <w:bCs w:val="1"/>
                <w:color w:val="auto"/>
              </w:rPr>
              <w:t xml:space="preserve">Other liabilities </w:t>
            </w:r>
            <w:r>
              <w:rPr>
                <w:rFonts w:ascii="Arial" w:cs="Arial" w:eastAsia="Arial" w:hAnsi="Arial"/>
                <w:sz w:val="27"/>
                <w:szCs w:val="27"/>
                <w:b w:val="1"/>
                <w:bCs w:val="1"/>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3,156,219</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5,542,036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4,506,805</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-18.7%</w:t>
            </w:r>
          </w:p>
        </w:tc>
        <w:tc>
          <w:tcPr>
            <w:tcW w:w="28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42.8%</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Total Liabilities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127,683,654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133,076,586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133,456,762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0.3%</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16,977,532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18,013,914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18,853,621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4.7%</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40"/>
              <w:spacing w:after="0"/>
              <w:rPr>
                <w:sz w:val="20"/>
                <w:szCs w:val="20"/>
                <w:color w:val="auto"/>
              </w:rPr>
            </w:pPr>
            <w:r>
              <w:rPr>
                <w:rFonts w:ascii="Arial" w:cs="Arial" w:eastAsia="Arial" w:hAnsi="Arial"/>
                <w:sz w:val="16"/>
                <w:szCs w:val="16"/>
                <w:color w:val="auto"/>
              </w:rPr>
              <w:t>Capital stock</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8,476,984</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9,924,006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9,924,006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Reserves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3,965,447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4,476,256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4,476,256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40"/>
              <w:spacing w:after="0"/>
              <w:rPr>
                <w:sz w:val="20"/>
                <w:szCs w:val="20"/>
                <w:color w:val="auto"/>
              </w:rPr>
            </w:pPr>
            <w:r>
              <w:rPr>
                <w:rFonts w:ascii="Arial" w:cs="Arial" w:eastAsia="Arial" w:hAnsi="Arial"/>
                <w:sz w:val="16"/>
                <w:szCs w:val="16"/>
                <w:color w:val="auto"/>
              </w:rPr>
              <w:t>Unrealized gains and losses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8,665</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296,915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296,456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3321.3%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4,526,436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3,316,737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4,156,903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25.3%</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107,765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119,056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116,465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5"/>
              </w:rPr>
              <w:t>Total Net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17,085,297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18,132,970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18,970,086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4.6%</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144,768,951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151,209,556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152,426,848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0.8%</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Off-balance sheet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109,579,381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119,919,107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114,045,218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40"/>
              <w:spacing w:after="0"/>
              <w:rPr>
                <w:sz w:val="20"/>
                <w:szCs w:val="20"/>
                <w:color w:val="auto"/>
              </w:rPr>
            </w:pPr>
            <w:r>
              <w:rPr>
                <w:rFonts w:ascii="Arial" w:cs="Arial" w:eastAsia="Arial" w:hAnsi="Arial"/>
                <w:sz w:val="16"/>
                <w:szCs w:val="16"/>
                <w:color w:val="auto"/>
              </w:rPr>
              <w:t>Total performance bonds, stand-by and L/Cs.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18,876,728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18,482,396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18,886,474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Undrawn credit lines, advised but not committed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65,983,775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70,846,512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67,865,642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40"/>
              <w:spacing w:after="0"/>
              <w:rPr>
                <w:sz w:val="20"/>
                <w:szCs w:val="20"/>
                <w:color w:val="auto"/>
              </w:rPr>
            </w:pPr>
            <w:r>
              <w:rPr>
                <w:rFonts w:ascii="Arial" w:cs="Arial" w:eastAsia="Arial" w:hAnsi="Arial"/>
                <w:sz w:val="16"/>
                <w:szCs w:val="16"/>
                <w:color w:val="auto"/>
              </w:rPr>
              <w:t>Total derivatives (notional) and others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24,718,878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30,590,199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27,293,102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-10.8%</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8"/>
        <w:spacing w:after="0" w:line="266" w:lineRule="auto"/>
        <w:tabs>
          <w:tab w:leader="none" w:pos="23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Mainly includes intangible assets, other receivable accounts and tax credit.</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Mainly includes other payable accounts.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78"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ind w:left="7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4Q18</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3Q19</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4Q19</w:t>
            </w: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 19 / Dec 18</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Interest and dividend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2,683,753</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2,780,173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2,808,740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10,211,253</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10,972,575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(683,378)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(737,099)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(704,713)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(2,631,510)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(2,874,581)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Net interest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2,000,375</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2,043,074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2,104,027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7,579,743</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8,097,994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40"/>
              <w:spacing w:after="0" w:line="149" w:lineRule="exact"/>
              <w:rPr>
                <w:sz w:val="20"/>
                <w:szCs w:val="20"/>
                <w:color w:val="auto"/>
              </w:rPr>
            </w:pPr>
            <w:r>
              <w:rPr>
                <w:rFonts w:ascii="Arial" w:cs="Arial" w:eastAsia="Arial" w:hAnsi="Arial"/>
                <w:sz w:val="14"/>
                <w:szCs w:val="14"/>
                <w:color w:val="auto"/>
              </w:rPr>
              <w:t>Provision for credit losses on loan portfolio</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(461,057)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(557,416)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(541,714)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(1,755,269)</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(2,030,835)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Recoveries of written-off loans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70,579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64,728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58,614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280,207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254,039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26"/>
        </w:trPr>
        <w:tc>
          <w:tcPr>
            <w:tcW w:w="3280" w:type="dxa"/>
            <w:vAlign w:val="bottom"/>
          </w:tcPr>
          <w:p>
            <w:pPr>
              <w:ind w:left="40"/>
              <w:spacing w:after="0" w:line="126" w:lineRule="exact"/>
              <w:rPr>
                <w:sz w:val="20"/>
                <w:szCs w:val="20"/>
                <w:color w:val="auto"/>
              </w:rPr>
            </w:pPr>
            <w:r>
              <w:rPr>
                <w:rFonts w:ascii="Arial" w:cs="Arial" w:eastAsia="Arial" w:hAnsi="Arial"/>
                <w:sz w:val="14"/>
                <w:szCs w:val="14"/>
                <w:b w:val="1"/>
                <w:bCs w:val="1"/>
                <w:color w:val="auto"/>
                <w:w w:val="95"/>
              </w:rPr>
              <w:t>Provision for credit losses on loan portfolio, net of</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(390,478)</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(492,688)</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(483,100)</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-1.9%</w:t>
            </w:r>
          </w:p>
        </w:tc>
        <w:tc>
          <w:tcPr>
            <w:tcW w:w="2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23.7%</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recoveries</w:t>
            </w: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(1,475,062)</w:t>
            </w: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(1,776,796)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Risk-adjusted net interest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1,609,897</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1,550,386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1,620,927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6,104,681</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6,321,198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Non-financial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Fee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651,822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661,070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680,506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2,486,843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2,609,684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198,051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184,383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197,954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699,002</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736,487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securities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22,347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85,506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22,004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31,375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133,812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Net gain on derivatives held for trading</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2,762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(3,866)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-240.0%</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-278.7%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(2,383)</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24,484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-1127.4%</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from exchange differences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5,621</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(4,515)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20,298</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-549.6%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261.1%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25,825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21,767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Others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11,421</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75,755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35,914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198,316</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209,581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Total other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891,425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1,004,961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952,810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3,438,978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3,735,815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Total expenses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Salaries and employee benefits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(657,452)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(638,819)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(665,450)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(2,441,977)</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(2,569,839)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Administrative expenses</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(561,638)</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(448,657)</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(527,037)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(1,866,399)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(1,774,397)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3280" w:type="dxa"/>
            <w:vAlign w:val="bottom"/>
          </w:tcPr>
          <w:p>
            <w:pPr>
              <w:ind w:left="140"/>
              <w:spacing w:after="0" w:line="189"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(2)</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(85,083)</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(151,466)</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(168,223)</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97.7%</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(328,751)</w:t>
            </w: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(585,545)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expenses</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(40,199)</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(39,504)</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(56,693)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(184,099)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(155,234)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 expenses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(1,344,372)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(1,278,446)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(1,417,403)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(4,821,226)</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(5,085,015)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1,156,950</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1,276,901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1,156,334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4,722,433</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4,971,998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Income tax</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(342,729)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(326,799)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(311,178)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(1,331,418)</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(1,330,064)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Net profit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814,221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950,102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845,156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3,391,015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3,641,934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3280" w:type="dxa"/>
            <w:vAlign w:val="bottom"/>
          </w:tcPr>
          <w:p>
            <w:pPr>
              <w:ind w:left="40"/>
              <w:spacing w:after="0" w:line="149" w:lineRule="exact"/>
              <w:rPr>
                <w:sz w:val="20"/>
                <w:szCs w:val="20"/>
                <w:color w:val="auto"/>
              </w:rPr>
            </w:pPr>
            <w:r>
              <w:rPr>
                <w:rFonts w:ascii="Arial" w:cs="Arial" w:eastAsia="Arial" w:hAnsi="Arial"/>
                <w:sz w:val="14"/>
                <w:szCs w:val="14"/>
                <w:color w:val="auto"/>
              </w:rPr>
              <w:t>Non-controlling interest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(4,659)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(4,729)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(4,991)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(23,031)</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(19,495)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profit attributable to BCP Consolidated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809,562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945,373</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840,165</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3,367,984</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3,622,439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As of 2019, financing expenses related to lease agreements is included according to the application of IFRS 16.</w:t>
      </w:r>
    </w:p>
    <w:p>
      <w:pPr>
        <w:ind w:right="180" w:firstLine="8"/>
        <w:spacing w:after="0" w:line="237" w:lineRule="auto"/>
        <w:tabs>
          <w:tab w:leader="none" w:pos="204" w:val="left"/>
        </w:tabs>
        <w:numPr>
          <w:ilvl w:val="0"/>
          <w:numId w:val="89"/>
        </w:numPr>
        <w:rPr>
          <w:rFonts w:ascii="Arial" w:cs="Arial" w:eastAsia="Arial" w:hAnsi="Arial"/>
          <w:sz w:val="14"/>
          <w:szCs w:val="14"/>
          <w:color w:val="auto"/>
        </w:rPr>
      </w:pPr>
      <w:r>
        <w:rPr>
          <w:rFonts w:ascii="Arial" w:cs="Arial" w:eastAsia="Arial" w:hAnsi="Arial"/>
          <w:sz w:val="14"/>
          <w:szCs w:val="14"/>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Quarter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ind w:left="960"/>
              <w:spacing w:after="0"/>
              <w:rPr>
                <w:sz w:val="20"/>
                <w:szCs w:val="20"/>
                <w:color w:val="auto"/>
              </w:rPr>
            </w:pPr>
            <w:r>
              <w:rPr>
                <w:rFonts w:ascii="Arial" w:cs="Arial" w:eastAsia="Arial" w:hAnsi="Arial"/>
                <w:sz w:val="16"/>
                <w:szCs w:val="16"/>
                <w:b w:val="1"/>
                <w:bCs w:val="1"/>
                <w:color w:val="auto"/>
              </w:rPr>
              <w:t>Year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24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4Q18</w:t>
            </w: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3Q19</w:t>
            </w: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4Q19</w:t>
            </w: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r>
      <w:tr>
        <w:trPr>
          <w:trHeight w:val="199"/>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Profitability</w:t>
            </w: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43"/>
        </w:trPr>
        <w:tc>
          <w:tcPr>
            <w:tcW w:w="5240" w:type="dxa"/>
            <w:vAlign w:val="bottom"/>
          </w:tcPr>
          <w:p>
            <w:pPr>
              <w:ind w:left="40"/>
              <w:spacing w:after="0" w:line="242" w:lineRule="exact"/>
              <w:rPr>
                <w:sz w:val="20"/>
                <w:szCs w:val="20"/>
                <w:color w:val="auto"/>
              </w:rPr>
            </w:pPr>
            <w:r>
              <w:rPr>
                <w:rFonts w:ascii="Arial" w:cs="Arial" w:eastAsia="Arial" w:hAnsi="Arial"/>
                <w:sz w:val="16"/>
                <w:szCs w:val="16"/>
                <w:color w:val="auto"/>
              </w:rPr>
              <w:t xml:space="preserve">Earnings per share </w:t>
            </w:r>
            <w:r>
              <w:rPr>
                <w:rFonts w:ascii="Arial" w:cs="Arial" w:eastAsia="Arial" w:hAnsi="Arial"/>
                <w:sz w:val="27"/>
                <w:szCs w:val="27"/>
                <w:color w:val="auto"/>
                <w:vertAlign w:val="superscript"/>
              </w:rPr>
              <w:t>(1)</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0.079</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0.093</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0.082</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0.330</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0.355</w:t>
            </w:r>
          </w:p>
        </w:tc>
        <w:tc>
          <w:tcPr>
            <w:tcW w:w="140" w:type="dxa"/>
            <w:vAlign w:val="bottom"/>
          </w:tcPr>
          <w:p>
            <w:pPr>
              <w:spacing w:after="0"/>
              <w:rPr>
                <w:sz w:val="21"/>
                <w:szCs w:val="21"/>
                <w:color w:val="auto"/>
              </w:rPr>
            </w:pPr>
          </w:p>
        </w:tc>
      </w:tr>
      <w:tr>
        <w:trPr>
          <w:trHeight w:val="243"/>
        </w:trPr>
        <w:tc>
          <w:tcPr>
            <w:tcW w:w="5240" w:type="dxa"/>
            <w:vAlign w:val="bottom"/>
            <w:shd w:val="clear" w:color="auto" w:fill="CCEEFF"/>
          </w:tcPr>
          <w:p>
            <w:pPr>
              <w:ind w:left="40"/>
              <w:spacing w:after="0" w:line="243" w:lineRule="exact"/>
              <w:rPr>
                <w:sz w:val="20"/>
                <w:szCs w:val="20"/>
                <w:color w:val="auto"/>
              </w:rPr>
            </w:pPr>
            <w:r>
              <w:rPr>
                <w:rFonts w:ascii="Arial" w:cs="Arial" w:eastAsia="Arial" w:hAnsi="Arial"/>
                <w:sz w:val="28"/>
                <w:szCs w:val="28"/>
                <w:color w:val="auto"/>
                <w:vertAlign w:val="subscript"/>
              </w:rPr>
              <w:t>ROAA</w:t>
            </w:r>
            <w:r>
              <w:rPr>
                <w:rFonts w:ascii="Arial" w:cs="Arial" w:eastAsia="Arial" w:hAnsi="Arial"/>
                <w:sz w:val="12"/>
                <w:szCs w:val="12"/>
                <w:color w:val="auto"/>
              </w:rPr>
              <w:t>(2)(3)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5240" w:type="dxa"/>
            <w:vAlign w:val="bottom"/>
          </w:tcPr>
          <w:p>
            <w:pPr>
              <w:ind w:left="40"/>
              <w:spacing w:after="0" w:line="243" w:lineRule="exact"/>
              <w:rPr>
                <w:sz w:val="20"/>
                <w:szCs w:val="20"/>
                <w:color w:val="auto"/>
              </w:rPr>
            </w:pPr>
            <w:r>
              <w:rPr>
                <w:rFonts w:ascii="Arial" w:cs="Arial" w:eastAsia="Arial" w:hAnsi="Arial"/>
                <w:sz w:val="28"/>
                <w:szCs w:val="28"/>
                <w:color w:val="auto"/>
                <w:vertAlign w:val="subscript"/>
              </w:rPr>
              <w:t>ROAE</w:t>
            </w:r>
            <w:r>
              <w:rPr>
                <w:rFonts w:ascii="Arial" w:cs="Arial" w:eastAsia="Arial" w:hAnsi="Arial"/>
                <w:sz w:val="12"/>
                <w:szCs w:val="12"/>
                <w:color w:val="auto"/>
              </w:rPr>
              <w:t>(2)(3)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19.5%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21.3%</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18.2%</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20.8%</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20.2%</w:t>
            </w:r>
          </w:p>
        </w:tc>
      </w:tr>
      <w:tr>
        <w:trPr>
          <w:trHeight w:val="243"/>
        </w:trPr>
        <w:tc>
          <w:tcPr>
            <w:tcW w:w="524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7"/>
                <w:szCs w:val="27"/>
                <w:color w:val="auto"/>
                <w:vertAlign w:val="superscript"/>
              </w:rPr>
              <w:t>(2)(3)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43"/>
        </w:trPr>
        <w:tc>
          <w:tcPr>
            <w:tcW w:w="5240" w:type="dxa"/>
            <w:vAlign w:val="bottom"/>
          </w:tcPr>
          <w:p>
            <w:pPr>
              <w:ind w:left="40"/>
              <w:spacing w:after="0" w:line="242" w:lineRule="exact"/>
              <w:rPr>
                <w:sz w:val="20"/>
                <w:szCs w:val="20"/>
                <w:color w:val="auto"/>
              </w:rPr>
            </w:pPr>
            <w:r>
              <w:rPr>
                <w:rFonts w:ascii="Arial" w:cs="Arial" w:eastAsia="Arial" w:hAnsi="Arial"/>
                <w:sz w:val="16"/>
                <w:szCs w:val="16"/>
                <w:color w:val="auto"/>
              </w:rPr>
              <w:t xml:space="preserve">Risk adjusted NIM </w:t>
            </w:r>
            <w:r>
              <w:rPr>
                <w:rFonts w:ascii="Arial" w:cs="Arial" w:eastAsia="Arial" w:hAnsi="Arial"/>
                <w:sz w:val="27"/>
                <w:szCs w:val="27"/>
                <w:color w:val="auto"/>
                <w:vertAlign w:val="superscript"/>
              </w:rPr>
              <w:t>(2)(3)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4.86%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4.40%</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4.51%</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4.51%</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4.55%</w:t>
            </w:r>
          </w:p>
        </w:tc>
      </w:tr>
      <w:tr>
        <w:trPr>
          <w:trHeight w:val="243"/>
        </w:trPr>
        <w:tc>
          <w:tcPr>
            <w:tcW w:w="524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Funding Cost </w:t>
            </w:r>
            <w:r>
              <w:rPr>
                <w:rFonts w:ascii="Arial" w:cs="Arial" w:eastAsia="Arial" w:hAnsi="Arial"/>
                <w:sz w:val="27"/>
                <w:szCs w:val="27"/>
                <w:color w:val="auto"/>
                <w:vertAlign w:val="superscript"/>
              </w:rPr>
              <w:t>(2)(3)(4)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03"/>
        </w:trPr>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Quality of loan portfolio</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240" w:type="dxa"/>
            <w:vAlign w:val="bottom"/>
          </w:tcPr>
          <w:p>
            <w:pPr>
              <w:ind w:left="40"/>
              <w:spacing w:after="0"/>
              <w:rPr>
                <w:sz w:val="20"/>
                <w:szCs w:val="20"/>
                <w:color w:val="auto"/>
              </w:rPr>
            </w:pPr>
            <w:r>
              <w:rPr>
                <w:rFonts w:ascii="Arial" w:cs="Arial" w:eastAsia="Arial" w:hAnsi="Arial"/>
                <w:sz w:val="16"/>
                <w:szCs w:val="16"/>
                <w:color w:val="auto"/>
              </w:rPr>
              <w:t>IOL ratio</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2.94%</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3.11%</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3.01%</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2.94%</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3.01%</w:t>
            </w:r>
          </w:p>
        </w:tc>
      </w:tr>
      <w:tr>
        <w:trPr>
          <w:trHeight w:val="203"/>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NPL ratio</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03"/>
        </w:trPr>
        <w:tc>
          <w:tcPr>
            <w:tcW w:w="5240" w:type="dxa"/>
            <w:vAlign w:val="bottom"/>
          </w:tcPr>
          <w:p>
            <w:pPr>
              <w:ind w:left="40"/>
              <w:spacing w:after="0"/>
              <w:rPr>
                <w:sz w:val="20"/>
                <w:szCs w:val="20"/>
                <w:color w:val="auto"/>
              </w:rPr>
            </w:pPr>
            <w:r>
              <w:rPr>
                <w:rFonts w:ascii="Arial" w:cs="Arial" w:eastAsia="Arial" w:hAnsi="Arial"/>
                <w:sz w:val="16"/>
                <w:szCs w:val="16"/>
                <w:color w:val="auto"/>
              </w:rPr>
              <w:t>Coverage of IOLs</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158.1%</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148.6%</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150.9%</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158.1%</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150.9%</w:t>
            </w:r>
          </w:p>
        </w:tc>
      </w:tr>
      <w:tr>
        <w:trPr>
          <w:trHeight w:val="203"/>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Coverage of NPLs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111.3%</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110.3%</w:t>
            </w:r>
          </w:p>
        </w:tc>
      </w:tr>
      <w:tr>
        <w:trPr>
          <w:trHeight w:val="243"/>
        </w:trPr>
        <w:tc>
          <w:tcPr>
            <w:tcW w:w="5240" w:type="dxa"/>
            <w:vAlign w:val="bottom"/>
          </w:tcPr>
          <w:p>
            <w:pPr>
              <w:ind w:left="40"/>
              <w:spacing w:after="0" w:line="242" w:lineRule="exact"/>
              <w:rPr>
                <w:sz w:val="20"/>
                <w:szCs w:val="20"/>
                <w:color w:val="auto"/>
              </w:rPr>
            </w:pPr>
            <w:r>
              <w:rPr>
                <w:rFonts w:ascii="Arial" w:cs="Arial" w:eastAsia="Arial" w:hAnsi="Arial"/>
                <w:sz w:val="16"/>
                <w:szCs w:val="16"/>
                <w:color w:val="auto"/>
              </w:rPr>
              <w:t xml:space="preserve">Cost of risk </w:t>
            </w:r>
            <w:r>
              <w:rPr>
                <w:rFonts w:ascii="Arial" w:cs="Arial" w:eastAsia="Arial" w:hAnsi="Arial"/>
                <w:sz w:val="27"/>
                <w:szCs w:val="27"/>
                <w:color w:val="auto"/>
                <w:vertAlign w:val="superscript"/>
              </w:rPr>
              <w:t>(5)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1.54%</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1.93%</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1.84%</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1.46%</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1.69%</w:t>
            </w:r>
          </w:p>
        </w:tc>
      </w:tr>
      <w:tr>
        <w:trPr>
          <w:trHeight w:val="203"/>
        </w:trPr>
        <w:tc>
          <w:tcPr>
            <w:tcW w:w="5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Operating efficiency</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524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Oper. expenses as a percent. of total income - reported </w:t>
            </w:r>
            <w:r>
              <w:rPr>
                <w:rFonts w:ascii="Arial" w:cs="Arial" w:eastAsia="Arial" w:hAnsi="Arial"/>
                <w:sz w:val="27"/>
                <w:szCs w:val="27"/>
                <w:color w:val="auto"/>
                <w:vertAlign w:val="superscript"/>
              </w:rPr>
              <w:t>(6)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03"/>
        </w:trPr>
        <w:tc>
          <w:tcPr>
            <w:tcW w:w="5240" w:type="dxa"/>
            <w:vAlign w:val="bottom"/>
          </w:tcPr>
          <w:p>
            <w:pPr>
              <w:ind w:left="40"/>
              <w:spacing w:after="0"/>
              <w:rPr>
                <w:sz w:val="20"/>
                <w:szCs w:val="20"/>
                <w:color w:val="auto"/>
              </w:rPr>
            </w:pPr>
            <w:r>
              <w:rPr>
                <w:rFonts w:ascii="Arial" w:cs="Arial" w:eastAsia="Arial" w:hAnsi="Arial"/>
                <w:sz w:val="16"/>
                <w:szCs w:val="16"/>
                <w:color w:val="auto"/>
              </w:rPr>
              <w:t>Oper. expenses as a percent. of total income - including all other items</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46.5%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41.9%</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46.4%</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43.8%</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43.0%</w:t>
            </w:r>
          </w:p>
        </w:tc>
      </w:tr>
      <w:tr>
        <w:trPr>
          <w:trHeight w:val="243"/>
        </w:trPr>
        <w:tc>
          <w:tcPr>
            <w:tcW w:w="524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Oper. expenses as a percent. of av. tot. assets </w:t>
            </w:r>
            <w:r>
              <w:rPr>
                <w:rFonts w:ascii="Arial" w:cs="Arial" w:eastAsia="Arial" w:hAnsi="Arial"/>
                <w:sz w:val="27"/>
                <w:szCs w:val="27"/>
                <w:color w:val="auto"/>
                <w:vertAlign w:val="superscript"/>
              </w:rPr>
              <w:t>(2)(3)(6)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3"/>
        </w:trPr>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524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b w:val="1"/>
                <w:bCs w:val="1"/>
                <w:color w:val="auto"/>
              </w:rPr>
              <w:t xml:space="preserve">Capital adequacy </w:t>
            </w:r>
            <w:r>
              <w:rPr>
                <w:rFonts w:ascii="Arial" w:cs="Arial" w:eastAsia="Arial" w:hAnsi="Arial"/>
                <w:sz w:val="27"/>
                <w:szCs w:val="27"/>
                <w:b w:val="1"/>
                <w:bCs w:val="1"/>
                <w:color w:val="auto"/>
                <w:vertAlign w:val="superscript"/>
              </w:rPr>
              <w:t>(7)</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03"/>
        </w:trPr>
        <w:tc>
          <w:tcPr>
            <w:tcW w:w="5240" w:type="dxa"/>
            <w:vAlign w:val="bottom"/>
          </w:tcPr>
          <w:p>
            <w:pPr>
              <w:ind w:left="40"/>
              <w:spacing w:after="0"/>
              <w:rPr>
                <w:sz w:val="20"/>
                <w:szCs w:val="20"/>
                <w:color w:val="auto"/>
              </w:rPr>
            </w:pPr>
            <w:r>
              <w:rPr>
                <w:rFonts w:ascii="Arial" w:cs="Arial" w:eastAsia="Arial" w:hAnsi="Arial"/>
                <w:sz w:val="16"/>
                <w:szCs w:val="16"/>
                <w:color w:val="auto"/>
              </w:rPr>
              <w:t>Total regulatory capital (S/ Million)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17,677</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20,149</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19,408</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17,677</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19,408</w:t>
            </w:r>
          </w:p>
        </w:tc>
        <w:tc>
          <w:tcPr>
            <w:tcW w:w="140" w:type="dxa"/>
            <w:vAlign w:val="bottom"/>
          </w:tcPr>
          <w:p>
            <w:pPr>
              <w:spacing w:after="0"/>
              <w:rPr>
                <w:sz w:val="17"/>
                <w:szCs w:val="17"/>
                <w:color w:val="auto"/>
              </w:rPr>
            </w:pPr>
          </w:p>
        </w:tc>
      </w:tr>
      <w:tr>
        <w:trPr>
          <w:trHeight w:val="243"/>
        </w:trPr>
        <w:tc>
          <w:tcPr>
            <w:tcW w:w="524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Tier 1 capital (S/ Million) </w:t>
            </w:r>
            <w:r>
              <w:rPr>
                <w:rFonts w:ascii="Arial" w:cs="Arial" w:eastAsia="Arial" w:hAnsi="Arial"/>
                <w:sz w:val="27"/>
                <w:szCs w:val="27"/>
                <w:color w:val="auto"/>
                <w:vertAlign w:val="superscript"/>
              </w:rPr>
              <w:t>(8)</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12,827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15,371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14,850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12,827</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14,850</w:t>
            </w:r>
          </w:p>
        </w:tc>
        <w:tc>
          <w:tcPr>
            <w:tcW w:w="140" w:type="dxa"/>
            <w:vAlign w:val="bottom"/>
            <w:shd w:val="clear" w:color="auto" w:fill="CCEEFF"/>
          </w:tcPr>
          <w:p>
            <w:pPr>
              <w:spacing w:after="0"/>
              <w:rPr>
                <w:sz w:val="21"/>
                <w:szCs w:val="21"/>
                <w:color w:val="auto"/>
              </w:rPr>
            </w:pPr>
          </w:p>
        </w:tc>
      </w:tr>
      <w:tr>
        <w:trPr>
          <w:trHeight w:val="243"/>
        </w:trPr>
        <w:tc>
          <w:tcPr>
            <w:tcW w:w="5240" w:type="dxa"/>
            <w:vAlign w:val="bottom"/>
          </w:tcPr>
          <w:p>
            <w:pPr>
              <w:ind w:left="40"/>
              <w:spacing w:after="0" w:line="242" w:lineRule="exact"/>
              <w:rPr>
                <w:sz w:val="20"/>
                <w:szCs w:val="20"/>
                <w:color w:val="auto"/>
              </w:rPr>
            </w:pPr>
            <w:r>
              <w:rPr>
                <w:rFonts w:ascii="Arial" w:cs="Arial" w:eastAsia="Arial" w:hAnsi="Arial"/>
                <w:sz w:val="16"/>
                <w:szCs w:val="16"/>
                <w:color w:val="auto"/>
              </w:rPr>
              <w:t xml:space="preserve">Common equity tier 1 ratio </w:t>
            </w:r>
            <w:r>
              <w:rPr>
                <w:rFonts w:ascii="Arial" w:cs="Arial" w:eastAsia="Arial" w:hAnsi="Arial"/>
                <w:sz w:val="27"/>
                <w:szCs w:val="27"/>
                <w:color w:val="auto"/>
                <w:vertAlign w:val="superscript"/>
              </w:rPr>
              <w:t>(9)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11.55%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11.95%</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12.35%</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11.55%</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12.35%</w:t>
            </w:r>
          </w:p>
        </w:tc>
      </w:tr>
      <w:tr>
        <w:trPr>
          <w:trHeight w:val="243"/>
        </w:trPr>
        <w:tc>
          <w:tcPr>
            <w:tcW w:w="5240" w:type="dxa"/>
            <w:vAlign w:val="bottom"/>
            <w:shd w:val="clear" w:color="auto" w:fill="CCEEFF"/>
          </w:tcPr>
          <w:p>
            <w:pPr>
              <w:ind w:left="40"/>
              <w:spacing w:after="0" w:line="242" w:lineRule="exact"/>
              <w:rPr>
                <w:sz w:val="20"/>
                <w:szCs w:val="20"/>
                <w:color w:val="auto"/>
              </w:rPr>
            </w:pPr>
            <w:r>
              <w:rPr>
                <w:rFonts w:ascii="Arial" w:cs="Arial" w:eastAsia="Arial" w:hAnsi="Arial"/>
                <w:sz w:val="16"/>
                <w:szCs w:val="16"/>
                <w:color w:val="auto"/>
              </w:rPr>
              <w:t xml:space="preserve">BIS ratio </w:t>
            </w:r>
            <w:r>
              <w:rPr>
                <w:rFonts w:ascii="Arial" w:cs="Arial" w:eastAsia="Arial" w:hAnsi="Arial"/>
                <w:sz w:val="27"/>
                <w:szCs w:val="27"/>
                <w:color w:val="auto"/>
                <w:vertAlign w:val="superscript"/>
              </w:rPr>
              <w:t>(10)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14.16%</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14.47%</w:t>
            </w:r>
          </w:p>
        </w:tc>
      </w:tr>
      <w:tr>
        <w:trPr>
          <w:trHeight w:val="203"/>
        </w:trPr>
        <w:tc>
          <w:tcPr>
            <w:tcW w:w="5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Share Information</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3"/>
        </w:trPr>
        <w:tc>
          <w:tcPr>
            <w:tcW w:w="5240" w:type="dxa"/>
            <w:vAlign w:val="bottom"/>
          </w:tcPr>
          <w:p>
            <w:pPr>
              <w:ind w:left="40"/>
              <w:spacing w:after="0"/>
              <w:rPr>
                <w:sz w:val="20"/>
                <w:szCs w:val="20"/>
                <w:color w:val="auto"/>
              </w:rPr>
            </w:pPr>
            <w:r>
              <w:rPr>
                <w:rFonts w:ascii="Arial" w:cs="Arial" w:eastAsia="Arial" w:hAnsi="Arial"/>
                <w:sz w:val="16"/>
                <w:szCs w:val="16"/>
                <w:color w:val="auto"/>
              </w:rPr>
              <w:t>N° of outstanding shares (Million)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10,217</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10,217</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10,217</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10,217.39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10,217.39</w:t>
            </w:r>
          </w:p>
        </w:tc>
        <w:tc>
          <w:tcPr>
            <w:tcW w:w="14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Shares outstanding of 10,217 million is used for all periods since shares have been issued only for capitalization of profits.</w:t>
      </w:r>
    </w:p>
    <w:p>
      <w:pPr>
        <w:spacing w:after="0" w:line="22" w:lineRule="exact"/>
        <w:rPr>
          <w:rFonts w:ascii="Arial" w:cs="Arial" w:eastAsia="Arial" w:hAnsi="Arial"/>
          <w:sz w:val="16"/>
          <w:szCs w:val="16"/>
          <w:color w:val="auto"/>
        </w:rPr>
      </w:pPr>
    </w:p>
    <w:p>
      <w:pPr>
        <w:ind w:left="240" w:hanging="232"/>
        <w:spacing w:after="0"/>
        <w:tabs>
          <w:tab w:leader="none" w:pos="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Ratios are annualized.</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Averages are determined as the average of period-beginning and period-ending balances.</w:t>
      </w:r>
    </w:p>
    <w:p>
      <w:pPr>
        <w:spacing w:after="0" w:line="18" w:lineRule="exact"/>
        <w:rPr>
          <w:rFonts w:ascii="Arial" w:cs="Arial" w:eastAsia="Arial" w:hAnsi="Arial"/>
          <w:sz w:val="16"/>
          <w:szCs w:val="16"/>
          <w:color w:val="auto"/>
        </w:rPr>
      </w:pPr>
    </w:p>
    <w:p>
      <w:pPr>
        <w:ind w:right="600" w:firstLine="8"/>
        <w:spacing w:after="0" w:line="264" w:lineRule="auto"/>
        <w:tabs>
          <w:tab w:leader="none" w:pos="23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240" w:hanging="232"/>
        <w:spacing w:after="0"/>
        <w:tabs>
          <w:tab w:leader="none" w:pos="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Cost of risk: Annualized provision for loan losses / Total loans.</w:t>
      </w:r>
    </w:p>
    <w:p>
      <w:pPr>
        <w:spacing w:after="0" w:line="18" w:lineRule="exact"/>
        <w:rPr>
          <w:rFonts w:ascii="Arial" w:cs="Arial" w:eastAsia="Arial" w:hAnsi="Arial"/>
          <w:sz w:val="16"/>
          <w:szCs w:val="16"/>
          <w:color w:val="auto"/>
        </w:rPr>
      </w:pPr>
    </w:p>
    <w:p>
      <w:pPr>
        <w:ind w:right="400" w:firstLine="8"/>
        <w:spacing w:after="0" w:line="264" w:lineRule="auto"/>
        <w:tabs>
          <w:tab w:leader="none" w:pos="23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40" w:hanging="232"/>
        <w:spacing w:after="0"/>
        <w:tabs>
          <w:tab w:leader="none" w:pos="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capital ratios are for BCP Stand-alone and based on Peru GAAP.</w:t>
      </w:r>
    </w:p>
    <w:p>
      <w:pPr>
        <w:spacing w:after="0" w:line="18" w:lineRule="exact"/>
        <w:rPr>
          <w:rFonts w:ascii="Arial" w:cs="Arial" w:eastAsia="Arial" w:hAnsi="Arial"/>
          <w:sz w:val="16"/>
          <w:szCs w:val="16"/>
          <w:color w:val="auto"/>
        </w:rPr>
      </w:pPr>
    </w:p>
    <w:p>
      <w:pPr>
        <w:ind w:right="200" w:firstLine="8"/>
        <w:spacing w:after="0" w:line="264" w:lineRule="auto"/>
        <w:tabs>
          <w:tab w:leader="none" w:pos="23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240" w:firstLine="8"/>
        <w:spacing w:after="0" w:line="264" w:lineRule="auto"/>
        <w:tabs>
          <w:tab w:leader="none" w:pos="23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Common Equity Tier I = Capital + Reserves – 100% of applicable deductions (investment in subsidiaries, goodwill, intangibles and net deferred taxes that rely on future profitability) + retained earnings + unrealized gains.</w:t>
      </w:r>
    </w:p>
    <w:p>
      <w:pPr>
        <w:ind w:left="320" w:hanging="312"/>
        <w:spacing w:after="0"/>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Regulatory capital/ risk-weighted assets. Risk weighted assets include market risk and operational risk.</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11.3. Mibanco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MIBANCO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As of</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3"/>
              </w:rPr>
              <w:t>% change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 18</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 19</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 19</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QoQ</w:t>
            </w:r>
          </w:p>
        </w:tc>
        <w:tc>
          <w:tcPr>
            <w:tcW w:w="1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89"/>
              </w:rPr>
              <w:t>YoY</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800" w:type="dxa"/>
            <w:vAlign w:val="bottom"/>
          </w:tcPr>
          <w:p>
            <w:pPr>
              <w:jc w:val="right"/>
              <w:spacing w:after="0"/>
              <w:rPr>
                <w:sz w:val="20"/>
                <w:szCs w:val="20"/>
                <w:color w:val="auto"/>
              </w:rPr>
            </w:pPr>
            <w:r>
              <w:rPr>
                <w:rFonts w:ascii="Arial" w:cs="Arial" w:eastAsia="Arial" w:hAnsi="Arial"/>
                <w:sz w:val="16"/>
                <w:szCs w:val="16"/>
                <w:color w:val="auto"/>
              </w:rPr>
              <w:t>1,012,566</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1,138,736</w:t>
            </w:r>
          </w:p>
        </w:tc>
        <w:tc>
          <w:tcPr>
            <w:tcW w:w="800" w:type="dxa"/>
            <w:vAlign w:val="bottom"/>
          </w:tcPr>
          <w:p>
            <w:pPr>
              <w:jc w:val="right"/>
              <w:spacing w:after="0"/>
              <w:rPr>
                <w:sz w:val="20"/>
                <w:szCs w:val="20"/>
                <w:color w:val="auto"/>
              </w:rPr>
            </w:pPr>
            <w:r>
              <w:rPr>
                <w:rFonts w:ascii="Arial" w:cs="Arial" w:eastAsia="Arial" w:hAnsi="Arial"/>
                <w:sz w:val="16"/>
                <w:szCs w:val="16"/>
                <w:color w:val="auto"/>
              </w:rPr>
              <w:t>1,146,596</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2,244,798</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1,608,428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1,521,121</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b w:val="1"/>
                <w:bCs w:val="1"/>
                <w:color w:val="auto"/>
              </w:rPr>
              <w:t>Total loans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10,048,286</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10,348,630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10,728,372</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6.8%</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9,401,674</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9,680,999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10,055,027</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Internal overdue loans</w:t>
            </w:r>
          </w:p>
        </w:tc>
        <w:tc>
          <w:tcPr>
            <w:tcW w:w="800" w:type="dxa"/>
            <w:vAlign w:val="bottom"/>
          </w:tcPr>
          <w:p>
            <w:pPr>
              <w:jc w:val="right"/>
              <w:spacing w:after="0"/>
              <w:rPr>
                <w:sz w:val="20"/>
                <w:szCs w:val="20"/>
                <w:color w:val="auto"/>
              </w:rPr>
            </w:pPr>
            <w:r>
              <w:rPr>
                <w:rFonts w:ascii="Arial" w:cs="Arial" w:eastAsia="Arial" w:hAnsi="Arial"/>
                <w:sz w:val="16"/>
                <w:szCs w:val="16"/>
                <w:color w:val="auto"/>
              </w:rPr>
              <w:t>522,689</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560,695</w:t>
            </w:r>
          </w:p>
        </w:tc>
        <w:tc>
          <w:tcPr>
            <w:tcW w:w="800" w:type="dxa"/>
            <w:vAlign w:val="bottom"/>
          </w:tcPr>
          <w:p>
            <w:pPr>
              <w:jc w:val="right"/>
              <w:spacing w:after="0"/>
              <w:rPr>
                <w:sz w:val="20"/>
                <w:szCs w:val="20"/>
                <w:color w:val="auto"/>
              </w:rPr>
            </w:pPr>
            <w:r>
              <w:rPr>
                <w:rFonts w:ascii="Arial" w:cs="Arial" w:eastAsia="Arial" w:hAnsi="Arial"/>
                <w:sz w:val="16"/>
                <w:szCs w:val="16"/>
                <w:color w:val="auto"/>
              </w:rPr>
              <w:t>572,043</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Refinanced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123,923</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106,936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101,302</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Allowance for loan losses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-919,622</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-925,705</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-937,075</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loans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9,128,664</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9,422,925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9,791,296</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3.9%</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7.3%</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800" w:type="dxa"/>
            <w:vAlign w:val="bottom"/>
          </w:tcPr>
          <w:p>
            <w:pPr>
              <w:jc w:val="right"/>
              <w:spacing w:after="0"/>
              <w:rPr>
                <w:sz w:val="20"/>
                <w:szCs w:val="20"/>
                <w:color w:val="auto"/>
              </w:rPr>
            </w:pPr>
            <w:r>
              <w:rPr>
                <w:rFonts w:ascii="Arial" w:cs="Arial" w:eastAsia="Arial" w:hAnsi="Arial"/>
                <w:sz w:val="16"/>
                <w:szCs w:val="16"/>
                <w:color w:val="auto"/>
              </w:rPr>
              <w:t>181,468</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177,728</w:t>
            </w:r>
          </w:p>
        </w:tc>
        <w:tc>
          <w:tcPr>
            <w:tcW w:w="800" w:type="dxa"/>
            <w:vAlign w:val="bottom"/>
          </w:tcPr>
          <w:p>
            <w:pPr>
              <w:jc w:val="right"/>
              <w:spacing w:after="0"/>
              <w:rPr>
                <w:sz w:val="20"/>
                <w:szCs w:val="20"/>
                <w:color w:val="auto"/>
              </w:rPr>
            </w:pPr>
            <w:r>
              <w:rPr>
                <w:rFonts w:ascii="Arial" w:cs="Arial" w:eastAsia="Arial" w:hAnsi="Arial"/>
                <w:sz w:val="16"/>
                <w:szCs w:val="16"/>
                <w:color w:val="auto"/>
              </w:rPr>
              <w:t>176,460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652,784</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902,204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1,106,183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22.6%</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69.5%</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540"/>
              <w:spacing w:after="0"/>
              <w:rPr>
                <w:sz w:val="20"/>
                <w:szCs w:val="20"/>
                <w:color w:val="auto"/>
              </w:rPr>
            </w:pPr>
            <w:r>
              <w:rPr>
                <w:rFonts w:ascii="Arial" w:cs="Arial" w:eastAsia="Arial" w:hAnsi="Arial"/>
                <w:sz w:val="16"/>
                <w:szCs w:val="16"/>
                <w:b w:val="1"/>
                <w:bCs w:val="1"/>
                <w:color w:val="auto"/>
              </w:rPr>
              <w:t>Total assets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13,220,280</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13,250,021</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13,741,657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spacing w:after="0"/>
              <w:rPr>
                <w:sz w:val="20"/>
                <w:szCs w:val="20"/>
                <w:color w:val="auto"/>
              </w:rPr>
            </w:pPr>
            <w:r>
              <w:rPr>
                <w:rFonts w:ascii="Arial" w:cs="Arial" w:eastAsia="Arial" w:hAnsi="Arial"/>
                <w:sz w:val="16"/>
                <w:szCs w:val="16"/>
                <w:color w:val="auto"/>
              </w:rPr>
              <w:t>Deposits and obligations</w:t>
            </w:r>
          </w:p>
        </w:tc>
        <w:tc>
          <w:tcPr>
            <w:tcW w:w="800" w:type="dxa"/>
            <w:vAlign w:val="bottom"/>
          </w:tcPr>
          <w:p>
            <w:pPr>
              <w:jc w:val="right"/>
              <w:spacing w:after="0"/>
              <w:rPr>
                <w:sz w:val="20"/>
                <w:szCs w:val="20"/>
                <w:color w:val="auto"/>
              </w:rPr>
            </w:pPr>
            <w:r>
              <w:rPr>
                <w:rFonts w:ascii="Arial" w:cs="Arial" w:eastAsia="Arial" w:hAnsi="Arial"/>
                <w:sz w:val="16"/>
                <w:szCs w:val="16"/>
                <w:color w:val="auto"/>
              </w:rPr>
              <w:t>8,513,718</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8,279,992</w:t>
            </w:r>
          </w:p>
        </w:tc>
        <w:tc>
          <w:tcPr>
            <w:tcW w:w="800" w:type="dxa"/>
            <w:vAlign w:val="bottom"/>
          </w:tcPr>
          <w:p>
            <w:pPr>
              <w:jc w:val="right"/>
              <w:spacing w:after="0"/>
              <w:rPr>
                <w:sz w:val="20"/>
                <w:szCs w:val="20"/>
                <w:color w:val="auto"/>
              </w:rPr>
            </w:pPr>
            <w:r>
              <w:rPr>
                <w:rFonts w:ascii="Arial" w:cs="Arial" w:eastAsia="Arial" w:hAnsi="Arial"/>
                <w:sz w:val="16"/>
                <w:szCs w:val="16"/>
                <w:color w:val="auto"/>
              </w:rPr>
              <w:t>8,558,303</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1,846,622</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1,920,244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2,124,954</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spacing w:after="0"/>
              <w:rPr>
                <w:sz w:val="20"/>
                <w:szCs w:val="20"/>
                <w:color w:val="auto"/>
              </w:rPr>
            </w:pPr>
            <w:r>
              <w:rPr>
                <w:rFonts w:ascii="Arial" w:cs="Arial" w:eastAsia="Arial" w:hAnsi="Arial"/>
                <w:sz w:val="16"/>
                <w:szCs w:val="16"/>
                <w:color w:val="auto"/>
              </w:rPr>
              <w:t>Bonds and subordinated debt</w:t>
            </w:r>
          </w:p>
        </w:tc>
        <w:tc>
          <w:tcPr>
            <w:tcW w:w="800" w:type="dxa"/>
            <w:vAlign w:val="bottom"/>
          </w:tcPr>
          <w:p>
            <w:pPr>
              <w:jc w:val="right"/>
              <w:spacing w:after="0"/>
              <w:rPr>
                <w:sz w:val="20"/>
                <w:szCs w:val="20"/>
                <w:color w:val="auto"/>
              </w:rPr>
            </w:pPr>
            <w:r>
              <w:rPr>
                <w:rFonts w:ascii="Arial" w:cs="Arial" w:eastAsia="Arial" w:hAnsi="Arial"/>
                <w:sz w:val="16"/>
                <w:szCs w:val="16"/>
                <w:color w:val="auto"/>
              </w:rPr>
              <w:t>364,333</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175,534</w:t>
            </w:r>
          </w:p>
        </w:tc>
        <w:tc>
          <w:tcPr>
            <w:tcW w:w="800" w:type="dxa"/>
            <w:vAlign w:val="bottom"/>
          </w:tcPr>
          <w:p>
            <w:pPr>
              <w:jc w:val="right"/>
              <w:spacing w:after="0"/>
              <w:rPr>
                <w:sz w:val="20"/>
                <w:szCs w:val="20"/>
                <w:color w:val="auto"/>
              </w:rPr>
            </w:pPr>
            <w:r>
              <w:rPr>
                <w:rFonts w:ascii="Arial" w:cs="Arial" w:eastAsia="Arial" w:hAnsi="Arial"/>
                <w:sz w:val="16"/>
                <w:szCs w:val="16"/>
                <w:color w:val="auto"/>
              </w:rPr>
              <w:t>132,280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-24.6%</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-63.7%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597,089</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740,737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839,842</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40.7%</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420"/>
              <w:spacing w:after="0"/>
              <w:rPr>
                <w:sz w:val="20"/>
                <w:szCs w:val="20"/>
                <w:color w:val="auto"/>
              </w:rPr>
            </w:pPr>
            <w:r>
              <w:rPr>
                <w:rFonts w:ascii="Arial" w:cs="Arial" w:eastAsia="Arial" w:hAnsi="Arial"/>
                <w:sz w:val="16"/>
                <w:szCs w:val="16"/>
                <w:b w:val="1"/>
                <w:bCs w:val="1"/>
                <w:color w:val="auto"/>
              </w:rPr>
              <w:t>Total liabilities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7"/>
              </w:rPr>
              <w:t>11,321,762</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11,116,507</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7"/>
              </w:rPr>
              <w:t>11,655,379</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4.8%</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1,898,518</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2,133,514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2,086,278</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9.9%</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b w:val="1"/>
                <w:bCs w:val="1"/>
                <w:color w:val="auto"/>
              </w:rPr>
              <w:t>TOTAL LIABILITIES AND NET SHAREHOLDERS’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13,220,280</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13,250,021</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13,741,657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Quarter</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center"/>
              <w:ind w:left="428"/>
              <w:spacing w:after="0"/>
              <w:rPr>
                <w:sz w:val="20"/>
                <w:szCs w:val="20"/>
                <w:color w:val="auto"/>
              </w:rPr>
            </w:pPr>
            <w:r>
              <w:rPr>
                <w:rFonts w:ascii="Arial" w:cs="Arial" w:eastAsia="Arial" w:hAnsi="Arial"/>
                <w:sz w:val="13"/>
                <w:szCs w:val="13"/>
                <w:b w:val="1"/>
                <w:bCs w:val="1"/>
                <w:color w:val="auto"/>
                <w:w w:val="88"/>
              </w:rPr>
              <w:t>% change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660"/>
              <w:spacing w:after="0"/>
              <w:rPr>
                <w:sz w:val="20"/>
                <w:szCs w:val="20"/>
                <w:color w:val="auto"/>
              </w:rPr>
            </w:pPr>
            <w:r>
              <w:rPr>
                <w:rFonts w:ascii="Arial" w:cs="Arial" w:eastAsia="Arial" w:hAnsi="Arial"/>
                <w:sz w:val="13"/>
                <w:szCs w:val="13"/>
                <w:b w:val="1"/>
                <w:bCs w:val="1"/>
                <w:color w:val="auto"/>
              </w:rPr>
              <w:t>Year</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00" w:type="dxa"/>
            <w:vAlign w:val="bottom"/>
          </w:tcPr>
          <w:p>
            <w:pPr>
              <w:jc w:val="right"/>
              <w:ind w:right="188"/>
              <w:spacing w:after="0"/>
              <w:rPr>
                <w:sz w:val="20"/>
                <w:szCs w:val="20"/>
                <w:color w:val="auto"/>
              </w:rPr>
            </w:pPr>
            <w:r>
              <w:rPr>
                <w:rFonts w:ascii="Arial" w:cs="Arial" w:eastAsia="Arial" w:hAnsi="Arial"/>
                <w:sz w:val="13"/>
                <w:szCs w:val="13"/>
                <w:b w:val="1"/>
                <w:bCs w:val="1"/>
                <w:color w:val="auto"/>
              </w:rPr>
              <w:t>4Q18</w:t>
            </w: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3Q19</w:t>
            </w:r>
          </w:p>
        </w:tc>
        <w:tc>
          <w:tcPr>
            <w:tcW w:w="200" w:type="dxa"/>
            <w:vAlign w:val="bottom"/>
          </w:tcPr>
          <w:p>
            <w:pPr>
              <w:spacing w:after="0"/>
              <w:rPr>
                <w:sz w:val="13"/>
                <w:szCs w:val="13"/>
                <w:color w:val="auto"/>
              </w:rPr>
            </w:pPr>
          </w:p>
        </w:tc>
        <w:tc>
          <w:tcPr>
            <w:tcW w:w="800" w:type="dxa"/>
            <w:vAlign w:val="bottom"/>
          </w:tcPr>
          <w:p>
            <w:pPr>
              <w:jc w:val="right"/>
              <w:ind w:right="188"/>
              <w:spacing w:after="0"/>
              <w:rPr>
                <w:sz w:val="20"/>
                <w:szCs w:val="20"/>
                <w:color w:val="auto"/>
              </w:rPr>
            </w:pPr>
            <w:r>
              <w:rPr>
                <w:rFonts w:ascii="Arial" w:cs="Arial" w:eastAsia="Arial" w:hAnsi="Arial"/>
                <w:sz w:val="13"/>
                <w:szCs w:val="13"/>
                <w:b w:val="1"/>
                <w:bCs w:val="1"/>
                <w:color w:val="auto"/>
              </w:rPr>
              <w:t>4Q19</w:t>
            </w:r>
          </w:p>
        </w:tc>
        <w:tc>
          <w:tcPr>
            <w:tcW w:w="180" w:type="dxa"/>
            <w:vAlign w:val="bottom"/>
          </w:tcPr>
          <w:p>
            <w:pPr>
              <w:spacing w:after="0"/>
              <w:rPr>
                <w:sz w:val="13"/>
                <w:szCs w:val="13"/>
                <w:color w:val="auto"/>
              </w:rPr>
            </w:pPr>
          </w:p>
        </w:tc>
        <w:tc>
          <w:tcPr>
            <w:tcW w:w="620" w:type="dxa"/>
            <w:vAlign w:val="bottom"/>
          </w:tcPr>
          <w:p>
            <w:pPr>
              <w:jc w:val="right"/>
              <w:ind w:right="108"/>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48"/>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700" w:type="dxa"/>
            <w:vAlign w:val="bottom"/>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4"/>
              </w:rPr>
              <w:t>Dec 19 / Dec 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Net interest income</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483,717</w:t>
            </w:r>
          </w:p>
        </w:tc>
        <w:tc>
          <w:tcPr>
            <w:tcW w:w="200" w:type="dxa"/>
            <w:vAlign w:val="bottom"/>
            <w:vMerge w:val="continue"/>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478,189</w:t>
            </w:r>
          </w:p>
        </w:tc>
        <w:tc>
          <w:tcPr>
            <w:tcW w:w="20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478,516</w:t>
            </w:r>
          </w:p>
        </w:tc>
        <w:tc>
          <w:tcPr>
            <w:tcW w:w="180" w:type="dxa"/>
            <w:vAlign w:val="bottom"/>
            <w:vMerge w:val="continue"/>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-1.1%</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1,955,273</w:t>
            </w:r>
          </w:p>
        </w:tc>
        <w:tc>
          <w:tcPr>
            <w:tcW w:w="1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1,898,535</w:t>
            </w:r>
          </w:p>
        </w:tc>
        <w:tc>
          <w:tcPr>
            <w:tcW w:w="20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color w:val="auto"/>
              </w:rPr>
              <w:t>Provision for loan losses, net of recoveries</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-109,537</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-115,458</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-96,592</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-16.3%</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-429,351</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-408,092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interest income after provisions</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374,180</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362,731</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381,925</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5.3%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2.1%</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1,525,922</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1,490,444</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color w:val="auto"/>
              </w:rPr>
              <w:t>Non-financial income</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38,382</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42,400</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56,241</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32.6%</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46.5%</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154,184</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186,781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expenses</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-256,705</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-267,903</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-286,882</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11.8%</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-1,025,475</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3"/>
              </w:rPr>
              <w:t>-1,108,214</w:t>
            </w:r>
          </w:p>
        </w:tc>
        <w:tc>
          <w:tcPr>
            <w:tcW w:w="9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color w:val="auto"/>
              </w:rPr>
              <w:t>Translation result</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taxes</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-53,783</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-39,895</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-48,940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-192,508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-168,284</w:t>
            </w:r>
          </w:p>
        </w:tc>
        <w:tc>
          <w:tcPr>
            <w:tcW w:w="9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102,074</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97,332</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102,343</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5.1%</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0.3%</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462,122</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400,727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color w:val="auto"/>
              </w:rPr>
              <w:t>Efficiency ratio</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49.5%</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50.7%</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54.2%</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350 pbs</w:t>
            </w:r>
          </w:p>
        </w:tc>
        <w:tc>
          <w:tcPr>
            <w:tcW w:w="18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9"/>
              </w:rPr>
              <w:t>470 pbs</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48.6%</w:t>
            </w: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53.1%</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450 bps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ROAE</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21.4%</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18.7%</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19.4%</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70 pbs</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0"/>
              </w:rPr>
              <w:t>-200 pbs</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-580 bps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color w:val="auto"/>
              </w:rPr>
              <w:t>ROAE incl. goow dill</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19.9%</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17.5%</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18.2%</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 pbs</w:t>
            </w:r>
          </w:p>
        </w:tc>
        <w:tc>
          <w:tcPr>
            <w:tcW w:w="18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0"/>
              </w:rPr>
              <w:t>-170 pbs</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24.0%</w:t>
            </w: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18.8%</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-520 bps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L/D ratio</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118.0%</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125.0%</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125.4%</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 pbs</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9"/>
              </w:rPr>
              <w:t>740 pbs</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color w:val="auto"/>
              </w:rPr>
              <w:t>IOL ratio</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 pbs</w:t>
            </w:r>
          </w:p>
        </w:tc>
        <w:tc>
          <w:tcPr>
            <w:tcW w:w="18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 pbs</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NPL ratio</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 pbs</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 pbs</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line="135" w:lineRule="exact"/>
              <w:rPr>
                <w:sz w:val="20"/>
                <w:szCs w:val="20"/>
                <w:color w:val="auto"/>
              </w:rPr>
            </w:pPr>
            <w:r>
              <w:rPr>
                <w:rFonts w:ascii="Arial" w:cs="Arial" w:eastAsia="Arial" w:hAnsi="Arial"/>
                <w:sz w:val="13"/>
                <w:szCs w:val="13"/>
                <w:color w:val="auto"/>
              </w:rPr>
              <w:t>Coverage of IOLs</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175.9%</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165.1%</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163.8%</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-130 pbs</w:t>
            </w:r>
          </w:p>
        </w:tc>
        <w:tc>
          <w:tcPr>
            <w:tcW w:w="92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-1210 pbs</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Coverage of NPLs</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142.2%</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138.7%</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139.2%</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 pbs</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0"/>
              </w:rPr>
              <w:t>-300 pbs</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line="176"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0"/>
                <w:szCs w:val="20"/>
                <w:color w:val="auto"/>
                <w:vertAlign w:val="superscript"/>
              </w:rPr>
              <w:t>(1)</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326</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324</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323</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Employees</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10,335</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11,355</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11,553</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198</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1,218</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-5127625</wp:posOffset>
            </wp:positionV>
            <wp:extent cx="1783715" cy="420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715" cy="42037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-4570095</wp:posOffset>
            </wp:positionV>
            <wp:extent cx="178371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-4295775</wp:posOffset>
            </wp:positionV>
            <wp:extent cx="178371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-4021455</wp:posOffset>
            </wp:positionV>
            <wp:extent cx="178371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-3747135</wp:posOffset>
            </wp:positionV>
            <wp:extent cx="178371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-3472815</wp:posOffset>
            </wp:positionV>
            <wp:extent cx="178371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-3197860</wp:posOffset>
            </wp:positionV>
            <wp:extent cx="178371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-2923540</wp:posOffset>
            </wp:positionV>
            <wp:extent cx="178371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-2649220</wp:posOffset>
            </wp:positionV>
            <wp:extent cx="178371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715" cy="1371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-2374900</wp:posOffset>
            </wp:positionV>
            <wp:extent cx="178371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715"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(1) Includes Banco de la Nacion branches, which in December 18 were 37, in September 19 were 35 and in December 19 were 35.</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11.4. BCP Bolivia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As of</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 change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 18</w:t>
            </w: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Sep 19</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 19</w:t>
            </w:r>
          </w:p>
        </w:tc>
        <w:tc>
          <w:tcPr>
            <w:tcW w:w="1060" w:type="dxa"/>
            <w:vAlign w:val="bottom"/>
            <w:gridSpan w:val="3"/>
          </w:tcPr>
          <w:p>
            <w:pPr>
              <w:ind w:left="160"/>
              <w:spacing w:after="0"/>
              <w:rPr>
                <w:sz w:val="20"/>
                <w:szCs w:val="20"/>
                <w:color w:val="auto"/>
              </w:rPr>
            </w:pPr>
            <w:r>
              <w:rPr>
                <w:rFonts w:ascii="Arial" w:cs="Arial" w:eastAsia="Arial" w:hAnsi="Arial"/>
                <w:sz w:val="16"/>
                <w:szCs w:val="16"/>
                <w:b w:val="1"/>
                <w:bCs w:val="1"/>
                <w:color w:val="auto"/>
              </w:rPr>
              <w:t>QoQ</w:t>
            </w:r>
          </w:p>
        </w:tc>
        <w:tc>
          <w:tcPr>
            <w:tcW w:w="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6"/>
              </w:rPr>
              <w:t>YoY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740" w:type="dxa"/>
            <w:vAlign w:val="bottom"/>
          </w:tcPr>
          <w:p>
            <w:pPr>
              <w:jc w:val="right"/>
              <w:spacing w:after="0"/>
              <w:rPr>
                <w:sz w:val="20"/>
                <w:szCs w:val="20"/>
                <w:color w:val="auto"/>
              </w:rPr>
            </w:pPr>
            <w:r>
              <w:rPr>
                <w:rFonts w:ascii="Arial" w:cs="Arial" w:eastAsia="Arial" w:hAnsi="Arial"/>
                <w:sz w:val="16"/>
                <w:szCs w:val="16"/>
                <w:color w:val="auto"/>
              </w:rPr>
              <w:t>1,352,941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1,458,634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1,641,784</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21.3%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1,411,294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1,293,203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1,267,785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b w:val="1"/>
                <w:bCs w:val="1"/>
                <w:color w:val="auto"/>
              </w:rPr>
              <w:t>Total loans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7,250,534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7,653,370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7,619,923</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7,088,797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7,479,263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7,464,400</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80"/>
              <w:spacing w:after="0"/>
              <w:rPr>
                <w:sz w:val="20"/>
                <w:szCs w:val="20"/>
                <w:color w:val="auto"/>
              </w:rPr>
            </w:pPr>
            <w:r>
              <w:rPr>
                <w:rFonts w:ascii="Arial" w:cs="Arial" w:eastAsia="Arial" w:hAnsi="Arial"/>
                <w:sz w:val="16"/>
                <w:szCs w:val="16"/>
                <w:color w:val="auto"/>
              </w:rPr>
              <w:t>Internal overdue loans</w:t>
            </w:r>
          </w:p>
        </w:tc>
        <w:tc>
          <w:tcPr>
            <w:tcW w:w="740" w:type="dxa"/>
            <w:vAlign w:val="bottom"/>
          </w:tcPr>
          <w:p>
            <w:pPr>
              <w:jc w:val="right"/>
              <w:spacing w:after="0"/>
              <w:rPr>
                <w:sz w:val="20"/>
                <w:szCs w:val="20"/>
                <w:color w:val="auto"/>
              </w:rPr>
            </w:pPr>
            <w:r>
              <w:rPr>
                <w:rFonts w:ascii="Arial" w:cs="Arial" w:eastAsia="Arial" w:hAnsi="Arial"/>
                <w:sz w:val="16"/>
                <w:szCs w:val="16"/>
                <w:color w:val="auto"/>
              </w:rPr>
              <w:t>136,964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155,533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133,219</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-14.3%</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Refinanced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22,303</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Arial" w:cs="Arial" w:eastAsia="Arial" w:hAnsi="Arial"/>
                <w:sz w:val="16"/>
                <w:szCs w:val="16"/>
                <w:color w:val="auto"/>
              </w:rPr>
              <w:t>Allowance for loan losses</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(237,518)</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(235,398)</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(231,885)</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loans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7,013,016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7,417,972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7,388,038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-0.4%</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5.3%</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740" w:type="dxa"/>
            <w:vAlign w:val="bottom"/>
          </w:tcPr>
          <w:p>
            <w:pPr>
              <w:jc w:val="right"/>
              <w:spacing w:after="0"/>
              <w:rPr>
                <w:sz w:val="20"/>
                <w:szCs w:val="20"/>
                <w:color w:val="auto"/>
              </w:rPr>
            </w:pPr>
            <w:r>
              <w:rPr>
                <w:rFonts w:ascii="Arial" w:cs="Arial" w:eastAsia="Arial" w:hAnsi="Arial"/>
                <w:sz w:val="16"/>
                <w:szCs w:val="16"/>
                <w:color w:val="auto"/>
              </w:rPr>
              <w:t>80,220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49,972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49,297</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-38.5%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99,421</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113,729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134,024</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560"/>
              <w:spacing w:after="0"/>
              <w:rPr>
                <w:sz w:val="20"/>
                <w:szCs w:val="20"/>
                <w:color w:val="auto"/>
              </w:rPr>
            </w:pPr>
            <w:r>
              <w:rPr>
                <w:rFonts w:ascii="Arial" w:cs="Arial" w:eastAsia="Arial" w:hAnsi="Arial"/>
                <w:sz w:val="16"/>
                <w:szCs w:val="16"/>
                <w:b w:val="1"/>
                <w:bCs w:val="1"/>
                <w:color w:val="auto"/>
              </w:rPr>
              <w:t>Total assets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9,956,891</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10,333,511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9"/>
              </w:rPr>
              <w:t>10,480,928</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740" w:type="dxa"/>
            <w:vAlign w:val="bottom"/>
          </w:tcPr>
          <w:p>
            <w:pPr>
              <w:jc w:val="right"/>
              <w:spacing w:after="0"/>
              <w:rPr>
                <w:sz w:val="20"/>
                <w:szCs w:val="20"/>
                <w:color w:val="auto"/>
              </w:rPr>
            </w:pPr>
            <w:r>
              <w:rPr>
                <w:rFonts w:ascii="Arial" w:cs="Arial" w:eastAsia="Arial" w:hAnsi="Arial"/>
                <w:sz w:val="16"/>
                <w:szCs w:val="16"/>
                <w:color w:val="auto"/>
              </w:rPr>
              <w:t>8,862,374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8,985,603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8,965,776</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34.2%</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Bonds and subordinated debt</w:t>
            </w:r>
          </w:p>
        </w:tc>
        <w:tc>
          <w:tcPr>
            <w:tcW w:w="740" w:type="dxa"/>
            <w:vAlign w:val="bottom"/>
          </w:tcPr>
          <w:p>
            <w:pPr>
              <w:jc w:val="right"/>
              <w:spacing w:after="0"/>
              <w:rPr>
                <w:sz w:val="20"/>
                <w:szCs w:val="20"/>
                <w:color w:val="auto"/>
              </w:rPr>
            </w:pPr>
            <w:r>
              <w:rPr>
                <w:rFonts w:ascii="Arial" w:cs="Arial" w:eastAsia="Arial" w:hAnsi="Arial"/>
                <w:sz w:val="16"/>
                <w:szCs w:val="16"/>
                <w:color w:val="auto"/>
              </w:rPr>
              <w:t>105,602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105,678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103,916</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266,200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478,255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632,328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137.5%</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440"/>
              <w:spacing w:after="0"/>
              <w:rPr>
                <w:sz w:val="20"/>
                <w:szCs w:val="20"/>
                <w:color w:val="auto"/>
              </w:rPr>
            </w:pPr>
            <w:r>
              <w:rPr>
                <w:rFonts w:ascii="Arial" w:cs="Arial" w:eastAsia="Arial" w:hAnsi="Arial"/>
                <w:sz w:val="16"/>
                <w:szCs w:val="16"/>
                <w:b w:val="1"/>
                <w:bCs w:val="1"/>
                <w:color w:val="auto"/>
              </w:rPr>
              <w:t>Total liabilities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9,265,793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9,599,036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9,744,455</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691,098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734,474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736,473</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0.3%</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6.6%</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6"/>
                <w:szCs w:val="16"/>
                <w:b w:val="1"/>
                <w:bCs w:val="1"/>
                <w:color w:val="auto"/>
              </w:rPr>
              <w:t>TOTAL LIABILITIES AND NET SHAREHOLDERS’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9,956,891</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10,333,511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9"/>
              </w:rPr>
              <w:t>10,480,928</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Quarter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left="408"/>
              <w:spacing w:after="0"/>
              <w:rPr>
                <w:sz w:val="20"/>
                <w:szCs w:val="20"/>
                <w:color w:val="auto"/>
              </w:rPr>
            </w:pPr>
            <w:r>
              <w:rPr>
                <w:rFonts w:ascii="Arial" w:cs="Arial" w:eastAsia="Arial" w:hAnsi="Arial"/>
                <w:sz w:val="13"/>
                <w:szCs w:val="13"/>
                <w:b w:val="1"/>
                <w:bCs w:val="1"/>
                <w:color w:val="auto"/>
                <w:w w:val="88"/>
              </w:rPr>
              <w:t>% change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3"/>
          </w:tcPr>
          <w:p>
            <w:pPr>
              <w:ind w:left="640"/>
              <w:spacing w:after="0"/>
              <w:rPr>
                <w:sz w:val="20"/>
                <w:szCs w:val="20"/>
                <w:color w:val="auto"/>
              </w:rPr>
            </w:pPr>
            <w:r>
              <w:rPr>
                <w:rFonts w:ascii="Arial" w:cs="Arial" w:eastAsia="Arial" w:hAnsi="Arial"/>
                <w:sz w:val="13"/>
                <w:szCs w:val="13"/>
                <w:b w:val="1"/>
                <w:bCs w:val="1"/>
                <w:color w:val="auto"/>
              </w:rPr>
              <w:t>Year</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3"/>
                <w:szCs w:val="13"/>
                <w:color w:val="auto"/>
              </w:rPr>
            </w:pPr>
          </w:p>
        </w:tc>
        <w:tc>
          <w:tcPr>
            <w:tcW w:w="740" w:type="dxa"/>
            <w:vAlign w:val="bottom"/>
          </w:tcPr>
          <w:p>
            <w:pPr>
              <w:jc w:val="right"/>
              <w:ind w:right="168"/>
              <w:spacing w:after="0"/>
              <w:rPr>
                <w:sz w:val="20"/>
                <w:szCs w:val="20"/>
                <w:color w:val="auto"/>
              </w:rPr>
            </w:pPr>
            <w:r>
              <w:rPr>
                <w:rFonts w:ascii="Arial" w:cs="Arial" w:eastAsia="Arial" w:hAnsi="Arial"/>
                <w:sz w:val="13"/>
                <w:szCs w:val="13"/>
                <w:b w:val="1"/>
                <w:bCs w:val="1"/>
                <w:color w:val="auto"/>
              </w:rPr>
              <w:t>4Q18</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3Q19</w:t>
            </w:r>
          </w:p>
        </w:tc>
        <w:tc>
          <w:tcPr>
            <w:tcW w:w="180" w:type="dxa"/>
            <w:vAlign w:val="bottom"/>
          </w:tcPr>
          <w:p>
            <w:pPr>
              <w:spacing w:after="0"/>
              <w:rPr>
                <w:sz w:val="13"/>
                <w:szCs w:val="13"/>
                <w:color w:val="auto"/>
              </w:rPr>
            </w:pPr>
          </w:p>
        </w:tc>
        <w:tc>
          <w:tcPr>
            <w:tcW w:w="820" w:type="dxa"/>
            <w:vAlign w:val="bottom"/>
          </w:tcPr>
          <w:p>
            <w:pPr>
              <w:jc w:val="right"/>
              <w:ind w:right="188"/>
              <w:spacing w:after="0"/>
              <w:rPr>
                <w:sz w:val="20"/>
                <w:szCs w:val="20"/>
                <w:color w:val="auto"/>
              </w:rPr>
            </w:pPr>
            <w:r>
              <w:rPr>
                <w:rFonts w:ascii="Arial" w:cs="Arial" w:eastAsia="Arial" w:hAnsi="Arial"/>
                <w:sz w:val="13"/>
                <w:szCs w:val="13"/>
                <w:b w:val="1"/>
                <w:bCs w:val="1"/>
                <w:color w:val="auto"/>
              </w:rPr>
              <w:t>3Q19</w:t>
            </w:r>
          </w:p>
        </w:tc>
        <w:tc>
          <w:tcPr>
            <w:tcW w:w="180" w:type="dxa"/>
            <w:vAlign w:val="bottom"/>
          </w:tcPr>
          <w:p>
            <w:pPr>
              <w:spacing w:after="0"/>
              <w:rPr>
                <w:sz w:val="13"/>
                <w:szCs w:val="13"/>
                <w:color w:val="auto"/>
              </w:rPr>
            </w:pPr>
          </w:p>
        </w:tc>
        <w:tc>
          <w:tcPr>
            <w:tcW w:w="660" w:type="dxa"/>
            <w:vAlign w:val="bottom"/>
          </w:tcPr>
          <w:p>
            <w:pPr>
              <w:jc w:val="right"/>
              <w:ind w:right="128"/>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center"/>
              <w:ind w:right="88"/>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4"/>
              </w:rPr>
              <w:t>Dec 19 / Dec 18</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Net interest income</w:t>
            </w: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81,922</w:t>
            </w:r>
          </w:p>
        </w:tc>
        <w:tc>
          <w:tcPr>
            <w:tcW w:w="180" w:type="dxa"/>
            <w:vAlign w:val="bottom"/>
            <w:vMerge w:val="continue"/>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84,321</w:t>
            </w:r>
          </w:p>
        </w:tc>
        <w:tc>
          <w:tcPr>
            <w:tcW w:w="180" w:type="dxa"/>
            <w:vAlign w:val="bottom"/>
            <w:vMerge w:val="continue"/>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85,970</w:t>
            </w:r>
          </w:p>
        </w:tc>
        <w:tc>
          <w:tcPr>
            <w:tcW w:w="180" w:type="dxa"/>
            <w:vAlign w:val="bottom"/>
            <w:vMerge w:val="continue"/>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2.0%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4.9%</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309,035</w:t>
            </w:r>
          </w:p>
        </w:tc>
        <w:tc>
          <w:tcPr>
            <w:tcW w:w="2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329,033</w:t>
            </w:r>
          </w:p>
        </w:tc>
        <w:tc>
          <w:tcPr>
            <w:tcW w:w="20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Provision for loan losses, net of recoveries</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(16,883)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(8,866)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(23,777)</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168.2%</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40.8%</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(52,152)</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(60,661)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interest income after provisions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65,039</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75,455</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62,193</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-17.6%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-4.4%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256,883</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268,371</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Non-financial income</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31,888</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34,036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28,622</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-15.9%</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124,734</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121,902</w:t>
            </w:r>
          </w:p>
        </w:tc>
        <w:tc>
          <w:tcPr>
            <w:tcW w:w="20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expenses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(60,978)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(66,523)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(69,055)</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13.2%</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(258,548)</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(268,723)</w:t>
            </w:r>
          </w:p>
        </w:tc>
        <w:tc>
          <w:tcPr>
            <w:tcW w:w="9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Translation result</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-614.8%</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-306.2%</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(186)</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0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-111.0%</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taxes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(13,057)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(17,386)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(8,309)</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-36.4%</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(44,623)</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(43,063)</w:t>
            </w:r>
          </w:p>
        </w:tc>
        <w:tc>
          <w:tcPr>
            <w:tcW w:w="9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22,876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25,575</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13,487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-47.3%</w:t>
            </w:r>
          </w:p>
        </w:tc>
        <w:tc>
          <w:tcPr>
            <w:tcW w:w="1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-41.0%</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78,260</w:t>
            </w:r>
          </w:p>
        </w:tc>
        <w:tc>
          <w:tcPr>
            <w:tcW w:w="12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78,508</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0.3%</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Efficiency ratio</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65.7%</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56.8%</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60.1%</w:t>
            </w:r>
          </w:p>
        </w:tc>
        <w:tc>
          <w:tcPr>
            <w:tcW w:w="106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330 bps</w:t>
            </w: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0"/>
              </w:rPr>
              <w:t>-560 bps</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63.3%</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60.0%</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-330 pbs</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ROAE</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13.5%</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14.4%</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w:t>
            </w:r>
          </w:p>
        </w:tc>
        <w:tc>
          <w:tcPr>
            <w:tcW w:w="106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-710 bps</w:t>
            </w: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0"/>
              </w:rPr>
              <w:t>-617 bps</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11.8%</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11.0%</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 pbs</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L/D ratio</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81.8%</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85.2%</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85.0%</w:t>
            </w:r>
          </w:p>
        </w:tc>
        <w:tc>
          <w:tcPr>
            <w:tcW w:w="106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-20 bps</w:t>
            </w: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9"/>
              </w:rPr>
              <w:t>318 bps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IOL ratio</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1.89%</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2.03%</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1.75%</w:t>
            </w:r>
          </w:p>
        </w:tc>
        <w:tc>
          <w:tcPr>
            <w:tcW w:w="106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-30 bps</w:t>
            </w: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 bps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NPL ratio</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2.23%</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2.04%</w:t>
            </w:r>
          </w:p>
        </w:tc>
        <w:tc>
          <w:tcPr>
            <w:tcW w:w="106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-30 bps</w:t>
            </w: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-19 bps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Coverage of IOLs</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173.4%</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151.3%</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174.1%</w:t>
            </w:r>
          </w:p>
        </w:tc>
        <w:tc>
          <w:tcPr>
            <w:tcW w:w="106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2280 bps</w:t>
            </w: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64 bps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Coverage of NPLs</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146.9%</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135.2%</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149.1%</w:t>
            </w:r>
          </w:p>
        </w:tc>
        <w:tc>
          <w:tcPr>
            <w:tcW w:w="1060" w:type="dxa"/>
            <w:vAlign w:val="bottom"/>
            <w:gridSpan w:val="3"/>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1390 bps</w:t>
            </w: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9"/>
              </w:rPr>
              <w:t>224 bps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Branches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54</w:t>
            </w:r>
          </w:p>
        </w:tc>
        <w:tc>
          <w:tcPr>
            <w:tcW w:w="1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Agentes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369</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438</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446</w:t>
            </w: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77</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ATMs</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301</w:t>
            </w: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1,701</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1,732</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1,745</w:t>
            </w: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44</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67"/>
        </w:trPr>
        <w:tc>
          <w:tcPr>
            <w:tcW w:w="4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-5453380</wp:posOffset>
            </wp:positionV>
            <wp:extent cx="1775460"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75460" cy="41148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-4904740</wp:posOffset>
            </wp:positionV>
            <wp:extent cx="177546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-4630420</wp:posOffset>
            </wp:positionV>
            <wp:extent cx="17754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-4356100</wp:posOffset>
            </wp:positionV>
            <wp:extent cx="17754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-4081145</wp:posOffset>
            </wp:positionV>
            <wp:extent cx="17754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-3806825</wp:posOffset>
            </wp:positionV>
            <wp:extent cx="177546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-3532505</wp:posOffset>
            </wp:positionV>
            <wp:extent cx="177546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-3258185</wp:posOffset>
            </wp:positionV>
            <wp:extent cx="17754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-2983865</wp:posOffset>
            </wp:positionV>
            <wp:extent cx="177546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75460" cy="1371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-2709545</wp:posOffset>
            </wp:positionV>
            <wp:extent cx="1775460" cy="394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75460" cy="39433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11.5. Credicorp Capital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Credicorp Capital</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3"/>
          </w:tcPr>
          <w:p>
            <w:pPr>
              <w:ind w:left="100"/>
              <w:spacing w:after="0"/>
              <w:rPr>
                <w:sz w:val="20"/>
                <w:szCs w:val="20"/>
                <w:color w:val="auto"/>
              </w:rPr>
            </w:pPr>
            <w:r>
              <w:rPr>
                <w:rFonts w:ascii="Arial" w:cs="Arial" w:eastAsia="Arial" w:hAnsi="Arial"/>
                <w:sz w:val="13"/>
                <w:szCs w:val="13"/>
                <w:b w:val="1"/>
                <w:bCs w:val="1"/>
                <w:color w:val="auto"/>
                <w:w w:val="95"/>
              </w:rPr>
              <w:t>% 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ind w:left="760"/>
              <w:spacing w:after="0"/>
              <w:rPr>
                <w:sz w:val="20"/>
                <w:szCs w:val="20"/>
                <w:color w:val="auto"/>
              </w:rPr>
            </w:pPr>
            <w:r>
              <w:rPr>
                <w:rFonts w:ascii="Arial" w:cs="Arial" w:eastAsia="Arial" w:hAnsi="Arial"/>
                <w:sz w:val="13"/>
                <w:szCs w:val="13"/>
                <w:b w:val="1"/>
                <w:bCs w:val="1"/>
                <w:color w:val="auto"/>
              </w:rPr>
              <w:t>Year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 change</w:t>
            </w:r>
          </w:p>
        </w:tc>
      </w:tr>
      <w:tr>
        <w:trPr>
          <w:trHeight w:val="153"/>
        </w:trPr>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 000</w:t>
            </w: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4Q18</w:t>
            </w:r>
          </w:p>
        </w:tc>
        <w:tc>
          <w:tcPr>
            <w:tcW w:w="2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3Q19</w:t>
            </w: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4Q19</w:t>
            </w: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w w:val="85"/>
              </w:rPr>
              <w:t>QoQ</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8"/>
              </w:rPr>
              <w:t>2019 / 2018</w:t>
            </w:r>
          </w:p>
        </w:tc>
        <w:tc>
          <w:tcPr>
            <w:tcW w:w="140" w:type="dxa"/>
            <w:vAlign w:val="bottom"/>
            <w:tcBorders>
              <w:bottom w:val="single" w:sz="8" w:color="CCEEFF"/>
            </w:tcBorders>
          </w:tcPr>
          <w:p>
            <w:pPr>
              <w:spacing w:after="0"/>
              <w:rPr>
                <w:sz w:val="13"/>
                <w:szCs w:val="13"/>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interest income</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-9,028</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-9,271</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-14,922</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w w:val="92"/>
              </w:rPr>
              <w:t>61.0%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65.3%</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-42,194</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-39,490</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-6.4%</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Non-financial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160,001</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141,907</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162,573</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14.6%</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593,201</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595,210</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0.3%</w:t>
            </w:r>
          </w:p>
        </w:tc>
      </w:tr>
      <w:tr>
        <w:trPr>
          <w:trHeight w:val="135"/>
        </w:trPr>
        <w:tc>
          <w:tcPr>
            <w:tcW w:w="33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Fee income</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122,097</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96,586</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113,292</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17.3%</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421,540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395,172</w:t>
            </w:r>
          </w:p>
        </w:tc>
        <w:tc>
          <w:tcPr>
            <w:tcW w:w="9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-6.3%</w:t>
            </w:r>
          </w:p>
        </w:tc>
      </w:tr>
      <w:tr>
        <w:trPr>
          <w:trHeight w:val="135"/>
        </w:trPr>
        <w:tc>
          <w:tcPr>
            <w:tcW w:w="33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16,012</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11,469</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2,746</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2"/>
              </w:rPr>
              <w:t>-76.1%</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33,381</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-16.1%</w:t>
            </w:r>
          </w:p>
        </w:tc>
      </w:tr>
      <w:tr>
        <w:trPr>
          <w:trHeight w:val="135"/>
        </w:trPr>
        <w:tc>
          <w:tcPr>
            <w:tcW w:w="33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Net gain on sales of securities</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24,137</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32,455</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28,974</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2"/>
              </w:rPr>
              <w:t>-10.7%</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108,818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159,366</w:t>
            </w:r>
          </w:p>
        </w:tc>
        <w:tc>
          <w:tcPr>
            <w:tcW w:w="9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46.5%</w:t>
            </w:r>
          </w:p>
        </w:tc>
      </w:tr>
      <w:tr>
        <w:trPr>
          <w:trHeight w:val="135"/>
        </w:trPr>
        <w:tc>
          <w:tcPr>
            <w:tcW w:w="33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Derivative Result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-1,759</w:t>
            </w:r>
          </w:p>
        </w:tc>
        <w:tc>
          <w:tcPr>
            <w:tcW w:w="24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123</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11,086</w:t>
            </w:r>
          </w:p>
        </w:tc>
        <w:tc>
          <w:tcPr>
            <w:tcW w:w="52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NA</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-730.2%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17,060</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-18,067</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-205.9%</w:t>
            </w:r>
          </w:p>
        </w:tc>
      </w:tr>
      <w:tr>
        <w:trPr>
          <w:trHeight w:val="135"/>
        </w:trPr>
        <w:tc>
          <w:tcPr>
            <w:tcW w:w="33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Result from exposure to the exchange rate</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-3,267</w:t>
            </w: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389</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4,947</w:t>
            </w:r>
          </w:p>
        </w:tc>
        <w:tc>
          <w:tcPr>
            <w:tcW w:w="5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NA</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-251.4%</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-8,674</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5,949</w:t>
            </w:r>
          </w:p>
        </w:tc>
        <w:tc>
          <w:tcPr>
            <w:tcW w:w="9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-168.6%</w:t>
            </w:r>
          </w:p>
        </w:tc>
      </w:tr>
      <w:tr>
        <w:trPr>
          <w:trHeight w:val="135"/>
        </w:trPr>
        <w:tc>
          <w:tcPr>
            <w:tcW w:w="33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Other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2,781</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885</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1,528</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72.7%</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14,677</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19,409</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32.2%</w:t>
            </w:r>
          </w:p>
        </w:tc>
      </w:tr>
      <w:tr>
        <w:trPr>
          <w:trHeight w:val="176"/>
        </w:trPr>
        <w:tc>
          <w:tcPr>
            <w:tcW w:w="33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Operating expenses </w:t>
            </w:r>
            <w:r>
              <w:rPr>
                <w:rFonts w:ascii="Arial" w:cs="Arial" w:eastAsia="Arial" w:hAnsi="Arial"/>
                <w:sz w:val="20"/>
                <w:szCs w:val="20"/>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-159,033</w:t>
            </w: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-114,119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-139,549</w:t>
            </w:r>
          </w:p>
        </w:tc>
        <w:tc>
          <w:tcPr>
            <w:tcW w:w="5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22.3%</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-487,068</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-494,191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-8,060</w:t>
            </w:r>
          </w:p>
        </w:tc>
        <w:tc>
          <w:tcPr>
            <w:tcW w:w="24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18,517</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8,102</w:t>
            </w:r>
          </w:p>
        </w:tc>
        <w:tc>
          <w:tcPr>
            <w:tcW w:w="52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w w:val="87"/>
              </w:rPr>
              <w:t>-56.2%</w:t>
            </w:r>
          </w:p>
        </w:tc>
        <w:tc>
          <w:tcPr>
            <w:tcW w:w="2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-200.5%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63,939</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61,529</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-3.8%</w:t>
            </w: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Income taxes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-7,352</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-5,559</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-3,396</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2"/>
              </w:rPr>
              <w:t>-38.9%</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-53.8%</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-28,747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-17,099</w:t>
            </w:r>
          </w:p>
        </w:tc>
        <w:tc>
          <w:tcPr>
            <w:tcW w:w="9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-40.5%</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Non-controlling interest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300</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42.3%</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931</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547</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-41.2%</w:t>
            </w:r>
          </w:p>
        </w:tc>
      </w:tr>
      <w:tr>
        <w:trPr>
          <w:trHeight w:val="135"/>
        </w:trPr>
        <w:tc>
          <w:tcPr>
            <w:tcW w:w="3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-15,712</w:t>
            </w: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13,010</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4,632</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w w:val="87"/>
              </w:rPr>
              <w:t>-64.4%</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-129.5%</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34,261</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43,883</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28.1%</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 Unaudited results.</w:t>
      </w:r>
    </w:p>
    <w:p>
      <w:pPr>
        <w:ind w:left="180" w:hanging="172"/>
        <w:spacing w:after="0" w:line="216" w:lineRule="auto"/>
        <w:tabs>
          <w:tab w:leader="none" w:pos="1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Includes since 4Q19 the provision of doubtful collections of Banco Compartir S.A.</w:t>
      </w:r>
    </w:p>
    <w:p>
      <w:pPr>
        <w:ind w:left="180" w:hanging="172"/>
        <w:spacing w:after="0"/>
        <w:tabs>
          <w:tab w:leader="none" w:pos="1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Includes: Salaries and employees benefits + Administrative expenses + Assigned expenses + Depreciation and amortization + Tax and contributions + Other expenses.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11.6. Atlantic Security Bank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ASB</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Quarter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 change</w:t>
            </w:r>
          </w:p>
        </w:tc>
      </w:tr>
      <w:tr>
        <w:trPr>
          <w:trHeight w:val="219"/>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 Millions</w:t>
            </w: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4Q18</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3Q19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4Q19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19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Total loans</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color w:val="auto"/>
              </w:rPr>
              <w:t>Total investments</w:t>
            </w:r>
          </w:p>
        </w:tc>
        <w:tc>
          <w:tcPr>
            <w:tcW w:w="600" w:type="dxa"/>
            <w:vAlign w:val="bottom"/>
          </w:tcPr>
          <w:p>
            <w:pPr>
              <w:jc w:val="right"/>
              <w:spacing w:after="0"/>
              <w:rPr>
                <w:sz w:val="20"/>
                <w:szCs w:val="20"/>
                <w:color w:val="auto"/>
              </w:rPr>
            </w:pPr>
            <w:r>
              <w:rPr>
                <w:rFonts w:ascii="Arial" w:cs="Arial" w:eastAsia="Arial" w:hAnsi="Arial"/>
                <w:sz w:val="16"/>
                <w:szCs w:val="16"/>
                <w:color w:val="auto"/>
              </w:rPr>
              <w:t>870.5</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733.6</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747.2</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-14.2%</w:t>
            </w:r>
          </w:p>
        </w:tc>
      </w:tr>
      <w:tr>
        <w:trPr>
          <w:trHeight w:val="20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color w:val="auto"/>
              </w:rPr>
              <w:t>Total deposits</w:t>
            </w:r>
          </w:p>
        </w:tc>
        <w:tc>
          <w:tcPr>
            <w:tcW w:w="600" w:type="dxa"/>
            <w:vAlign w:val="bottom"/>
          </w:tcPr>
          <w:p>
            <w:pPr>
              <w:jc w:val="right"/>
              <w:spacing w:after="0"/>
              <w:rPr>
                <w:sz w:val="20"/>
                <w:szCs w:val="20"/>
                <w:color w:val="auto"/>
              </w:rPr>
            </w:pPr>
            <w:r>
              <w:rPr>
                <w:rFonts w:ascii="Arial" w:cs="Arial" w:eastAsia="Arial" w:hAnsi="Arial"/>
                <w:sz w:val="16"/>
                <w:szCs w:val="16"/>
                <w:color w:val="auto"/>
              </w:rPr>
              <w:t>1,288.3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1,277.5</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1,320.2</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r>
      <w:tr>
        <w:trPr>
          <w:trHeight w:val="20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shareholder’s equity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r>
      <w:tr>
        <w:trPr>
          <w:trHeight w:val="210"/>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153.0%</w:t>
            </w:r>
          </w:p>
        </w:tc>
      </w:tr>
      <w:tr>
        <w:trPr>
          <w:trHeight w:val="42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3"/>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Interest earning assets*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Quarter</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 change</w:t>
            </w:r>
          </w:p>
        </w:tc>
      </w:tr>
      <w:tr>
        <w:trPr>
          <w:trHeight w:val="219"/>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US$ 000</w:t>
            </w: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4Q18</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3Q19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4Q19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19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Due from banks</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color w:val="auto"/>
              </w:rPr>
              <w:t>Total loans</w:t>
            </w:r>
          </w:p>
        </w:tc>
        <w:tc>
          <w:tcPr>
            <w:tcW w:w="600" w:type="dxa"/>
            <w:vAlign w:val="bottom"/>
          </w:tcPr>
          <w:p>
            <w:pPr>
              <w:jc w:val="right"/>
              <w:spacing w:after="0"/>
              <w:rPr>
                <w:sz w:val="20"/>
                <w:szCs w:val="20"/>
                <w:color w:val="auto"/>
              </w:rPr>
            </w:pPr>
            <w:r>
              <w:rPr>
                <w:rFonts w:ascii="Arial" w:cs="Arial" w:eastAsia="Arial" w:hAnsi="Arial"/>
                <w:sz w:val="16"/>
                <w:szCs w:val="16"/>
                <w:color w:val="auto"/>
              </w:rPr>
              <w:t>731</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r>
      <w:tr>
        <w:trPr>
          <w:trHeight w:val="20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r>
      <w:tr>
        <w:trPr>
          <w:trHeight w:val="210"/>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Total interest earning assets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1,690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1,576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1,533</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-2.7%</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-9.3%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Excludes investments in equities and mutual funds.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 change</w:t>
            </w:r>
          </w:p>
        </w:tc>
      </w:tr>
      <w:tr>
        <w:trPr>
          <w:trHeight w:val="219"/>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US$ 000</w:t>
            </w: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4Q18</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3Q19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4Q19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19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r>
      <w:tr>
        <w:trPr>
          <w:trHeight w:val="203"/>
        </w:trPr>
        <w:tc>
          <w:tcPr>
            <w:tcW w:w="3020" w:type="dxa"/>
            <w:vAlign w:val="bottom"/>
            <w:gridSpan w:val="2"/>
          </w:tcPr>
          <w:p>
            <w:pPr>
              <w:spacing w:after="0"/>
              <w:rPr>
                <w:sz w:val="20"/>
                <w:szCs w:val="20"/>
                <w:color w:val="auto"/>
              </w:rPr>
            </w:pPr>
            <w:r>
              <w:rPr>
                <w:rFonts w:ascii="Arial" w:cs="Arial" w:eastAsia="Arial" w:hAnsi="Arial"/>
                <w:sz w:val="16"/>
                <w:szCs w:val="16"/>
                <w:color w:val="auto"/>
              </w:rPr>
              <w:t>Borrowed Funds</w:t>
            </w:r>
          </w:p>
        </w:tc>
        <w:tc>
          <w:tcPr>
            <w:tcW w:w="600" w:type="dxa"/>
            <w:vAlign w:val="bottom"/>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-58.6%</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-85.4%</w:t>
            </w:r>
          </w:p>
        </w:tc>
      </w:tr>
      <w:tr>
        <w:trPr>
          <w:trHeight w:val="203"/>
        </w:trPr>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74.0%</w:t>
            </w:r>
          </w:p>
        </w:tc>
      </w:tr>
      <w:tr>
        <w:trPr>
          <w:trHeight w:val="210"/>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1,607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1,727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1,498</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-13.3%</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-6.8%</w:t>
            </w: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ind w:right="1200"/>
        <w:spacing w:after="0"/>
        <w:rPr>
          <w:sz w:val="20"/>
          <w:szCs w:val="20"/>
          <w:color w:val="auto"/>
        </w:rPr>
      </w:pPr>
      <w:r>
        <w:rPr>
          <w:rFonts w:ascii="Arial" w:cs="Arial" w:eastAsia="Arial" w:hAnsi="Arial"/>
          <w:sz w:val="16"/>
          <w:szCs w:val="16"/>
          <w:b w:val="1"/>
          <w:bCs w:val="1"/>
          <w:color w:val="auto"/>
        </w:rPr>
        <w:t>Assets under management and Deposits</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142875</wp:posOffset>
            </wp:positionV>
            <wp:extent cx="4244975" cy="3198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4497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Portfolio distribution as of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154940</wp:posOffset>
            </wp:positionV>
            <wp:extent cx="4202430" cy="30359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0243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11.7. Grupo Pacifico</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GRUPO PACIFICO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-86995</wp:posOffset>
            </wp:positionV>
            <wp:extent cx="68580" cy="5829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82930"/>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14"/>
          <w:szCs w:val="14"/>
          <w:b w:val="1"/>
          <w:bCs w:val="1"/>
          <w:color w:val="auto"/>
        </w:rPr>
        <w:t>(S/ in thousands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-97155</wp:posOffset>
            </wp:positionV>
            <wp:extent cx="497205" cy="4889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7205" cy="48895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Dic 18</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Dic 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3260" w:type="dxa"/>
            <w:vAlign w:val="bottom"/>
            <w:tcBorders>
              <w:bottom w:val="single" w:sz="8" w:color="CCEEFF"/>
            </w:tcBorders>
          </w:tcPr>
          <w:p>
            <w:pPr>
              <w:spacing w:after="0"/>
              <w:rPr>
                <w:sz w:val="14"/>
                <w:szCs w:val="14"/>
                <w:color w:val="auto"/>
              </w:rPr>
            </w:pPr>
          </w:p>
        </w:tc>
      </w:tr>
      <w:tr>
        <w:trPr>
          <w:trHeight w:val="142"/>
        </w:trPr>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12,223,495</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13,640,680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13,838,009</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jc w:val="right"/>
              <w:ind w:right="3140"/>
              <w:spacing w:after="0" w:line="142" w:lineRule="exact"/>
              <w:rPr>
                <w:sz w:val="20"/>
                <w:szCs w:val="20"/>
                <w:color w:val="auto"/>
              </w:rPr>
            </w:pPr>
            <w:r>
              <w:rPr>
                <w:rFonts w:ascii="Arial" w:cs="Arial" w:eastAsia="Arial" w:hAnsi="Arial"/>
                <w:sz w:val="14"/>
                <w:szCs w:val="14"/>
                <w:color w:val="auto"/>
              </w:rPr>
              <w:t>13.2%</w:t>
            </w: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1"/>
                <w:szCs w:val="21"/>
                <w:color w:val="auto"/>
                <w:vertAlign w:val="superscript"/>
              </w:rPr>
              <w:t>(1)</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8,921,449</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10,331,786</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10,758,564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6"/>
                <w:szCs w:val="16"/>
                <w:color w:val="auto"/>
              </w:rPr>
            </w:pPr>
          </w:p>
        </w:tc>
        <w:tc>
          <w:tcPr>
            <w:tcW w:w="3840" w:type="dxa"/>
            <w:vAlign w:val="bottom"/>
            <w:gridSpan w:val="2"/>
          </w:tcPr>
          <w:p>
            <w:pPr>
              <w:jc w:val="right"/>
              <w:ind w:right="3140"/>
              <w:spacing w:after="0"/>
              <w:rPr>
                <w:sz w:val="20"/>
                <w:szCs w:val="20"/>
                <w:color w:val="auto"/>
              </w:rPr>
            </w:pPr>
            <w:r>
              <w:rPr>
                <w:rFonts w:ascii="Arial" w:cs="Arial" w:eastAsia="Arial" w:hAnsi="Arial"/>
                <w:sz w:val="14"/>
                <w:szCs w:val="14"/>
                <w:color w:val="auto"/>
              </w:rPr>
              <w:t>20.6%</w:t>
            </w: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Technical reserves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8,471,154</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9,151,080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9,953,455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jc w:val="right"/>
              <w:ind w:right="3140"/>
              <w:spacing w:after="0" w:line="149" w:lineRule="exact"/>
              <w:rPr>
                <w:sz w:val="20"/>
                <w:szCs w:val="20"/>
                <w:color w:val="auto"/>
              </w:rPr>
            </w:pPr>
            <w:r>
              <w:rPr>
                <w:rFonts w:ascii="Arial" w:cs="Arial" w:eastAsia="Arial" w:hAnsi="Arial"/>
                <w:sz w:val="14"/>
                <w:szCs w:val="14"/>
                <w:color w:val="auto"/>
              </w:rPr>
              <w:t>17.5%</w:t>
            </w:r>
          </w:p>
        </w:tc>
      </w:tr>
      <w:tr>
        <w:trPr>
          <w:trHeight w:val="182"/>
        </w:trPr>
        <w:tc>
          <w:tcPr>
            <w:tcW w:w="3200" w:type="dxa"/>
            <w:vAlign w:val="bottom"/>
          </w:tcPr>
          <w:p>
            <w:pPr>
              <w:spacing w:after="0"/>
              <w:rPr>
                <w:sz w:val="20"/>
                <w:szCs w:val="20"/>
                <w:color w:val="auto"/>
              </w:rPr>
            </w:pPr>
            <w:r>
              <w:rPr>
                <w:rFonts w:ascii="Arial" w:cs="Arial" w:eastAsia="Arial" w:hAnsi="Arial"/>
                <w:sz w:val="14"/>
                <w:szCs w:val="14"/>
                <w:color w:val="auto"/>
              </w:rPr>
              <w:t>Net equity</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2,614,480</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3,423,666</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2,801,556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5"/>
                <w:szCs w:val="15"/>
                <w:color w:val="auto"/>
              </w:rPr>
            </w:pPr>
          </w:p>
        </w:tc>
        <w:tc>
          <w:tcPr>
            <w:tcW w:w="3840" w:type="dxa"/>
            <w:vAlign w:val="bottom"/>
            <w:gridSpan w:val="2"/>
          </w:tcPr>
          <w:p>
            <w:pPr>
              <w:jc w:val="right"/>
              <w:ind w:right="3140"/>
              <w:spacing w:after="0"/>
              <w:rPr>
                <w:sz w:val="20"/>
                <w:szCs w:val="20"/>
                <w:color w:val="auto"/>
              </w:rPr>
            </w:pPr>
            <w:r>
              <w:rPr>
                <w:rFonts w:ascii="Arial" w:cs="Arial" w:eastAsia="Arial" w:hAnsi="Arial"/>
                <w:sz w:val="14"/>
                <w:szCs w:val="14"/>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-629920</wp:posOffset>
            </wp:positionV>
            <wp:extent cx="1414780" cy="300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14780" cy="3003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-209550</wp:posOffset>
            </wp:positionV>
            <wp:extent cx="198120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81200" cy="18859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4Q18</w:t>
            </w:r>
          </w:p>
        </w:tc>
        <w:tc>
          <w:tcPr>
            <w:tcW w:w="240" w:type="dxa"/>
            <w:vAlign w:val="bottom"/>
            <w:vMerge w:val="restart"/>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4Q19</w:t>
            </w:r>
          </w:p>
        </w:tc>
        <w:tc>
          <w:tcPr>
            <w:tcW w:w="240" w:type="dxa"/>
            <w:vAlign w:val="bottom"/>
            <w:vMerge w:val="restart"/>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vMerge w:val="restart"/>
          </w:tcPr>
          <w:p>
            <w:pPr>
              <w:spacing w:after="0"/>
              <w:rPr>
                <w:sz w:val="14"/>
                <w:szCs w:val="14"/>
                <w:color w:val="auto"/>
              </w:rPr>
            </w:pPr>
          </w:p>
        </w:tc>
        <w:tc>
          <w:tcPr>
            <w:tcW w:w="1160" w:type="dxa"/>
            <w:vAlign w:val="bottom"/>
            <w:gridSpan w:val="3"/>
          </w:tcPr>
          <w:p>
            <w:pPr>
              <w:ind w:left="780"/>
              <w:spacing w:after="0"/>
              <w:rPr>
                <w:sz w:val="20"/>
                <w:szCs w:val="20"/>
                <w:color w:val="auto"/>
              </w:rPr>
            </w:pPr>
            <w:r>
              <w:rPr>
                <w:rFonts w:ascii="Arial" w:cs="Arial" w:eastAsia="Arial" w:hAnsi="Arial"/>
                <w:sz w:val="14"/>
                <w:szCs w:val="14"/>
                <w:b w:val="1"/>
                <w:bCs w:val="1"/>
                <w:color w:val="auto"/>
              </w:rPr>
              <w:t>Year</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536,901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615,145</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630,804</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17.5%</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2,100,348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2,427,437</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Net claims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325,401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392,520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395,718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1,239,635</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1,554,477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fees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147,799</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147,821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152,229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572,556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572,914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Net underwriting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23,312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30,293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26,644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118,556</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127,710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40,389</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44,512</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56,213</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39.2%</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169,601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172,336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139,146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126,226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158,259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25.4%</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521,264</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578,090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122,127</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104,421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118,004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424,256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437,490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38,093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14,208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13,776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52,179</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43,855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2,921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w w:val="99"/>
              </w:rPr>
              <w:t>Net gain on associates - EPS business and medical</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13,141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14,702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17,263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35,838</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31,004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Medical Assistance insurance deduction</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5,348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9,806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14,526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22,636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4,256</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6,021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106,755</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90,008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115,121</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353,292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381,492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2,338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2,525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2,594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9,302</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10,165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104,417</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87,482</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112,527</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28.6%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7.8%</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343,990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371,327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Ceded</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w:t>
            </w:r>
          </w:p>
        </w:tc>
        <w:tc>
          <w:tcPr>
            <w:tcW w:w="12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210 bps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-330 bps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 bps</w:t>
            </w:r>
          </w:p>
        </w:tc>
        <w:tc>
          <w:tcPr>
            <w:tcW w:w="0" w:type="dxa"/>
            <w:vAlign w:val="bottom"/>
          </w:tcPr>
          <w:p>
            <w:pPr>
              <w:spacing w:after="0"/>
              <w:rPr>
                <w:sz w:val="1"/>
                <w:szCs w:val="1"/>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60.6%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63.8%</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62.7%</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color w:val="auto"/>
              </w:rPr>
              <w:t>-110 bps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210 bps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64.0%</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500 bps</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Fees + underwriting expenses, net / net earned</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w:t>
            </w:r>
          </w:p>
        </w:tc>
        <w:tc>
          <w:tcPr>
            <w:tcW w:w="12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-60 bps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-350 bps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 bps</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2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170 bps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 bps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 bps</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2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170 bps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-400 bps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 bps</w:t>
            </w:r>
          </w:p>
        </w:tc>
        <w:tc>
          <w:tcPr>
            <w:tcW w:w="0" w:type="dxa"/>
            <w:vAlign w:val="bottom"/>
          </w:tcPr>
          <w:p>
            <w:pPr>
              <w:spacing w:after="0"/>
              <w:rPr>
                <w:sz w:val="1"/>
                <w:szCs w:val="1"/>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(3)(4)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14.8%</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color w:val="auto"/>
              </w:rPr>
              <w:t>380 bps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-160 bps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14.1%</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120 bps</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written premiums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12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160 bps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 bps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 bps</w:t>
            </w: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0"/>
                <w:szCs w:val="20"/>
                <w:color w:val="auto"/>
              </w:rPr>
            </w:pPr>
            <w:r>
              <w:rPr>
                <w:rFonts w:ascii="Arial" w:cs="Arial" w:eastAsia="Arial" w:hAnsi="Arial"/>
                <w:sz w:val="14"/>
                <w:szCs w:val="14"/>
                <w:color w:val="auto"/>
              </w:rPr>
              <w:t xml:space="preserve">Combined ratio of P&amp;C </w:t>
            </w:r>
            <w:r>
              <w:rPr>
                <w:rFonts w:ascii="Arial" w:cs="Arial" w:eastAsia="Arial" w:hAnsi="Arial"/>
                <w:sz w:val="23"/>
                <w:szCs w:val="23"/>
                <w:color w:val="auto"/>
                <w:vertAlign w:val="superscript"/>
              </w:rPr>
              <w:t>(5)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97.9%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94.1%</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-380 bps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-610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100.3%</w:t>
            </w:r>
          </w:p>
        </w:tc>
        <w:tc>
          <w:tcPr>
            <w:tcW w:w="1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98.4%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-190 bps</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without consolidation adjustments.</w:t>
      </w:r>
    </w:p>
    <w:p>
      <w:pPr>
        <w:ind w:left="220" w:hanging="212"/>
        <w:spacing w:after="0" w:line="221" w:lineRule="auto"/>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Excluding investments in real estate.</w:t>
      </w:r>
    </w:p>
    <w:p>
      <w:pPr>
        <w:ind w:left="220" w:hanging="212"/>
        <w:spacing w:after="0" w:line="221" w:lineRule="auto"/>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Net claims / Net earned premiums.</w:t>
      </w:r>
    </w:p>
    <w:p>
      <w:pPr>
        <w:ind w:left="220" w:hanging="212"/>
        <w:spacing w:after="0" w:line="221" w:lineRule="auto"/>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unrealized gains.</w:t>
      </w:r>
    </w:p>
    <w:p>
      <w:pPr>
        <w:ind w:left="220" w:hanging="212"/>
        <w:spacing w:after="0" w:line="221" w:lineRule="auto"/>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Annualized and average are determined as the average of period beginning and period ending.</w:t>
      </w: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(Net claims / Net earned premiums) + [(Acquisition cost + total expenses) / Net earned premiums].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ind w:right="520"/>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4Q18</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Quarter</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4Q19</w:t>
            </w: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rPr>
              <w:t>Year</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3Q19</w:t>
            </w:r>
          </w:p>
        </w:tc>
        <w:tc>
          <w:tcPr>
            <w:tcW w:w="1000" w:type="dxa"/>
            <w:vAlign w:val="bottom"/>
            <w:gridSpan w:val="2"/>
            <w:vMerge w:val="continue"/>
          </w:tcPr>
          <w:p>
            <w:pPr>
              <w:spacing w:after="0"/>
              <w:rPr>
                <w:sz w:val="14"/>
                <w:szCs w:val="14"/>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40" w:type="dxa"/>
            <w:vAlign w:val="bottom"/>
            <w:gridSpan w:val="2"/>
            <w:vMerge w:val="continue"/>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2019 / 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w:t>
            </w: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257,274</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275,951</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279,050</w:t>
            </w:r>
          </w:p>
        </w:tc>
        <w:tc>
          <w:tcPr>
            <w:tcW w:w="1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1,078,181</w:t>
            </w:r>
          </w:p>
        </w:tc>
        <w:tc>
          <w:tcPr>
            <w:tcW w:w="20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-224,156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-233,949</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-228,400</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-848,003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-921,650</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-10,806</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-12,365</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-12,335</w:t>
            </w:r>
          </w:p>
        </w:tc>
        <w:tc>
          <w:tcPr>
            <w:tcW w:w="1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-44,289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-48,276</w:t>
            </w:r>
          </w:p>
        </w:tc>
        <w:tc>
          <w:tcPr>
            <w:tcW w:w="20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-31.9%</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-9,583</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20,032</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27,151</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36,622</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34.9%</w:t>
            </w:r>
          </w:p>
        </w:tc>
        <w:tc>
          <w:tcPr>
            <w:tcW w:w="2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82.8%</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98,496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98,673</w:t>
            </w:r>
          </w:p>
        </w:tc>
        <w:tc>
          <w:tcPr>
            <w:tcW w:w="20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1,396</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1,612</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1,573</w:t>
            </w:r>
          </w:p>
        </w:tc>
        <w:tc>
          <w:tcPr>
            <w:tcW w:w="1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5,760</w:t>
            </w:r>
          </w:p>
        </w:tc>
        <w:tc>
          <w:tcPr>
            <w:tcW w:w="20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-18,352</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-20,715</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-74,902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-74,806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5,174</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1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260.1%</w:t>
            </w: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2,789</w:t>
            </w:r>
          </w:p>
        </w:tc>
        <w:tc>
          <w:tcPr>
            <w:tcW w:w="20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-169.5%</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-1890.5%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-1,497</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-3,716</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-5,804</w:t>
            </w:r>
          </w:p>
        </w:tc>
        <w:tc>
          <w:tcPr>
            <w:tcW w:w="1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56.2%</w:t>
            </w: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287.6%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-10,538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-10,575</w:t>
            </w:r>
          </w:p>
        </w:tc>
        <w:tc>
          <w:tcPr>
            <w:tcW w:w="20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w w:val="93"/>
              </w:rPr>
              <w:t>Net income before Medical services</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4,941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7,976</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11,866</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48.8%</w:t>
            </w:r>
          </w:p>
        </w:tc>
        <w:tc>
          <w:tcPr>
            <w:tcW w:w="2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140.2%</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23,379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21,942</w:t>
            </w:r>
          </w:p>
        </w:tc>
        <w:tc>
          <w:tcPr>
            <w:tcW w:w="20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of Medical services</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21,261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21,341</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22,577</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5.8%</w:t>
            </w:r>
          </w:p>
        </w:tc>
        <w:tc>
          <w:tcPr>
            <w:tcW w:w="2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6.2%</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77,027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85,009</w:t>
            </w:r>
          </w:p>
        </w:tc>
        <w:tc>
          <w:tcPr>
            <w:tcW w:w="20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26,202</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29,317</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34,443</w:t>
            </w:r>
          </w:p>
        </w:tc>
        <w:tc>
          <w:tcPr>
            <w:tcW w:w="1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17.5%</w:t>
            </w: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31.5%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100,405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106,951</w:t>
            </w:r>
          </w:p>
        </w:tc>
        <w:tc>
          <w:tcPr>
            <w:tcW w:w="2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820" w:top="90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11.8. Prima AFP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8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4Q18</w:t>
            </w:r>
          </w:p>
        </w:tc>
        <w:tc>
          <w:tcPr>
            <w:tcW w:w="260" w:type="dxa"/>
            <w:vAlign w:val="bottom"/>
            <w:vMerge w:val="restart"/>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4Q19</w:t>
            </w:r>
          </w:p>
        </w:tc>
        <w:tc>
          <w:tcPr>
            <w:tcW w:w="260" w:type="dxa"/>
            <w:vAlign w:val="bottom"/>
            <w:vMerge w:val="restart"/>
          </w:tcPr>
          <w:p>
            <w:pPr>
              <w:spacing w:after="0"/>
              <w:rPr>
                <w:sz w:val="14"/>
                <w:szCs w:val="14"/>
                <w:color w:val="auto"/>
              </w:rPr>
            </w:pPr>
          </w:p>
        </w:tc>
        <w:tc>
          <w:tcPr>
            <w:tcW w:w="1460" w:type="dxa"/>
            <w:vAlign w:val="bottom"/>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YoY</w:t>
            </w:r>
          </w:p>
        </w:tc>
        <w:tc>
          <w:tcPr>
            <w:tcW w:w="280" w:type="dxa"/>
            <w:vAlign w:val="bottom"/>
            <w:vMerge w:val="restart"/>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Year</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3Q19</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QoQ</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2019 / 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from commissions</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94,082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97,099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100,567</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3.6%</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6.9%</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379,720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403,289</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(36,005)</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(33,617)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(39,639)</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17.9%</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-153,323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-148,906</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(4,390)</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(8,190)</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(5,801)</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-29.2%</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-18,414</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-23,189</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53,687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55,292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55,126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-0.3%</w:t>
            </w:r>
          </w:p>
        </w:tc>
        <w:tc>
          <w:tcPr>
            <w:tcW w:w="3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207,983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231,195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income and expenses, net</w:t>
            </w: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(profitability of lace)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(6,146)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8,991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99.8%</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-246.3%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-1,366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39,311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-2977.3%</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(16,980)</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(17,097)</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(17,415)</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-66,712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-73,836</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26"/>
        </w:trPr>
        <w:tc>
          <w:tcPr>
            <w:tcW w:w="22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income before translation</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30,561</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42,695</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46,703</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9.4%</w:t>
            </w:r>
          </w:p>
        </w:tc>
        <w:tc>
          <w:tcPr>
            <w:tcW w:w="3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52.8%</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139,905</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196,670</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40.6%</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results</w:t>
            </w:r>
          </w:p>
        </w:tc>
        <w:tc>
          <w:tcPr>
            <w:tcW w:w="114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Translations results</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-141.6%</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30,471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42,394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46,828</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10.5%</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53.7%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139,586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196,589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40.8%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20"/>
                <w:szCs w:val="20"/>
                <w:color w:val="auto"/>
              </w:rPr>
            </w:pPr>
            <w:r>
              <w:rPr>
                <w:rFonts w:ascii="Arial" w:cs="Arial" w:eastAsia="Arial" w:hAnsi="Arial"/>
                <w:sz w:val="14"/>
                <w:szCs w:val="14"/>
                <w:b w:val="1"/>
                <w:bCs w:val="1"/>
                <w:color w:val="auto"/>
              </w:rPr>
              <w:t>ROAE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19.4%</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26.0%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27.3%</w:t>
            </w:r>
          </w:p>
        </w:tc>
        <w:tc>
          <w:tcPr>
            <w:tcW w:w="880" w:type="dxa"/>
            <w:vAlign w:val="bottom"/>
          </w:tcPr>
          <w:p>
            <w:pPr>
              <w:ind w:left="300"/>
              <w:spacing w:after="0"/>
              <w:rPr>
                <w:sz w:val="20"/>
                <w:szCs w:val="20"/>
                <w:color w:val="auto"/>
              </w:rPr>
            </w:pPr>
            <w:r>
              <w:rPr>
                <w:rFonts w:ascii="Arial" w:cs="Arial" w:eastAsia="Arial" w:hAnsi="Arial"/>
                <w:sz w:val="18"/>
                <w:szCs w:val="18"/>
                <w:b w:val="1"/>
                <w:bCs w:val="1"/>
                <w:color w:val="auto"/>
                <w:w w:val="83"/>
              </w:rPr>
              <w:t>129 pbs</w:t>
            </w:r>
          </w:p>
        </w:tc>
        <w:tc>
          <w:tcPr>
            <w:tcW w:w="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83"/>
              </w:rPr>
              <w:t>793 pbs</w:t>
            </w:r>
          </w:p>
        </w:tc>
        <w:tc>
          <w:tcPr>
            <w:tcW w:w="280" w:type="dxa"/>
            <w:vAlign w:val="bottom"/>
            <w:vMerge w:val="continue"/>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22.3%</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29.5%</w:t>
            </w: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w w:val="86"/>
              </w:rPr>
              <w:t>724 pbs</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ind w:left="700"/>
              <w:spacing w:after="0" w:line="198" w:lineRule="exact"/>
              <w:rPr>
                <w:sz w:val="20"/>
                <w:szCs w:val="20"/>
                <w:color w:val="auto"/>
              </w:rPr>
            </w:pPr>
            <w:r>
              <w:rPr>
                <w:rFonts w:ascii="Arial" w:cs="Arial" w:eastAsia="Arial" w:hAnsi="Arial"/>
                <w:sz w:val="18"/>
                <w:szCs w:val="18"/>
                <w:b w:val="1"/>
                <w:bCs w:val="1"/>
                <w:color w:val="auto"/>
                <w:w w:val="88"/>
              </w:rPr>
              <w:t>% change</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b w:val="1"/>
                <w:bCs w:val="1"/>
                <w:color w:val="auto"/>
              </w:rPr>
              <w:t>4Q18</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b w:val="1"/>
                <w:bCs w:val="1"/>
                <w:color w:val="auto"/>
              </w:rPr>
              <w:t>3Q19</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b w:val="1"/>
                <w:bCs w:val="1"/>
                <w:color w:val="auto"/>
              </w:rPr>
              <w:t>4Q19</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874,649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937,573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982,591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Total liabilities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241,307</w:t>
            </w:r>
          </w:p>
        </w:tc>
        <w:tc>
          <w:tcPr>
            <w:tcW w:w="900" w:type="dxa"/>
            <w:vAlign w:val="bottom"/>
          </w:tcPr>
          <w:p>
            <w:pPr>
              <w:jc w:val="right"/>
              <w:spacing w:after="0"/>
              <w:rPr>
                <w:sz w:val="20"/>
                <w:szCs w:val="20"/>
                <w:color w:val="auto"/>
              </w:rPr>
            </w:pPr>
            <w:r>
              <w:rPr>
                <w:rFonts w:ascii="Arial" w:cs="Arial" w:eastAsia="Arial" w:hAnsi="Arial"/>
                <w:sz w:val="18"/>
                <w:szCs w:val="18"/>
                <w:color w:val="auto"/>
              </w:rPr>
              <w:t>265,447</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284,643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shareholders’ equity </w:t>
            </w:r>
            <w:r>
              <w:rPr>
                <w:rFonts w:ascii="Arial" w:cs="Arial" w:eastAsia="Arial" w:hAnsi="Arial"/>
                <w:sz w:val="29"/>
                <w:szCs w:val="29"/>
                <w:color w:val="auto"/>
                <w:vertAlign w:val="superscript"/>
              </w:rPr>
              <w:t>(1)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633,342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672,126</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697,948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668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6686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-162560</wp:posOffset>
            </wp:positionV>
            <wp:extent cx="220408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04085" cy="16319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(1) Net shareholders' equity includes unrealized gains from Prima's investment portfolio.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19</w:t>
            </w: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19</w:t>
            </w:r>
          </w:p>
        </w:tc>
        <w:tc>
          <w:tcPr>
            <w:tcW w:w="1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Fund 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6,091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6,418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39,303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Fund 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6,460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52,566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i w:val="1"/>
                <w:iCs w:val="1"/>
                <w:color w:val="auto"/>
              </w:rPr>
              <w:t>Source: SBS</w:t>
            </w: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86"/>
              </w:rPr>
              <w:t>Sep 19 / Sep 18</w:t>
            </w: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Dec 19 / Dec 18</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6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Fund 1</w:t>
            </w:r>
          </w:p>
        </w:tc>
        <w:tc>
          <w:tcPr>
            <w:tcW w:w="198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1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Fund 3</w:t>
            </w:r>
          </w:p>
        </w:tc>
        <w:tc>
          <w:tcPr>
            <w:tcW w:w="198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AFP fees</w:t>
      </w:r>
    </w:p>
    <w:p>
      <w:pPr>
        <w:sectPr>
          <w:pgSz w:w="11900" w:h="16838" w:orient="portrait"/>
          <w:cols w:equalWidth="0" w:num="1">
            <w:col w:w="11420"/>
          </w:cols>
          <w:pgMar w:left="240" w:top="905" w:right="239" w:bottom="329"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b w:val="1"/>
                <w:bCs w:val="1"/>
                <w:color w:val="auto"/>
                <w:w w:val="97"/>
              </w:rPr>
              <w:t>Fee based on flow</w:t>
            </w: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0"/>
        </w:trPr>
        <w:tc>
          <w:tcPr>
            <w:tcW w:w="154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620" w:type="dxa"/>
            <w:vAlign w:val="bottom"/>
          </w:tcPr>
          <w:p>
            <w:pPr>
              <w:spacing w:after="0"/>
              <w:rPr>
                <w:sz w:val="19"/>
                <w:szCs w:val="19"/>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Flow</w:t>
            </w:r>
          </w:p>
        </w:tc>
        <w:tc>
          <w:tcPr>
            <w:tcW w:w="6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Balance</w:t>
            </w: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540"/>
        </w:trPr>
        <w:tc>
          <w:tcPr>
            <w:tcW w:w="154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Applied to the affiliates’ monthly remuneration.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Applied to the affiliates’ monthly remuneration since June 2017. Feb 17- may 17 =0.87%.</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Applies annualy to the new balance since February 2013 for new affiliates to the system and beginning on June 2013 for old affiliates who have chosen this commission scheme.</w:t>
      </w:r>
    </w:p>
    <w:p>
      <w:pPr>
        <w:spacing w:after="0" w:line="600" w:lineRule="exact"/>
        <w:rPr>
          <w:sz w:val="20"/>
          <w:szCs w:val="20"/>
          <w:color w:val="auto"/>
        </w:rPr>
      </w:pPr>
    </w:p>
    <w:p>
      <w:pPr>
        <w:sectPr>
          <w:pgSz w:w="11900" w:h="16838" w:orient="portrait"/>
          <w:cols w:equalWidth="0" w:num="2">
            <w:col w:w="2160" w:space="360"/>
            <w:col w:w="8900"/>
          </w:cols>
          <w:pgMar w:left="240" w:top="905" w:right="239" w:bottom="329"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Prima</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System</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 share</w:t>
            </w: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Prima</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System</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 share</w:t>
            </w:r>
          </w:p>
        </w:tc>
      </w:t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3Q19</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3Q19</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3Q19</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4Q19</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4Q19</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4Q19</w:t>
            </w:r>
          </w:p>
        </w:tc>
        <w:tc>
          <w:tcPr>
            <w:tcW w:w="160" w:type="dxa"/>
            <w:vAlign w:val="bottom"/>
            <w:tcBorders>
              <w:bottom w:val="single" w:sz="8" w:color="CCEEFF"/>
            </w:tcBorders>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2,343,978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7,331,986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2,355,005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7,426,667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r>
      <w:tr>
        <w:trPr>
          <w:trHeight w:val="257"/>
        </w:trPr>
        <w:tc>
          <w:tcPr>
            <w:tcW w:w="3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112,487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111,398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under management (S/ Millions)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169,231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174,823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57"/>
        </w:trPr>
        <w:tc>
          <w:tcPr>
            <w:tcW w:w="3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2,898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1,982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57"/>
        </w:trPr>
        <w:tc>
          <w:tcPr>
            <w:tcW w:w="3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Voluntary contributions (S/ Millions) </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r>
      <w:tr>
        <w:trPr>
          <w:trHeight w:val="390"/>
        </w:trPr>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7,310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2,892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7,418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June 2019, another AFP has the exclusivity of affiliations.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Information available to November.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Information available to November.</w:t>
      </w:r>
    </w:p>
    <w:p>
      <w:pPr>
        <w:spacing w:after="0" w:line="9" w:lineRule="exact"/>
        <w:rPr>
          <w:rFonts w:ascii="Arial" w:cs="Arial" w:eastAsia="Arial" w:hAnsi="Arial"/>
          <w:sz w:val="18"/>
          <w:szCs w:val="18"/>
          <w:color w:val="auto"/>
        </w:rPr>
      </w:pPr>
    </w:p>
    <w:p>
      <w:pPr>
        <w:ind w:right="1120" w:firstLine="8"/>
        <w:spacing w:after="0" w:line="261"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 Information available to November.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329" w:gutter="0" w:footer="0" w:header="0"/>
          <w:type w:val="continuous"/>
        </w:sectPr>
      </w:pPr>
    </w:p>
    <w:bookmarkStart w:id="71" w:name="page72"/>
    <w:bookmarkEnd w:id="71"/>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72020" cy="8198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819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9"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61" w:orient="portrait"/>
          <w:cols w:equalWidth="0" w:num="1">
            <w:col w:w="11420"/>
          </w:cols>
          <w:pgMar w:left="240" w:top="905" w:right="239" w:bottom="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lowerRoman"/>
      <w:start w:val="1"/>
    </w:lvl>
  </w:abstractNum>
  <w:abstractNum w:abstractNumId="6">
    <w:nsid w:val="1BA026FA"/>
    <w:multiLevelType w:val="hybridMultilevel"/>
    <w:lvl w:ilvl="0">
      <w:lvlJc w:val="left"/>
      <w:lvlText w:val="(%1)"/>
      <w:numFmt w:val="lowerRoman"/>
      <w:start w:val="1"/>
    </w:lvl>
  </w:abstractNum>
  <w:abstractNum w:abstractNumId="7">
    <w:nsid w:val="79A1DEAA"/>
    <w:multiLevelType w:val="hybridMultilevel"/>
    <w:lvl w:ilvl="0">
      <w:lvlJc w:val="left"/>
      <w:lvlText w:val="(%1)"/>
      <w:numFmt w:val="lowerRoman"/>
      <w:start w:val="1"/>
    </w:lvl>
  </w:abstractNum>
  <w:abstractNum w:abstractNumId="8">
    <w:nsid w:val="75C6C33A"/>
    <w:multiLevelType w:val="hybridMultilevel"/>
    <w:lvl w:ilvl="0">
      <w:lvlJc w:val="left"/>
      <w:lvlText w:val="(%1)"/>
      <w:numFmt w:val="lowerRoman"/>
      <w:start w:val="1"/>
    </w:lvl>
  </w:abstractNum>
  <w:abstractNum w:abstractNumId="9">
    <w:nsid w:val="12E685FB"/>
    <w:multiLevelType w:val="hybridMultilevel"/>
    <w:lvl w:ilvl="0">
      <w:lvlJc w:val="left"/>
      <w:lvlText w:val="(%1)"/>
      <w:numFmt w:val="lowerRoman"/>
      <w:start w:val="2"/>
    </w:lvl>
  </w:abstractNum>
  <w:abstractNum w:abstractNumId="10">
    <w:nsid w:val="70C6A529"/>
    <w:multiLevelType w:val="hybridMultilevel"/>
    <w:lvl w:ilvl="0">
      <w:lvlJc w:val="left"/>
      <w:lvlText w:val="(%1)"/>
      <w:numFmt w:val="lowerRoman"/>
      <w:start w:val="3"/>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lowerRoman"/>
      <w:start w:val="1"/>
    </w:lvl>
  </w:abstractNum>
  <w:abstractNum w:abstractNumId="14">
    <w:nsid w:val="23F9C13C"/>
    <w:multiLevelType w:val="hybridMultilevel"/>
    <w:lvl w:ilvl="0">
      <w:lvlJc w:val="left"/>
      <w:lvlText w:val="(%1)"/>
      <w:numFmt w:val="lowerRoman"/>
      <w:start w:val="2"/>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2"/>
    </w:lvl>
  </w:abstractNum>
  <w:abstractNum w:abstractNumId="17">
    <w:nsid w:val="39386575"/>
    <w:multiLevelType w:val="hybridMultilevel"/>
    <w:lvl w:ilvl="0">
      <w:lvlJc w:val="left"/>
      <w:lvlText w:val="(%1)"/>
      <w:numFmt w:val="lowerRoman"/>
      <w:start w:val="1"/>
    </w:lvl>
  </w:abstractNum>
  <w:abstractNum w:abstractNumId="18">
    <w:nsid w:val="1CF10FD8"/>
    <w:multiLevelType w:val="hybridMultilevel"/>
    <w:lvl w:ilvl="0">
      <w:lvlJc w:val="left"/>
      <w:lvlText w:val="(%1)"/>
      <w:numFmt w:val="lowerRoman"/>
      <w:start w:val="2"/>
    </w:lvl>
  </w:abstractNum>
  <w:abstractNum w:abstractNumId="19">
    <w:nsid w:val="180115BE"/>
    <w:multiLevelType w:val="hybridMultilevel"/>
    <w:lvl w:ilvl="0">
      <w:lvlJc w:val="left"/>
      <w:lvlText w:val="(%1)"/>
      <w:numFmt w:val="lowerRoman"/>
      <w:start w:val="1"/>
    </w:lvl>
  </w:abstractNum>
  <w:abstractNum w:abstractNumId="20">
    <w:nsid w:val="235BA861"/>
    <w:multiLevelType w:val="hybridMultilevel"/>
    <w:lvl w:ilvl="0">
      <w:lvlJc w:val="left"/>
      <w:lvlText w:val="(%1)"/>
      <w:numFmt w:val="lowerRoman"/>
      <w:start w:val="2"/>
    </w:lvl>
  </w:abstractNum>
  <w:abstractNum w:abstractNumId="21">
    <w:nsid w:val="47398C89"/>
    <w:multiLevelType w:val="hybridMultilevel"/>
    <w:lvl w:ilvl="0">
      <w:lvlJc w:val="left"/>
      <w:lvlText w:val="%1"/>
      <w:numFmt w:val="lowerRoman"/>
      <w:start w:val="1"/>
    </w:lvl>
    <w:lvl w:ilvl="1">
      <w:lvlJc w:val="left"/>
      <w:lvlText w:val="(%2)"/>
      <w:numFmt w:val="decimal"/>
      <w:start w:val="1"/>
    </w:lvl>
  </w:abstractNum>
  <w:abstractNum w:abstractNumId="22">
    <w:nsid w:val="354FE9F9"/>
    <w:multiLevelType w:val="hybridMultilevel"/>
    <w:lvl w:ilvl="0">
      <w:lvlJc w:val="left"/>
      <w:lvlText w:val="(%1)"/>
      <w:numFmt w:val="lowerRoman"/>
      <w:start w:val="1"/>
    </w:lvl>
    <w:lvl w:ilvl="1">
      <w:lvlJc w:val="left"/>
      <w:lvlText w:val="%2"/>
      <w:numFmt w:val="decimal"/>
      <w:start w:val="1"/>
    </w:lvl>
  </w:abstractNum>
  <w:abstractNum w:abstractNumId="23">
    <w:nsid w:val="15B5AF5C"/>
    <w:multiLevelType w:val="hybridMultilevel"/>
    <w:lvl w:ilvl="0">
      <w:lvlJc w:val="left"/>
      <w:lvlText w:val="(%1)"/>
      <w:numFmt w:val="lowerRoman"/>
      <w:start w:val="3"/>
    </w:lvl>
  </w:abstractNum>
  <w:abstractNum w:abstractNumId="24">
    <w:nsid w:val="741226BB"/>
    <w:multiLevelType w:val="hybridMultilevel"/>
    <w:lvl w:ilvl="0">
      <w:lvlJc w:val="left"/>
      <w:lvlText w:val="(%1)"/>
      <w:numFmt w:val="lowerRoman"/>
      <w:start w:val="1"/>
    </w:lvl>
  </w:abstractNum>
  <w:abstractNum w:abstractNumId="25">
    <w:nsid w:val="D34B6A8"/>
    <w:multiLevelType w:val="hybridMultilevel"/>
    <w:lvl w:ilvl="0">
      <w:lvlJc w:val="left"/>
      <w:lvlText w:val="(%1)"/>
      <w:numFmt w:val="lowerRoman"/>
      <w:start w:val="1"/>
    </w:lvl>
  </w:abstractNum>
  <w:abstractNum w:abstractNumId="26">
    <w:nsid w:val="10233C99"/>
    <w:multiLevelType w:val="hybridMultilevel"/>
    <w:lvl w:ilvl="0">
      <w:lvlJc w:val="left"/>
      <w:lvlText w:val="(%1)"/>
      <w:numFmt w:val="lowerRoman"/>
      <w:start w:val="1"/>
    </w:lvl>
  </w:abstractNum>
  <w:abstractNum w:abstractNumId="27">
    <w:nsid w:val="3F6AB60F"/>
    <w:multiLevelType w:val="hybridMultilevel"/>
    <w:lvl w:ilvl="0">
      <w:lvlJc w:val="left"/>
      <w:lvlText w:val="%1."/>
      <w:numFmt w:val="decimal"/>
      <w:start w:val="3"/>
    </w:lvl>
  </w:abstractNum>
  <w:abstractNum w:abstractNumId="28">
    <w:nsid w:val="61574095"/>
    <w:multiLevelType w:val="hybridMultilevel"/>
    <w:lvl w:ilvl="0">
      <w:lvlJc w:val="left"/>
      <w:lvlText w:val="(%1)"/>
      <w:numFmt w:val="lowerRoman"/>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lowerRoman"/>
      <w:start w:val="1"/>
    </w:lvl>
  </w:abstractNum>
  <w:abstractNum w:abstractNumId="31">
    <w:nsid w:val="579BE4F1"/>
    <w:multiLevelType w:val="hybridMultilevel"/>
    <w:lvl w:ilvl="0">
      <w:lvlJc w:val="left"/>
      <w:lvlText w:val="(%1)"/>
      <w:numFmt w:val="lowerRoman"/>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lowerRoman"/>
      <w:start w:val="1"/>
    </w:lvl>
  </w:abstractNum>
  <w:abstractNum w:abstractNumId="34">
    <w:nsid w:val="2F305DEF"/>
    <w:multiLevelType w:val="hybridMultilevel"/>
    <w:lvl w:ilvl="0">
      <w:lvlJc w:val="left"/>
      <w:lvlText w:val="(%1)"/>
      <w:numFmt w:val="lowerRoman"/>
      <w:start w:val="2"/>
    </w:lvl>
  </w:abstractNum>
  <w:abstractNum w:abstractNumId="35">
    <w:nsid w:val="25A70BF7"/>
    <w:multiLevelType w:val="hybridMultilevel"/>
    <w:lvl w:ilvl="0">
      <w:lvlJc w:val="left"/>
      <w:lvlText w:val="(%1)"/>
      <w:numFmt w:val="lowerRoman"/>
      <w:start w:val="3"/>
    </w:lvl>
  </w:abstractNum>
  <w:abstractNum w:abstractNumId="36">
    <w:nsid w:val="1DBABF00"/>
    <w:multiLevelType w:val="hybridMultilevel"/>
    <w:lvl w:ilvl="0">
      <w:lvlJc w:val="left"/>
      <w:lvlText w:val="(%1)"/>
      <w:numFmt w:val="lowerRoman"/>
      <w:start w:val="4"/>
    </w:lvl>
  </w:abstractNum>
  <w:abstractNum w:abstractNumId="37">
    <w:nsid w:val="4AD084E9"/>
    <w:multiLevelType w:val="hybridMultilevel"/>
    <w:lvl w:ilvl="0">
      <w:lvlJc w:val="left"/>
      <w:lvlText w:val="(%1)"/>
      <w:numFmt w:val="lowerRoman"/>
      <w:start w:val="5"/>
    </w:lvl>
  </w:abstractNum>
  <w:abstractNum w:abstractNumId="38">
    <w:nsid w:val="1F48EAA1"/>
    <w:multiLevelType w:val="hybridMultilevel"/>
    <w:lvl w:ilvl="0">
      <w:lvlJc w:val="left"/>
      <w:lvlText w:val="(%1)"/>
      <w:numFmt w:val="lowerRoman"/>
      <w:start w:val="6"/>
    </w:lvl>
  </w:abstractNum>
  <w:abstractNum w:abstractNumId="39">
    <w:nsid w:val="1381823A"/>
    <w:multiLevelType w:val="hybridMultilevel"/>
    <w:lvl w:ilvl="0">
      <w:lvlJc w:val="left"/>
      <w:lvlText w:val="%1."/>
      <w:numFmt w:val="decimal"/>
      <w:start w:val="4"/>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lowerRoman"/>
      <w:start w:val="1"/>
    </w:lvl>
  </w:abstractNum>
  <w:abstractNum w:abstractNumId="42">
    <w:nsid w:val="6590700B"/>
    <w:multiLevelType w:val="hybridMultilevel"/>
    <w:lvl w:ilvl="0">
      <w:lvlJc w:val="left"/>
      <w:lvlText w:val="(%1)"/>
      <w:numFmt w:val="lowerRoman"/>
      <w:start w:val="2"/>
    </w:lvl>
  </w:abstractNum>
  <w:abstractNum w:abstractNumId="43">
    <w:nsid w:val="15014ACB"/>
    <w:multiLevelType w:val="hybridMultilevel"/>
    <w:lvl w:ilvl="0">
      <w:lvlJc w:val="left"/>
      <w:lvlText w:val="(%1)"/>
      <w:numFmt w:val="lowerRoman"/>
      <w:start w:val="1"/>
    </w:lvl>
  </w:abstractNum>
  <w:abstractNum w:abstractNumId="44">
    <w:nsid w:val="5F5E7FD0"/>
    <w:multiLevelType w:val="hybridMultilevel"/>
    <w:lvl w:ilvl="0">
      <w:lvlJc w:val="left"/>
      <w:lvlText w:val="(%1)"/>
      <w:numFmt w:val="lowerRoman"/>
      <w:start w:val="1"/>
    </w:lvl>
  </w:abstractNum>
  <w:abstractNum w:abstractNumId="45">
    <w:nsid w:val="98A3148"/>
    <w:multiLevelType w:val="hybridMultilevel"/>
    <w:lvl w:ilvl="0">
      <w:lvlJc w:val="left"/>
      <w:lvlText w:val="(%1)"/>
      <w:numFmt w:val="lowerRoman"/>
      <w:start w:val="1"/>
    </w:lvl>
  </w:abstractNum>
  <w:abstractNum w:abstractNumId="46">
    <w:nsid w:val="799D0247"/>
    <w:multiLevelType w:val="hybridMultilevel"/>
    <w:lvl w:ilvl="0">
      <w:lvlJc w:val="left"/>
      <w:lvlText w:val="(%1)"/>
      <w:numFmt w:val="lowerRoman"/>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lowerRoman"/>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2"/>
    </w:lvl>
  </w:abstractNum>
  <w:abstractNum w:abstractNumId="51">
    <w:nsid w:val="661E3F1E"/>
    <w:multiLevelType w:val="hybridMultilevel"/>
    <w:lvl w:ilvl="0">
      <w:lvlJc w:val="left"/>
      <w:lvlText w:val="%1."/>
      <w:numFmt w:val="decimal"/>
      <w:start w:val="5"/>
    </w:lvl>
  </w:abstractNum>
  <w:abstractNum w:abstractNumId="52">
    <w:nsid w:val="5DC79EA8"/>
    <w:multiLevelType w:val="hybridMultilevel"/>
    <w:lvl w:ilvl="0">
      <w:lvlJc w:val="left"/>
      <w:lvlText w:val="(%1)"/>
      <w:numFmt w:val="decimal"/>
      <w:start w:val="1"/>
    </w:lvl>
  </w:abstractNum>
  <w:abstractNum w:abstractNumId="53">
    <w:nsid w:val="540A471C"/>
    <w:multiLevelType w:val="hybridMultilevel"/>
    <w:lvl w:ilvl="0">
      <w:lvlJc w:val="left"/>
      <w:lvlText w:val="(%1)"/>
      <w:numFmt w:val="lowerRoman"/>
      <w:start w:val="1"/>
    </w:lvl>
  </w:abstractNum>
  <w:abstractNum w:abstractNumId="54">
    <w:nsid w:val="7BD3EE7B"/>
    <w:multiLevelType w:val="hybridMultilevel"/>
    <w:lvl w:ilvl="0">
      <w:lvlJc w:val="left"/>
      <w:lvlText w:val="(%1)"/>
      <w:numFmt w:val="lowerRoman"/>
      <w:start w:val="1"/>
    </w:lvl>
  </w:abstractNum>
  <w:abstractNum w:abstractNumId="55">
    <w:nsid w:val="51D9C564"/>
    <w:multiLevelType w:val="hybridMultilevel"/>
    <w:lvl w:ilvl="0">
      <w:lvlJc w:val="left"/>
      <w:lvlText w:val="(%1)"/>
      <w:numFmt w:val="lowerRoman"/>
      <w:start w:val="1"/>
    </w:lvl>
  </w:abstractNum>
  <w:abstractNum w:abstractNumId="56">
    <w:nsid w:val="613EFDC5"/>
    <w:multiLevelType w:val="hybridMultilevel"/>
    <w:lvl w:ilvl="0">
      <w:lvlJc w:val="left"/>
      <w:lvlText w:val="(%1)"/>
      <w:numFmt w:val="lowerRoman"/>
      <w:start w:val="2"/>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1)"/>
      <w:numFmt w:val="lowerRoman"/>
      <w:start w:val="1"/>
    </w:lvl>
  </w:abstractNum>
  <w:abstractNum w:abstractNumId="59">
    <w:nsid w:val="42963E5A"/>
    <w:multiLevelType w:val="hybridMultilevel"/>
    <w:lvl w:ilvl="0">
      <w:lvlJc w:val="left"/>
      <w:lvlText w:val="(%1)"/>
      <w:numFmt w:val="lowerRoman"/>
      <w:start w:val="2"/>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lowerRoman"/>
      <w:start w:val="1"/>
    </w:lvl>
  </w:abstractNum>
  <w:abstractNum w:abstractNumId="62">
    <w:nsid w:val="1A32234B"/>
    <w:multiLevelType w:val="hybridMultilevel"/>
    <w:lvl w:ilvl="0">
      <w:lvlJc w:val="left"/>
      <w:lvlText w:val="(%1)"/>
      <w:numFmt w:val="lowerRoman"/>
      <w:start w:val="1"/>
    </w:lvl>
  </w:abstractNum>
  <w:abstractNum w:abstractNumId="63">
    <w:nsid w:val="3B0FD379"/>
    <w:multiLevelType w:val="hybridMultilevel"/>
    <w:lvl w:ilvl="0">
      <w:lvlJc w:val="left"/>
      <w:lvlText w:val="(%1)"/>
      <w:numFmt w:val="lowerRoman"/>
      <w:start w:val="1"/>
    </w:lvl>
  </w:abstractNum>
  <w:abstractNum w:abstractNumId="64">
    <w:nsid w:val="68EB2F63"/>
    <w:multiLevelType w:val="hybridMultilevel"/>
    <w:lvl w:ilvl="0">
      <w:lvlJc w:val="left"/>
      <w:lvlText w:val="(%1)"/>
      <w:numFmt w:val="lowerRoman"/>
      <w:start w:val="1"/>
    </w:lvl>
  </w:abstractNum>
  <w:abstractNum w:abstractNumId="65">
    <w:nsid w:val="4962813B"/>
    <w:multiLevelType w:val="hybridMultilevel"/>
    <w:lvl w:ilvl="0">
      <w:lvlJc w:val="left"/>
      <w:lvlText w:val="3"/>
      <w:numFmt w:val="bullet"/>
      <w:start w:val="1"/>
    </w:lvl>
  </w:abstractNum>
  <w:abstractNum w:abstractNumId="66">
    <w:nsid w:val="60B6DF70"/>
    <w:multiLevelType w:val="hybridMultilevel"/>
    <w:lvl w:ilvl="0">
      <w:lvlJc w:val="left"/>
      <w:lvlText w:val="(%1)"/>
      <w:numFmt w:val="decimal"/>
      <w:start w:val="4"/>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lowerRoman"/>
      <w:start w:val="1"/>
    </w:lvl>
  </w:abstractNum>
  <w:abstractNum w:abstractNumId="71">
    <w:nsid w:val="71EA1109"/>
    <w:multiLevelType w:val="hybridMultilevel"/>
    <w:lvl w:ilvl="0">
      <w:lvlJc w:val="left"/>
      <w:lvlText w:val="(%1)"/>
      <w:numFmt w:val="lowerRoman"/>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lowerRoman"/>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lowerRoman"/>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lowerRoman"/>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11"/>
    </w:lvl>
  </w:abstractNum>
  <w:abstractNum w:abstractNumId="84">
    <w:nsid w:val="68EBC550"/>
    <w:multiLevelType w:val="hybridMultilevel"/>
    <w:lvl w:ilvl="0">
      <w:lvlJc w:val="left"/>
      <w:lvlText w:val="11.%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lowerRoman"/>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2020-02-17T18:13:03Z</dcterms:created>
  <dcterms:modified xsi:type="dcterms:W3CDTF">2020-02-17T18:13:03Z</dcterms:modified>
</cp:coreProperties>
</file>