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month of February 2016</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 001-14014</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CREDICORP LTD.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jc w:val="center"/>
        <w:ind w:right="-19"/>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_____</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_____</w:t>
      </w:r>
    </w:p>
    <w:p>
      <w:pPr>
        <w:spacing w:after="0" w:line="225"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 w:name="page2"/>
    <w:bookmarkEnd w:id="1"/>
    <w:p>
      <w:pPr>
        <w:spacing w:after="0" w:line="18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4170680</wp:posOffset>
            </wp:positionH>
            <wp:positionV relativeFrom="page">
              <wp:posOffset>586105</wp:posOffset>
            </wp:positionV>
            <wp:extent cx="1431925" cy="283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431925" cy="283210"/>
                    </a:xfrm>
                    <a:prstGeom prst="rect">
                      <a:avLst/>
                    </a:prstGeom>
                    <a:noFill/>
                  </pic:spPr>
                </pic:pic>
              </a:graphicData>
            </a:graphic>
          </wp:anchor>
        </w:drawing>
      </w:r>
    </w:p>
    <w:p>
      <w:pPr>
        <w:jc w:val="both"/>
        <w:ind w:left="2340"/>
        <w:spacing w:after="0" w:line="282" w:lineRule="auto"/>
        <w:rPr>
          <w:sz w:val="20"/>
          <w:szCs w:val="20"/>
          <w:color w:val="auto"/>
        </w:rPr>
      </w:pPr>
      <w:r>
        <w:rPr>
          <w:rFonts w:ascii="Arial" w:cs="Arial" w:eastAsia="Arial" w:hAnsi="Arial"/>
          <w:sz w:val="18"/>
          <w:szCs w:val="18"/>
          <w:b w:val="1"/>
          <w:bCs w:val="1"/>
          <w:color w:val="auto"/>
        </w:rPr>
        <w:t xml:space="preserve">Lima, Peru, 08 de February, 2016 </w:t>
      </w:r>
      <w:r>
        <w:rPr>
          <w:rFonts w:ascii="Arial" w:cs="Arial" w:eastAsia="Arial" w:hAnsi="Arial"/>
          <w:sz w:val="18"/>
          <w:szCs w:val="18"/>
          <w:color w:val="auto"/>
        </w:rPr>
        <w:t>– Credicorp (NYSE:BAP) announced its unaudited results for the fourth</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of 2015. These results are consolidated in Soles according to IFRS.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-296545</wp:posOffset>
            </wp:positionV>
            <wp:extent cx="1946910" cy="77266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46910" cy="7726680"/>
                    </a:xfrm>
                    <a:prstGeom prst="rect">
                      <a:avLst/>
                    </a:prstGeom>
                    <a:noFill/>
                  </pic:spPr>
                </pic:pic>
              </a:graphicData>
            </a:graphic>
          </wp:anchor>
        </w:drawing>
      </w:r>
    </w:p>
    <w:p>
      <w:pPr>
        <w:spacing w:after="0" w:line="142" w:lineRule="exact"/>
        <w:rPr>
          <w:sz w:val="20"/>
          <w:szCs w:val="20"/>
          <w:color w:val="auto"/>
        </w:rPr>
      </w:pPr>
    </w:p>
    <w:p>
      <w:pPr>
        <w:jc w:val="center"/>
        <w:ind w:left="3540"/>
        <w:spacing w:after="0"/>
        <w:rPr>
          <w:sz w:val="20"/>
          <w:szCs w:val="20"/>
          <w:color w:val="auto"/>
        </w:rPr>
      </w:pPr>
      <w:r>
        <w:rPr>
          <w:rFonts w:ascii="Arial" w:cs="Arial" w:eastAsia="Arial" w:hAnsi="Arial"/>
          <w:sz w:val="18"/>
          <w:szCs w:val="18"/>
          <w:b w:val="1"/>
          <w:bCs w:val="1"/>
          <w:color w:val="auto"/>
        </w:rPr>
        <w:t>Results for the Fourth Quarter 2015</w:t>
      </w:r>
    </w:p>
    <w:p>
      <w:pPr>
        <w:spacing w:after="0" w:line="229" w:lineRule="exact"/>
        <w:rPr>
          <w:sz w:val="20"/>
          <w:szCs w:val="20"/>
          <w:color w:val="auto"/>
        </w:rPr>
      </w:pPr>
    </w:p>
    <w:p>
      <w:pPr>
        <w:jc w:val="both"/>
        <w:ind w:left="2340"/>
        <w:spacing w:after="0" w:line="279" w:lineRule="auto"/>
        <w:rPr>
          <w:sz w:val="20"/>
          <w:szCs w:val="20"/>
          <w:color w:val="auto"/>
        </w:rPr>
      </w:pPr>
      <w:r>
        <w:rPr>
          <w:rFonts w:ascii="Arial" w:cs="Arial" w:eastAsia="Arial" w:hAnsi="Arial"/>
          <w:sz w:val="17"/>
          <w:szCs w:val="17"/>
          <w:color w:val="auto"/>
        </w:rPr>
        <w:t>Credicorp reported net income of S/. 731.1 million in 4Q15, which led to an ROAE and ROAA of 18.7% and 1.9%, respectively. After excluding the effect of non-recurring net expenses for S/. 38.4 million, the result translates into net recurring income of S/. 769.6 million. This represents slight growth of +3.3% QoQ and +23% YoY and recurring ROAE and ROAA of 19.9% and 2.0%, respectively.</w:t>
      </w:r>
    </w:p>
    <w:p>
      <w:pPr>
        <w:spacing w:after="0" w:line="171"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The main drivers of 4Q15 results were:</w:t>
      </w:r>
    </w:p>
    <w:p>
      <w:pPr>
        <w:spacing w:after="0" w:line="225" w:lineRule="exact"/>
        <w:rPr>
          <w:sz w:val="20"/>
          <w:szCs w:val="20"/>
          <w:color w:val="auto"/>
        </w:rPr>
      </w:pPr>
    </w:p>
    <w:p>
      <w:pPr>
        <w:jc w:val="both"/>
        <w:ind w:left="2340" w:firstLine="6"/>
        <w:spacing w:after="0" w:line="264" w:lineRule="auto"/>
        <w:tabs>
          <w:tab w:leader="none" w:pos="2721" w:val="left"/>
        </w:tabs>
        <w:numPr>
          <w:ilvl w:val="0"/>
          <w:numId w:val="1"/>
        </w:numPr>
        <w:rPr>
          <w:rFonts w:ascii="Arial" w:cs="Arial" w:eastAsia="Arial" w:hAnsi="Arial"/>
          <w:sz w:val="18"/>
          <w:szCs w:val="18"/>
          <w:color w:val="auto"/>
        </w:rPr>
      </w:pPr>
      <w:r>
        <w:rPr>
          <w:rFonts w:ascii="Arial" w:cs="Arial" w:eastAsia="Arial" w:hAnsi="Arial"/>
          <w:sz w:val="18"/>
          <w:szCs w:val="18"/>
          <w:color w:val="auto"/>
        </w:rPr>
        <w:t>An expansion of +2.8% QoQ and +13.1% YoY in period-end loan balances, which represented real growth of +0.5% QoQ and +7.4% YoY. Unlike the scenario in previous quarters, the QoQ increase in loans was led by Retail Banking.</w:t>
      </w:r>
    </w:p>
    <w:p>
      <w:pPr>
        <w:spacing w:after="0" w:line="181" w:lineRule="exact"/>
        <w:rPr>
          <w:rFonts w:ascii="Arial" w:cs="Arial" w:eastAsia="Arial" w:hAnsi="Arial"/>
          <w:sz w:val="18"/>
          <w:szCs w:val="18"/>
          <w:color w:val="auto"/>
        </w:rPr>
      </w:pPr>
    </w:p>
    <w:p>
      <w:pPr>
        <w:jc w:val="both"/>
        <w:ind w:left="2340" w:firstLine="6"/>
        <w:spacing w:after="0" w:line="264" w:lineRule="auto"/>
        <w:tabs>
          <w:tab w:leader="none" w:pos="2621" w:val="left"/>
        </w:tabs>
        <w:numPr>
          <w:ilvl w:val="0"/>
          <w:numId w:val="1"/>
        </w:numPr>
        <w:rPr>
          <w:rFonts w:ascii="Arial" w:cs="Arial" w:eastAsia="Arial" w:hAnsi="Arial"/>
          <w:sz w:val="18"/>
          <w:szCs w:val="18"/>
          <w:color w:val="auto"/>
        </w:rPr>
      </w:pPr>
      <w:r>
        <w:rPr>
          <w:rFonts w:ascii="Arial" w:cs="Arial" w:eastAsia="Arial" w:hAnsi="Arial"/>
          <w:sz w:val="18"/>
          <w:szCs w:val="18"/>
          <w:color w:val="auto"/>
        </w:rPr>
        <w:t>Growth of +5.8% QoQ and +15.4% YoY in net interest income (NII) due to higher income from interest on loans, which offset the increase in interest expenses. This year, NII posted significant expansion of 16.5%.</w:t>
      </w:r>
    </w:p>
    <w:p>
      <w:pPr>
        <w:spacing w:after="0" w:line="181" w:lineRule="exact"/>
        <w:rPr>
          <w:rFonts w:ascii="Arial" w:cs="Arial" w:eastAsia="Arial" w:hAnsi="Arial"/>
          <w:sz w:val="18"/>
          <w:szCs w:val="18"/>
          <w:color w:val="auto"/>
        </w:rPr>
      </w:pPr>
    </w:p>
    <w:p>
      <w:pPr>
        <w:jc w:val="both"/>
        <w:ind w:left="2340" w:firstLine="6"/>
        <w:spacing w:after="0" w:line="272" w:lineRule="auto"/>
        <w:tabs>
          <w:tab w:leader="none" w:pos="2697"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Net Interest Margin (NIM) was 5.55%. This represented an increase of +6 bps QoQ, which was attributable to significant growth in NII (the highest quarterly level this year) and a lower increase in average Interest Earnings Assets (IEAs), which was in turn due to a decrease in the number of BCRP instruments. The YoY evolution reveals a decrease of -11 bps due to: (i) more use of BCRP instruments, which require restricted deposits that “inflate” the IEAs; (ii) an increase in loan growth in lower margin segments; and (iii) the increase in the funding cost. The aforementioned attenuated the contraction in NIM in 2015, which fell only -8 bps, in line with expectations.</w:t>
      </w:r>
    </w:p>
    <w:p>
      <w:pPr>
        <w:spacing w:after="0" w:line="177" w:lineRule="exact"/>
        <w:rPr>
          <w:rFonts w:ascii="Arial" w:cs="Arial" w:eastAsia="Arial" w:hAnsi="Arial"/>
          <w:sz w:val="17"/>
          <w:szCs w:val="17"/>
          <w:color w:val="auto"/>
        </w:rPr>
      </w:pPr>
    </w:p>
    <w:p>
      <w:pPr>
        <w:jc w:val="both"/>
        <w:ind w:left="2340" w:firstLine="6"/>
        <w:spacing w:after="0" w:line="259" w:lineRule="auto"/>
        <w:tabs>
          <w:tab w:leader="none" w:pos="2731"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+13.1% increase QoQ and +14.9% YoY in net provisions, which was mainly generated by the Wholesale, Mortgage and Credit Card segments. This led the cost of risk to rise from 2.02% in 3Q15 and 2.19% in 4Q14 to 2.23% in 4Q15. In 2015 the cost of risk fell to 2.08% (vs. 2.15% in 2014), which was lower than expected.</w:t>
      </w:r>
    </w:p>
    <w:p>
      <w:pPr>
        <w:spacing w:after="0" w:line="186" w:lineRule="exact"/>
        <w:rPr>
          <w:rFonts w:ascii="Arial" w:cs="Arial" w:eastAsia="Arial" w:hAnsi="Arial"/>
          <w:sz w:val="18"/>
          <w:szCs w:val="18"/>
          <w:color w:val="auto"/>
        </w:rPr>
      </w:pPr>
    </w:p>
    <w:p>
      <w:pPr>
        <w:jc w:val="both"/>
        <w:ind w:left="2340" w:firstLine="6"/>
        <w:spacing w:after="0" w:line="302" w:lineRule="auto"/>
        <w:tabs>
          <w:tab w:leader="none" w:pos="2674"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increase of 3.5% QoQ in non-financial income due to good growth in fee income and, to a lesser extent, in gains on Foreign Exchange Transactions, which offset the loss on Sales of Securities. The YoY and accumulated evolution for the year show an increase of +9.5% and +8.7%, respectively, which were due primarily to gains on Foreign Exchange Transactions and to a lesser extent, to fee income.</w:t>
      </w:r>
    </w:p>
    <w:p>
      <w:pPr>
        <w:spacing w:after="0" w:line="154" w:lineRule="exact"/>
        <w:rPr>
          <w:rFonts w:ascii="Arial" w:cs="Arial" w:eastAsia="Arial" w:hAnsi="Arial"/>
          <w:sz w:val="16"/>
          <w:szCs w:val="16"/>
          <w:color w:val="auto"/>
        </w:rPr>
      </w:pPr>
    </w:p>
    <w:p>
      <w:pPr>
        <w:jc w:val="both"/>
        <w:ind w:left="2340" w:firstLine="6"/>
        <w:spacing w:after="0" w:line="259" w:lineRule="auto"/>
        <w:tabs>
          <w:tab w:leader="none" w:pos="2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insurance underwriting result increased +7.3% QoQ, which was primarily attributable to a decrease in the acquisition cost and higher net premiums for property and casualty insurance, which offset an increase in claims. In this context, the combined ratio fell to 86.4%, which is lower than the 92.2% registered in 3Q15 and the 100.2% reported in 4Q14.</w:t>
      </w:r>
    </w:p>
    <w:p>
      <w:pPr>
        <w:spacing w:after="0" w:line="186" w:lineRule="exact"/>
        <w:rPr>
          <w:rFonts w:ascii="Arial" w:cs="Arial" w:eastAsia="Arial" w:hAnsi="Arial"/>
          <w:sz w:val="18"/>
          <w:szCs w:val="18"/>
          <w:color w:val="auto"/>
        </w:rPr>
      </w:pPr>
    </w:p>
    <w:p>
      <w:pPr>
        <w:jc w:val="both"/>
        <w:ind w:left="2340" w:firstLine="6"/>
        <w:spacing w:after="0" w:line="264" w:lineRule="auto"/>
        <w:tabs>
          <w:tab w:leader="none" w:pos="2701" w:val="left"/>
        </w:tabs>
        <w:numPr>
          <w:ilvl w:val="0"/>
          <w:numId w:val="1"/>
        </w:numPr>
        <w:rPr>
          <w:rFonts w:ascii="Arial" w:cs="Arial" w:eastAsia="Arial" w:hAnsi="Arial"/>
          <w:sz w:val="18"/>
          <w:szCs w:val="18"/>
          <w:color w:val="auto"/>
        </w:rPr>
      </w:pPr>
      <w:r>
        <w:rPr>
          <w:rFonts w:ascii="Arial" w:cs="Arial" w:eastAsia="Arial" w:hAnsi="Arial"/>
          <w:sz w:val="18"/>
          <w:szCs w:val="18"/>
          <w:color w:val="auto"/>
        </w:rPr>
        <w:t>As expected, the efficiency ratio deteriorated QoQ (+140 bps) due to the seasonality associated with administrative expenses but in YoY terms, and in comparison to the accumulated level in 2014 in particular, this ratio fell more than expected: -180 bps and -200 bps, respectively.</w:t>
      </w:r>
    </w:p>
    <w:p>
      <w:pPr>
        <w:spacing w:after="0" w:line="181" w:lineRule="exact"/>
        <w:rPr>
          <w:sz w:val="20"/>
          <w:szCs w:val="20"/>
          <w:color w:val="auto"/>
        </w:rPr>
      </w:pPr>
    </w:p>
    <w:p>
      <w:pPr>
        <w:ind w:left="2340" w:right="20"/>
        <w:spacing w:after="0" w:line="277" w:lineRule="auto"/>
        <w:rPr>
          <w:sz w:val="20"/>
          <w:szCs w:val="20"/>
          <w:color w:val="auto"/>
        </w:rPr>
      </w:pPr>
      <w:r>
        <w:rPr>
          <w:rFonts w:ascii="Arial" w:cs="Arial" w:eastAsia="Arial" w:hAnsi="Arial"/>
          <w:sz w:val="18"/>
          <w:szCs w:val="18"/>
          <w:color w:val="auto"/>
        </w:rPr>
        <w:t>As such, net recurring income in 2015 was situated at S/. 2,950.9 million, which represented a recurring ROAE and ROAA of 19.7% and 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440"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380" w:type="dxa"/>
            <w:vAlign w:val="bottom"/>
            <w:gridSpan w:val="5"/>
          </w:tcPr>
          <w:p>
            <w:pPr>
              <w:spacing w:after="0"/>
              <w:rPr>
                <w:sz w:val="20"/>
                <w:szCs w:val="20"/>
                <w:color w:val="auto"/>
              </w:rPr>
            </w:pPr>
            <w:r>
              <w:rPr>
                <w:rFonts w:ascii="Arial" w:cs="Arial" w:eastAsia="Arial" w:hAnsi="Arial"/>
                <w:sz w:val="18"/>
                <w:szCs w:val="18"/>
                <w:b w:val="1"/>
                <w:bCs w:val="1"/>
                <w:color w:val="auto"/>
                <w:w w:val="89"/>
              </w:rPr>
              <w:t>Table of Contents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940" w:type="dxa"/>
            <w:vAlign w:val="bottom"/>
            <w:tcBorders>
              <w:bottom w:val="single" w:sz="8" w:color="0000EE"/>
            </w:tcBorders>
            <w:gridSpan w:val="45"/>
            <w:shd w:val="clear" w:color="auto" w:fill="CCEEFF"/>
          </w:tcPr>
          <w:p>
            <w:pPr>
              <w:spacing w:after="0" w:line="176" w:lineRule="exact"/>
              <w:rPr>
                <w:rFonts w:ascii="Arial" w:cs="Arial" w:eastAsia="Arial" w:hAnsi="Arial"/>
                <w:sz w:val="18"/>
                <w:szCs w:val="18"/>
                <w:color w:val="0000EE"/>
                <w:w w:val="91"/>
              </w:rPr>
            </w:pPr>
            <w:hyperlink w:anchor="page4">
              <w:r>
                <w:rPr>
                  <w:rFonts w:ascii="Arial" w:cs="Arial" w:eastAsia="Arial" w:hAnsi="Arial"/>
                  <w:sz w:val="18"/>
                  <w:szCs w:val="18"/>
                  <w:color w:val="0000EE"/>
                  <w:w w:val="91"/>
                </w:rPr>
                <w:t>Credicorp (NYSE: BAP): Fourth Quarter Results 2015</w:t>
              </w:r>
            </w:hyperlink>
          </w:p>
        </w:tc>
        <w:tc>
          <w:tcPr>
            <w:tcW w:w="4560" w:type="dxa"/>
            <w:vAlign w:val="bottom"/>
            <w:tcBorders>
              <w:bottom w:val="single" w:sz="8" w:color="CCEEFF"/>
            </w:tcBorders>
            <w:gridSpan w:val="7"/>
            <w:shd w:val="clear" w:color="auto" w:fill="CCEEFF"/>
          </w:tcPr>
          <w:p>
            <w:pPr>
              <w:spacing w:after="0"/>
              <w:rPr>
                <w:sz w:val="17"/>
                <w:szCs w:val="17"/>
                <w:color w:val="auto"/>
              </w:rPr>
            </w:pPr>
          </w:p>
        </w:tc>
        <w:tc>
          <w:tcPr>
            <w:tcW w:w="29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340" w:type="dxa"/>
            <w:vAlign w:val="bottom"/>
            <w:gridSpan w:val="51"/>
          </w:tcPr>
          <w:p>
            <w:pPr>
              <w:spacing w:after="0" w:line="176" w:lineRule="exact"/>
              <w:rPr>
                <w:rFonts w:ascii="Arial" w:cs="Arial" w:eastAsia="Arial" w:hAnsi="Arial"/>
                <w:sz w:val="18"/>
                <w:szCs w:val="18"/>
                <w:i w:val="1"/>
                <w:iCs w:val="1"/>
                <w:color w:val="0000EE"/>
              </w:rPr>
            </w:pPr>
            <w:hyperlink w:anchor="page4">
              <w:r>
                <w:rPr>
                  <w:rFonts w:ascii="Arial" w:cs="Arial" w:eastAsia="Arial" w:hAnsi="Arial"/>
                  <w:sz w:val="18"/>
                  <w:szCs w:val="18"/>
                  <w:i w:val="1"/>
                  <w:iCs w:val="1"/>
                  <w:color w:val="0000EE"/>
                </w:rPr>
                <w:t>Executive Summary</w:t>
              </w:r>
            </w:hyperlink>
          </w:p>
        </w:tc>
        <w:tc>
          <w:tcPr>
            <w:tcW w:w="2900" w:type="dxa"/>
            <w:vAlign w:val="bottom"/>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0000EE"/>
            </w:tcBorders>
            <w:gridSpan w:val="11"/>
            <w:shd w:val="clear" w:color="auto" w:fill="CCEEFF"/>
          </w:tcPr>
          <w:p>
            <w:pPr>
              <w:spacing w:after="0" w:line="176" w:lineRule="exact"/>
              <w:rPr>
                <w:rFonts w:ascii="Arial" w:cs="Arial" w:eastAsia="Arial" w:hAnsi="Arial"/>
                <w:sz w:val="18"/>
                <w:szCs w:val="18"/>
                <w:i w:val="1"/>
                <w:iCs w:val="1"/>
                <w:color w:val="0000EE"/>
                <w:w w:val="86"/>
              </w:rPr>
            </w:pPr>
            <w:hyperlink w:anchor="page7">
              <w:r>
                <w:rPr>
                  <w:rFonts w:ascii="Arial" w:cs="Arial" w:eastAsia="Arial" w:hAnsi="Arial"/>
                  <w:sz w:val="18"/>
                  <w:szCs w:val="18"/>
                  <w:i w:val="1"/>
                  <w:iCs w:val="1"/>
                  <w:color w:val="0000EE"/>
                  <w:w w:val="86"/>
                </w:rPr>
                <w:t>Results 2015 vs 2014</w:t>
              </w:r>
            </w:hyperlink>
          </w:p>
        </w:tc>
        <w:tc>
          <w:tcPr>
            <w:tcW w:w="6820" w:type="dxa"/>
            <w:vAlign w:val="bottom"/>
            <w:tcBorders>
              <w:bottom w:val="single" w:sz="8" w:color="CCEEFF"/>
            </w:tcBorders>
            <w:gridSpan w:val="40"/>
            <w:shd w:val="clear" w:color="auto" w:fill="CCEEFF"/>
          </w:tcPr>
          <w:p>
            <w:pPr>
              <w:spacing w:after="0"/>
              <w:rPr>
                <w:sz w:val="17"/>
                <w:szCs w:val="17"/>
                <w:color w:val="auto"/>
              </w:rPr>
            </w:pPr>
          </w:p>
        </w:tc>
        <w:tc>
          <w:tcPr>
            <w:tcW w:w="29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340" w:type="dxa"/>
            <w:vAlign w:val="bottom"/>
            <w:gridSpan w:val="51"/>
          </w:tcPr>
          <w:p>
            <w:pPr>
              <w:spacing w:after="0" w:line="176" w:lineRule="exact"/>
              <w:rPr>
                <w:rFonts w:ascii="Arial" w:cs="Arial" w:eastAsia="Arial" w:hAnsi="Arial"/>
                <w:sz w:val="18"/>
                <w:szCs w:val="18"/>
                <w:i w:val="1"/>
                <w:iCs w:val="1"/>
                <w:color w:val="0000EE"/>
              </w:rPr>
            </w:pPr>
            <w:hyperlink w:anchor="page8">
              <w:r>
                <w:rPr>
                  <w:rFonts w:ascii="Arial" w:cs="Arial" w:eastAsia="Arial" w:hAnsi="Arial"/>
                  <w:sz w:val="18"/>
                  <w:szCs w:val="18"/>
                  <w:i w:val="1"/>
                  <w:iCs w:val="1"/>
                  <w:color w:val="0000EE"/>
                </w:rPr>
                <w:t>Credicorp and subsidiaries</w:t>
              </w:r>
            </w:hyperlink>
          </w:p>
        </w:tc>
        <w:tc>
          <w:tcPr>
            <w:tcW w:w="2900" w:type="dxa"/>
            <w:vAlign w:val="bottom"/>
          </w:tcPr>
          <w:p>
            <w:pPr>
              <w:jc w:val="right"/>
              <w:spacing w:after="0" w:line="176" w:lineRule="exact"/>
              <w:rPr>
                <w:sz w:val="20"/>
                <w:szCs w:val="20"/>
                <w:color w:val="auto"/>
              </w:rPr>
            </w:pPr>
            <w:r>
              <w:rPr>
                <w:rFonts w:ascii="Arial" w:cs="Arial" w:eastAsia="Arial" w:hAnsi="Arial"/>
                <w:sz w:val="18"/>
                <w:szCs w:val="18"/>
                <w:color w:val="auto"/>
              </w:rPr>
              <w:t>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60" w:type="dxa"/>
            <w:vAlign w:val="bottom"/>
          </w:tcPr>
          <w:p>
            <w:pPr>
              <w:spacing w:after="0" w:line="176" w:lineRule="exact"/>
              <w:rPr>
                <w:sz w:val="20"/>
                <w:szCs w:val="20"/>
                <w:color w:val="auto"/>
              </w:rPr>
            </w:pPr>
            <w:r>
              <w:rPr>
                <w:rFonts w:ascii="Arial" w:cs="Arial" w:eastAsia="Arial" w:hAnsi="Arial"/>
                <w:sz w:val="18"/>
                <w:szCs w:val="18"/>
                <w:color w:val="auto"/>
                <w:w w:val="92"/>
              </w:rPr>
              <w:t>1.</w:t>
            </w:r>
          </w:p>
        </w:tc>
        <w:tc>
          <w:tcPr>
            <w:tcW w:w="520" w:type="dxa"/>
            <w:vAlign w:val="bottom"/>
          </w:tcPr>
          <w:p>
            <w:pPr>
              <w:spacing w:after="0"/>
              <w:rPr>
                <w:sz w:val="15"/>
                <w:szCs w:val="15"/>
                <w:color w:val="auto"/>
              </w:rPr>
            </w:pPr>
          </w:p>
        </w:tc>
        <w:tc>
          <w:tcPr>
            <w:tcW w:w="7820" w:type="dxa"/>
            <w:vAlign w:val="bottom"/>
            <w:gridSpan w:val="50"/>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Interest-earning assets (IEA)</w:t>
              </w:r>
            </w:hyperlink>
          </w:p>
        </w:tc>
        <w:tc>
          <w:tcPr>
            <w:tcW w:w="2900" w:type="dxa"/>
            <w:vAlign w:val="bottom"/>
          </w:tcPr>
          <w:p>
            <w:pPr>
              <w:jc w:val="right"/>
              <w:spacing w:after="0" w:line="176" w:lineRule="exact"/>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1.1</w:t>
            </w:r>
          </w:p>
        </w:tc>
        <w:tc>
          <w:tcPr>
            <w:tcW w:w="7820" w:type="dxa"/>
            <w:vAlign w:val="bottom"/>
            <w:gridSpan w:val="50"/>
            <w:shd w:val="clear" w:color="auto" w:fill="CCEEFF"/>
          </w:tcPr>
          <w:p>
            <w:pPr>
              <w:ind w:left="160"/>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Evolution of IEA</w:t>
              </w:r>
            </w:hyperlink>
          </w:p>
        </w:tc>
        <w:tc>
          <w:tcPr>
            <w:tcW w:w="2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700" w:type="dxa"/>
            <w:vAlign w:val="bottom"/>
            <w:tcBorders>
              <w:top w:val="single" w:sz="8" w:color="CCEEFF"/>
            </w:tcBorders>
            <w:shd w:val="clear" w:color="auto" w:fill="CCEEFF"/>
          </w:tcPr>
          <w:p>
            <w:pPr>
              <w:spacing w:after="0" w:line="20" w:lineRule="exact"/>
              <w:rPr>
                <w:sz w:val="1"/>
                <w:szCs w:val="1"/>
                <w:color w:val="auto"/>
              </w:rPr>
            </w:pPr>
          </w:p>
        </w:tc>
        <w:tc>
          <w:tcPr>
            <w:tcW w:w="29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1.2</w:t>
            </w:r>
          </w:p>
        </w:tc>
        <w:tc>
          <w:tcPr>
            <w:tcW w:w="7820" w:type="dxa"/>
            <w:vAlign w:val="bottom"/>
            <w:gridSpan w:val="50"/>
          </w:tcPr>
          <w:p>
            <w:pPr>
              <w:ind w:left="160"/>
              <w:spacing w:after="0" w:line="176" w:lineRule="exact"/>
              <w:rPr>
                <w:rFonts w:ascii="Arial" w:cs="Arial" w:eastAsia="Arial" w:hAnsi="Arial"/>
                <w:sz w:val="18"/>
                <w:szCs w:val="18"/>
                <w:color w:val="0000EE"/>
              </w:rPr>
            </w:pPr>
            <w:hyperlink w:anchor="page11">
              <w:r>
                <w:rPr>
                  <w:rFonts w:ascii="Arial" w:cs="Arial" w:eastAsia="Arial" w:hAnsi="Arial"/>
                  <w:sz w:val="18"/>
                  <w:szCs w:val="18"/>
                  <w:color w:val="0000EE"/>
                </w:rPr>
                <w:t>Credicorp Loans</w:t>
              </w:r>
            </w:hyperlink>
          </w:p>
        </w:tc>
        <w:tc>
          <w:tcPr>
            <w:tcW w:w="2900" w:type="dxa"/>
            <w:vAlign w:val="bottom"/>
          </w:tcPr>
          <w:p>
            <w:pPr>
              <w:jc w:val="right"/>
              <w:spacing w:after="0" w:line="176" w:lineRule="exact"/>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i w:val="1"/>
                <w:iCs w:val="1"/>
                <w:color w:val="auto"/>
              </w:rPr>
              <w:t>1.2.1</w:t>
            </w:r>
          </w:p>
        </w:tc>
        <w:tc>
          <w:tcPr>
            <w:tcW w:w="2600" w:type="dxa"/>
            <w:vAlign w:val="bottom"/>
            <w:tcBorders>
              <w:bottom w:val="single" w:sz="8" w:color="0000EE"/>
            </w:tcBorders>
            <w:gridSpan w:val="42"/>
            <w:shd w:val="clear" w:color="auto" w:fill="CCEEFF"/>
          </w:tcPr>
          <w:p>
            <w:pPr>
              <w:spacing w:after="0" w:line="176" w:lineRule="exact"/>
              <w:rPr>
                <w:rFonts w:ascii="Arial" w:cs="Arial" w:eastAsia="Arial" w:hAnsi="Arial"/>
                <w:sz w:val="18"/>
                <w:szCs w:val="18"/>
                <w:i w:val="1"/>
                <w:iCs w:val="1"/>
                <w:color w:val="0000EE"/>
                <w:w w:val="88"/>
              </w:rPr>
            </w:pPr>
            <w:hyperlink w:anchor="page12">
              <w:r>
                <w:rPr>
                  <w:rFonts w:ascii="Arial" w:cs="Arial" w:eastAsia="Arial" w:hAnsi="Arial"/>
                  <w:sz w:val="18"/>
                  <w:szCs w:val="18"/>
                  <w:i w:val="1"/>
                  <w:iCs w:val="1"/>
                  <w:color w:val="0000EE"/>
                  <w:w w:val="88"/>
                </w:rPr>
                <w:t>Loan evolution by business segment</w:t>
              </w:r>
            </w:hyperlink>
          </w:p>
        </w:tc>
        <w:tc>
          <w:tcPr>
            <w:tcW w:w="4540" w:type="dxa"/>
            <w:vAlign w:val="bottom"/>
            <w:tcBorders>
              <w:bottom w:val="single" w:sz="8" w:color="CCEEFF"/>
            </w:tcBorders>
            <w:gridSpan w:val="6"/>
            <w:shd w:val="clear" w:color="auto" w:fill="CCEEFF"/>
          </w:tcPr>
          <w:p>
            <w:pPr>
              <w:spacing w:after="0"/>
              <w:rPr>
                <w:sz w:val="17"/>
                <w:szCs w:val="17"/>
                <w:color w:val="auto"/>
              </w:rPr>
            </w:pPr>
          </w:p>
        </w:tc>
        <w:tc>
          <w:tcPr>
            <w:tcW w:w="29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gridSpan w:val="2"/>
          </w:tcPr>
          <w:p>
            <w:pPr>
              <w:spacing w:after="0" w:line="176" w:lineRule="exact"/>
              <w:rPr>
                <w:sz w:val="20"/>
                <w:szCs w:val="20"/>
                <w:color w:val="auto"/>
              </w:rPr>
            </w:pPr>
            <w:r>
              <w:rPr>
                <w:rFonts w:ascii="Arial" w:cs="Arial" w:eastAsia="Arial" w:hAnsi="Arial"/>
                <w:sz w:val="18"/>
                <w:szCs w:val="18"/>
                <w:i w:val="1"/>
                <w:iCs w:val="1"/>
                <w:color w:val="auto"/>
              </w:rPr>
              <w:t>1.2.2</w:t>
            </w:r>
          </w:p>
        </w:tc>
        <w:tc>
          <w:tcPr>
            <w:tcW w:w="7140" w:type="dxa"/>
            <w:vAlign w:val="bottom"/>
            <w:gridSpan w:val="48"/>
          </w:tcPr>
          <w:p>
            <w:pPr>
              <w:spacing w:after="0" w:line="176" w:lineRule="exact"/>
              <w:rPr>
                <w:rFonts w:ascii="Arial" w:cs="Arial" w:eastAsia="Arial" w:hAnsi="Arial"/>
                <w:sz w:val="18"/>
                <w:szCs w:val="18"/>
                <w:i w:val="1"/>
                <w:iCs w:val="1"/>
                <w:color w:val="0000EE"/>
              </w:rPr>
            </w:pPr>
            <w:hyperlink w:anchor="page14">
              <w:r>
                <w:rPr>
                  <w:rFonts w:ascii="Arial" w:cs="Arial" w:eastAsia="Arial" w:hAnsi="Arial"/>
                  <w:sz w:val="18"/>
                  <w:szCs w:val="18"/>
                  <w:i w:val="1"/>
                  <w:iCs w:val="1"/>
                  <w:color w:val="0000EE"/>
                </w:rPr>
                <w:t>Evolution of dollarization by segment</w:t>
              </w:r>
            </w:hyperlink>
          </w:p>
        </w:tc>
        <w:tc>
          <w:tcPr>
            <w:tcW w:w="2900" w:type="dxa"/>
            <w:vAlign w:val="bottom"/>
          </w:tcPr>
          <w:p>
            <w:pPr>
              <w:jc w:val="right"/>
              <w:spacing w:after="0" w:line="176" w:lineRule="exact"/>
              <w:rPr>
                <w:sz w:val="20"/>
                <w:szCs w:val="20"/>
                <w:color w:val="auto"/>
              </w:rPr>
            </w:pPr>
            <w:r>
              <w:rPr>
                <w:rFonts w:ascii="Arial" w:cs="Arial" w:eastAsia="Arial" w:hAnsi="Arial"/>
                <w:sz w:val="18"/>
                <w:szCs w:val="18"/>
                <w:color w:val="auto"/>
              </w:rPr>
              <w:t>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i w:val="1"/>
                <w:iCs w:val="1"/>
                <w:color w:val="auto"/>
              </w:rPr>
              <w:t>1.2.3</w:t>
            </w:r>
          </w:p>
        </w:tc>
        <w:tc>
          <w:tcPr>
            <w:tcW w:w="3520" w:type="dxa"/>
            <w:vAlign w:val="bottom"/>
            <w:tcBorders>
              <w:bottom w:val="single" w:sz="8" w:color="0000EE"/>
            </w:tcBorders>
            <w:gridSpan w:val="45"/>
            <w:shd w:val="clear" w:color="auto" w:fill="CCEEFF"/>
          </w:tcPr>
          <w:p>
            <w:pPr>
              <w:spacing w:after="0" w:line="176" w:lineRule="exact"/>
              <w:rPr>
                <w:rFonts w:ascii="Arial" w:cs="Arial" w:eastAsia="Arial" w:hAnsi="Arial"/>
                <w:sz w:val="18"/>
                <w:szCs w:val="18"/>
                <w:i w:val="1"/>
                <w:iCs w:val="1"/>
                <w:color w:val="0000EE"/>
                <w:w w:val="92"/>
              </w:rPr>
            </w:pPr>
            <w:hyperlink w:anchor="page14">
              <w:r>
                <w:rPr>
                  <w:rFonts w:ascii="Arial" w:cs="Arial" w:eastAsia="Arial" w:hAnsi="Arial"/>
                  <w:sz w:val="18"/>
                  <w:szCs w:val="18"/>
                  <w:i w:val="1"/>
                  <w:iCs w:val="1"/>
                  <w:color w:val="0000EE"/>
                  <w:w w:val="92"/>
                </w:rPr>
                <w:t>BCRP de-dollarization plan at BCP Stand-alone</w:t>
              </w:r>
            </w:hyperlink>
          </w:p>
        </w:tc>
        <w:tc>
          <w:tcPr>
            <w:tcW w:w="3620" w:type="dxa"/>
            <w:vAlign w:val="bottom"/>
            <w:tcBorders>
              <w:bottom w:val="single" w:sz="8" w:color="CCEEFF"/>
            </w:tcBorders>
            <w:gridSpan w:val="3"/>
            <w:shd w:val="clear" w:color="auto" w:fill="CCEEFF"/>
          </w:tcPr>
          <w:p>
            <w:pPr>
              <w:spacing w:after="0"/>
              <w:rPr>
                <w:sz w:val="17"/>
                <w:szCs w:val="17"/>
                <w:color w:val="auto"/>
              </w:rPr>
            </w:pPr>
          </w:p>
        </w:tc>
        <w:tc>
          <w:tcPr>
            <w:tcW w:w="29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gridSpan w:val="2"/>
          </w:tcPr>
          <w:p>
            <w:pPr>
              <w:spacing w:after="0" w:line="176" w:lineRule="exact"/>
              <w:rPr>
                <w:sz w:val="20"/>
                <w:szCs w:val="20"/>
                <w:color w:val="auto"/>
              </w:rPr>
            </w:pPr>
            <w:r>
              <w:rPr>
                <w:rFonts w:ascii="Arial" w:cs="Arial" w:eastAsia="Arial" w:hAnsi="Arial"/>
                <w:sz w:val="18"/>
                <w:szCs w:val="18"/>
                <w:i w:val="1"/>
                <w:iCs w:val="1"/>
                <w:color w:val="auto"/>
              </w:rPr>
              <w:t>1.2.4</w:t>
            </w:r>
          </w:p>
        </w:tc>
        <w:tc>
          <w:tcPr>
            <w:tcW w:w="7140" w:type="dxa"/>
            <w:vAlign w:val="bottom"/>
            <w:gridSpan w:val="48"/>
          </w:tcPr>
          <w:p>
            <w:pPr>
              <w:spacing w:after="0" w:line="176" w:lineRule="exact"/>
              <w:rPr>
                <w:rFonts w:ascii="Arial" w:cs="Arial" w:eastAsia="Arial" w:hAnsi="Arial"/>
                <w:sz w:val="18"/>
                <w:szCs w:val="18"/>
                <w:i w:val="1"/>
                <w:iCs w:val="1"/>
                <w:color w:val="0000EE"/>
              </w:rPr>
            </w:pPr>
            <w:hyperlink w:anchor="page15">
              <w:r>
                <w:rPr>
                  <w:rFonts w:ascii="Arial" w:cs="Arial" w:eastAsia="Arial" w:hAnsi="Arial"/>
                  <w:sz w:val="18"/>
                  <w:szCs w:val="18"/>
                  <w:i w:val="1"/>
                  <w:iCs w:val="1"/>
                  <w:color w:val="0000EE"/>
                </w:rPr>
                <w:t>Market share in loans</w:t>
              </w:r>
            </w:hyperlink>
          </w:p>
        </w:tc>
        <w:tc>
          <w:tcPr>
            <w:tcW w:w="2900" w:type="dxa"/>
            <w:vAlign w:val="bottom"/>
          </w:tcPr>
          <w:p>
            <w:pPr>
              <w:jc w:val="right"/>
              <w:spacing w:after="0" w:line="176" w:lineRule="exact"/>
              <w:rPr>
                <w:sz w:val="20"/>
                <w:szCs w:val="20"/>
                <w:color w:val="auto"/>
              </w:rPr>
            </w:pPr>
            <w:r>
              <w:rPr>
                <w:rFonts w:ascii="Arial" w:cs="Arial" w:eastAsia="Arial" w:hAnsi="Arial"/>
                <w:sz w:val="18"/>
                <w:szCs w:val="18"/>
                <w:color w:val="auto"/>
              </w:rPr>
              <w:t>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60" w:type="dxa"/>
            <w:vAlign w:val="bottom"/>
          </w:tcPr>
          <w:p>
            <w:pPr>
              <w:spacing w:after="0" w:line="176" w:lineRule="exact"/>
              <w:rPr>
                <w:sz w:val="20"/>
                <w:szCs w:val="20"/>
                <w:color w:val="auto"/>
              </w:rPr>
            </w:pPr>
            <w:r>
              <w:rPr>
                <w:rFonts w:ascii="Arial" w:cs="Arial" w:eastAsia="Arial" w:hAnsi="Arial"/>
                <w:sz w:val="18"/>
                <w:szCs w:val="18"/>
                <w:color w:val="auto"/>
                <w:w w:val="92"/>
              </w:rPr>
              <w:t>2.</w:t>
            </w:r>
          </w:p>
        </w:tc>
        <w:tc>
          <w:tcPr>
            <w:tcW w:w="520" w:type="dxa"/>
            <w:vAlign w:val="bottom"/>
          </w:tcPr>
          <w:p>
            <w:pPr>
              <w:spacing w:after="0"/>
              <w:rPr>
                <w:sz w:val="15"/>
                <w:szCs w:val="15"/>
                <w:color w:val="auto"/>
              </w:rPr>
            </w:pPr>
          </w:p>
        </w:tc>
        <w:tc>
          <w:tcPr>
            <w:tcW w:w="7820" w:type="dxa"/>
            <w:vAlign w:val="bottom"/>
            <w:gridSpan w:val="50"/>
          </w:tcPr>
          <w:p>
            <w:pPr>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Funding Sources</w:t>
              </w:r>
            </w:hyperlink>
          </w:p>
        </w:tc>
        <w:tc>
          <w:tcPr>
            <w:tcW w:w="2900" w:type="dxa"/>
            <w:vAlign w:val="bottom"/>
          </w:tcPr>
          <w:p>
            <w:pPr>
              <w:jc w:val="right"/>
              <w:spacing w:after="0" w:line="176" w:lineRule="exact"/>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2.1</w:t>
            </w:r>
          </w:p>
        </w:tc>
        <w:tc>
          <w:tcPr>
            <w:tcW w:w="7820" w:type="dxa"/>
            <w:vAlign w:val="bottom"/>
            <w:gridSpan w:val="50"/>
            <w:shd w:val="clear" w:color="auto" w:fill="CCEEFF"/>
          </w:tcPr>
          <w:p>
            <w:pPr>
              <w:ind w:left="160"/>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Funding Structure</w:t>
              </w:r>
            </w:hyperlink>
          </w:p>
        </w:tc>
        <w:tc>
          <w:tcPr>
            <w:tcW w:w="2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700" w:type="dxa"/>
            <w:vAlign w:val="bottom"/>
            <w:tcBorders>
              <w:top w:val="single" w:sz="8" w:color="CCEEFF"/>
            </w:tcBorders>
            <w:shd w:val="clear" w:color="auto" w:fill="CCEEFF"/>
          </w:tcPr>
          <w:p>
            <w:pPr>
              <w:spacing w:after="0" w:line="20" w:lineRule="exact"/>
              <w:rPr>
                <w:sz w:val="1"/>
                <w:szCs w:val="1"/>
                <w:color w:val="auto"/>
              </w:rPr>
            </w:pPr>
          </w:p>
        </w:tc>
        <w:tc>
          <w:tcPr>
            <w:tcW w:w="29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gridSpan w:val="2"/>
          </w:tcPr>
          <w:p>
            <w:pPr>
              <w:spacing w:after="0" w:line="176" w:lineRule="exact"/>
              <w:rPr>
                <w:sz w:val="20"/>
                <w:szCs w:val="20"/>
                <w:color w:val="auto"/>
              </w:rPr>
            </w:pPr>
            <w:r>
              <w:rPr>
                <w:rFonts w:ascii="Arial" w:cs="Arial" w:eastAsia="Arial" w:hAnsi="Arial"/>
                <w:sz w:val="18"/>
                <w:szCs w:val="18"/>
                <w:i w:val="1"/>
                <w:iCs w:val="1"/>
                <w:color w:val="auto"/>
              </w:rPr>
              <w:t>2.1.1</w:t>
            </w:r>
          </w:p>
        </w:tc>
        <w:tc>
          <w:tcPr>
            <w:tcW w:w="7140" w:type="dxa"/>
            <w:vAlign w:val="bottom"/>
            <w:gridSpan w:val="48"/>
          </w:tcPr>
          <w:p>
            <w:pPr>
              <w:spacing w:after="0" w:line="176" w:lineRule="exact"/>
              <w:rPr>
                <w:rFonts w:ascii="Arial" w:cs="Arial" w:eastAsia="Arial" w:hAnsi="Arial"/>
                <w:sz w:val="18"/>
                <w:szCs w:val="18"/>
                <w:i w:val="1"/>
                <w:iCs w:val="1"/>
                <w:color w:val="0000EE"/>
              </w:rPr>
            </w:pPr>
            <w:hyperlink w:anchor="page18">
              <w:r>
                <w:rPr>
                  <w:rFonts w:ascii="Arial" w:cs="Arial" w:eastAsia="Arial" w:hAnsi="Arial"/>
                  <w:sz w:val="18"/>
                  <w:szCs w:val="18"/>
                  <w:i w:val="1"/>
                  <w:iCs w:val="1"/>
                  <w:color w:val="0000EE"/>
                </w:rPr>
                <w:t>Funding Structure by currency and tenure - BCP Stand-alone</w:t>
              </w:r>
            </w:hyperlink>
          </w:p>
        </w:tc>
        <w:tc>
          <w:tcPr>
            <w:tcW w:w="2900" w:type="dxa"/>
            <w:vAlign w:val="bottom"/>
          </w:tcPr>
          <w:p>
            <w:pPr>
              <w:jc w:val="right"/>
              <w:spacing w:after="0" w:line="176" w:lineRule="exact"/>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2.2</w:t>
            </w:r>
          </w:p>
        </w:tc>
        <w:tc>
          <w:tcPr>
            <w:tcW w:w="7820" w:type="dxa"/>
            <w:vAlign w:val="bottom"/>
            <w:gridSpan w:val="50"/>
            <w:shd w:val="clear" w:color="auto" w:fill="CCEEFF"/>
          </w:tcPr>
          <w:p>
            <w:pPr>
              <w:ind w:left="160"/>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Deposits</w:t>
              </w:r>
            </w:hyperlink>
          </w:p>
        </w:tc>
        <w:tc>
          <w:tcPr>
            <w:tcW w:w="2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700" w:type="dxa"/>
            <w:vAlign w:val="bottom"/>
            <w:tcBorders>
              <w:top w:val="single" w:sz="8" w:color="CCEEFF"/>
            </w:tcBorders>
            <w:shd w:val="clear" w:color="auto" w:fill="CCEEFF"/>
          </w:tcPr>
          <w:p>
            <w:pPr>
              <w:spacing w:after="0" w:line="20" w:lineRule="exact"/>
              <w:rPr>
                <w:sz w:val="1"/>
                <w:szCs w:val="1"/>
                <w:color w:val="auto"/>
              </w:rPr>
            </w:pPr>
          </w:p>
        </w:tc>
        <w:tc>
          <w:tcPr>
            <w:tcW w:w="29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gridSpan w:val="2"/>
          </w:tcPr>
          <w:p>
            <w:pPr>
              <w:spacing w:after="0" w:line="176" w:lineRule="exact"/>
              <w:rPr>
                <w:sz w:val="20"/>
                <w:szCs w:val="20"/>
                <w:color w:val="auto"/>
              </w:rPr>
            </w:pPr>
            <w:r>
              <w:rPr>
                <w:rFonts w:ascii="Arial" w:cs="Arial" w:eastAsia="Arial" w:hAnsi="Arial"/>
                <w:sz w:val="18"/>
                <w:szCs w:val="18"/>
                <w:i w:val="1"/>
                <w:iCs w:val="1"/>
                <w:color w:val="auto"/>
              </w:rPr>
              <w:t>2.2.1</w:t>
            </w:r>
          </w:p>
        </w:tc>
        <w:tc>
          <w:tcPr>
            <w:tcW w:w="7140" w:type="dxa"/>
            <w:vAlign w:val="bottom"/>
            <w:gridSpan w:val="48"/>
          </w:tcPr>
          <w:p>
            <w:pPr>
              <w:spacing w:after="0" w:line="176" w:lineRule="exact"/>
              <w:rPr>
                <w:rFonts w:ascii="Arial" w:cs="Arial" w:eastAsia="Arial" w:hAnsi="Arial"/>
                <w:sz w:val="18"/>
                <w:szCs w:val="18"/>
                <w:i w:val="1"/>
                <w:iCs w:val="1"/>
                <w:color w:val="0000EE"/>
              </w:rPr>
            </w:pPr>
            <w:hyperlink w:anchor="page20">
              <w:r>
                <w:rPr>
                  <w:rFonts w:ascii="Arial" w:cs="Arial" w:eastAsia="Arial" w:hAnsi="Arial"/>
                  <w:sz w:val="18"/>
                  <w:szCs w:val="18"/>
                  <w:i w:val="1"/>
                  <w:iCs w:val="1"/>
                  <w:color w:val="0000EE"/>
                </w:rPr>
                <w:t>Deposit dollarization</w:t>
              </w:r>
            </w:hyperlink>
          </w:p>
        </w:tc>
        <w:tc>
          <w:tcPr>
            <w:tcW w:w="2900" w:type="dxa"/>
            <w:vAlign w:val="bottom"/>
          </w:tcPr>
          <w:p>
            <w:pPr>
              <w:jc w:val="right"/>
              <w:spacing w:after="0" w:line="176" w:lineRule="exact"/>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i w:val="1"/>
                <w:iCs w:val="1"/>
                <w:color w:val="auto"/>
              </w:rPr>
              <w:t>2.2.2</w:t>
            </w:r>
          </w:p>
        </w:tc>
        <w:tc>
          <w:tcPr>
            <w:tcW w:w="7140" w:type="dxa"/>
            <w:vAlign w:val="bottom"/>
            <w:gridSpan w:val="48"/>
            <w:shd w:val="clear" w:color="auto" w:fill="CCEEFF"/>
          </w:tcPr>
          <w:p>
            <w:pPr>
              <w:spacing w:after="0" w:line="176" w:lineRule="exact"/>
              <w:rPr>
                <w:rFonts w:ascii="Arial" w:cs="Arial" w:eastAsia="Arial" w:hAnsi="Arial"/>
                <w:sz w:val="18"/>
                <w:szCs w:val="18"/>
                <w:i w:val="1"/>
                <w:iCs w:val="1"/>
                <w:color w:val="0000EE"/>
              </w:rPr>
            </w:pPr>
            <w:hyperlink w:anchor="page21">
              <w:r>
                <w:rPr>
                  <w:rFonts w:ascii="Arial" w:cs="Arial" w:eastAsia="Arial" w:hAnsi="Arial"/>
                  <w:sz w:val="18"/>
                  <w:szCs w:val="18"/>
                  <w:i w:val="1"/>
                  <w:iCs w:val="1"/>
                  <w:color w:val="0000EE"/>
                </w:rPr>
                <w:t>Market share in Deposits</w:t>
              </w:r>
            </w:hyperlink>
          </w:p>
        </w:tc>
        <w:tc>
          <w:tcPr>
            <w:tcW w:w="2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700" w:type="dxa"/>
            <w:vAlign w:val="bottom"/>
            <w:tcBorders>
              <w:top w:val="single" w:sz="8" w:color="CCEEFF"/>
            </w:tcBorders>
            <w:shd w:val="clear" w:color="auto" w:fill="CCEEFF"/>
          </w:tcPr>
          <w:p>
            <w:pPr>
              <w:spacing w:after="0" w:line="20" w:lineRule="exact"/>
              <w:rPr>
                <w:sz w:val="1"/>
                <w:szCs w:val="1"/>
                <w:color w:val="auto"/>
              </w:rPr>
            </w:pPr>
          </w:p>
        </w:tc>
        <w:tc>
          <w:tcPr>
            <w:tcW w:w="29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2.3</w:t>
            </w:r>
          </w:p>
        </w:tc>
        <w:tc>
          <w:tcPr>
            <w:tcW w:w="7820" w:type="dxa"/>
            <w:vAlign w:val="bottom"/>
            <w:gridSpan w:val="50"/>
          </w:tcPr>
          <w:p>
            <w:pPr>
              <w:ind w:left="160"/>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Other funding sources</w:t>
              </w:r>
            </w:hyperlink>
          </w:p>
        </w:tc>
        <w:tc>
          <w:tcPr>
            <w:tcW w:w="2900" w:type="dxa"/>
            <w:vAlign w:val="bottom"/>
          </w:tcPr>
          <w:p>
            <w:pPr>
              <w:jc w:val="right"/>
              <w:spacing w:after="0" w:line="176" w:lineRule="exact"/>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2.4</w:t>
            </w:r>
          </w:p>
        </w:tc>
        <w:tc>
          <w:tcPr>
            <w:tcW w:w="7820" w:type="dxa"/>
            <w:vAlign w:val="bottom"/>
            <w:gridSpan w:val="50"/>
            <w:shd w:val="clear" w:color="auto" w:fill="CCEEFF"/>
          </w:tcPr>
          <w:p>
            <w:pPr>
              <w:ind w:left="160"/>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Loan/Deposit (L/D)</w:t>
              </w:r>
            </w:hyperlink>
          </w:p>
        </w:tc>
        <w:tc>
          <w:tcPr>
            <w:tcW w:w="2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700" w:type="dxa"/>
            <w:vAlign w:val="bottom"/>
            <w:tcBorders>
              <w:top w:val="single" w:sz="8" w:color="CCEEFF"/>
            </w:tcBorders>
            <w:shd w:val="clear" w:color="auto" w:fill="CCEEFF"/>
          </w:tcPr>
          <w:p>
            <w:pPr>
              <w:spacing w:after="0" w:line="20" w:lineRule="exact"/>
              <w:rPr>
                <w:sz w:val="1"/>
                <w:szCs w:val="1"/>
                <w:color w:val="auto"/>
              </w:rPr>
            </w:pPr>
          </w:p>
        </w:tc>
        <w:tc>
          <w:tcPr>
            <w:tcW w:w="29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2.5</w:t>
            </w:r>
          </w:p>
        </w:tc>
        <w:tc>
          <w:tcPr>
            <w:tcW w:w="7820" w:type="dxa"/>
            <w:vAlign w:val="bottom"/>
            <w:gridSpan w:val="50"/>
          </w:tcPr>
          <w:p>
            <w:pPr>
              <w:ind w:left="160"/>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Funding Cost</w:t>
              </w:r>
            </w:hyperlink>
          </w:p>
        </w:tc>
        <w:tc>
          <w:tcPr>
            <w:tcW w:w="2900" w:type="dxa"/>
            <w:vAlign w:val="bottom"/>
          </w:tcPr>
          <w:p>
            <w:pPr>
              <w:jc w:val="right"/>
              <w:spacing w:after="0" w:line="176" w:lineRule="exact"/>
              <w:rPr>
                <w:sz w:val="20"/>
                <w:szCs w:val="20"/>
                <w:color w:val="auto"/>
              </w:rPr>
            </w:pPr>
            <w:r>
              <w:rPr>
                <w:rFonts w:ascii="Arial" w:cs="Arial" w:eastAsia="Arial" w:hAnsi="Arial"/>
                <w:sz w:val="18"/>
                <w:szCs w:val="18"/>
                <w:color w:val="auto"/>
              </w:rPr>
              <w:t>22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6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2.6</w:t>
            </w:r>
          </w:p>
        </w:tc>
        <w:tc>
          <w:tcPr>
            <w:tcW w:w="7820" w:type="dxa"/>
            <w:vAlign w:val="bottom"/>
            <w:gridSpan w:val="50"/>
            <w:shd w:val="clear" w:color="auto" w:fill="CCEEFF"/>
          </w:tcPr>
          <w:p>
            <w:pPr>
              <w:ind w:left="160"/>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Mutual Funds</w:t>
              </w:r>
            </w:hyperlink>
          </w:p>
        </w:tc>
        <w:tc>
          <w:tcPr>
            <w:tcW w:w="2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40" w:type="dxa"/>
            <w:vAlign w:val="bottom"/>
            <w:tcBorders>
              <w:top w:val="single" w:sz="8" w:color="0000EE"/>
            </w:tcBorders>
            <w:gridSpan w:val="2"/>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700" w:type="dxa"/>
            <w:vAlign w:val="bottom"/>
            <w:tcBorders>
              <w:top w:val="single" w:sz="8" w:color="CCEEFF"/>
            </w:tcBorders>
          </w:tcPr>
          <w:p>
            <w:pPr>
              <w:spacing w:after="0"/>
              <w:rPr>
                <w:sz w:val="18"/>
                <w:szCs w:val="18"/>
                <w:color w:val="auto"/>
              </w:rPr>
            </w:pPr>
          </w:p>
        </w:tc>
        <w:tc>
          <w:tcPr>
            <w:tcW w:w="2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w w:val="92"/>
              </w:rPr>
              <w:t>3.</w:t>
            </w:r>
          </w:p>
        </w:tc>
        <w:tc>
          <w:tcPr>
            <w:tcW w:w="520" w:type="dxa"/>
            <w:vAlign w:val="bottom"/>
            <w:tcBorders>
              <w:bottom w:val="single" w:sz="8" w:color="CCEEFF"/>
            </w:tcBorders>
            <w:shd w:val="clear" w:color="auto" w:fill="CCEEFF"/>
          </w:tcPr>
          <w:p>
            <w:pPr>
              <w:spacing w:after="0"/>
              <w:rPr>
                <w:sz w:val="17"/>
                <w:szCs w:val="17"/>
                <w:color w:val="auto"/>
              </w:rPr>
            </w:pPr>
          </w:p>
        </w:tc>
        <w:tc>
          <w:tcPr>
            <w:tcW w:w="3380" w:type="dxa"/>
            <w:vAlign w:val="bottom"/>
            <w:tcBorders>
              <w:bottom w:val="single" w:sz="8" w:color="0000EE"/>
            </w:tcBorders>
            <w:gridSpan w:val="45"/>
            <w:shd w:val="clear" w:color="auto" w:fill="CCEEFF"/>
          </w:tcPr>
          <w:p>
            <w:pPr>
              <w:spacing w:after="0" w:line="176" w:lineRule="exact"/>
              <w:rPr>
                <w:rFonts w:ascii="Arial" w:cs="Arial" w:eastAsia="Arial" w:hAnsi="Arial"/>
                <w:sz w:val="18"/>
                <w:szCs w:val="18"/>
                <w:color w:val="0000EE"/>
                <w:w w:val="91"/>
              </w:rPr>
            </w:pPr>
            <w:hyperlink w:anchor="page24">
              <w:r>
                <w:rPr>
                  <w:rFonts w:ascii="Arial" w:cs="Arial" w:eastAsia="Arial" w:hAnsi="Arial"/>
                  <w:sz w:val="18"/>
                  <w:szCs w:val="18"/>
                  <w:color w:val="0000EE"/>
                  <w:w w:val="91"/>
                </w:rPr>
                <w:t>Portfolio quality and Provisions for loan losses</w:t>
              </w:r>
            </w:hyperlink>
          </w:p>
        </w:tc>
        <w:tc>
          <w:tcPr>
            <w:tcW w:w="4440" w:type="dxa"/>
            <w:vAlign w:val="bottom"/>
            <w:tcBorders>
              <w:bottom w:val="single" w:sz="8" w:color="CCEEFF"/>
            </w:tcBorders>
            <w:gridSpan w:val="5"/>
            <w:shd w:val="clear" w:color="auto" w:fill="CCEEFF"/>
          </w:tcPr>
          <w:p>
            <w:pPr>
              <w:spacing w:after="0"/>
              <w:rPr>
                <w:sz w:val="17"/>
                <w:szCs w:val="17"/>
                <w:color w:val="auto"/>
              </w:rPr>
            </w:pPr>
          </w:p>
        </w:tc>
        <w:tc>
          <w:tcPr>
            <w:tcW w:w="29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3.1</w:t>
            </w:r>
          </w:p>
        </w:tc>
        <w:tc>
          <w:tcPr>
            <w:tcW w:w="7820" w:type="dxa"/>
            <w:vAlign w:val="bottom"/>
            <w:gridSpan w:val="50"/>
          </w:tcPr>
          <w:p>
            <w:pPr>
              <w:ind w:left="160"/>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Provisions for loan losses</w:t>
              </w:r>
            </w:hyperlink>
          </w:p>
        </w:tc>
        <w:tc>
          <w:tcPr>
            <w:tcW w:w="2900" w:type="dxa"/>
            <w:vAlign w:val="bottom"/>
          </w:tcPr>
          <w:p>
            <w:pPr>
              <w:jc w:val="right"/>
              <w:spacing w:after="0" w:line="176" w:lineRule="exact"/>
              <w:rPr>
                <w:sz w:val="20"/>
                <w:szCs w:val="20"/>
                <w:color w:val="auto"/>
              </w:rPr>
            </w:pPr>
            <w:r>
              <w:rPr>
                <w:rFonts w:ascii="Arial" w:cs="Arial" w:eastAsia="Arial" w:hAnsi="Arial"/>
                <w:sz w:val="18"/>
                <w:szCs w:val="18"/>
                <w:color w:val="auto"/>
              </w:rPr>
              <w:t>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3.2</w:t>
            </w:r>
          </w:p>
        </w:tc>
        <w:tc>
          <w:tcPr>
            <w:tcW w:w="7820" w:type="dxa"/>
            <w:vAlign w:val="bottom"/>
            <w:gridSpan w:val="50"/>
            <w:shd w:val="clear" w:color="auto" w:fill="CCEEFF"/>
          </w:tcPr>
          <w:p>
            <w:pPr>
              <w:ind w:left="160"/>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Portfolio Quality</w:t>
              </w:r>
            </w:hyperlink>
          </w:p>
        </w:tc>
        <w:tc>
          <w:tcPr>
            <w:tcW w:w="2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700" w:type="dxa"/>
            <w:vAlign w:val="bottom"/>
            <w:tcBorders>
              <w:top w:val="single" w:sz="8" w:color="CCEEFF"/>
            </w:tcBorders>
            <w:shd w:val="clear" w:color="auto" w:fill="CCEEFF"/>
          </w:tcPr>
          <w:p>
            <w:pPr>
              <w:spacing w:after="0" w:line="20" w:lineRule="exact"/>
              <w:rPr>
                <w:sz w:val="1"/>
                <w:szCs w:val="1"/>
                <w:color w:val="auto"/>
              </w:rPr>
            </w:pPr>
          </w:p>
        </w:tc>
        <w:tc>
          <w:tcPr>
            <w:tcW w:w="29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gridSpan w:val="2"/>
          </w:tcPr>
          <w:p>
            <w:pPr>
              <w:spacing w:after="0" w:line="176" w:lineRule="exact"/>
              <w:rPr>
                <w:sz w:val="20"/>
                <w:szCs w:val="20"/>
                <w:color w:val="auto"/>
              </w:rPr>
            </w:pPr>
            <w:r>
              <w:rPr>
                <w:rFonts w:ascii="Arial" w:cs="Arial" w:eastAsia="Arial" w:hAnsi="Arial"/>
                <w:sz w:val="18"/>
                <w:szCs w:val="18"/>
                <w:i w:val="1"/>
                <w:iCs w:val="1"/>
                <w:color w:val="auto"/>
              </w:rPr>
              <w:t>3.2.1</w:t>
            </w:r>
          </w:p>
        </w:tc>
        <w:tc>
          <w:tcPr>
            <w:tcW w:w="7140" w:type="dxa"/>
            <w:vAlign w:val="bottom"/>
            <w:gridSpan w:val="48"/>
          </w:tcPr>
          <w:p>
            <w:pPr>
              <w:spacing w:after="0" w:line="176" w:lineRule="exact"/>
              <w:rPr>
                <w:rFonts w:ascii="Arial" w:cs="Arial" w:eastAsia="Arial" w:hAnsi="Arial"/>
                <w:sz w:val="18"/>
                <w:szCs w:val="18"/>
                <w:i w:val="1"/>
                <w:iCs w:val="1"/>
                <w:color w:val="0000EE"/>
              </w:rPr>
            </w:pPr>
            <w:hyperlink w:anchor="page28">
              <w:r>
                <w:rPr>
                  <w:rFonts w:ascii="Arial" w:cs="Arial" w:eastAsia="Arial" w:hAnsi="Arial"/>
                  <w:sz w:val="18"/>
                  <w:szCs w:val="18"/>
                  <w:i w:val="1"/>
                  <w:iCs w:val="1"/>
                  <w:color w:val="0000EE"/>
                </w:rPr>
                <w:t>Delinquency ratios by business</w:t>
              </w:r>
            </w:hyperlink>
          </w:p>
        </w:tc>
        <w:tc>
          <w:tcPr>
            <w:tcW w:w="2900" w:type="dxa"/>
            <w:vAlign w:val="bottom"/>
          </w:tcPr>
          <w:p>
            <w:pPr>
              <w:jc w:val="right"/>
              <w:spacing w:after="0" w:line="176" w:lineRule="exact"/>
              <w:rPr>
                <w:sz w:val="20"/>
                <w:szCs w:val="20"/>
                <w:color w:val="auto"/>
              </w:rPr>
            </w:pPr>
            <w:r>
              <w:rPr>
                <w:rFonts w:ascii="Arial" w:cs="Arial" w:eastAsia="Arial" w:hAnsi="Arial"/>
                <w:sz w:val="18"/>
                <w:szCs w:val="18"/>
                <w:color w:val="auto"/>
              </w:rPr>
              <w:t>27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60" w:type="dxa"/>
            <w:vAlign w:val="bottom"/>
          </w:tcPr>
          <w:p>
            <w:pPr>
              <w:spacing w:after="0" w:line="176" w:lineRule="exact"/>
              <w:rPr>
                <w:sz w:val="20"/>
                <w:szCs w:val="20"/>
                <w:color w:val="auto"/>
              </w:rPr>
            </w:pPr>
            <w:r>
              <w:rPr>
                <w:rFonts w:ascii="Arial" w:cs="Arial" w:eastAsia="Arial" w:hAnsi="Arial"/>
                <w:sz w:val="18"/>
                <w:szCs w:val="18"/>
                <w:color w:val="auto"/>
                <w:w w:val="92"/>
              </w:rPr>
              <w:t>4.</w:t>
            </w:r>
          </w:p>
        </w:tc>
        <w:tc>
          <w:tcPr>
            <w:tcW w:w="520" w:type="dxa"/>
            <w:vAlign w:val="bottom"/>
          </w:tcPr>
          <w:p>
            <w:pPr>
              <w:spacing w:after="0"/>
              <w:rPr>
                <w:sz w:val="15"/>
                <w:szCs w:val="15"/>
                <w:color w:val="auto"/>
              </w:rPr>
            </w:pPr>
          </w:p>
        </w:tc>
        <w:tc>
          <w:tcPr>
            <w:tcW w:w="7820" w:type="dxa"/>
            <w:vAlign w:val="bottom"/>
            <w:gridSpan w:val="50"/>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Net Interest Income (NII)</w:t>
              </w:r>
            </w:hyperlink>
          </w:p>
        </w:tc>
        <w:tc>
          <w:tcPr>
            <w:tcW w:w="2900" w:type="dxa"/>
            <w:vAlign w:val="bottom"/>
          </w:tcPr>
          <w:p>
            <w:pPr>
              <w:jc w:val="right"/>
              <w:spacing w:after="0" w:line="176" w:lineRule="exact"/>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4.1</w:t>
            </w:r>
          </w:p>
        </w:tc>
        <w:tc>
          <w:tcPr>
            <w:tcW w:w="7820" w:type="dxa"/>
            <w:vAlign w:val="bottom"/>
            <w:gridSpan w:val="50"/>
            <w:shd w:val="clear" w:color="auto" w:fill="CCEEFF"/>
          </w:tcPr>
          <w:p>
            <w:pPr>
              <w:ind w:left="160"/>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Interest Income</w:t>
              </w:r>
            </w:hyperlink>
          </w:p>
        </w:tc>
        <w:tc>
          <w:tcPr>
            <w:tcW w:w="2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700" w:type="dxa"/>
            <w:vAlign w:val="bottom"/>
            <w:tcBorders>
              <w:top w:val="single" w:sz="8" w:color="CCEEFF"/>
            </w:tcBorders>
            <w:shd w:val="clear" w:color="auto" w:fill="CCEEFF"/>
          </w:tcPr>
          <w:p>
            <w:pPr>
              <w:spacing w:after="0" w:line="20" w:lineRule="exact"/>
              <w:rPr>
                <w:sz w:val="1"/>
                <w:szCs w:val="1"/>
                <w:color w:val="auto"/>
              </w:rPr>
            </w:pPr>
          </w:p>
        </w:tc>
        <w:tc>
          <w:tcPr>
            <w:tcW w:w="29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4.2</w:t>
            </w:r>
          </w:p>
        </w:tc>
        <w:tc>
          <w:tcPr>
            <w:tcW w:w="7820" w:type="dxa"/>
            <w:vAlign w:val="bottom"/>
            <w:gridSpan w:val="50"/>
          </w:tcPr>
          <w:p>
            <w:pPr>
              <w:ind w:left="160"/>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Interest Expenses</w:t>
              </w:r>
            </w:hyperlink>
          </w:p>
        </w:tc>
        <w:tc>
          <w:tcPr>
            <w:tcW w:w="2900" w:type="dxa"/>
            <w:vAlign w:val="bottom"/>
          </w:tcPr>
          <w:p>
            <w:pPr>
              <w:jc w:val="right"/>
              <w:spacing w:after="0" w:line="176" w:lineRule="exact"/>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6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4.3</w:t>
            </w:r>
          </w:p>
        </w:tc>
        <w:tc>
          <w:tcPr>
            <w:tcW w:w="7820" w:type="dxa"/>
            <w:vAlign w:val="bottom"/>
            <w:gridSpan w:val="50"/>
            <w:shd w:val="clear" w:color="auto" w:fill="CCEEFF"/>
          </w:tcPr>
          <w:p>
            <w:pPr>
              <w:ind w:left="160"/>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Net Interest Margin (NIM)</w:t>
              </w:r>
            </w:hyperlink>
          </w:p>
        </w:tc>
        <w:tc>
          <w:tcPr>
            <w:tcW w:w="2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40" w:type="dxa"/>
            <w:vAlign w:val="bottom"/>
            <w:tcBorders>
              <w:top w:val="single" w:sz="8" w:color="0000EE"/>
            </w:tcBorders>
            <w:gridSpan w:val="2"/>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700" w:type="dxa"/>
            <w:vAlign w:val="bottom"/>
            <w:tcBorders>
              <w:top w:val="single" w:sz="8" w:color="CCEEFF"/>
            </w:tcBorders>
          </w:tcPr>
          <w:p>
            <w:pPr>
              <w:spacing w:after="0"/>
              <w:rPr>
                <w:sz w:val="18"/>
                <w:szCs w:val="18"/>
                <w:color w:val="auto"/>
              </w:rPr>
            </w:pPr>
          </w:p>
        </w:tc>
        <w:tc>
          <w:tcPr>
            <w:tcW w:w="2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2"/>
              </w:rPr>
              <w:t>5.</w:t>
            </w:r>
          </w:p>
        </w:tc>
        <w:tc>
          <w:tcPr>
            <w:tcW w:w="520" w:type="dxa"/>
            <w:vAlign w:val="bottom"/>
            <w:shd w:val="clear" w:color="auto" w:fill="CCEEFF"/>
          </w:tcPr>
          <w:p>
            <w:pPr>
              <w:spacing w:after="0"/>
              <w:rPr>
                <w:sz w:val="17"/>
                <w:szCs w:val="17"/>
                <w:color w:val="auto"/>
              </w:rPr>
            </w:pPr>
          </w:p>
        </w:tc>
        <w:tc>
          <w:tcPr>
            <w:tcW w:w="7820" w:type="dxa"/>
            <w:vAlign w:val="bottom"/>
            <w:gridSpan w:val="50"/>
            <w:shd w:val="clear" w:color="auto" w:fill="CCEEFF"/>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Non-Financial Income</w:t>
              </w:r>
            </w:hyperlink>
          </w:p>
        </w:tc>
        <w:tc>
          <w:tcPr>
            <w:tcW w:w="2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gridSpan w:val="2"/>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700" w:type="dxa"/>
            <w:vAlign w:val="bottom"/>
            <w:tcBorders>
              <w:top w:val="single" w:sz="8" w:color="CCEEFF"/>
            </w:tcBorders>
          </w:tcPr>
          <w:p>
            <w:pPr>
              <w:spacing w:after="0"/>
              <w:rPr>
                <w:sz w:val="18"/>
                <w:szCs w:val="18"/>
                <w:color w:val="auto"/>
              </w:rPr>
            </w:pPr>
          </w:p>
        </w:tc>
        <w:tc>
          <w:tcPr>
            <w:tcW w:w="2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w w:val="92"/>
              </w:rPr>
              <w:t>6.</w:t>
            </w:r>
          </w:p>
        </w:tc>
        <w:tc>
          <w:tcPr>
            <w:tcW w:w="520" w:type="dxa"/>
            <w:vAlign w:val="bottom"/>
            <w:tcBorders>
              <w:bottom w:val="single" w:sz="8" w:color="CCEEFF"/>
            </w:tcBorders>
            <w:shd w:val="clear" w:color="auto" w:fill="CCEEFF"/>
          </w:tcPr>
          <w:p>
            <w:pPr>
              <w:spacing w:after="0"/>
              <w:rPr>
                <w:sz w:val="17"/>
                <w:szCs w:val="17"/>
                <w:color w:val="auto"/>
              </w:rPr>
            </w:pPr>
          </w:p>
        </w:tc>
        <w:tc>
          <w:tcPr>
            <w:tcW w:w="2120" w:type="dxa"/>
            <w:vAlign w:val="bottom"/>
            <w:tcBorders>
              <w:bottom w:val="single" w:sz="8" w:color="0000EE"/>
            </w:tcBorders>
            <w:gridSpan w:val="37"/>
            <w:shd w:val="clear" w:color="auto" w:fill="CCEEFF"/>
          </w:tcPr>
          <w:p>
            <w:pPr>
              <w:spacing w:after="0" w:line="176" w:lineRule="exact"/>
              <w:rPr>
                <w:rFonts w:ascii="Arial" w:cs="Arial" w:eastAsia="Arial" w:hAnsi="Arial"/>
                <w:sz w:val="18"/>
                <w:szCs w:val="18"/>
                <w:color w:val="0000EE"/>
                <w:w w:val="90"/>
              </w:rPr>
            </w:pPr>
            <w:hyperlink w:anchor="page39">
              <w:r>
                <w:rPr>
                  <w:rFonts w:ascii="Arial" w:cs="Arial" w:eastAsia="Arial" w:hAnsi="Arial"/>
                  <w:sz w:val="18"/>
                  <w:szCs w:val="18"/>
                  <w:color w:val="0000EE"/>
                  <w:w w:val="90"/>
                </w:rPr>
                <w:t>Insurance underwriting result</w:t>
              </w:r>
            </w:hyperlink>
          </w:p>
        </w:tc>
        <w:tc>
          <w:tcPr>
            <w:tcW w:w="5700" w:type="dxa"/>
            <w:vAlign w:val="bottom"/>
            <w:tcBorders>
              <w:bottom w:val="single" w:sz="8" w:color="CCEEFF"/>
            </w:tcBorders>
            <w:gridSpan w:val="13"/>
            <w:shd w:val="clear" w:color="auto" w:fill="CCEEFF"/>
          </w:tcPr>
          <w:p>
            <w:pPr>
              <w:spacing w:after="0"/>
              <w:rPr>
                <w:sz w:val="17"/>
                <w:szCs w:val="17"/>
                <w:color w:val="auto"/>
              </w:rPr>
            </w:pPr>
          </w:p>
        </w:tc>
        <w:tc>
          <w:tcPr>
            <w:tcW w:w="29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6.1</w:t>
            </w:r>
          </w:p>
        </w:tc>
        <w:tc>
          <w:tcPr>
            <w:tcW w:w="7820" w:type="dxa"/>
            <w:vAlign w:val="bottom"/>
            <w:gridSpan w:val="50"/>
          </w:tcPr>
          <w:p>
            <w:pPr>
              <w:ind w:left="160"/>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Net earned premiums</w:t>
              </w:r>
            </w:hyperlink>
          </w:p>
        </w:tc>
        <w:tc>
          <w:tcPr>
            <w:tcW w:w="2900" w:type="dxa"/>
            <w:vAlign w:val="bottom"/>
          </w:tcPr>
          <w:p>
            <w:pPr>
              <w:jc w:val="right"/>
              <w:spacing w:after="0" w:line="176" w:lineRule="exact"/>
              <w:rPr>
                <w:sz w:val="20"/>
                <w:szCs w:val="20"/>
                <w:color w:val="auto"/>
              </w:rPr>
            </w:pPr>
            <w:r>
              <w:rPr>
                <w:rFonts w:ascii="Arial" w:cs="Arial" w:eastAsia="Arial" w:hAnsi="Arial"/>
                <w:sz w:val="18"/>
                <w:szCs w:val="18"/>
                <w:color w:val="auto"/>
              </w:rPr>
              <w:t>38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6.2</w:t>
            </w:r>
          </w:p>
        </w:tc>
        <w:tc>
          <w:tcPr>
            <w:tcW w:w="7820" w:type="dxa"/>
            <w:vAlign w:val="bottom"/>
            <w:gridSpan w:val="50"/>
            <w:shd w:val="clear" w:color="auto" w:fill="CCEEFF"/>
          </w:tcPr>
          <w:p>
            <w:pPr>
              <w:ind w:left="160"/>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Net claims</w:t>
              </w:r>
            </w:hyperlink>
          </w:p>
        </w:tc>
        <w:tc>
          <w:tcPr>
            <w:tcW w:w="2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700" w:type="dxa"/>
            <w:vAlign w:val="bottom"/>
            <w:tcBorders>
              <w:top w:val="single" w:sz="8" w:color="CCEEFF"/>
            </w:tcBorders>
            <w:shd w:val="clear" w:color="auto" w:fill="CCEEFF"/>
          </w:tcPr>
          <w:p>
            <w:pPr>
              <w:spacing w:after="0" w:line="20" w:lineRule="exact"/>
              <w:rPr>
                <w:sz w:val="1"/>
                <w:szCs w:val="1"/>
                <w:color w:val="auto"/>
              </w:rPr>
            </w:pPr>
          </w:p>
        </w:tc>
        <w:tc>
          <w:tcPr>
            <w:tcW w:w="29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6.3</w:t>
            </w:r>
          </w:p>
        </w:tc>
        <w:tc>
          <w:tcPr>
            <w:tcW w:w="7820" w:type="dxa"/>
            <w:vAlign w:val="bottom"/>
            <w:gridSpan w:val="50"/>
          </w:tcPr>
          <w:p>
            <w:pPr>
              <w:ind w:left="160"/>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Acquisition cost</w:t>
              </w:r>
            </w:hyperlink>
          </w:p>
        </w:tc>
        <w:tc>
          <w:tcPr>
            <w:tcW w:w="2900" w:type="dxa"/>
            <w:vAlign w:val="bottom"/>
          </w:tcPr>
          <w:p>
            <w:pPr>
              <w:jc w:val="right"/>
              <w:spacing w:after="0" w:line="176" w:lineRule="exact"/>
              <w:rPr>
                <w:sz w:val="20"/>
                <w:szCs w:val="20"/>
                <w:color w:val="auto"/>
              </w:rPr>
            </w:pPr>
            <w:r>
              <w:rPr>
                <w:rFonts w:ascii="Arial" w:cs="Arial" w:eastAsia="Arial" w:hAnsi="Arial"/>
                <w:sz w:val="18"/>
                <w:szCs w:val="18"/>
                <w:color w:val="auto"/>
              </w:rPr>
              <w:t>39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60" w:type="dxa"/>
            <w:vAlign w:val="bottom"/>
          </w:tcPr>
          <w:p>
            <w:pPr>
              <w:spacing w:after="0" w:line="176" w:lineRule="exact"/>
              <w:rPr>
                <w:sz w:val="20"/>
                <w:szCs w:val="20"/>
                <w:color w:val="auto"/>
              </w:rPr>
            </w:pPr>
            <w:r>
              <w:rPr>
                <w:rFonts w:ascii="Arial" w:cs="Arial" w:eastAsia="Arial" w:hAnsi="Arial"/>
                <w:sz w:val="18"/>
                <w:szCs w:val="18"/>
                <w:color w:val="auto"/>
                <w:w w:val="92"/>
              </w:rPr>
              <w:t>7.</w:t>
            </w:r>
          </w:p>
        </w:tc>
        <w:tc>
          <w:tcPr>
            <w:tcW w:w="520" w:type="dxa"/>
            <w:vAlign w:val="bottom"/>
          </w:tcPr>
          <w:p>
            <w:pPr>
              <w:spacing w:after="0"/>
              <w:rPr>
                <w:sz w:val="15"/>
                <w:szCs w:val="15"/>
                <w:color w:val="auto"/>
              </w:rPr>
            </w:pPr>
          </w:p>
        </w:tc>
        <w:tc>
          <w:tcPr>
            <w:tcW w:w="7820" w:type="dxa"/>
            <w:vAlign w:val="bottom"/>
            <w:gridSpan w:val="50"/>
          </w:tcPr>
          <w:p>
            <w:pPr>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Operating expenses and efficiency</w:t>
              </w:r>
            </w:hyperlink>
          </w:p>
        </w:tc>
        <w:tc>
          <w:tcPr>
            <w:tcW w:w="2900" w:type="dxa"/>
            <w:vAlign w:val="bottom"/>
          </w:tcPr>
          <w:p>
            <w:pPr>
              <w:jc w:val="right"/>
              <w:spacing w:after="0" w:line="176" w:lineRule="exact"/>
              <w:rPr>
                <w:sz w:val="20"/>
                <w:szCs w:val="20"/>
                <w:color w:val="auto"/>
              </w:rPr>
            </w:pPr>
            <w:r>
              <w:rPr>
                <w:rFonts w:ascii="Arial" w:cs="Arial" w:eastAsia="Arial" w:hAnsi="Arial"/>
                <w:sz w:val="18"/>
                <w:szCs w:val="18"/>
                <w:color w:val="auto"/>
              </w:rPr>
              <w:t>40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60" w:type="dxa"/>
            <w:vAlign w:val="bottom"/>
          </w:tcPr>
          <w:p>
            <w:pPr>
              <w:spacing w:after="0" w:line="176" w:lineRule="exact"/>
              <w:rPr>
                <w:sz w:val="20"/>
                <w:szCs w:val="20"/>
                <w:color w:val="auto"/>
              </w:rPr>
            </w:pPr>
            <w:r>
              <w:rPr>
                <w:rFonts w:ascii="Arial" w:cs="Arial" w:eastAsia="Arial" w:hAnsi="Arial"/>
                <w:sz w:val="18"/>
                <w:szCs w:val="18"/>
                <w:color w:val="auto"/>
                <w:w w:val="92"/>
              </w:rPr>
              <w:t>8.</w:t>
            </w:r>
          </w:p>
        </w:tc>
        <w:tc>
          <w:tcPr>
            <w:tcW w:w="520" w:type="dxa"/>
            <w:vAlign w:val="bottom"/>
          </w:tcPr>
          <w:p>
            <w:pPr>
              <w:spacing w:after="0"/>
              <w:rPr>
                <w:sz w:val="15"/>
                <w:szCs w:val="15"/>
                <w:color w:val="auto"/>
              </w:rPr>
            </w:pPr>
          </w:p>
        </w:tc>
        <w:tc>
          <w:tcPr>
            <w:tcW w:w="7820" w:type="dxa"/>
            <w:vAlign w:val="bottom"/>
            <w:gridSpan w:val="50"/>
          </w:tcPr>
          <w:p>
            <w:pPr>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Regulatory Capital</w:t>
              </w:r>
            </w:hyperlink>
          </w:p>
        </w:tc>
        <w:tc>
          <w:tcPr>
            <w:tcW w:w="2900" w:type="dxa"/>
            <w:vAlign w:val="bottom"/>
          </w:tcPr>
          <w:p>
            <w:pPr>
              <w:jc w:val="right"/>
              <w:spacing w:after="0" w:line="176" w:lineRule="exact"/>
              <w:rPr>
                <w:sz w:val="20"/>
                <w:szCs w:val="20"/>
                <w:color w:val="auto"/>
              </w:rPr>
            </w:pPr>
            <w:r>
              <w:rPr>
                <w:rFonts w:ascii="Arial" w:cs="Arial" w:eastAsia="Arial" w:hAnsi="Arial"/>
                <w:sz w:val="18"/>
                <w:szCs w:val="18"/>
                <w:color w:val="auto"/>
              </w:rPr>
              <w:t>42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8.1</w:t>
            </w:r>
          </w:p>
        </w:tc>
        <w:tc>
          <w:tcPr>
            <w:tcW w:w="7820" w:type="dxa"/>
            <w:vAlign w:val="bottom"/>
            <w:gridSpan w:val="50"/>
            <w:shd w:val="clear" w:color="auto" w:fill="CCEEFF"/>
          </w:tcPr>
          <w:p>
            <w:pPr>
              <w:ind w:left="160"/>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Regulatory Capital –BAP</w:t>
              </w:r>
            </w:hyperlink>
          </w:p>
        </w:tc>
        <w:tc>
          <w:tcPr>
            <w:tcW w:w="2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700" w:type="dxa"/>
            <w:vAlign w:val="bottom"/>
            <w:tcBorders>
              <w:top w:val="single" w:sz="8" w:color="CCEEFF"/>
            </w:tcBorders>
            <w:shd w:val="clear" w:color="auto" w:fill="CCEEFF"/>
          </w:tcPr>
          <w:p>
            <w:pPr>
              <w:spacing w:after="0" w:line="20" w:lineRule="exact"/>
              <w:rPr>
                <w:sz w:val="1"/>
                <w:szCs w:val="1"/>
                <w:color w:val="auto"/>
              </w:rPr>
            </w:pPr>
          </w:p>
        </w:tc>
        <w:tc>
          <w:tcPr>
            <w:tcW w:w="29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8.2</w:t>
            </w:r>
          </w:p>
        </w:tc>
        <w:tc>
          <w:tcPr>
            <w:tcW w:w="7820" w:type="dxa"/>
            <w:vAlign w:val="bottom"/>
            <w:gridSpan w:val="50"/>
          </w:tcPr>
          <w:p>
            <w:pPr>
              <w:ind w:left="160"/>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Regulatory Capital –BCP Stand-alone based on Peru GAAP</w:t>
              </w:r>
            </w:hyperlink>
          </w:p>
        </w:tc>
        <w:tc>
          <w:tcPr>
            <w:tcW w:w="2900" w:type="dxa"/>
            <w:vAlign w:val="bottom"/>
          </w:tcPr>
          <w:p>
            <w:pPr>
              <w:jc w:val="right"/>
              <w:spacing w:after="0" w:line="176" w:lineRule="exact"/>
              <w:rPr>
                <w:sz w:val="20"/>
                <w:szCs w:val="20"/>
                <w:color w:val="auto"/>
              </w:rPr>
            </w:pPr>
            <w:r>
              <w:rPr>
                <w:rFonts w:ascii="Arial" w:cs="Arial" w:eastAsia="Arial" w:hAnsi="Arial"/>
                <w:sz w:val="18"/>
                <w:szCs w:val="18"/>
                <w:color w:val="auto"/>
              </w:rPr>
              <w:t>43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60" w:type="dxa"/>
            <w:vAlign w:val="bottom"/>
          </w:tcPr>
          <w:p>
            <w:pPr>
              <w:spacing w:after="0" w:line="176" w:lineRule="exact"/>
              <w:rPr>
                <w:sz w:val="20"/>
                <w:szCs w:val="20"/>
                <w:color w:val="auto"/>
              </w:rPr>
            </w:pPr>
            <w:r>
              <w:rPr>
                <w:rFonts w:ascii="Arial" w:cs="Arial" w:eastAsia="Arial" w:hAnsi="Arial"/>
                <w:sz w:val="18"/>
                <w:szCs w:val="18"/>
                <w:color w:val="auto"/>
                <w:w w:val="92"/>
              </w:rPr>
              <w:t>9.</w:t>
            </w:r>
          </w:p>
        </w:tc>
        <w:tc>
          <w:tcPr>
            <w:tcW w:w="520" w:type="dxa"/>
            <w:vAlign w:val="bottom"/>
          </w:tcPr>
          <w:p>
            <w:pPr>
              <w:spacing w:after="0"/>
              <w:rPr>
                <w:sz w:val="15"/>
                <w:szCs w:val="15"/>
                <w:color w:val="auto"/>
              </w:rPr>
            </w:pPr>
          </w:p>
        </w:tc>
        <w:tc>
          <w:tcPr>
            <w:tcW w:w="7820" w:type="dxa"/>
            <w:vAlign w:val="bottom"/>
            <w:gridSpan w:val="50"/>
          </w:tcPr>
          <w:p>
            <w:pPr>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Distribution channels</w:t>
              </w:r>
            </w:hyperlink>
          </w:p>
        </w:tc>
        <w:tc>
          <w:tcPr>
            <w:tcW w:w="2900" w:type="dxa"/>
            <w:vAlign w:val="bottom"/>
          </w:tcPr>
          <w:p>
            <w:pPr>
              <w:jc w:val="right"/>
              <w:spacing w:after="0" w:line="176" w:lineRule="exact"/>
              <w:rPr>
                <w:sz w:val="20"/>
                <w:szCs w:val="20"/>
                <w:color w:val="auto"/>
              </w:rPr>
            </w:pPr>
            <w:r>
              <w:rPr>
                <w:rFonts w:ascii="Arial" w:cs="Arial" w:eastAsia="Arial" w:hAnsi="Arial"/>
                <w:sz w:val="18"/>
                <w:szCs w:val="18"/>
                <w:color w:val="auto"/>
              </w:rPr>
              <w:t>45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80" w:type="dxa"/>
            <w:vAlign w:val="bottom"/>
            <w:gridSpan w:val="2"/>
          </w:tcPr>
          <w:p>
            <w:pPr>
              <w:spacing w:after="0" w:line="176" w:lineRule="exact"/>
              <w:rPr>
                <w:sz w:val="20"/>
                <w:szCs w:val="20"/>
                <w:color w:val="auto"/>
              </w:rPr>
            </w:pPr>
            <w:r>
              <w:rPr>
                <w:rFonts w:ascii="Arial" w:cs="Arial" w:eastAsia="Arial" w:hAnsi="Arial"/>
                <w:sz w:val="18"/>
                <w:szCs w:val="18"/>
                <w:color w:val="auto"/>
              </w:rPr>
              <w:t>10.</w:t>
            </w:r>
          </w:p>
        </w:tc>
        <w:tc>
          <w:tcPr>
            <w:tcW w:w="7820" w:type="dxa"/>
            <w:vAlign w:val="bottom"/>
            <w:gridSpan w:val="50"/>
          </w:tcPr>
          <w:p>
            <w:pPr>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Economic outlook</w:t>
              </w:r>
            </w:hyperlink>
          </w:p>
        </w:tc>
        <w:tc>
          <w:tcPr>
            <w:tcW w:w="2900" w:type="dxa"/>
            <w:vAlign w:val="bottom"/>
          </w:tcPr>
          <w:p>
            <w:pPr>
              <w:jc w:val="right"/>
              <w:spacing w:after="0" w:line="176" w:lineRule="exact"/>
              <w:rPr>
                <w:sz w:val="20"/>
                <w:szCs w:val="20"/>
                <w:color w:val="auto"/>
              </w:rPr>
            </w:pPr>
            <w:r>
              <w:rPr>
                <w:rFonts w:ascii="Arial" w:cs="Arial" w:eastAsia="Arial" w:hAnsi="Arial"/>
                <w:sz w:val="18"/>
                <w:szCs w:val="18"/>
                <w:color w:val="auto"/>
              </w:rPr>
              <w:t>47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80" w:type="dxa"/>
            <w:vAlign w:val="bottom"/>
            <w:gridSpan w:val="2"/>
          </w:tcPr>
          <w:p>
            <w:pPr>
              <w:spacing w:after="0" w:line="176" w:lineRule="exact"/>
              <w:rPr>
                <w:sz w:val="20"/>
                <w:szCs w:val="20"/>
                <w:color w:val="auto"/>
              </w:rPr>
            </w:pPr>
            <w:r>
              <w:rPr>
                <w:rFonts w:ascii="Arial" w:cs="Arial" w:eastAsia="Arial" w:hAnsi="Arial"/>
                <w:sz w:val="18"/>
                <w:szCs w:val="18"/>
                <w:color w:val="auto"/>
              </w:rPr>
              <w:t>11.</w:t>
            </w:r>
          </w:p>
        </w:tc>
        <w:tc>
          <w:tcPr>
            <w:tcW w:w="7820" w:type="dxa"/>
            <w:vAlign w:val="bottom"/>
            <w:gridSpan w:val="50"/>
          </w:tcPr>
          <w:p>
            <w:pPr>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Appendix</w:t>
              </w:r>
            </w:hyperlink>
          </w:p>
        </w:tc>
        <w:tc>
          <w:tcPr>
            <w:tcW w:w="2900" w:type="dxa"/>
            <w:vAlign w:val="bottom"/>
          </w:tcPr>
          <w:p>
            <w:pPr>
              <w:jc w:val="right"/>
              <w:spacing w:after="0" w:line="176" w:lineRule="exact"/>
              <w:rPr>
                <w:sz w:val="20"/>
                <w:szCs w:val="20"/>
                <w:color w:val="auto"/>
              </w:rPr>
            </w:pPr>
            <w:r>
              <w:rPr>
                <w:rFonts w:ascii="Arial" w:cs="Arial" w:eastAsia="Arial" w:hAnsi="Arial"/>
                <w:sz w:val="18"/>
                <w:szCs w:val="18"/>
                <w:color w:val="auto"/>
              </w:rPr>
              <w:t>52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11.1</w:t>
            </w:r>
          </w:p>
        </w:tc>
        <w:tc>
          <w:tcPr>
            <w:tcW w:w="7820" w:type="dxa"/>
            <w:vAlign w:val="bottom"/>
            <w:gridSpan w:val="50"/>
            <w:shd w:val="clear" w:color="auto" w:fill="CCEEFF"/>
          </w:tcPr>
          <w:p>
            <w:pPr>
              <w:ind w:left="160"/>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BCP Consolidated</w:t>
              </w:r>
            </w:hyperlink>
          </w:p>
        </w:tc>
        <w:tc>
          <w:tcPr>
            <w:tcW w:w="2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700" w:type="dxa"/>
            <w:vAlign w:val="bottom"/>
            <w:tcBorders>
              <w:top w:val="single" w:sz="8" w:color="CCEEFF"/>
            </w:tcBorders>
            <w:shd w:val="clear" w:color="auto" w:fill="CCEEFF"/>
          </w:tcPr>
          <w:p>
            <w:pPr>
              <w:spacing w:after="0" w:line="20" w:lineRule="exact"/>
              <w:rPr>
                <w:sz w:val="1"/>
                <w:szCs w:val="1"/>
                <w:color w:val="auto"/>
              </w:rPr>
            </w:pPr>
          </w:p>
        </w:tc>
        <w:tc>
          <w:tcPr>
            <w:tcW w:w="29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11.2</w:t>
            </w:r>
          </w:p>
        </w:tc>
        <w:tc>
          <w:tcPr>
            <w:tcW w:w="7820" w:type="dxa"/>
            <w:vAlign w:val="bottom"/>
            <w:gridSpan w:val="50"/>
          </w:tcPr>
          <w:p>
            <w:pPr>
              <w:ind w:left="160"/>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Mibanco</w:t>
              </w:r>
            </w:hyperlink>
          </w:p>
        </w:tc>
        <w:tc>
          <w:tcPr>
            <w:tcW w:w="2900" w:type="dxa"/>
            <w:vAlign w:val="bottom"/>
          </w:tcPr>
          <w:p>
            <w:pPr>
              <w:jc w:val="right"/>
              <w:spacing w:after="0" w:line="176" w:lineRule="exact"/>
              <w:rPr>
                <w:sz w:val="20"/>
                <w:szCs w:val="20"/>
                <w:color w:val="auto"/>
              </w:rPr>
            </w:pPr>
            <w:r>
              <w:rPr>
                <w:rFonts w:ascii="Arial" w:cs="Arial" w:eastAsia="Arial" w:hAnsi="Arial"/>
                <w:sz w:val="18"/>
                <w:szCs w:val="18"/>
                <w:color w:val="auto"/>
              </w:rPr>
              <w:t>55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11.3</w:t>
            </w:r>
          </w:p>
        </w:tc>
        <w:tc>
          <w:tcPr>
            <w:tcW w:w="7820" w:type="dxa"/>
            <w:vAlign w:val="bottom"/>
            <w:gridSpan w:val="50"/>
            <w:shd w:val="clear" w:color="auto" w:fill="CCEEFF"/>
          </w:tcPr>
          <w:p>
            <w:pPr>
              <w:ind w:left="160"/>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BCP Bolivia</w:t>
              </w:r>
            </w:hyperlink>
          </w:p>
        </w:tc>
        <w:tc>
          <w:tcPr>
            <w:tcW w:w="2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700" w:type="dxa"/>
            <w:vAlign w:val="bottom"/>
            <w:tcBorders>
              <w:top w:val="single" w:sz="8" w:color="CCEEFF"/>
            </w:tcBorders>
            <w:shd w:val="clear" w:color="auto" w:fill="CCEEFF"/>
          </w:tcPr>
          <w:p>
            <w:pPr>
              <w:spacing w:after="0" w:line="20" w:lineRule="exact"/>
              <w:rPr>
                <w:sz w:val="1"/>
                <w:szCs w:val="1"/>
                <w:color w:val="auto"/>
              </w:rPr>
            </w:pPr>
          </w:p>
        </w:tc>
        <w:tc>
          <w:tcPr>
            <w:tcW w:w="29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11.4</w:t>
            </w:r>
          </w:p>
        </w:tc>
        <w:tc>
          <w:tcPr>
            <w:tcW w:w="7820" w:type="dxa"/>
            <w:vAlign w:val="bottom"/>
            <w:gridSpan w:val="50"/>
          </w:tcPr>
          <w:p>
            <w:pPr>
              <w:ind w:left="160"/>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Credicorp Capital</w:t>
              </w:r>
            </w:hyperlink>
          </w:p>
        </w:tc>
        <w:tc>
          <w:tcPr>
            <w:tcW w:w="2900" w:type="dxa"/>
            <w:vAlign w:val="bottom"/>
          </w:tcPr>
          <w:p>
            <w:pPr>
              <w:jc w:val="right"/>
              <w:spacing w:after="0" w:line="176" w:lineRule="exact"/>
              <w:rPr>
                <w:sz w:val="20"/>
                <w:szCs w:val="20"/>
                <w:color w:val="auto"/>
              </w:rPr>
            </w:pPr>
            <w:r>
              <w:rPr>
                <w:rFonts w:ascii="Arial" w:cs="Arial" w:eastAsia="Arial" w:hAnsi="Arial"/>
                <w:sz w:val="18"/>
                <w:szCs w:val="18"/>
                <w:color w:val="auto"/>
              </w:rPr>
              <w:t>57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11.5</w:t>
            </w:r>
          </w:p>
        </w:tc>
        <w:tc>
          <w:tcPr>
            <w:tcW w:w="7820" w:type="dxa"/>
            <w:vAlign w:val="bottom"/>
            <w:gridSpan w:val="50"/>
            <w:shd w:val="clear" w:color="auto" w:fill="CCEEFF"/>
          </w:tcPr>
          <w:p>
            <w:pPr>
              <w:ind w:left="160"/>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Atlantic Security Bank</w:t>
              </w:r>
            </w:hyperlink>
          </w:p>
        </w:tc>
        <w:tc>
          <w:tcPr>
            <w:tcW w:w="2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700" w:type="dxa"/>
            <w:vAlign w:val="bottom"/>
            <w:tcBorders>
              <w:top w:val="single" w:sz="8" w:color="CCEEFF"/>
            </w:tcBorders>
            <w:shd w:val="clear" w:color="auto" w:fill="CCEEFF"/>
          </w:tcPr>
          <w:p>
            <w:pPr>
              <w:spacing w:after="0" w:line="20" w:lineRule="exact"/>
              <w:rPr>
                <w:sz w:val="1"/>
                <w:szCs w:val="1"/>
                <w:color w:val="auto"/>
              </w:rPr>
            </w:pPr>
          </w:p>
        </w:tc>
        <w:tc>
          <w:tcPr>
            <w:tcW w:w="29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11.6</w:t>
            </w:r>
          </w:p>
        </w:tc>
        <w:tc>
          <w:tcPr>
            <w:tcW w:w="7820" w:type="dxa"/>
            <w:vAlign w:val="bottom"/>
            <w:gridSpan w:val="50"/>
          </w:tcPr>
          <w:p>
            <w:pPr>
              <w:ind w:left="160"/>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Grupo Pacifico</w:t>
              </w:r>
            </w:hyperlink>
          </w:p>
        </w:tc>
        <w:tc>
          <w:tcPr>
            <w:tcW w:w="2900" w:type="dxa"/>
            <w:vAlign w:val="bottom"/>
          </w:tcPr>
          <w:p>
            <w:pPr>
              <w:jc w:val="right"/>
              <w:spacing w:after="0" w:line="176" w:lineRule="exact"/>
              <w:rPr>
                <w:sz w:val="20"/>
                <w:szCs w:val="20"/>
                <w:color w:val="auto"/>
              </w:rPr>
            </w:pPr>
            <w:r>
              <w:rPr>
                <w:rFonts w:ascii="Arial" w:cs="Arial" w:eastAsia="Arial" w:hAnsi="Arial"/>
                <w:sz w:val="18"/>
                <w:szCs w:val="18"/>
                <w:color w:val="auto"/>
              </w:rPr>
              <w:t>60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11.7</w:t>
            </w:r>
          </w:p>
        </w:tc>
        <w:tc>
          <w:tcPr>
            <w:tcW w:w="7820" w:type="dxa"/>
            <w:vAlign w:val="bottom"/>
            <w:gridSpan w:val="50"/>
            <w:shd w:val="clear" w:color="auto" w:fill="CCEEFF"/>
          </w:tcPr>
          <w:p>
            <w:pPr>
              <w:ind w:left="160"/>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Prima AFP</w:t>
              </w:r>
            </w:hyperlink>
          </w:p>
        </w:tc>
        <w:tc>
          <w:tcPr>
            <w:tcW w:w="2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700" w:type="dxa"/>
            <w:vAlign w:val="bottom"/>
            <w:tcBorders>
              <w:top w:val="single" w:sz="8" w:color="CCEEFF"/>
            </w:tcBorders>
            <w:shd w:val="clear" w:color="auto" w:fill="CCEEFF"/>
          </w:tcPr>
          <w:p>
            <w:pPr>
              <w:spacing w:after="0" w:line="20" w:lineRule="exact"/>
              <w:rPr>
                <w:sz w:val="1"/>
                <w:szCs w:val="1"/>
                <w:color w:val="auto"/>
              </w:rPr>
            </w:pPr>
          </w:p>
        </w:tc>
        <w:tc>
          <w:tcPr>
            <w:tcW w:w="29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11.8</w:t>
            </w:r>
          </w:p>
        </w:tc>
        <w:tc>
          <w:tcPr>
            <w:tcW w:w="7820" w:type="dxa"/>
            <w:vAlign w:val="bottom"/>
            <w:gridSpan w:val="50"/>
          </w:tcPr>
          <w:p>
            <w:pPr>
              <w:ind w:left="160"/>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Credicorp</w:t>
              </w:r>
            </w:hyperlink>
          </w:p>
        </w:tc>
        <w:tc>
          <w:tcPr>
            <w:tcW w:w="2900" w:type="dxa"/>
            <w:vAlign w:val="bottom"/>
          </w:tcPr>
          <w:p>
            <w:pPr>
              <w:jc w:val="right"/>
              <w:spacing w:after="0" w:line="176" w:lineRule="exact"/>
              <w:rPr>
                <w:sz w:val="20"/>
                <w:szCs w:val="20"/>
                <w:color w:val="auto"/>
              </w:rPr>
            </w:pPr>
            <w:r>
              <w:rPr>
                <w:rFonts w:ascii="Arial" w:cs="Arial" w:eastAsia="Arial" w:hAnsi="Arial"/>
                <w:sz w:val="18"/>
                <w:szCs w:val="18"/>
                <w:color w:val="auto"/>
              </w:rPr>
              <w:t>63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6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11.9</w:t>
            </w:r>
          </w:p>
        </w:tc>
        <w:tc>
          <w:tcPr>
            <w:tcW w:w="7820" w:type="dxa"/>
            <w:vAlign w:val="bottom"/>
            <w:gridSpan w:val="50"/>
            <w:shd w:val="clear" w:color="auto" w:fill="CCEEFF"/>
          </w:tcPr>
          <w:p>
            <w:pPr>
              <w:ind w:left="160"/>
              <w:spacing w:after="0" w:line="176" w:lineRule="exact"/>
              <w:rPr>
                <w:rFonts w:ascii="Arial" w:cs="Arial" w:eastAsia="Arial" w:hAnsi="Arial"/>
                <w:sz w:val="18"/>
                <w:szCs w:val="18"/>
                <w:color w:val="0000EE"/>
              </w:rPr>
            </w:pPr>
            <w:hyperlink w:anchor="page66">
              <w:r>
                <w:rPr>
                  <w:rFonts w:ascii="Arial" w:cs="Arial" w:eastAsia="Arial" w:hAnsi="Arial"/>
                  <w:sz w:val="18"/>
                  <w:szCs w:val="18"/>
                  <w:color w:val="0000EE"/>
                </w:rPr>
                <w:t>Table of calculations</w:t>
              </w:r>
            </w:hyperlink>
          </w:p>
        </w:tc>
        <w:tc>
          <w:tcPr>
            <w:tcW w:w="2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52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5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80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620" w:type="dxa"/>
            <w:vAlign w:val="bottom"/>
            <w:tcBorders>
              <w:top w:val="single" w:sz="8" w:color="CCEEFF"/>
              <w:bottom w:val="single" w:sz="8" w:color="auto"/>
            </w:tcBorders>
          </w:tcPr>
          <w:p>
            <w:pPr>
              <w:spacing w:after="0"/>
              <w:rPr>
                <w:sz w:val="24"/>
                <w:szCs w:val="24"/>
                <w:color w:val="auto"/>
              </w:rPr>
            </w:pPr>
          </w:p>
        </w:tc>
        <w:tc>
          <w:tcPr>
            <w:tcW w:w="2700" w:type="dxa"/>
            <w:vAlign w:val="bottom"/>
            <w:tcBorders>
              <w:top w:val="single" w:sz="8" w:color="CCEEFF"/>
              <w:bottom w:val="single" w:sz="8" w:color="auto"/>
            </w:tcBorders>
          </w:tcPr>
          <w:p>
            <w:pPr>
              <w:spacing w:after="0"/>
              <w:rPr>
                <w:sz w:val="24"/>
                <w:szCs w:val="24"/>
                <w:color w:val="auto"/>
              </w:rPr>
            </w:pPr>
          </w:p>
        </w:tc>
        <w:tc>
          <w:tcPr>
            <w:tcW w:w="290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076"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Credicorp (NYSE: BAP): Fourth Quarter Results 2015</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40" w:type="dxa"/>
            <w:vAlign w:val="bottom"/>
            <w:gridSpan w:val="7"/>
          </w:tcPr>
          <w:p>
            <w:pPr>
              <w:spacing w:after="0"/>
              <w:rPr>
                <w:sz w:val="20"/>
                <w:szCs w:val="20"/>
                <w:color w:val="auto"/>
              </w:rPr>
            </w:pPr>
            <w:r>
              <w:rPr>
                <w:rFonts w:ascii="Arial" w:cs="Arial" w:eastAsia="Arial" w:hAnsi="Arial"/>
                <w:sz w:val="14"/>
                <w:szCs w:val="14"/>
                <w:b w:val="1"/>
                <w:bCs w:val="1"/>
                <w:color w:val="auto"/>
              </w:rPr>
              <w:t>Credicorp Ltd.</w:t>
            </w: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Quarter</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3"/>
          </w:tcPr>
          <w:p>
            <w:pPr>
              <w:ind w:left="680"/>
              <w:spacing w:after="0"/>
              <w:rPr>
                <w:sz w:val="20"/>
                <w:szCs w:val="20"/>
                <w:color w:val="auto"/>
              </w:rPr>
            </w:pPr>
            <w:r>
              <w:rPr>
                <w:rFonts w:ascii="Arial" w:cs="Arial" w:eastAsia="Arial" w:hAnsi="Arial"/>
                <w:sz w:val="14"/>
                <w:szCs w:val="14"/>
                <w:b w:val="1"/>
                <w:bCs w:val="1"/>
                <w:color w:val="auto"/>
                <w:w w:val="97"/>
              </w:rPr>
              <w:t>Change</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3"/>
          </w:tcPr>
          <w:p>
            <w:pPr>
              <w:ind w:left="760"/>
              <w:spacing w:after="0"/>
              <w:rPr>
                <w:sz w:val="20"/>
                <w:szCs w:val="20"/>
                <w:color w:val="auto"/>
              </w:rPr>
            </w:pPr>
            <w:r>
              <w:rPr>
                <w:rFonts w:ascii="Arial" w:cs="Arial" w:eastAsia="Arial" w:hAnsi="Arial"/>
                <w:sz w:val="14"/>
                <w:szCs w:val="14"/>
                <w:b w:val="1"/>
                <w:bCs w:val="1"/>
                <w:color w:val="auto"/>
              </w:rPr>
              <w:t>Year</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3340" w:type="dxa"/>
            <w:vAlign w:val="bottom"/>
            <w:gridSpan w:val="7"/>
          </w:tcPr>
          <w:p>
            <w:pPr>
              <w:spacing w:after="0"/>
              <w:rPr>
                <w:sz w:val="20"/>
                <w:szCs w:val="20"/>
                <w:color w:val="auto"/>
              </w:rPr>
            </w:pPr>
            <w:r>
              <w:rPr>
                <w:rFonts w:ascii="Arial" w:cs="Arial" w:eastAsia="Arial" w:hAnsi="Arial"/>
                <w:sz w:val="14"/>
                <w:szCs w:val="14"/>
                <w:color w:val="auto"/>
              </w:rPr>
              <w:t>S/. 000</w:t>
            </w:r>
          </w:p>
        </w:tc>
        <w:tc>
          <w:tcPr>
            <w:tcW w:w="10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4Q14</w:t>
            </w:r>
          </w:p>
        </w:tc>
        <w:tc>
          <w:tcPr>
            <w:tcW w:w="10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3Q15</w:t>
            </w:r>
          </w:p>
        </w:tc>
        <w:tc>
          <w:tcPr>
            <w:tcW w:w="10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4Q15</w:t>
            </w:r>
          </w:p>
        </w:tc>
        <w:tc>
          <w:tcPr>
            <w:tcW w:w="1200" w:type="dxa"/>
            <w:vAlign w:val="bottom"/>
            <w:gridSpan w:val="3"/>
          </w:tcPr>
          <w:p>
            <w:pPr>
              <w:ind w:left="240"/>
              <w:spacing w:after="0"/>
              <w:rPr>
                <w:sz w:val="20"/>
                <w:szCs w:val="20"/>
                <w:color w:val="auto"/>
              </w:rPr>
            </w:pPr>
            <w:r>
              <w:rPr>
                <w:rFonts w:ascii="Arial" w:cs="Arial" w:eastAsia="Arial" w:hAnsi="Arial"/>
                <w:sz w:val="14"/>
                <w:szCs w:val="14"/>
                <w:b w:val="1"/>
                <w:bCs w:val="1"/>
                <w:color w:val="auto"/>
              </w:rPr>
              <w:t>QoQ</w:t>
            </w:r>
          </w:p>
        </w:tc>
        <w:tc>
          <w:tcPr>
            <w:tcW w:w="880" w:type="dxa"/>
            <w:vAlign w:val="bottom"/>
            <w:gridSpan w:val="2"/>
          </w:tcPr>
          <w:p>
            <w:pPr>
              <w:jc w:val="right"/>
              <w:ind w:right="448"/>
              <w:spacing w:after="0"/>
              <w:rPr>
                <w:sz w:val="20"/>
                <w:szCs w:val="20"/>
                <w:color w:val="auto"/>
              </w:rPr>
            </w:pPr>
            <w:r>
              <w:rPr>
                <w:rFonts w:ascii="Arial" w:cs="Arial" w:eastAsia="Arial" w:hAnsi="Arial"/>
                <w:sz w:val="14"/>
                <w:szCs w:val="14"/>
                <w:b w:val="1"/>
                <w:bCs w:val="1"/>
                <w:color w:val="auto"/>
              </w:rPr>
              <w:t>YoY</w:t>
            </w:r>
          </w:p>
        </w:tc>
        <w:tc>
          <w:tcPr>
            <w:tcW w:w="780" w:type="dxa"/>
            <w:vAlign w:val="bottom"/>
          </w:tcPr>
          <w:p>
            <w:pPr>
              <w:jc w:val="right"/>
              <w:ind w:right="168"/>
              <w:spacing w:after="0"/>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168"/>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w w:val="97"/>
              </w:rPr>
              <w:t>2015 / 2014</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180" w:type="dxa"/>
            <w:vAlign w:val="bottom"/>
            <w:gridSpan w:val="5"/>
            <w:shd w:val="clear" w:color="auto" w:fill="CCEEFF"/>
          </w:tcPr>
          <w:p>
            <w:pPr>
              <w:spacing w:after="0" w:line="142" w:lineRule="exact"/>
              <w:rPr>
                <w:sz w:val="20"/>
                <w:szCs w:val="20"/>
                <w:color w:val="auto"/>
              </w:rPr>
            </w:pPr>
            <w:r>
              <w:rPr>
                <w:rFonts w:ascii="Arial" w:cs="Arial" w:eastAsia="Arial" w:hAnsi="Arial"/>
                <w:sz w:val="14"/>
                <w:szCs w:val="14"/>
                <w:color w:val="auto"/>
              </w:rPr>
              <w:t>Net interest income</w:t>
            </w:r>
          </w:p>
        </w:tc>
        <w:tc>
          <w:tcPr>
            <w:tcW w:w="140" w:type="dxa"/>
            <w:vAlign w:val="bottom"/>
            <w:vMerge w:val="continue"/>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1,711,398</w:t>
            </w:r>
          </w:p>
        </w:tc>
        <w:tc>
          <w:tcPr>
            <w:tcW w:w="240" w:type="dxa"/>
            <w:vAlign w:val="bottom"/>
            <w:vMerge w:val="continue"/>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1,866,893</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1,975,440</w:t>
            </w:r>
          </w:p>
        </w:tc>
        <w:tc>
          <w:tcPr>
            <w:tcW w:w="220" w:type="dxa"/>
            <w:vAlign w:val="bottom"/>
            <w:vMerge w:val="continue"/>
            <w:shd w:val="clear" w:color="auto" w:fill="CCEEFF"/>
          </w:tcPr>
          <w:p>
            <w:pPr>
              <w:spacing w:after="0"/>
              <w:rPr>
                <w:sz w:val="12"/>
                <w:szCs w:val="12"/>
                <w:color w:val="auto"/>
              </w:rPr>
            </w:pPr>
          </w:p>
        </w:tc>
        <w:tc>
          <w:tcPr>
            <w:tcW w:w="104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5.8%</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15.4%</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6,409,805</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7,464,895</w:t>
            </w:r>
          </w:p>
        </w:tc>
        <w:tc>
          <w:tcPr>
            <w:tcW w:w="220" w:type="dxa"/>
            <w:vAlign w:val="bottom"/>
            <w:vMerge w:val="continue"/>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6"/>
          </w:tcPr>
          <w:p>
            <w:pPr>
              <w:spacing w:after="0" w:line="149" w:lineRule="exact"/>
              <w:rPr>
                <w:sz w:val="20"/>
                <w:szCs w:val="20"/>
                <w:color w:val="auto"/>
              </w:rPr>
            </w:pPr>
            <w:r>
              <w:rPr>
                <w:rFonts w:ascii="Arial" w:cs="Arial" w:eastAsia="Arial" w:hAnsi="Arial"/>
                <w:sz w:val="14"/>
                <w:szCs w:val="14"/>
                <w:color w:val="auto"/>
              </w:rPr>
              <w:t>Provision for loan losses, net of recoveries</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(437,258)</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(444,425)</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(502,574)</w:t>
            </w:r>
          </w:p>
        </w:tc>
        <w:tc>
          <w:tcPr>
            <w:tcW w:w="10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13.1%</w:t>
            </w:r>
          </w:p>
        </w:tc>
        <w:tc>
          <w:tcPr>
            <w:tcW w:w="160" w:type="dxa"/>
            <w:vAlign w:val="bottom"/>
          </w:tcPr>
          <w:p>
            <w:pPr>
              <w:spacing w:after="0"/>
              <w:rPr>
                <w:sz w:val="12"/>
                <w:szCs w:val="12"/>
                <w:color w:val="auto"/>
              </w:rPr>
            </w:pPr>
          </w:p>
        </w:tc>
        <w:tc>
          <w:tcPr>
            <w:tcW w:w="88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14.9%</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(1,715,809)</w:t>
            </w:r>
          </w:p>
        </w:tc>
        <w:tc>
          <w:tcPr>
            <w:tcW w:w="8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(1,880,898)</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6"/>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interest income after provisions</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1,274,140</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1,422,468</w:t>
            </w: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1,472,866</w:t>
            </w:r>
          </w:p>
        </w:tc>
        <w:tc>
          <w:tcPr>
            <w:tcW w:w="104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b w:val="1"/>
                <w:bCs w:val="1"/>
                <w:color w:val="auto"/>
              </w:rPr>
              <w:t>3.5%</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b w:val="1"/>
                <w:bCs w:val="1"/>
                <w:color w:val="auto"/>
              </w:rPr>
              <w:t>15.6%</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4,693,996</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5,583,997</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6"/>
          </w:tcPr>
          <w:p>
            <w:pPr>
              <w:spacing w:after="0" w:line="149" w:lineRule="exact"/>
              <w:rPr>
                <w:sz w:val="20"/>
                <w:szCs w:val="20"/>
                <w:color w:val="auto"/>
              </w:rPr>
            </w:pPr>
            <w:r>
              <w:rPr>
                <w:rFonts w:ascii="Arial" w:cs="Arial" w:eastAsia="Arial" w:hAnsi="Arial"/>
                <w:sz w:val="14"/>
                <w:szCs w:val="14"/>
                <w:color w:val="auto"/>
              </w:rPr>
              <w:t>Non-financial income</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865,920</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916,081</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948,554</w:t>
            </w:r>
          </w:p>
        </w:tc>
        <w:tc>
          <w:tcPr>
            <w:tcW w:w="10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3.5%</w:t>
            </w:r>
          </w:p>
        </w:tc>
        <w:tc>
          <w:tcPr>
            <w:tcW w:w="160" w:type="dxa"/>
            <w:vAlign w:val="bottom"/>
          </w:tcPr>
          <w:p>
            <w:pPr>
              <w:spacing w:after="0"/>
              <w:rPr>
                <w:sz w:val="12"/>
                <w:szCs w:val="12"/>
                <w:color w:val="auto"/>
              </w:rPr>
            </w:pPr>
          </w:p>
        </w:tc>
        <w:tc>
          <w:tcPr>
            <w:tcW w:w="88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9.5%</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3,505,209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3,811,793</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6"/>
            <w:shd w:val="clear" w:color="auto" w:fill="CCEEFF"/>
          </w:tcPr>
          <w:p>
            <w:pPr>
              <w:spacing w:after="0" w:line="149" w:lineRule="exact"/>
              <w:rPr>
                <w:sz w:val="20"/>
                <w:szCs w:val="20"/>
                <w:color w:val="auto"/>
              </w:rPr>
            </w:pPr>
            <w:r>
              <w:rPr>
                <w:rFonts w:ascii="Arial" w:cs="Arial" w:eastAsia="Arial" w:hAnsi="Arial"/>
                <w:sz w:val="14"/>
                <w:szCs w:val="14"/>
                <w:color w:val="auto"/>
              </w:rPr>
              <w:t>Insurance services underwriting result</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103,992</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125,245</w:t>
            </w: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134,392</w:t>
            </w:r>
          </w:p>
        </w:tc>
        <w:tc>
          <w:tcPr>
            <w:tcW w:w="10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7.3%</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29.2%</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422,898</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476,235</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6"/>
          </w:tcPr>
          <w:p>
            <w:pPr>
              <w:spacing w:after="0" w:line="149" w:lineRule="exact"/>
              <w:rPr>
                <w:sz w:val="20"/>
                <w:szCs w:val="20"/>
                <w:color w:val="auto"/>
              </w:rPr>
            </w:pPr>
            <w:r>
              <w:rPr>
                <w:rFonts w:ascii="Arial" w:cs="Arial" w:eastAsia="Arial" w:hAnsi="Arial"/>
                <w:sz w:val="14"/>
                <w:szCs w:val="14"/>
                <w:color w:val="auto"/>
              </w:rPr>
              <w:t>Medical services gross margin</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23,467</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rPr>
              <w:t>N/A</w:t>
            </w:r>
          </w:p>
        </w:tc>
        <w:tc>
          <w:tcPr>
            <w:tcW w:w="88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-100.0%</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98,232</w:t>
            </w: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6"/>
            <w:shd w:val="clear" w:color="auto" w:fill="CCEEFF"/>
          </w:tcPr>
          <w:p>
            <w:pPr>
              <w:spacing w:after="0" w:line="149" w:lineRule="exact"/>
              <w:rPr>
                <w:sz w:val="20"/>
                <w:szCs w:val="20"/>
                <w:color w:val="auto"/>
              </w:rPr>
            </w:pPr>
            <w:r>
              <w:rPr>
                <w:rFonts w:ascii="Arial" w:cs="Arial" w:eastAsia="Arial" w:hAnsi="Arial"/>
                <w:sz w:val="14"/>
                <w:szCs w:val="14"/>
                <w:color w:val="auto"/>
              </w:rPr>
              <w:t>Operating expenses</w:t>
            </w: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(1,524,644)</w:t>
            </w: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(1,337,802)</w:t>
            </w: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(1,558,143)</w:t>
            </w:r>
          </w:p>
        </w:tc>
        <w:tc>
          <w:tcPr>
            <w:tcW w:w="10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16.5%</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2.2%</w:t>
            </w: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(5,331,188)</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(5,557,993)</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6"/>
          </w:tcPr>
          <w:p>
            <w:pPr>
              <w:spacing w:after="0" w:line="149" w:lineRule="exact"/>
              <w:rPr>
                <w:sz w:val="20"/>
                <w:szCs w:val="20"/>
                <w:color w:val="auto"/>
              </w:rPr>
            </w:pPr>
            <w:r>
              <w:rPr>
                <w:rFonts w:ascii="Arial" w:cs="Arial" w:eastAsia="Arial" w:hAnsi="Arial"/>
                <w:sz w:val="14"/>
                <w:szCs w:val="14"/>
                <w:b w:val="1"/>
                <w:bCs w:val="1"/>
                <w:color w:val="auto"/>
              </w:rPr>
              <w:t>Operating income</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742,875</w:t>
            </w: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1,125,992</w:t>
            </w:r>
          </w:p>
        </w:tc>
        <w:tc>
          <w:tcPr>
            <w:tcW w:w="22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997,669</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b w:val="1"/>
                <w:bCs w:val="1"/>
                <w:color w:val="auto"/>
              </w:rPr>
              <w:t>-11.4%</w:t>
            </w:r>
          </w:p>
        </w:tc>
        <w:tc>
          <w:tcPr>
            <w:tcW w:w="160" w:type="dxa"/>
            <w:vAlign w:val="bottom"/>
          </w:tcPr>
          <w:p>
            <w:pPr>
              <w:spacing w:after="0"/>
              <w:rPr>
                <w:sz w:val="12"/>
                <w:szCs w:val="12"/>
                <w:color w:val="auto"/>
              </w:rPr>
            </w:pPr>
          </w:p>
        </w:tc>
        <w:tc>
          <w:tcPr>
            <w:tcW w:w="880" w:type="dxa"/>
            <w:vAlign w:val="bottom"/>
            <w:gridSpan w:val="2"/>
          </w:tcPr>
          <w:p>
            <w:pPr>
              <w:jc w:val="right"/>
              <w:ind w:right="48"/>
              <w:spacing w:after="0" w:line="149" w:lineRule="exact"/>
              <w:rPr>
                <w:sz w:val="20"/>
                <w:szCs w:val="20"/>
                <w:color w:val="auto"/>
              </w:rPr>
            </w:pPr>
            <w:r>
              <w:rPr>
                <w:rFonts w:ascii="Arial" w:cs="Arial" w:eastAsia="Arial" w:hAnsi="Arial"/>
                <w:sz w:val="14"/>
                <w:szCs w:val="14"/>
                <w:b w:val="1"/>
                <w:bCs w:val="1"/>
                <w:color w:val="auto"/>
              </w:rPr>
              <w:t>34.3%</w:t>
            </w: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3,389,147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4,314,032</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6"/>
            <w:shd w:val="clear" w:color="auto" w:fill="CCEEFF"/>
          </w:tcPr>
          <w:p>
            <w:pPr>
              <w:spacing w:after="0" w:line="149" w:lineRule="exact"/>
              <w:rPr>
                <w:sz w:val="20"/>
                <w:szCs w:val="20"/>
                <w:color w:val="auto"/>
              </w:rPr>
            </w:pPr>
            <w:r>
              <w:rPr>
                <w:rFonts w:ascii="Arial" w:cs="Arial" w:eastAsia="Arial" w:hAnsi="Arial"/>
                <w:sz w:val="14"/>
                <w:szCs w:val="14"/>
                <w:color w:val="auto"/>
              </w:rPr>
              <w:t>Translation results</w:t>
            </w: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(1,751)</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2,940</w:t>
            </w: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32,733</w:t>
            </w:r>
          </w:p>
        </w:tc>
        <w:tc>
          <w:tcPr>
            <w:tcW w:w="120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N/A</w:t>
            </w:r>
          </w:p>
        </w:tc>
        <w:tc>
          <w:tcPr>
            <w:tcW w:w="880" w:type="dxa"/>
            <w:vAlign w:val="bottom"/>
            <w:gridSpan w:val="2"/>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N/A</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430</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46,563</w:t>
            </w:r>
          </w:p>
        </w:tc>
        <w:tc>
          <w:tcPr>
            <w:tcW w:w="9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6"/>
          </w:tcPr>
          <w:p>
            <w:pPr>
              <w:spacing w:after="0" w:line="149" w:lineRule="exact"/>
              <w:rPr>
                <w:sz w:val="20"/>
                <w:szCs w:val="20"/>
                <w:color w:val="auto"/>
              </w:rPr>
            </w:pPr>
            <w:r>
              <w:rPr>
                <w:rFonts w:ascii="Arial" w:cs="Arial" w:eastAsia="Arial" w:hAnsi="Arial"/>
                <w:sz w:val="14"/>
                <w:szCs w:val="14"/>
                <w:color w:val="auto"/>
              </w:rPr>
              <w:t>Income taxes</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(257,220)</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(300,989)</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(297,398)</w:t>
            </w:r>
          </w:p>
        </w:tc>
        <w:tc>
          <w:tcPr>
            <w:tcW w:w="10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-1.2%</w:t>
            </w:r>
          </w:p>
        </w:tc>
        <w:tc>
          <w:tcPr>
            <w:tcW w:w="160" w:type="dxa"/>
            <w:vAlign w:val="bottom"/>
          </w:tcPr>
          <w:p>
            <w:pPr>
              <w:spacing w:after="0"/>
              <w:rPr>
                <w:sz w:val="12"/>
                <w:szCs w:val="12"/>
                <w:color w:val="auto"/>
              </w:rPr>
            </w:pPr>
          </w:p>
        </w:tc>
        <w:tc>
          <w:tcPr>
            <w:tcW w:w="88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15.6%</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(968,333)</w:t>
            </w:r>
          </w:p>
        </w:tc>
        <w:tc>
          <w:tcPr>
            <w:tcW w:w="8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(1,197,207)</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6"/>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483,903</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827,943</w:t>
            </w: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733,004</w:t>
            </w:r>
          </w:p>
        </w:tc>
        <w:tc>
          <w:tcPr>
            <w:tcW w:w="104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b w:val="1"/>
                <w:bCs w:val="1"/>
                <w:color w:val="auto"/>
              </w:rPr>
              <w:t>-11.5%</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b w:val="1"/>
                <w:bCs w:val="1"/>
                <w:color w:val="auto"/>
              </w:rPr>
              <w:t>51.5%</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2,421,245</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3,163,388</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6"/>
          </w:tcPr>
          <w:p>
            <w:pPr>
              <w:spacing w:after="0" w:line="149" w:lineRule="exact"/>
              <w:rPr>
                <w:sz w:val="20"/>
                <w:szCs w:val="20"/>
                <w:color w:val="auto"/>
              </w:rPr>
            </w:pPr>
            <w:r>
              <w:rPr>
                <w:rFonts w:ascii="Arial" w:cs="Arial" w:eastAsia="Arial" w:hAnsi="Arial"/>
                <w:sz w:val="14"/>
                <w:szCs w:val="14"/>
                <w:color w:val="auto"/>
              </w:rPr>
              <w:t>Non-controlling interest</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(11,703)</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20,798</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1,872</w:t>
            </w:r>
          </w:p>
        </w:tc>
        <w:tc>
          <w:tcPr>
            <w:tcW w:w="10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-91.0%</w:t>
            </w:r>
          </w:p>
        </w:tc>
        <w:tc>
          <w:tcPr>
            <w:tcW w:w="160" w:type="dxa"/>
            <w:vAlign w:val="bottom"/>
          </w:tcPr>
          <w:p>
            <w:pPr>
              <w:spacing w:after="0"/>
              <w:rPr>
                <w:sz w:val="12"/>
                <w:szCs w:val="12"/>
                <w:color w:val="auto"/>
              </w:rPr>
            </w:pPr>
          </w:p>
        </w:tc>
        <w:tc>
          <w:tcPr>
            <w:tcW w:w="88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-116.0%</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33,394</w:t>
            </w: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71,082</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6"/>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 attributed to Credicorp</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495,606</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807,145</w:t>
            </w: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731,132</w:t>
            </w:r>
          </w:p>
        </w:tc>
        <w:tc>
          <w:tcPr>
            <w:tcW w:w="104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b w:val="1"/>
                <w:bCs w:val="1"/>
                <w:color w:val="auto"/>
              </w:rPr>
              <w:t>-9.4%</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b w:val="1"/>
                <w:bCs w:val="1"/>
                <w:color w:val="auto"/>
              </w:rPr>
              <w:t>47.5%</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2,387,851</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3,092,306</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29.5%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20" w:type="dxa"/>
            <w:vAlign w:val="bottom"/>
            <w:gridSpan w:val="6"/>
          </w:tcPr>
          <w:p>
            <w:pPr>
              <w:ind w:left="160"/>
              <w:spacing w:after="0" w:line="189" w:lineRule="exact"/>
              <w:rPr>
                <w:sz w:val="20"/>
                <w:szCs w:val="20"/>
                <w:color w:val="auto"/>
              </w:rPr>
            </w:pPr>
            <w:r>
              <w:rPr>
                <w:rFonts w:ascii="Arial" w:cs="Arial" w:eastAsia="Arial" w:hAnsi="Arial"/>
                <w:sz w:val="13"/>
                <w:szCs w:val="13"/>
                <w:color w:val="auto"/>
              </w:rPr>
              <w:t>Non-recurring income (expense)</w:t>
            </w:r>
            <w:r>
              <w:rPr>
                <w:rFonts w:ascii="Arial" w:cs="Arial" w:eastAsia="Arial" w:hAnsi="Arial"/>
                <w:sz w:val="21"/>
                <w:szCs w:val="21"/>
                <w:color w:val="auto"/>
                <w:vertAlign w:val="superscript"/>
              </w:rPr>
              <w:t>(1)</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(130,175)</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61,903</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(38,434)</w:t>
            </w:r>
          </w:p>
        </w:tc>
        <w:tc>
          <w:tcPr>
            <w:tcW w:w="1040" w:type="dxa"/>
            <w:vAlign w:val="bottom"/>
            <w:gridSpan w:val="2"/>
          </w:tcPr>
          <w:p>
            <w:pPr>
              <w:jc w:val="right"/>
              <w:ind w:right="68"/>
              <w:spacing w:after="0"/>
              <w:rPr>
                <w:sz w:val="20"/>
                <w:szCs w:val="20"/>
                <w:color w:val="auto"/>
              </w:rPr>
            </w:pPr>
            <w:r>
              <w:rPr>
                <w:rFonts w:ascii="Arial" w:cs="Arial" w:eastAsia="Arial" w:hAnsi="Arial"/>
                <w:sz w:val="14"/>
                <w:szCs w:val="14"/>
                <w:color w:val="auto"/>
              </w:rPr>
              <w:t>-162.1%</w:t>
            </w:r>
          </w:p>
        </w:tc>
        <w:tc>
          <w:tcPr>
            <w:tcW w:w="160" w:type="dxa"/>
            <w:vAlign w:val="bottom"/>
          </w:tcPr>
          <w:p>
            <w:pPr>
              <w:spacing w:after="0"/>
              <w:rPr>
                <w:sz w:val="16"/>
                <w:szCs w:val="16"/>
                <w:color w:val="auto"/>
              </w:rPr>
            </w:pPr>
          </w:p>
        </w:tc>
        <w:tc>
          <w:tcPr>
            <w:tcW w:w="880" w:type="dxa"/>
            <w:vAlign w:val="bottom"/>
            <w:gridSpan w:val="2"/>
          </w:tcPr>
          <w:p>
            <w:pPr>
              <w:jc w:val="right"/>
              <w:ind w:right="68"/>
              <w:spacing w:after="0"/>
              <w:rPr>
                <w:sz w:val="20"/>
                <w:szCs w:val="20"/>
                <w:color w:val="auto"/>
              </w:rPr>
            </w:pPr>
            <w:r>
              <w:rPr>
                <w:rFonts w:ascii="Arial" w:cs="Arial" w:eastAsia="Arial" w:hAnsi="Arial"/>
                <w:sz w:val="14"/>
                <w:szCs w:val="14"/>
                <w:color w:val="auto"/>
              </w:rPr>
              <w:t>-70.5%</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(60,085)</w:t>
            </w:r>
          </w:p>
        </w:tc>
        <w:tc>
          <w:tcPr>
            <w:tcW w:w="8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141,359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-335.3%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6"/>
            <w:shd w:val="clear" w:color="auto" w:fill="CCEEFF"/>
          </w:tcPr>
          <w:p>
            <w:pPr>
              <w:ind w:left="160"/>
              <w:spacing w:after="0" w:line="149" w:lineRule="exact"/>
              <w:rPr>
                <w:sz w:val="20"/>
                <w:szCs w:val="20"/>
                <w:color w:val="auto"/>
              </w:rPr>
            </w:pPr>
            <w:r>
              <w:rPr>
                <w:rFonts w:ascii="Arial" w:cs="Arial" w:eastAsia="Arial" w:hAnsi="Arial"/>
                <w:sz w:val="14"/>
                <w:szCs w:val="14"/>
                <w:b w:val="1"/>
                <w:bCs w:val="1"/>
                <w:color w:val="auto"/>
              </w:rPr>
              <w:t>Recurring net income</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625,781</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745,242</w:t>
            </w: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769,566</w:t>
            </w:r>
          </w:p>
        </w:tc>
        <w:tc>
          <w:tcPr>
            <w:tcW w:w="104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b w:val="1"/>
                <w:bCs w:val="1"/>
                <w:color w:val="auto"/>
              </w:rPr>
              <w:t>3.3%</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b w:val="1"/>
                <w:bCs w:val="1"/>
                <w:color w:val="auto"/>
              </w:rPr>
              <w:t>23.0%</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2,447,936</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2,950,947</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20.5%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20" w:type="dxa"/>
            <w:vAlign w:val="bottom"/>
            <w:gridSpan w:val="6"/>
          </w:tcPr>
          <w:p>
            <w:pPr>
              <w:spacing w:after="0"/>
              <w:rPr>
                <w:sz w:val="20"/>
                <w:szCs w:val="20"/>
                <w:color w:val="auto"/>
              </w:rPr>
            </w:pPr>
            <w:r>
              <w:rPr>
                <w:rFonts w:ascii="Arial" w:cs="Arial" w:eastAsia="Arial" w:hAnsi="Arial"/>
                <w:sz w:val="14"/>
                <w:szCs w:val="14"/>
                <w:color w:val="auto"/>
              </w:rPr>
              <w:t>Net income/share (S/.)</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6.21</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10.12</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9.17</w:t>
            </w:r>
          </w:p>
        </w:tc>
        <w:tc>
          <w:tcPr>
            <w:tcW w:w="1040" w:type="dxa"/>
            <w:vAlign w:val="bottom"/>
            <w:gridSpan w:val="2"/>
          </w:tcPr>
          <w:p>
            <w:pPr>
              <w:jc w:val="right"/>
              <w:ind w:right="68"/>
              <w:spacing w:after="0"/>
              <w:rPr>
                <w:sz w:val="20"/>
                <w:szCs w:val="20"/>
                <w:color w:val="auto"/>
              </w:rPr>
            </w:pPr>
            <w:r>
              <w:rPr>
                <w:rFonts w:ascii="Arial" w:cs="Arial" w:eastAsia="Arial" w:hAnsi="Arial"/>
                <w:sz w:val="14"/>
                <w:szCs w:val="14"/>
                <w:color w:val="auto"/>
              </w:rPr>
              <w:t>-9.4%</w:t>
            </w:r>
          </w:p>
        </w:tc>
        <w:tc>
          <w:tcPr>
            <w:tcW w:w="160" w:type="dxa"/>
            <w:vAlign w:val="bottom"/>
          </w:tcPr>
          <w:p>
            <w:pPr>
              <w:spacing w:after="0"/>
              <w:rPr>
                <w:sz w:val="14"/>
                <w:szCs w:val="14"/>
                <w:color w:val="auto"/>
              </w:rPr>
            </w:pPr>
          </w:p>
        </w:tc>
        <w:tc>
          <w:tcPr>
            <w:tcW w:w="880" w:type="dxa"/>
            <w:vAlign w:val="bottom"/>
            <w:gridSpan w:val="2"/>
          </w:tcPr>
          <w:p>
            <w:pPr>
              <w:jc w:val="right"/>
              <w:ind w:right="68"/>
              <w:spacing w:after="0"/>
              <w:rPr>
                <w:sz w:val="20"/>
                <w:szCs w:val="20"/>
                <w:color w:val="auto"/>
              </w:rPr>
            </w:pPr>
            <w:r>
              <w:rPr>
                <w:rFonts w:ascii="Arial" w:cs="Arial" w:eastAsia="Arial" w:hAnsi="Arial"/>
                <w:sz w:val="14"/>
                <w:szCs w:val="14"/>
                <w:color w:val="auto"/>
              </w:rPr>
              <w:t>47.5%</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29.94</w:t>
            </w:r>
          </w:p>
        </w:tc>
        <w:tc>
          <w:tcPr>
            <w:tcW w:w="8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38.77</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gridSpan w:val="6"/>
            <w:vMerge w:val="restart"/>
            <w:shd w:val="clear" w:color="auto" w:fill="CCEEFF"/>
          </w:tcPr>
          <w:p>
            <w:pPr>
              <w:spacing w:after="0"/>
              <w:rPr>
                <w:sz w:val="20"/>
                <w:szCs w:val="20"/>
                <w:color w:val="auto"/>
              </w:rPr>
            </w:pPr>
            <w:r>
              <w:rPr>
                <w:rFonts w:ascii="Arial" w:cs="Arial" w:eastAsia="Arial" w:hAnsi="Arial"/>
                <w:sz w:val="14"/>
                <w:szCs w:val="14"/>
                <w:color w:val="auto"/>
              </w:rPr>
              <w:t>Total loans</w:t>
            </w:r>
          </w:p>
        </w:tc>
        <w:tc>
          <w:tcPr>
            <w:tcW w:w="7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gridSpan w:val="6"/>
            <w:vMerge w:val="continue"/>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79,889,948</w:t>
            </w:r>
          </w:p>
        </w:tc>
        <w:tc>
          <w:tcPr>
            <w:tcW w:w="240" w:type="dxa"/>
            <w:vAlign w:val="bottom"/>
            <w:vMerge w:val="continue"/>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87,842,690</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90,328,499</w:t>
            </w:r>
          </w:p>
        </w:tc>
        <w:tc>
          <w:tcPr>
            <w:tcW w:w="220" w:type="dxa"/>
            <w:vAlign w:val="bottom"/>
            <w:vMerge w:val="continue"/>
            <w:shd w:val="clear" w:color="auto" w:fill="CCEEFF"/>
          </w:tcPr>
          <w:p>
            <w:pPr>
              <w:spacing w:after="0"/>
              <w:rPr>
                <w:sz w:val="12"/>
                <w:szCs w:val="12"/>
                <w:color w:val="auto"/>
              </w:rPr>
            </w:pPr>
          </w:p>
        </w:tc>
        <w:tc>
          <w:tcPr>
            <w:tcW w:w="104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2.8%</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13.1%</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79,889,948</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90,328,499</w:t>
            </w:r>
          </w:p>
        </w:tc>
        <w:tc>
          <w:tcPr>
            <w:tcW w:w="220" w:type="dxa"/>
            <w:vAlign w:val="bottom"/>
            <w:vMerge w:val="continue"/>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6"/>
          </w:tcPr>
          <w:p>
            <w:pPr>
              <w:spacing w:after="0" w:line="149" w:lineRule="exact"/>
              <w:rPr>
                <w:sz w:val="20"/>
                <w:szCs w:val="20"/>
                <w:color w:val="auto"/>
              </w:rPr>
            </w:pPr>
            <w:r>
              <w:rPr>
                <w:rFonts w:ascii="Arial" w:cs="Arial" w:eastAsia="Arial" w:hAnsi="Arial"/>
                <w:sz w:val="14"/>
                <w:szCs w:val="14"/>
                <w:color w:val="auto"/>
              </w:rPr>
              <w:t>Deposits and obligations</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77,160,494</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86,426,707</w:t>
            </w:r>
          </w:p>
        </w:tc>
        <w:tc>
          <w:tcPr>
            <w:tcW w:w="22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90,593,302</w:t>
            </w:r>
          </w:p>
        </w:tc>
        <w:tc>
          <w:tcPr>
            <w:tcW w:w="10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4.8%</w:t>
            </w:r>
          </w:p>
        </w:tc>
        <w:tc>
          <w:tcPr>
            <w:tcW w:w="160" w:type="dxa"/>
            <w:vAlign w:val="bottom"/>
          </w:tcPr>
          <w:p>
            <w:pPr>
              <w:spacing w:after="0"/>
              <w:rPr>
                <w:sz w:val="12"/>
                <w:szCs w:val="12"/>
                <w:color w:val="auto"/>
              </w:rPr>
            </w:pPr>
          </w:p>
        </w:tc>
        <w:tc>
          <w:tcPr>
            <w:tcW w:w="88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17.4%</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77,160,494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6"/>
              </w:rPr>
              <w:t>90,593,302</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20" w:type="dxa"/>
            <w:vAlign w:val="bottom"/>
            <w:gridSpan w:val="6"/>
            <w:shd w:val="clear" w:color="auto" w:fill="CCEEFF"/>
          </w:tcPr>
          <w:p>
            <w:pPr>
              <w:spacing w:after="0"/>
              <w:rPr>
                <w:sz w:val="20"/>
                <w:szCs w:val="20"/>
                <w:color w:val="auto"/>
              </w:rPr>
            </w:pPr>
            <w:r>
              <w:rPr>
                <w:rFonts w:ascii="Arial" w:cs="Arial" w:eastAsia="Arial" w:hAnsi="Arial"/>
                <w:sz w:val="14"/>
                <w:szCs w:val="14"/>
                <w:color w:val="auto"/>
              </w:rPr>
              <w:t>Net shareholders' equity</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13,979,455</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15,153,252</w:t>
            </w: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16,128,015</w:t>
            </w:r>
          </w:p>
        </w:tc>
        <w:tc>
          <w:tcPr>
            <w:tcW w:w="10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6.4%</w:t>
            </w:r>
          </w:p>
        </w:tc>
        <w:tc>
          <w:tcPr>
            <w:tcW w:w="1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15.4%</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13,979,455</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96"/>
              </w:rPr>
              <w:t>16,128,015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93"/>
              </w:rPr>
              <w:t>Profitability</w:t>
            </w:r>
          </w:p>
        </w:tc>
        <w:tc>
          <w:tcPr>
            <w:tcW w:w="2580" w:type="dxa"/>
            <w:vAlign w:val="bottom"/>
            <w:gridSpan w:val="5"/>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gridSpan w:val="6"/>
            <w:shd w:val="clear" w:color="auto" w:fill="CCEEFF"/>
          </w:tcPr>
          <w:p>
            <w:pPr>
              <w:spacing w:after="0" w:line="142" w:lineRule="exact"/>
              <w:rPr>
                <w:sz w:val="20"/>
                <w:szCs w:val="20"/>
                <w:color w:val="auto"/>
              </w:rPr>
            </w:pPr>
            <w:r>
              <w:rPr>
                <w:rFonts w:ascii="Arial" w:cs="Arial" w:eastAsia="Arial" w:hAnsi="Arial"/>
                <w:sz w:val="14"/>
                <w:szCs w:val="14"/>
                <w:color w:val="auto"/>
              </w:rPr>
              <w:t>Net interest margin</w:t>
            </w:r>
          </w:p>
        </w:tc>
        <w:tc>
          <w:tcPr>
            <w:tcW w:w="102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5.66%</w:t>
            </w:r>
          </w:p>
        </w:tc>
        <w:tc>
          <w:tcPr>
            <w:tcW w:w="100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5.49%</w:t>
            </w:r>
          </w:p>
        </w:tc>
        <w:tc>
          <w:tcPr>
            <w:tcW w:w="102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5.55%</w:t>
            </w:r>
          </w:p>
        </w:tc>
        <w:tc>
          <w:tcPr>
            <w:tcW w:w="1200" w:type="dxa"/>
            <w:vAlign w:val="bottom"/>
            <w:gridSpan w:val="3"/>
            <w:shd w:val="clear" w:color="auto" w:fill="CCEEFF"/>
          </w:tcPr>
          <w:p>
            <w:pPr>
              <w:jc w:val="right"/>
              <w:ind w:right="420"/>
              <w:spacing w:after="0" w:line="142" w:lineRule="exact"/>
              <w:rPr>
                <w:sz w:val="20"/>
                <w:szCs w:val="20"/>
                <w:color w:val="auto"/>
              </w:rPr>
            </w:pPr>
            <w:r>
              <w:rPr>
                <w:rFonts w:ascii="Arial" w:cs="Arial" w:eastAsia="Arial" w:hAnsi="Arial"/>
                <w:sz w:val="14"/>
                <w:szCs w:val="14"/>
                <w:color w:val="auto"/>
              </w:rPr>
              <w:t>6 bps</w:t>
            </w:r>
          </w:p>
        </w:tc>
        <w:tc>
          <w:tcPr>
            <w:tcW w:w="880" w:type="dxa"/>
            <w:vAlign w:val="bottom"/>
            <w:gridSpan w:val="2"/>
            <w:shd w:val="clear" w:color="auto" w:fill="CCEEFF"/>
          </w:tcPr>
          <w:p>
            <w:pPr>
              <w:jc w:val="right"/>
              <w:ind w:right="188"/>
              <w:spacing w:after="0" w:line="142" w:lineRule="exact"/>
              <w:rPr>
                <w:sz w:val="20"/>
                <w:szCs w:val="20"/>
                <w:color w:val="auto"/>
              </w:rPr>
            </w:pPr>
            <w:r>
              <w:rPr>
                <w:rFonts w:ascii="Arial" w:cs="Arial" w:eastAsia="Arial" w:hAnsi="Arial"/>
                <w:sz w:val="14"/>
                <w:szCs w:val="14"/>
                <w:color w:val="auto"/>
              </w:rPr>
              <w:t>-11 bps</w:t>
            </w:r>
          </w:p>
        </w:tc>
        <w:tc>
          <w:tcPr>
            <w:tcW w:w="102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5.68%</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5.60%</w:t>
            </w:r>
          </w:p>
        </w:tc>
        <w:tc>
          <w:tcPr>
            <w:tcW w:w="94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-8 bps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6"/>
          </w:tcPr>
          <w:p>
            <w:pPr>
              <w:spacing w:after="0" w:line="149" w:lineRule="exact"/>
              <w:rPr>
                <w:sz w:val="20"/>
                <w:szCs w:val="20"/>
                <w:color w:val="auto"/>
              </w:rPr>
            </w:pPr>
            <w:r>
              <w:rPr>
                <w:rFonts w:ascii="Arial" w:cs="Arial" w:eastAsia="Arial" w:hAnsi="Arial"/>
                <w:sz w:val="14"/>
                <w:szCs w:val="14"/>
                <w:color w:val="auto"/>
              </w:rPr>
              <w:t>Funding cost</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1.91%</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1.97%</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2.01%</w:t>
            </w:r>
          </w:p>
        </w:tc>
        <w:tc>
          <w:tcPr>
            <w:tcW w:w="120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rPr>
              <w:t>4 bps</w:t>
            </w:r>
          </w:p>
        </w:tc>
        <w:tc>
          <w:tcPr>
            <w:tcW w:w="88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10 bps</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1.94%</w:t>
            </w:r>
          </w:p>
        </w:tc>
        <w:tc>
          <w:tcPr>
            <w:tcW w:w="8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1.97%</w:t>
            </w:r>
          </w:p>
        </w:tc>
        <w:tc>
          <w:tcPr>
            <w:tcW w:w="9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3 bps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6"/>
            <w:shd w:val="clear" w:color="auto" w:fill="CCEEFF"/>
          </w:tcPr>
          <w:p>
            <w:pPr>
              <w:spacing w:after="0" w:line="149" w:lineRule="exact"/>
              <w:rPr>
                <w:sz w:val="20"/>
                <w:szCs w:val="20"/>
                <w:color w:val="auto"/>
              </w:rPr>
            </w:pPr>
            <w:r>
              <w:rPr>
                <w:rFonts w:ascii="Arial" w:cs="Arial" w:eastAsia="Arial" w:hAnsi="Arial"/>
                <w:sz w:val="14"/>
                <w:szCs w:val="14"/>
                <w:color w:val="auto"/>
              </w:rPr>
              <w:t>ROAE</w:t>
            </w: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14.5%</w:t>
            </w: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21.6%</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18.7%</w:t>
            </w:r>
          </w:p>
        </w:tc>
        <w:tc>
          <w:tcPr>
            <w:tcW w:w="120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-290 bps</w:t>
            </w:r>
          </w:p>
        </w:tc>
        <w:tc>
          <w:tcPr>
            <w:tcW w:w="880" w:type="dxa"/>
            <w:vAlign w:val="bottom"/>
            <w:gridSpan w:val="2"/>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420 bps</w:t>
            </w: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18.5%</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20.5%</w:t>
            </w:r>
          </w:p>
        </w:tc>
        <w:tc>
          <w:tcPr>
            <w:tcW w:w="9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200 bps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20" w:type="dxa"/>
            <w:vAlign w:val="bottom"/>
            <w:gridSpan w:val="6"/>
          </w:tcPr>
          <w:p>
            <w:pPr>
              <w:spacing w:after="0" w:line="189" w:lineRule="exact"/>
              <w:rPr>
                <w:sz w:val="20"/>
                <w:szCs w:val="20"/>
                <w:color w:val="auto"/>
              </w:rPr>
            </w:pPr>
            <w:r>
              <w:rPr>
                <w:rFonts w:ascii="Arial" w:cs="Arial" w:eastAsia="Arial" w:hAnsi="Arial"/>
                <w:sz w:val="13"/>
                <w:szCs w:val="13"/>
                <w:color w:val="auto"/>
              </w:rPr>
              <w:t xml:space="preserve">Recurring ROAE </w:t>
            </w:r>
            <w:r>
              <w:rPr>
                <w:rFonts w:ascii="Arial" w:cs="Arial" w:eastAsia="Arial" w:hAnsi="Arial"/>
                <w:sz w:val="21"/>
                <w:szCs w:val="21"/>
                <w:color w:val="auto"/>
                <w:vertAlign w:val="superscript"/>
              </w:rPr>
              <w:t>(2)</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18.3%</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20.1%</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19.9%</w:t>
            </w:r>
          </w:p>
        </w:tc>
        <w:tc>
          <w:tcPr>
            <w:tcW w:w="1200" w:type="dxa"/>
            <w:vAlign w:val="bottom"/>
            <w:gridSpan w:val="3"/>
          </w:tcPr>
          <w:p>
            <w:pPr>
              <w:jc w:val="right"/>
              <w:ind w:right="420"/>
              <w:spacing w:after="0"/>
              <w:rPr>
                <w:sz w:val="20"/>
                <w:szCs w:val="20"/>
                <w:color w:val="auto"/>
              </w:rPr>
            </w:pPr>
            <w:r>
              <w:rPr>
                <w:rFonts w:ascii="Arial" w:cs="Arial" w:eastAsia="Arial" w:hAnsi="Arial"/>
                <w:sz w:val="14"/>
                <w:szCs w:val="14"/>
                <w:color w:val="auto"/>
              </w:rPr>
              <w:t>-20 bps</w:t>
            </w:r>
          </w:p>
        </w:tc>
        <w:tc>
          <w:tcPr>
            <w:tcW w:w="880" w:type="dxa"/>
            <w:vAlign w:val="bottom"/>
            <w:gridSpan w:val="2"/>
          </w:tcPr>
          <w:p>
            <w:pPr>
              <w:jc w:val="right"/>
              <w:ind w:right="188"/>
              <w:spacing w:after="0"/>
              <w:rPr>
                <w:sz w:val="20"/>
                <w:szCs w:val="20"/>
                <w:color w:val="auto"/>
              </w:rPr>
            </w:pPr>
            <w:r>
              <w:rPr>
                <w:rFonts w:ascii="Arial" w:cs="Arial" w:eastAsia="Arial" w:hAnsi="Arial"/>
                <w:sz w:val="14"/>
                <w:szCs w:val="14"/>
                <w:color w:val="auto"/>
              </w:rPr>
              <w:t>160 bps</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18.6%</w:t>
            </w:r>
          </w:p>
        </w:tc>
        <w:tc>
          <w:tcPr>
            <w:tcW w:w="8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19.7%</w:t>
            </w:r>
          </w:p>
        </w:tc>
        <w:tc>
          <w:tcPr>
            <w:tcW w:w="940" w:type="dxa"/>
            <w:vAlign w:val="bottom"/>
            <w:gridSpan w:val="2"/>
          </w:tcPr>
          <w:p>
            <w:pPr>
              <w:jc w:val="right"/>
              <w:ind w:right="68"/>
              <w:spacing w:after="0"/>
              <w:rPr>
                <w:sz w:val="20"/>
                <w:szCs w:val="20"/>
                <w:color w:val="auto"/>
              </w:rPr>
            </w:pPr>
            <w:r>
              <w:rPr>
                <w:rFonts w:ascii="Arial" w:cs="Arial" w:eastAsia="Arial" w:hAnsi="Arial"/>
                <w:sz w:val="14"/>
                <w:szCs w:val="14"/>
                <w:color w:val="auto"/>
              </w:rPr>
              <w:t>110 bps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6"/>
            <w:shd w:val="clear" w:color="auto" w:fill="CCEEFF"/>
          </w:tcPr>
          <w:p>
            <w:pPr>
              <w:spacing w:after="0" w:line="149" w:lineRule="exact"/>
              <w:rPr>
                <w:sz w:val="20"/>
                <w:szCs w:val="20"/>
                <w:color w:val="auto"/>
              </w:rPr>
            </w:pPr>
            <w:r>
              <w:rPr>
                <w:rFonts w:ascii="Arial" w:cs="Arial" w:eastAsia="Arial" w:hAnsi="Arial"/>
                <w:sz w:val="14"/>
                <w:szCs w:val="14"/>
                <w:color w:val="auto"/>
              </w:rPr>
              <w:t>ROAA</w:t>
            </w: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w:t>
            </w: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w:t>
            </w:r>
          </w:p>
        </w:tc>
        <w:tc>
          <w:tcPr>
            <w:tcW w:w="120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-30 bps</w:t>
            </w:r>
          </w:p>
        </w:tc>
        <w:tc>
          <w:tcPr>
            <w:tcW w:w="880" w:type="dxa"/>
            <w:vAlign w:val="bottom"/>
            <w:gridSpan w:val="2"/>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40 bps</w:t>
            </w: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w:t>
            </w:r>
          </w:p>
        </w:tc>
        <w:tc>
          <w:tcPr>
            <w:tcW w:w="9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20 bps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20" w:type="dxa"/>
            <w:vAlign w:val="bottom"/>
            <w:gridSpan w:val="6"/>
          </w:tcPr>
          <w:p>
            <w:pPr>
              <w:spacing w:after="0" w:line="202" w:lineRule="exact"/>
              <w:rPr>
                <w:sz w:val="20"/>
                <w:szCs w:val="20"/>
                <w:color w:val="auto"/>
              </w:rPr>
            </w:pPr>
            <w:r>
              <w:rPr>
                <w:rFonts w:ascii="Arial" w:cs="Arial" w:eastAsia="Arial" w:hAnsi="Arial"/>
                <w:sz w:val="14"/>
                <w:szCs w:val="14"/>
                <w:color w:val="auto"/>
              </w:rPr>
              <w:t xml:space="preserve">Recurring ROAA </w:t>
            </w:r>
            <w:r>
              <w:rPr>
                <w:rFonts w:ascii="Arial" w:cs="Arial" w:eastAsia="Arial" w:hAnsi="Arial"/>
                <w:sz w:val="23"/>
                <w:szCs w:val="23"/>
                <w:color w:val="auto"/>
                <w:vertAlign w:val="superscript"/>
              </w:rPr>
              <w:t>(3)</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1.9%</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2.0%</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2.0%</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188"/>
              <w:spacing w:after="0"/>
              <w:rPr>
                <w:sz w:val="20"/>
                <w:szCs w:val="20"/>
                <w:color w:val="auto"/>
              </w:rPr>
            </w:pPr>
            <w:r>
              <w:rPr>
                <w:rFonts w:ascii="Arial" w:cs="Arial" w:eastAsia="Arial" w:hAnsi="Arial"/>
                <w:sz w:val="14"/>
                <w:szCs w:val="14"/>
                <w:color w:val="auto"/>
              </w:rPr>
              <w:t>10 bps</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2.0%</w:t>
            </w:r>
          </w:p>
        </w:tc>
        <w:tc>
          <w:tcPr>
            <w:tcW w:w="8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2.0%</w:t>
            </w:r>
          </w:p>
        </w:tc>
        <w:tc>
          <w:tcPr>
            <w:tcW w:w="94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320" w:type="dxa"/>
            <w:vAlign w:val="bottom"/>
            <w:tcBorders>
              <w:top w:val="single" w:sz="8" w:color="CCEEFF"/>
            </w:tcBorders>
            <w:gridSpan w:val="6"/>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Loan portfolio quality</w:t>
            </w:r>
          </w:p>
        </w:tc>
        <w:tc>
          <w:tcPr>
            <w:tcW w:w="7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340" w:type="dxa"/>
            <w:vAlign w:val="bottom"/>
            <w:tcBorders>
              <w:top w:val="single" w:sz="8" w:color="auto"/>
            </w:tcBorders>
            <w:gridSpan w:val="4"/>
          </w:tcPr>
          <w:p>
            <w:pPr>
              <w:spacing w:after="0" w:line="142" w:lineRule="exact"/>
              <w:rPr>
                <w:sz w:val="20"/>
                <w:szCs w:val="20"/>
                <w:color w:val="auto"/>
              </w:rPr>
            </w:pPr>
            <w:r>
              <w:rPr>
                <w:rFonts w:ascii="Arial" w:cs="Arial" w:eastAsia="Arial" w:hAnsi="Arial"/>
                <w:sz w:val="14"/>
                <w:szCs w:val="14"/>
                <w:color w:val="auto"/>
              </w:rPr>
              <w:t>PDL over 90 days</w:t>
            </w:r>
          </w:p>
        </w:tc>
        <w:tc>
          <w:tcPr>
            <w:tcW w:w="1980" w:type="dxa"/>
            <w:vAlign w:val="bottom"/>
            <w:tcBorders>
              <w:top w:val="single" w:sz="8" w:color="CCEEFF"/>
            </w:tcBorders>
            <w:gridSpan w:val="2"/>
          </w:tcPr>
          <w:p>
            <w:pPr>
              <w:spacing w:after="0"/>
              <w:rPr>
                <w:sz w:val="12"/>
                <w:szCs w:val="12"/>
                <w:color w:val="auto"/>
              </w:rPr>
            </w:pPr>
          </w:p>
        </w:tc>
        <w:tc>
          <w:tcPr>
            <w:tcW w:w="1020" w:type="dxa"/>
            <w:vAlign w:val="bottom"/>
            <w:tcBorders>
              <w:top w:val="single" w:sz="8" w:color="CCEEFF"/>
            </w:tcBorders>
            <w:gridSpan w:val="2"/>
          </w:tcPr>
          <w:p>
            <w:pPr>
              <w:jc w:val="right"/>
              <w:ind w:right="120"/>
              <w:spacing w:after="0" w:line="142" w:lineRule="exact"/>
              <w:rPr>
                <w:sz w:val="20"/>
                <w:szCs w:val="20"/>
                <w:color w:val="auto"/>
              </w:rPr>
            </w:pPr>
            <w:r>
              <w:rPr>
                <w:rFonts w:ascii="Arial" w:cs="Arial" w:eastAsia="Arial" w:hAnsi="Arial"/>
                <w:sz w:val="14"/>
                <w:szCs w:val="14"/>
                <w:color w:val="auto"/>
              </w:rPr>
              <w:t>1.78%</w:t>
            </w:r>
          </w:p>
        </w:tc>
        <w:tc>
          <w:tcPr>
            <w:tcW w:w="1000" w:type="dxa"/>
            <w:vAlign w:val="bottom"/>
            <w:tcBorders>
              <w:top w:val="single" w:sz="8" w:color="CCEEFF"/>
            </w:tcBorders>
            <w:gridSpan w:val="2"/>
          </w:tcPr>
          <w:p>
            <w:pPr>
              <w:jc w:val="right"/>
              <w:ind w:right="100"/>
              <w:spacing w:after="0" w:line="142" w:lineRule="exact"/>
              <w:rPr>
                <w:sz w:val="20"/>
                <w:szCs w:val="20"/>
                <w:color w:val="auto"/>
              </w:rPr>
            </w:pPr>
            <w:r>
              <w:rPr>
                <w:rFonts w:ascii="Arial" w:cs="Arial" w:eastAsia="Arial" w:hAnsi="Arial"/>
                <w:sz w:val="14"/>
                <w:szCs w:val="14"/>
                <w:color w:val="auto"/>
              </w:rPr>
              <w:t>1.88%</w:t>
            </w:r>
          </w:p>
        </w:tc>
        <w:tc>
          <w:tcPr>
            <w:tcW w:w="1020" w:type="dxa"/>
            <w:vAlign w:val="bottom"/>
            <w:tcBorders>
              <w:top w:val="single" w:sz="8" w:color="CCEEFF"/>
            </w:tcBorders>
            <w:gridSpan w:val="2"/>
          </w:tcPr>
          <w:p>
            <w:pPr>
              <w:jc w:val="right"/>
              <w:ind w:right="100"/>
              <w:spacing w:after="0" w:line="142" w:lineRule="exact"/>
              <w:rPr>
                <w:sz w:val="20"/>
                <w:szCs w:val="20"/>
                <w:color w:val="auto"/>
              </w:rPr>
            </w:pPr>
            <w:r>
              <w:rPr>
                <w:rFonts w:ascii="Arial" w:cs="Arial" w:eastAsia="Arial" w:hAnsi="Arial"/>
                <w:sz w:val="14"/>
                <w:szCs w:val="14"/>
                <w:color w:val="auto"/>
              </w:rPr>
              <w:t>1.80%</w:t>
            </w:r>
          </w:p>
        </w:tc>
        <w:tc>
          <w:tcPr>
            <w:tcW w:w="1200" w:type="dxa"/>
            <w:vAlign w:val="bottom"/>
            <w:tcBorders>
              <w:top w:val="single" w:sz="8" w:color="CCEEFF"/>
            </w:tcBorders>
            <w:gridSpan w:val="3"/>
          </w:tcPr>
          <w:p>
            <w:pPr>
              <w:jc w:val="right"/>
              <w:ind w:right="420"/>
              <w:spacing w:after="0" w:line="142" w:lineRule="exact"/>
              <w:rPr>
                <w:sz w:val="20"/>
                <w:szCs w:val="20"/>
                <w:color w:val="auto"/>
              </w:rPr>
            </w:pPr>
            <w:r>
              <w:rPr>
                <w:rFonts w:ascii="Arial" w:cs="Arial" w:eastAsia="Arial" w:hAnsi="Arial"/>
                <w:sz w:val="14"/>
                <w:szCs w:val="14"/>
                <w:color w:val="auto"/>
              </w:rPr>
              <w:t>-8 bps</w:t>
            </w:r>
          </w:p>
        </w:tc>
        <w:tc>
          <w:tcPr>
            <w:tcW w:w="880" w:type="dxa"/>
            <w:vAlign w:val="bottom"/>
            <w:tcBorders>
              <w:top w:val="single" w:sz="8" w:color="CCEEFF"/>
            </w:tcBorders>
            <w:gridSpan w:val="2"/>
          </w:tcPr>
          <w:p>
            <w:pPr>
              <w:jc w:val="right"/>
              <w:ind w:right="188"/>
              <w:spacing w:after="0" w:line="142" w:lineRule="exact"/>
              <w:rPr>
                <w:sz w:val="20"/>
                <w:szCs w:val="20"/>
                <w:color w:val="auto"/>
              </w:rPr>
            </w:pPr>
            <w:r>
              <w:rPr>
                <w:rFonts w:ascii="Arial" w:cs="Arial" w:eastAsia="Arial" w:hAnsi="Arial"/>
                <w:sz w:val="14"/>
                <w:szCs w:val="14"/>
                <w:color w:val="auto"/>
              </w:rPr>
              <w:t>2 bps</w:t>
            </w:r>
          </w:p>
        </w:tc>
        <w:tc>
          <w:tcPr>
            <w:tcW w:w="1020" w:type="dxa"/>
            <w:vAlign w:val="bottom"/>
            <w:tcBorders>
              <w:top w:val="single" w:sz="8" w:color="CCEEFF"/>
            </w:tcBorders>
            <w:gridSpan w:val="2"/>
          </w:tcPr>
          <w:p>
            <w:pPr>
              <w:jc w:val="right"/>
              <w:ind w:right="120"/>
              <w:spacing w:after="0" w:line="142" w:lineRule="exact"/>
              <w:rPr>
                <w:sz w:val="20"/>
                <w:szCs w:val="20"/>
                <w:color w:val="auto"/>
              </w:rPr>
            </w:pPr>
            <w:r>
              <w:rPr>
                <w:rFonts w:ascii="Arial" w:cs="Arial" w:eastAsia="Arial" w:hAnsi="Arial"/>
                <w:sz w:val="14"/>
                <w:szCs w:val="14"/>
                <w:color w:val="auto"/>
              </w:rPr>
              <w:t>1.78%</w:t>
            </w:r>
          </w:p>
        </w:tc>
        <w:tc>
          <w:tcPr>
            <w:tcW w:w="80" w:type="dxa"/>
            <w:vAlign w:val="bottom"/>
            <w:tcBorders>
              <w:top w:val="single" w:sz="8" w:color="CCEEFF"/>
            </w:tcBorders>
          </w:tcPr>
          <w:p>
            <w:pPr>
              <w:spacing w:after="0"/>
              <w:rPr>
                <w:sz w:val="12"/>
                <w:szCs w:val="12"/>
                <w:color w:val="auto"/>
              </w:rPr>
            </w:pPr>
          </w:p>
        </w:tc>
        <w:tc>
          <w:tcPr>
            <w:tcW w:w="920" w:type="dxa"/>
            <w:vAlign w:val="bottom"/>
            <w:tcBorders>
              <w:top w:val="single" w:sz="8" w:color="CCEEFF"/>
            </w:tcBorders>
            <w:gridSpan w:val="2"/>
          </w:tcPr>
          <w:p>
            <w:pPr>
              <w:jc w:val="right"/>
              <w:ind w:right="100"/>
              <w:spacing w:after="0" w:line="142" w:lineRule="exact"/>
              <w:rPr>
                <w:sz w:val="20"/>
                <w:szCs w:val="20"/>
                <w:color w:val="auto"/>
              </w:rPr>
            </w:pPr>
            <w:r>
              <w:rPr>
                <w:rFonts w:ascii="Arial" w:cs="Arial" w:eastAsia="Arial" w:hAnsi="Arial"/>
                <w:sz w:val="14"/>
                <w:szCs w:val="14"/>
                <w:color w:val="auto"/>
              </w:rPr>
              <w:t>1.80%</w:t>
            </w:r>
          </w:p>
        </w:tc>
        <w:tc>
          <w:tcPr>
            <w:tcW w:w="940" w:type="dxa"/>
            <w:vAlign w:val="bottom"/>
            <w:tcBorders>
              <w:top w:val="single" w:sz="8" w:color="CCEEFF"/>
            </w:tcBorders>
            <w:gridSpan w:val="2"/>
          </w:tcPr>
          <w:p>
            <w:pPr>
              <w:jc w:val="right"/>
              <w:ind w:right="68"/>
              <w:spacing w:after="0" w:line="142" w:lineRule="exact"/>
              <w:rPr>
                <w:sz w:val="20"/>
                <w:szCs w:val="20"/>
                <w:color w:val="auto"/>
              </w:rPr>
            </w:pPr>
            <w:r>
              <w:rPr>
                <w:rFonts w:ascii="Arial" w:cs="Arial" w:eastAsia="Arial" w:hAnsi="Arial"/>
                <w:sz w:val="14"/>
                <w:szCs w:val="14"/>
                <w:color w:val="auto"/>
              </w:rPr>
              <w:t>2 bps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20" w:type="dxa"/>
            <w:vAlign w:val="bottom"/>
            <w:gridSpan w:val="6"/>
            <w:shd w:val="clear" w:color="auto" w:fill="CCEEFF"/>
          </w:tcPr>
          <w:p>
            <w:pPr>
              <w:spacing w:after="0" w:line="189" w:lineRule="exact"/>
              <w:rPr>
                <w:sz w:val="20"/>
                <w:szCs w:val="20"/>
                <w:color w:val="auto"/>
              </w:rPr>
            </w:pPr>
            <w:r>
              <w:rPr>
                <w:rFonts w:ascii="Arial" w:cs="Arial" w:eastAsia="Arial" w:hAnsi="Arial"/>
                <w:sz w:val="13"/>
                <w:szCs w:val="13"/>
                <w:color w:val="auto"/>
              </w:rPr>
              <w:t xml:space="preserve">Internal overdue ratio </w:t>
            </w:r>
            <w:r>
              <w:rPr>
                <w:rFonts w:ascii="Arial" w:cs="Arial" w:eastAsia="Arial" w:hAnsi="Arial"/>
                <w:sz w:val="21"/>
                <w:szCs w:val="21"/>
                <w:color w:val="auto"/>
                <w:vertAlign w:val="superscript"/>
              </w:rPr>
              <w:t>(4)</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2.51%</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2.57%</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2.56%</w:t>
            </w:r>
          </w:p>
        </w:tc>
        <w:tc>
          <w:tcPr>
            <w:tcW w:w="1200" w:type="dxa"/>
            <w:vAlign w:val="bottom"/>
            <w:gridSpan w:val="3"/>
            <w:shd w:val="clear" w:color="auto" w:fill="CCEEFF"/>
          </w:tcPr>
          <w:p>
            <w:pPr>
              <w:jc w:val="right"/>
              <w:ind w:right="420"/>
              <w:spacing w:after="0"/>
              <w:rPr>
                <w:sz w:val="20"/>
                <w:szCs w:val="20"/>
                <w:color w:val="auto"/>
              </w:rPr>
            </w:pPr>
            <w:r>
              <w:rPr>
                <w:rFonts w:ascii="Arial" w:cs="Arial" w:eastAsia="Arial" w:hAnsi="Arial"/>
                <w:sz w:val="14"/>
                <w:szCs w:val="14"/>
                <w:color w:val="auto"/>
              </w:rPr>
              <w:t>-1 bps</w:t>
            </w:r>
          </w:p>
        </w:tc>
        <w:tc>
          <w:tcPr>
            <w:tcW w:w="88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5 bps</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2.51%</w:t>
            </w: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2.56%</w:t>
            </w:r>
          </w:p>
        </w:tc>
        <w:tc>
          <w:tcPr>
            <w:tcW w:w="9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5 bps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20" w:type="dxa"/>
            <w:vAlign w:val="bottom"/>
            <w:gridSpan w:val="6"/>
          </w:tcPr>
          <w:p>
            <w:pPr>
              <w:spacing w:after="0" w:line="189" w:lineRule="exact"/>
              <w:rPr>
                <w:sz w:val="20"/>
                <w:szCs w:val="20"/>
                <w:color w:val="auto"/>
              </w:rPr>
            </w:pPr>
            <w:r>
              <w:rPr>
                <w:rFonts w:ascii="Arial" w:cs="Arial" w:eastAsia="Arial" w:hAnsi="Arial"/>
                <w:sz w:val="13"/>
                <w:szCs w:val="13"/>
                <w:color w:val="auto"/>
              </w:rPr>
              <w:t xml:space="preserve">NPL ratio </w:t>
            </w:r>
            <w:r>
              <w:rPr>
                <w:rFonts w:ascii="Arial" w:cs="Arial" w:eastAsia="Arial" w:hAnsi="Arial"/>
                <w:sz w:val="21"/>
                <w:szCs w:val="21"/>
                <w:color w:val="auto"/>
                <w:vertAlign w:val="superscript"/>
              </w:rPr>
              <w:t>(5)</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3.33%</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3.40%</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3.41%</w:t>
            </w:r>
          </w:p>
        </w:tc>
        <w:tc>
          <w:tcPr>
            <w:tcW w:w="1200" w:type="dxa"/>
            <w:vAlign w:val="bottom"/>
            <w:gridSpan w:val="3"/>
          </w:tcPr>
          <w:p>
            <w:pPr>
              <w:jc w:val="right"/>
              <w:ind w:right="420"/>
              <w:spacing w:after="0"/>
              <w:rPr>
                <w:sz w:val="20"/>
                <w:szCs w:val="20"/>
                <w:color w:val="auto"/>
              </w:rPr>
            </w:pPr>
            <w:r>
              <w:rPr>
                <w:rFonts w:ascii="Arial" w:cs="Arial" w:eastAsia="Arial" w:hAnsi="Arial"/>
                <w:sz w:val="14"/>
                <w:szCs w:val="14"/>
                <w:color w:val="auto"/>
              </w:rPr>
              <w:t>1 bps</w:t>
            </w:r>
          </w:p>
        </w:tc>
        <w:tc>
          <w:tcPr>
            <w:tcW w:w="880" w:type="dxa"/>
            <w:vAlign w:val="bottom"/>
            <w:gridSpan w:val="2"/>
          </w:tcPr>
          <w:p>
            <w:pPr>
              <w:jc w:val="right"/>
              <w:ind w:right="188"/>
              <w:spacing w:after="0"/>
              <w:rPr>
                <w:sz w:val="20"/>
                <w:szCs w:val="20"/>
                <w:color w:val="auto"/>
              </w:rPr>
            </w:pPr>
            <w:r>
              <w:rPr>
                <w:rFonts w:ascii="Arial" w:cs="Arial" w:eastAsia="Arial" w:hAnsi="Arial"/>
                <w:sz w:val="14"/>
                <w:szCs w:val="14"/>
                <w:color w:val="auto"/>
              </w:rPr>
              <w:t>8 bps</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3.33%</w:t>
            </w:r>
          </w:p>
        </w:tc>
        <w:tc>
          <w:tcPr>
            <w:tcW w:w="8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3.41%</w:t>
            </w:r>
          </w:p>
        </w:tc>
        <w:tc>
          <w:tcPr>
            <w:tcW w:w="940" w:type="dxa"/>
            <w:vAlign w:val="bottom"/>
            <w:gridSpan w:val="2"/>
          </w:tcPr>
          <w:p>
            <w:pPr>
              <w:jc w:val="right"/>
              <w:ind w:right="68"/>
              <w:spacing w:after="0"/>
              <w:rPr>
                <w:sz w:val="20"/>
                <w:szCs w:val="20"/>
                <w:color w:val="auto"/>
              </w:rPr>
            </w:pPr>
            <w:r>
              <w:rPr>
                <w:rFonts w:ascii="Arial" w:cs="Arial" w:eastAsia="Arial" w:hAnsi="Arial"/>
                <w:sz w:val="14"/>
                <w:szCs w:val="14"/>
                <w:color w:val="auto"/>
              </w:rPr>
              <w:t>8 bps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20" w:type="dxa"/>
            <w:vAlign w:val="bottom"/>
            <w:gridSpan w:val="6"/>
            <w:shd w:val="clear" w:color="auto" w:fill="CCEEFF"/>
          </w:tcPr>
          <w:p>
            <w:pPr>
              <w:spacing w:after="0" w:line="189" w:lineRule="exact"/>
              <w:rPr>
                <w:sz w:val="20"/>
                <w:szCs w:val="20"/>
                <w:color w:val="auto"/>
              </w:rPr>
            </w:pPr>
            <w:r>
              <w:rPr>
                <w:rFonts w:ascii="Arial" w:cs="Arial" w:eastAsia="Arial" w:hAnsi="Arial"/>
                <w:sz w:val="13"/>
                <w:szCs w:val="13"/>
                <w:color w:val="auto"/>
              </w:rPr>
              <w:t xml:space="preserve">Cost of risk </w:t>
            </w:r>
            <w:r>
              <w:rPr>
                <w:rFonts w:ascii="Arial" w:cs="Arial" w:eastAsia="Arial" w:hAnsi="Arial"/>
                <w:sz w:val="21"/>
                <w:szCs w:val="21"/>
                <w:color w:val="auto"/>
                <w:vertAlign w:val="superscript"/>
              </w:rPr>
              <w:t>(6)</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2.19%</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2.02%</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2.23%</w:t>
            </w:r>
          </w:p>
        </w:tc>
        <w:tc>
          <w:tcPr>
            <w:tcW w:w="1200" w:type="dxa"/>
            <w:vAlign w:val="bottom"/>
            <w:gridSpan w:val="3"/>
            <w:shd w:val="clear" w:color="auto" w:fill="CCEEFF"/>
          </w:tcPr>
          <w:p>
            <w:pPr>
              <w:jc w:val="right"/>
              <w:ind w:right="420"/>
              <w:spacing w:after="0"/>
              <w:rPr>
                <w:sz w:val="20"/>
                <w:szCs w:val="20"/>
                <w:color w:val="auto"/>
              </w:rPr>
            </w:pPr>
            <w:r>
              <w:rPr>
                <w:rFonts w:ascii="Arial" w:cs="Arial" w:eastAsia="Arial" w:hAnsi="Arial"/>
                <w:sz w:val="14"/>
                <w:szCs w:val="14"/>
                <w:color w:val="auto"/>
              </w:rPr>
              <w:t>21 bps</w:t>
            </w:r>
          </w:p>
        </w:tc>
        <w:tc>
          <w:tcPr>
            <w:tcW w:w="88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4 bps</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2.15%</w:t>
            </w: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2.08%</w:t>
            </w:r>
          </w:p>
        </w:tc>
        <w:tc>
          <w:tcPr>
            <w:tcW w:w="9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-7 bps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6"/>
          </w:tcPr>
          <w:p>
            <w:pPr>
              <w:spacing w:after="0" w:line="149" w:lineRule="exact"/>
              <w:rPr>
                <w:sz w:val="20"/>
                <w:szCs w:val="20"/>
                <w:color w:val="auto"/>
              </w:rPr>
            </w:pPr>
            <w:r>
              <w:rPr>
                <w:rFonts w:ascii="Arial" w:cs="Arial" w:eastAsia="Arial" w:hAnsi="Arial"/>
                <w:sz w:val="14"/>
                <w:szCs w:val="14"/>
                <w:color w:val="auto"/>
              </w:rPr>
              <w:t>Coverage of internal overdue loans</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164.7%</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162.8%</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166.2%</w:t>
            </w:r>
          </w:p>
        </w:tc>
        <w:tc>
          <w:tcPr>
            <w:tcW w:w="120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rPr>
              <w:t>340 bps</w:t>
            </w:r>
          </w:p>
        </w:tc>
        <w:tc>
          <w:tcPr>
            <w:tcW w:w="88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150 bps</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164.7%</w:t>
            </w:r>
          </w:p>
        </w:tc>
        <w:tc>
          <w:tcPr>
            <w:tcW w:w="8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166.2%</w:t>
            </w:r>
          </w:p>
        </w:tc>
        <w:tc>
          <w:tcPr>
            <w:tcW w:w="9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150 bps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20" w:type="dxa"/>
            <w:vAlign w:val="bottom"/>
            <w:gridSpan w:val="6"/>
            <w:shd w:val="clear" w:color="auto" w:fill="CCEEFF"/>
          </w:tcPr>
          <w:p>
            <w:pPr>
              <w:spacing w:after="0"/>
              <w:rPr>
                <w:sz w:val="20"/>
                <w:szCs w:val="20"/>
                <w:color w:val="auto"/>
              </w:rPr>
            </w:pPr>
            <w:r>
              <w:rPr>
                <w:rFonts w:ascii="Arial" w:cs="Arial" w:eastAsia="Arial" w:hAnsi="Arial"/>
                <w:sz w:val="14"/>
                <w:szCs w:val="14"/>
                <w:color w:val="auto"/>
              </w:rPr>
              <w:t>Coverage of NPLs</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124.5%</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123.2%</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124.7%</w:t>
            </w:r>
          </w:p>
        </w:tc>
        <w:tc>
          <w:tcPr>
            <w:tcW w:w="1200" w:type="dxa"/>
            <w:vAlign w:val="bottom"/>
            <w:gridSpan w:val="3"/>
            <w:shd w:val="clear" w:color="auto" w:fill="CCEEFF"/>
          </w:tcPr>
          <w:p>
            <w:pPr>
              <w:jc w:val="right"/>
              <w:ind w:right="420"/>
              <w:spacing w:after="0"/>
              <w:rPr>
                <w:sz w:val="20"/>
                <w:szCs w:val="20"/>
                <w:color w:val="auto"/>
              </w:rPr>
            </w:pPr>
            <w:r>
              <w:rPr>
                <w:rFonts w:ascii="Arial" w:cs="Arial" w:eastAsia="Arial" w:hAnsi="Arial"/>
                <w:sz w:val="14"/>
                <w:szCs w:val="14"/>
                <w:color w:val="auto"/>
              </w:rPr>
              <w:t>150 bps</w:t>
            </w:r>
          </w:p>
        </w:tc>
        <w:tc>
          <w:tcPr>
            <w:tcW w:w="88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20 bps</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124.5%</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124.7%</w:t>
            </w:r>
          </w:p>
        </w:tc>
        <w:tc>
          <w:tcPr>
            <w:tcW w:w="9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20 bps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40" w:type="dxa"/>
            <w:vAlign w:val="bottom"/>
            <w:tcBorders>
              <w:bottom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w w:val="90"/>
              </w:rPr>
              <w:t>Operating efficiency</w:t>
            </w:r>
          </w:p>
        </w:tc>
        <w:tc>
          <w:tcPr>
            <w:tcW w:w="2080" w:type="dxa"/>
            <w:vAlign w:val="bottom"/>
            <w:gridSpan w:val="3"/>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320" w:type="dxa"/>
            <w:vAlign w:val="bottom"/>
            <w:gridSpan w:val="6"/>
            <w:shd w:val="clear" w:color="auto" w:fill="CCEEFF"/>
          </w:tcPr>
          <w:p>
            <w:pPr>
              <w:spacing w:after="0" w:line="183" w:lineRule="exact"/>
              <w:rPr>
                <w:sz w:val="20"/>
                <w:szCs w:val="20"/>
                <w:color w:val="auto"/>
              </w:rPr>
            </w:pPr>
            <w:r>
              <w:rPr>
                <w:rFonts w:ascii="Arial" w:cs="Arial" w:eastAsia="Arial" w:hAnsi="Arial"/>
                <w:sz w:val="13"/>
                <w:szCs w:val="13"/>
                <w:color w:val="auto"/>
              </w:rPr>
              <w:t xml:space="preserve">Efficiency ratio </w:t>
            </w:r>
            <w:r>
              <w:rPr>
                <w:rFonts w:ascii="Arial" w:cs="Arial" w:eastAsia="Arial" w:hAnsi="Arial"/>
                <w:sz w:val="21"/>
                <w:szCs w:val="21"/>
                <w:color w:val="auto"/>
                <w:vertAlign w:val="superscript"/>
              </w:rPr>
              <w:t>(7)</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46.2%</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43.0%</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44.4%</w:t>
            </w:r>
          </w:p>
        </w:tc>
        <w:tc>
          <w:tcPr>
            <w:tcW w:w="1200" w:type="dxa"/>
            <w:vAlign w:val="bottom"/>
            <w:gridSpan w:val="3"/>
            <w:shd w:val="clear" w:color="auto" w:fill="CCEEFF"/>
          </w:tcPr>
          <w:p>
            <w:pPr>
              <w:jc w:val="right"/>
              <w:ind w:right="420"/>
              <w:spacing w:after="0"/>
              <w:rPr>
                <w:sz w:val="20"/>
                <w:szCs w:val="20"/>
                <w:color w:val="auto"/>
              </w:rPr>
            </w:pPr>
            <w:r>
              <w:rPr>
                <w:rFonts w:ascii="Arial" w:cs="Arial" w:eastAsia="Arial" w:hAnsi="Arial"/>
                <w:sz w:val="14"/>
                <w:szCs w:val="14"/>
                <w:color w:val="auto"/>
              </w:rPr>
              <w:t>140 bps</w:t>
            </w:r>
          </w:p>
        </w:tc>
        <w:tc>
          <w:tcPr>
            <w:tcW w:w="88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-180 bps</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45.3%</w:t>
            </w: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43.3%</w:t>
            </w:r>
          </w:p>
        </w:tc>
        <w:tc>
          <w:tcPr>
            <w:tcW w:w="9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-200 bps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20" w:type="dxa"/>
            <w:vAlign w:val="bottom"/>
            <w:gridSpan w:val="6"/>
          </w:tcPr>
          <w:p>
            <w:pPr>
              <w:spacing w:after="0"/>
              <w:rPr>
                <w:sz w:val="20"/>
                <w:szCs w:val="20"/>
                <w:color w:val="auto"/>
              </w:rPr>
            </w:pPr>
            <w:r>
              <w:rPr>
                <w:rFonts w:ascii="Arial" w:cs="Arial" w:eastAsia="Arial" w:hAnsi="Arial"/>
                <w:sz w:val="14"/>
                <w:szCs w:val="14"/>
                <w:color w:val="auto"/>
              </w:rPr>
              <w:t>Operating expenses / Total assets</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4.1%</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3.5%</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4.0%</w:t>
            </w:r>
          </w:p>
        </w:tc>
        <w:tc>
          <w:tcPr>
            <w:tcW w:w="1200" w:type="dxa"/>
            <w:vAlign w:val="bottom"/>
            <w:gridSpan w:val="3"/>
          </w:tcPr>
          <w:p>
            <w:pPr>
              <w:jc w:val="right"/>
              <w:ind w:right="420"/>
              <w:spacing w:after="0"/>
              <w:rPr>
                <w:sz w:val="20"/>
                <w:szCs w:val="20"/>
                <w:color w:val="auto"/>
              </w:rPr>
            </w:pPr>
            <w:r>
              <w:rPr>
                <w:rFonts w:ascii="Arial" w:cs="Arial" w:eastAsia="Arial" w:hAnsi="Arial"/>
                <w:sz w:val="14"/>
                <w:szCs w:val="14"/>
                <w:color w:val="auto"/>
              </w:rPr>
              <w:t>50 bps</w:t>
            </w:r>
          </w:p>
        </w:tc>
        <w:tc>
          <w:tcPr>
            <w:tcW w:w="880" w:type="dxa"/>
            <w:vAlign w:val="bottom"/>
            <w:gridSpan w:val="2"/>
          </w:tcPr>
          <w:p>
            <w:pPr>
              <w:jc w:val="right"/>
              <w:ind w:right="188"/>
              <w:spacing w:after="0"/>
              <w:rPr>
                <w:sz w:val="20"/>
                <w:szCs w:val="20"/>
                <w:color w:val="auto"/>
              </w:rPr>
            </w:pPr>
            <w:r>
              <w:rPr>
                <w:rFonts w:ascii="Arial" w:cs="Arial" w:eastAsia="Arial" w:hAnsi="Arial"/>
                <w:sz w:val="14"/>
                <w:szCs w:val="14"/>
                <w:color w:val="auto"/>
              </w:rPr>
              <w:t>-10 bps</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4.0%</w:t>
            </w:r>
          </w:p>
        </w:tc>
        <w:tc>
          <w:tcPr>
            <w:tcW w:w="8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3.7%</w:t>
            </w:r>
          </w:p>
        </w:tc>
        <w:tc>
          <w:tcPr>
            <w:tcW w:w="940" w:type="dxa"/>
            <w:vAlign w:val="bottom"/>
            <w:gridSpan w:val="2"/>
          </w:tcPr>
          <w:p>
            <w:pPr>
              <w:jc w:val="right"/>
              <w:ind w:right="68"/>
              <w:spacing w:after="0"/>
              <w:rPr>
                <w:sz w:val="20"/>
                <w:szCs w:val="20"/>
                <w:color w:val="auto"/>
              </w:rPr>
            </w:pPr>
            <w:r>
              <w:rPr>
                <w:rFonts w:ascii="Arial" w:cs="Arial" w:eastAsia="Arial" w:hAnsi="Arial"/>
                <w:sz w:val="14"/>
                <w:szCs w:val="14"/>
                <w:color w:val="auto"/>
              </w:rPr>
              <w:t>-30 bps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0" w:type="dxa"/>
            <w:vAlign w:val="bottom"/>
            <w:tcBorders>
              <w:top w:val="single" w:sz="8" w:color="CCEEFF"/>
              <w:bottom w:val="single" w:sz="8" w:color="auto"/>
            </w:tcBorders>
            <w:gridSpan w:val="2"/>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0"/>
              </w:rPr>
              <w:t>Insurance ratios</w:t>
            </w:r>
          </w:p>
        </w:tc>
        <w:tc>
          <w:tcPr>
            <w:tcW w:w="2320" w:type="dxa"/>
            <w:vAlign w:val="bottom"/>
            <w:tcBorders>
              <w:top w:val="single" w:sz="8" w:color="CCEEFF"/>
              <w:bottom w:val="single" w:sz="8" w:color="CCEEFF"/>
            </w:tcBorders>
            <w:gridSpan w:val="4"/>
            <w:shd w:val="clear" w:color="auto" w:fill="CCEEFF"/>
          </w:tcPr>
          <w:p>
            <w:pPr>
              <w:spacing w:after="0"/>
              <w:rPr>
                <w:sz w:val="11"/>
                <w:szCs w:val="11"/>
                <w:color w:val="auto"/>
              </w:rPr>
            </w:pPr>
          </w:p>
        </w:tc>
        <w:tc>
          <w:tcPr>
            <w:tcW w:w="780" w:type="dxa"/>
            <w:vAlign w:val="bottom"/>
            <w:tcBorders>
              <w:top w:val="single" w:sz="8" w:color="auto"/>
              <w:bottom w:val="single" w:sz="8" w:color="CCEEFF"/>
            </w:tcBorders>
            <w:shd w:val="clear" w:color="auto" w:fill="CCEEFF"/>
          </w:tcPr>
          <w:p>
            <w:pPr>
              <w:spacing w:after="0"/>
              <w:rPr>
                <w:sz w:val="11"/>
                <w:szCs w:val="11"/>
                <w:color w:val="auto"/>
              </w:rPr>
            </w:pPr>
          </w:p>
        </w:tc>
        <w:tc>
          <w:tcPr>
            <w:tcW w:w="240" w:type="dxa"/>
            <w:vAlign w:val="bottom"/>
            <w:tcBorders>
              <w:top w:val="single" w:sz="8" w:color="CCEEFF"/>
              <w:bottom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CCEEFF"/>
            </w:tcBorders>
            <w:shd w:val="clear" w:color="auto" w:fill="CCEEFF"/>
          </w:tcPr>
          <w:p>
            <w:pPr>
              <w:spacing w:after="0"/>
              <w:rPr>
                <w:sz w:val="11"/>
                <w:szCs w:val="11"/>
                <w:color w:val="auto"/>
              </w:rPr>
            </w:pP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800" w:type="dxa"/>
            <w:vAlign w:val="bottom"/>
            <w:tcBorders>
              <w:top w:val="single" w:sz="8" w:color="auto"/>
              <w:bottom w:val="single" w:sz="8" w:color="CCEEFF"/>
            </w:tcBorders>
            <w:shd w:val="clear" w:color="auto" w:fill="CCEEFF"/>
          </w:tcPr>
          <w:p>
            <w:pPr>
              <w:spacing w:after="0"/>
              <w:rPr>
                <w:sz w:val="11"/>
                <w:szCs w:val="11"/>
                <w:color w:val="auto"/>
              </w:rPr>
            </w:pP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CCEEFF"/>
            </w:tcBorders>
            <w:shd w:val="clear" w:color="auto" w:fill="CCEEFF"/>
          </w:tcPr>
          <w:p>
            <w:pPr>
              <w:spacing w:after="0"/>
              <w:rPr>
                <w:sz w:val="11"/>
                <w:szCs w:val="11"/>
                <w:color w:val="auto"/>
              </w:rPr>
            </w:pPr>
          </w:p>
        </w:tc>
        <w:tc>
          <w:tcPr>
            <w:tcW w:w="26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CCEEFF"/>
            </w:tcBorders>
            <w:shd w:val="clear" w:color="auto" w:fill="CCEEFF"/>
          </w:tcPr>
          <w:p>
            <w:pPr>
              <w:spacing w:after="0"/>
              <w:rPr>
                <w:sz w:val="11"/>
                <w:szCs w:val="11"/>
                <w:color w:val="auto"/>
              </w:rPr>
            </w:pPr>
          </w:p>
        </w:tc>
        <w:tc>
          <w:tcPr>
            <w:tcW w:w="620" w:type="dxa"/>
            <w:vAlign w:val="bottom"/>
            <w:tcBorders>
              <w:top w:val="single" w:sz="8" w:color="auto"/>
              <w:bottom w:val="single" w:sz="8" w:color="CCEEFF"/>
            </w:tcBorders>
            <w:shd w:val="clear" w:color="auto" w:fill="CCEEFF"/>
          </w:tcPr>
          <w:p>
            <w:pPr>
              <w:spacing w:after="0"/>
              <w:rPr>
                <w:sz w:val="11"/>
                <w:szCs w:val="11"/>
                <w:color w:val="auto"/>
              </w:rPr>
            </w:pPr>
          </w:p>
        </w:tc>
        <w:tc>
          <w:tcPr>
            <w:tcW w:w="260" w:type="dxa"/>
            <w:vAlign w:val="bottom"/>
            <w:tcBorders>
              <w:top w:val="single" w:sz="8" w:color="CCEEFF"/>
              <w:bottom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CCEEFF"/>
            </w:tcBorders>
            <w:shd w:val="clear" w:color="auto" w:fill="CCEEFF"/>
          </w:tcPr>
          <w:p>
            <w:pPr>
              <w:spacing w:after="0"/>
              <w:rPr>
                <w:sz w:val="11"/>
                <w:szCs w:val="11"/>
                <w:color w:val="auto"/>
              </w:rPr>
            </w:pPr>
          </w:p>
        </w:tc>
        <w:tc>
          <w:tcPr>
            <w:tcW w:w="2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CCEEFF"/>
            </w:tcBorders>
            <w:shd w:val="clear" w:color="auto" w:fill="CCEEFF"/>
          </w:tcPr>
          <w:p>
            <w:pPr>
              <w:spacing w:after="0"/>
              <w:rPr>
                <w:sz w:val="11"/>
                <w:szCs w:val="11"/>
                <w:color w:val="auto"/>
              </w:rPr>
            </w:pPr>
          </w:p>
        </w:tc>
        <w:tc>
          <w:tcPr>
            <w:tcW w:w="700" w:type="dxa"/>
            <w:vAlign w:val="bottom"/>
            <w:tcBorders>
              <w:top w:val="single" w:sz="8" w:color="auto"/>
              <w:bottom w:val="single" w:sz="8" w:color="CCEEFF"/>
            </w:tcBorders>
            <w:shd w:val="clear" w:color="auto" w:fill="CCEEFF"/>
          </w:tcPr>
          <w:p>
            <w:pPr>
              <w:spacing w:after="0"/>
              <w:rPr>
                <w:sz w:val="11"/>
                <w:szCs w:val="11"/>
                <w:color w:val="auto"/>
              </w:rPr>
            </w:pP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800" w:type="dxa"/>
            <w:vAlign w:val="bottom"/>
            <w:tcBorders>
              <w:top w:val="single" w:sz="8" w:color="auto"/>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320" w:type="dxa"/>
            <w:vAlign w:val="bottom"/>
            <w:gridSpan w:val="6"/>
          </w:tcPr>
          <w:p>
            <w:pPr>
              <w:spacing w:after="0" w:line="183" w:lineRule="exact"/>
              <w:rPr>
                <w:sz w:val="20"/>
                <w:szCs w:val="20"/>
                <w:color w:val="auto"/>
              </w:rPr>
            </w:pPr>
            <w:r>
              <w:rPr>
                <w:rFonts w:ascii="Arial" w:cs="Arial" w:eastAsia="Arial" w:hAnsi="Arial"/>
                <w:sz w:val="13"/>
                <w:szCs w:val="13"/>
                <w:color w:val="auto"/>
              </w:rPr>
              <w:t xml:space="preserve">Combined ratio of P&amp;C </w:t>
            </w:r>
            <w:r>
              <w:rPr>
                <w:rFonts w:ascii="Arial" w:cs="Arial" w:eastAsia="Arial" w:hAnsi="Arial"/>
                <w:sz w:val="21"/>
                <w:szCs w:val="21"/>
                <w:color w:val="auto"/>
                <w:vertAlign w:val="superscript"/>
              </w:rPr>
              <w:t>(8)(9)</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100.2%</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92.2%</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86.4%</w:t>
            </w:r>
          </w:p>
        </w:tc>
        <w:tc>
          <w:tcPr>
            <w:tcW w:w="1200" w:type="dxa"/>
            <w:vAlign w:val="bottom"/>
            <w:gridSpan w:val="3"/>
          </w:tcPr>
          <w:p>
            <w:pPr>
              <w:jc w:val="right"/>
              <w:ind w:right="420"/>
              <w:spacing w:after="0"/>
              <w:rPr>
                <w:sz w:val="20"/>
                <w:szCs w:val="20"/>
                <w:color w:val="auto"/>
              </w:rPr>
            </w:pPr>
            <w:r>
              <w:rPr>
                <w:rFonts w:ascii="Arial" w:cs="Arial" w:eastAsia="Arial" w:hAnsi="Arial"/>
                <w:sz w:val="14"/>
                <w:szCs w:val="14"/>
                <w:color w:val="auto"/>
              </w:rPr>
              <w:t>-580 bps</w:t>
            </w:r>
          </w:p>
        </w:tc>
        <w:tc>
          <w:tcPr>
            <w:tcW w:w="880" w:type="dxa"/>
            <w:vAlign w:val="bottom"/>
            <w:gridSpan w:val="2"/>
          </w:tcPr>
          <w:p>
            <w:pPr>
              <w:jc w:val="right"/>
              <w:ind w:right="188"/>
              <w:spacing w:after="0"/>
              <w:rPr>
                <w:sz w:val="20"/>
                <w:szCs w:val="20"/>
                <w:color w:val="auto"/>
              </w:rPr>
            </w:pPr>
            <w:r>
              <w:rPr>
                <w:rFonts w:ascii="Arial" w:cs="Arial" w:eastAsia="Arial" w:hAnsi="Arial"/>
                <w:sz w:val="14"/>
                <w:szCs w:val="14"/>
                <w:color w:val="auto"/>
                <w:w w:val="96"/>
              </w:rPr>
              <w:t>-1380 bps</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98.3%</w:t>
            </w:r>
          </w:p>
        </w:tc>
        <w:tc>
          <w:tcPr>
            <w:tcW w:w="80" w:type="dxa"/>
            <w:vAlign w:val="bottom"/>
          </w:tcPr>
          <w:p>
            <w:pPr>
              <w:spacing w:after="0"/>
              <w:rPr>
                <w:sz w:val="15"/>
                <w:szCs w:val="15"/>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90.5%</w:t>
            </w:r>
          </w:p>
        </w:tc>
        <w:tc>
          <w:tcPr>
            <w:tcW w:w="940" w:type="dxa"/>
            <w:vAlign w:val="bottom"/>
            <w:gridSpan w:val="2"/>
          </w:tcPr>
          <w:p>
            <w:pPr>
              <w:jc w:val="right"/>
              <w:ind w:right="68"/>
              <w:spacing w:after="0"/>
              <w:rPr>
                <w:sz w:val="20"/>
                <w:szCs w:val="20"/>
                <w:color w:val="auto"/>
              </w:rPr>
            </w:pPr>
            <w:r>
              <w:rPr>
                <w:rFonts w:ascii="Arial" w:cs="Arial" w:eastAsia="Arial" w:hAnsi="Arial"/>
                <w:sz w:val="14"/>
                <w:szCs w:val="14"/>
                <w:color w:val="auto"/>
              </w:rPr>
              <w:t>-780 bps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6"/>
            <w:shd w:val="clear" w:color="auto" w:fill="CCEEFF"/>
          </w:tcPr>
          <w:p>
            <w:pPr>
              <w:spacing w:after="0" w:line="149" w:lineRule="exact"/>
              <w:rPr>
                <w:sz w:val="20"/>
                <w:szCs w:val="20"/>
                <w:color w:val="auto"/>
              </w:rPr>
            </w:pPr>
            <w:r>
              <w:rPr>
                <w:rFonts w:ascii="Arial" w:cs="Arial" w:eastAsia="Arial" w:hAnsi="Arial"/>
                <w:sz w:val="14"/>
                <w:szCs w:val="14"/>
                <w:color w:val="auto"/>
              </w:rPr>
              <w:t>Loss ratio (9)</w:t>
            </w: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65.1%</w:t>
            </w: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60.4%</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59.7%</w:t>
            </w:r>
          </w:p>
        </w:tc>
        <w:tc>
          <w:tcPr>
            <w:tcW w:w="120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-70 bps</w:t>
            </w:r>
          </w:p>
        </w:tc>
        <w:tc>
          <w:tcPr>
            <w:tcW w:w="880" w:type="dxa"/>
            <w:vAlign w:val="bottom"/>
            <w:gridSpan w:val="2"/>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-540 bps</w:t>
            </w: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63.3%</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58.9%</w:t>
            </w:r>
          </w:p>
        </w:tc>
        <w:tc>
          <w:tcPr>
            <w:tcW w:w="9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-440 bps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20" w:type="dxa"/>
            <w:vAlign w:val="bottom"/>
            <w:gridSpan w:val="6"/>
          </w:tcPr>
          <w:p>
            <w:pPr>
              <w:spacing w:after="0" w:line="202" w:lineRule="exact"/>
              <w:rPr>
                <w:sz w:val="20"/>
                <w:szCs w:val="20"/>
                <w:color w:val="auto"/>
              </w:rPr>
            </w:pPr>
            <w:r>
              <w:rPr>
                <w:rFonts w:ascii="Arial" w:cs="Arial" w:eastAsia="Arial" w:hAnsi="Arial"/>
                <w:sz w:val="14"/>
                <w:szCs w:val="14"/>
                <w:color w:val="auto"/>
              </w:rPr>
              <w:t xml:space="preserve">Underwriting result / net earned premiums </w:t>
            </w:r>
            <w:r>
              <w:rPr>
                <w:rFonts w:ascii="Arial" w:cs="Arial" w:eastAsia="Arial" w:hAnsi="Arial"/>
                <w:sz w:val="23"/>
                <w:szCs w:val="23"/>
                <w:color w:val="auto"/>
                <w:vertAlign w:val="superscript"/>
              </w:rPr>
              <w:t>(9)</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14.5%</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12.9%</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20.2%</w:t>
            </w:r>
          </w:p>
        </w:tc>
        <w:tc>
          <w:tcPr>
            <w:tcW w:w="1200" w:type="dxa"/>
            <w:vAlign w:val="bottom"/>
            <w:gridSpan w:val="3"/>
          </w:tcPr>
          <w:p>
            <w:pPr>
              <w:jc w:val="right"/>
              <w:ind w:right="420"/>
              <w:spacing w:after="0"/>
              <w:rPr>
                <w:sz w:val="20"/>
                <w:szCs w:val="20"/>
                <w:color w:val="auto"/>
              </w:rPr>
            </w:pPr>
            <w:r>
              <w:rPr>
                <w:rFonts w:ascii="Arial" w:cs="Arial" w:eastAsia="Arial" w:hAnsi="Arial"/>
                <w:sz w:val="14"/>
                <w:szCs w:val="14"/>
                <w:color w:val="auto"/>
              </w:rPr>
              <w:t>730 bps</w:t>
            </w:r>
          </w:p>
        </w:tc>
        <w:tc>
          <w:tcPr>
            <w:tcW w:w="880" w:type="dxa"/>
            <w:vAlign w:val="bottom"/>
            <w:gridSpan w:val="2"/>
          </w:tcPr>
          <w:p>
            <w:pPr>
              <w:jc w:val="right"/>
              <w:ind w:right="188"/>
              <w:spacing w:after="0"/>
              <w:rPr>
                <w:sz w:val="20"/>
                <w:szCs w:val="20"/>
                <w:color w:val="auto"/>
              </w:rPr>
            </w:pPr>
            <w:r>
              <w:rPr>
                <w:rFonts w:ascii="Arial" w:cs="Arial" w:eastAsia="Arial" w:hAnsi="Arial"/>
                <w:sz w:val="14"/>
                <w:szCs w:val="14"/>
                <w:color w:val="auto"/>
              </w:rPr>
              <w:t>570 bps</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14.5%</w:t>
            </w:r>
          </w:p>
        </w:tc>
        <w:tc>
          <w:tcPr>
            <w:tcW w:w="8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15.8%</w:t>
            </w:r>
          </w:p>
        </w:tc>
        <w:tc>
          <w:tcPr>
            <w:tcW w:w="940" w:type="dxa"/>
            <w:vAlign w:val="bottom"/>
            <w:gridSpan w:val="2"/>
          </w:tcPr>
          <w:p>
            <w:pPr>
              <w:jc w:val="right"/>
              <w:ind w:right="68"/>
              <w:spacing w:after="0"/>
              <w:rPr>
                <w:sz w:val="20"/>
                <w:szCs w:val="20"/>
                <w:color w:val="auto"/>
              </w:rPr>
            </w:pPr>
            <w:r>
              <w:rPr>
                <w:rFonts w:ascii="Arial" w:cs="Arial" w:eastAsia="Arial" w:hAnsi="Arial"/>
                <w:sz w:val="14"/>
                <w:szCs w:val="14"/>
                <w:color w:val="auto"/>
              </w:rPr>
              <w:t>130 bps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Borders>
              <w:top w:val="single" w:sz="8" w:color="CCEEFF"/>
            </w:tcBorders>
            <w:gridSpan w:val="6"/>
            <w:shd w:val="clear" w:color="auto" w:fill="CCEEFF"/>
          </w:tcPr>
          <w:p>
            <w:pPr>
              <w:spacing w:after="0" w:line="142" w:lineRule="exact"/>
              <w:rPr>
                <w:sz w:val="20"/>
                <w:szCs w:val="20"/>
                <w:color w:val="auto"/>
              </w:rPr>
            </w:pPr>
            <w:r>
              <w:rPr>
                <w:rFonts w:ascii="Arial" w:cs="Arial" w:eastAsia="Arial" w:hAnsi="Arial"/>
                <w:sz w:val="14"/>
                <w:szCs w:val="14"/>
                <w:color w:val="auto"/>
              </w:rPr>
              <w:t>Employees</w:t>
            </w: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32,313</w:t>
            </w:r>
          </w:p>
        </w:tc>
        <w:tc>
          <w:tcPr>
            <w:tcW w:w="2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33,423</w:t>
            </w:r>
          </w:p>
        </w:tc>
        <w:tc>
          <w:tcPr>
            <w:tcW w:w="2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33,658</w:t>
            </w:r>
          </w:p>
        </w:tc>
        <w:tc>
          <w:tcPr>
            <w:tcW w:w="2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0.7</w:t>
            </w:r>
          </w:p>
        </w:tc>
        <w:tc>
          <w:tcPr>
            <w:tcW w:w="260" w:type="dxa"/>
            <w:vAlign w:val="bottom"/>
            <w:tcBorders>
              <w:top w:val="single" w:sz="8" w:color="CCEEFF"/>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w w:val="79"/>
              </w:rPr>
              <w:t>%</w:t>
            </w: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4.2</w:t>
            </w:r>
          </w:p>
        </w:tc>
        <w:tc>
          <w:tcPr>
            <w:tcW w:w="260" w:type="dxa"/>
            <w:vAlign w:val="bottom"/>
            <w:tcBorders>
              <w:top w:val="single" w:sz="8" w:color="CCEEFF"/>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w w:val="79"/>
              </w:rPr>
              <w:t>%</w:t>
            </w: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32,313</w:t>
            </w:r>
          </w:p>
        </w:tc>
        <w:tc>
          <w:tcPr>
            <w:tcW w:w="2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33,658</w:t>
            </w:r>
          </w:p>
        </w:tc>
        <w:tc>
          <w:tcPr>
            <w:tcW w:w="2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4.2</w:t>
            </w:r>
          </w:p>
        </w:tc>
        <w:tc>
          <w:tcPr>
            <w:tcW w:w="14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non-recurring income / (expense) and translation results (net of taxes).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6"/>
          <w:szCs w:val="16"/>
          <w:color w:val="auto"/>
        </w:rPr>
      </w:pPr>
      <w:r>
        <w:rPr>
          <w:rFonts w:ascii="Arial" w:cs="Arial" w:eastAsia="Arial" w:hAnsi="Arial"/>
          <w:sz w:val="16"/>
          <w:szCs w:val="16"/>
          <w:color w:val="auto"/>
        </w:rPr>
        <w:t>Recurring ROAE: Net recurring income is used for calculations. In the equity side, adjustments are made to exclude non-recurring income (expense).</w:t>
      </w:r>
    </w:p>
    <w:p>
      <w:pPr>
        <w:spacing w:after="0" w:line="32" w:lineRule="exact"/>
        <w:rPr>
          <w:rFonts w:ascii="Arial" w:cs="Arial" w:eastAsia="Arial" w:hAnsi="Arial"/>
          <w:sz w:val="16"/>
          <w:szCs w:val="16"/>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Recurring ROAA: Net recurring income is used for calculations.</w:t>
      </w:r>
    </w:p>
    <w:p>
      <w:pPr>
        <w:spacing w:after="0" w:line="9" w:lineRule="exact"/>
        <w:rPr>
          <w:rFonts w:ascii="Arial" w:cs="Arial" w:eastAsia="Arial" w:hAnsi="Arial"/>
          <w:sz w:val="18"/>
          <w:szCs w:val="18"/>
          <w:color w:val="auto"/>
        </w:rPr>
      </w:pPr>
    </w:p>
    <w:p>
      <w:pPr>
        <w:ind w:firstLine="8"/>
        <w:spacing w:after="0" w:line="250" w:lineRule="auto"/>
        <w:tabs>
          <w:tab w:leader="none" w:pos="255" w:val="left"/>
        </w:tabs>
        <w:numPr>
          <w:ilvl w:val="0"/>
          <w:numId w:val="2"/>
        </w:numPr>
        <w:rPr>
          <w:rFonts w:ascii="Arial" w:cs="Arial" w:eastAsia="Arial" w:hAnsi="Arial"/>
          <w:sz w:val="18"/>
          <w:szCs w:val="18"/>
          <w:color w:val="auto"/>
        </w:rPr>
      </w:pPr>
      <w:r>
        <w:rPr>
          <w:rFonts w:ascii="Arial" w:cs="Arial" w:eastAsia="Arial" w:hAnsi="Arial"/>
          <w:sz w:val="18"/>
          <w:szCs w:val="18"/>
          <w:color w:val="auto"/>
        </w:rPr>
        <w:t>Internal overdue loans ratio = includes overdue loans and loans under legal collection. From this reporting period and for future reporting periods, we refer to loans that are considered past due under our internal guidelines as “internal overdue loans”. In previous reporting periods, such loans were referred to as “past due”.</w:t>
      </w:r>
    </w:p>
    <w:p>
      <w:pPr>
        <w:spacing w:after="0" w:line="1"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NPLs: Non-performing loans = Internal overdue loans + Refinanced loans. NPL ratio: NPLs / Total loans.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Annualized provision for loan losses / Total loans.</w:t>
      </w:r>
    </w:p>
    <w:p>
      <w:pPr>
        <w:spacing w:after="0" w:line="9" w:lineRule="exact"/>
        <w:rPr>
          <w:rFonts w:ascii="Arial" w:cs="Arial" w:eastAsia="Arial" w:hAnsi="Arial"/>
          <w:sz w:val="18"/>
          <w:szCs w:val="18"/>
          <w:color w:val="auto"/>
        </w:rPr>
      </w:pPr>
    </w:p>
    <w:p>
      <w:pPr>
        <w:ind w:firstLine="8"/>
        <w:spacing w:after="0" w:line="250" w:lineRule="auto"/>
        <w:tabs>
          <w:tab w:leader="none" w:pos="25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formula has been adjusted, for further details see appendix 11.9. New formula of efficiency ratio = [ Total expenses + Acquisition cost – Other expenses] / [Net interest income + Fee income + Gain on foreign Exchange transactions + Net gains from subsidiaries + Net earned premiums + Gross margin from medical services].</w:t>
      </w:r>
    </w:p>
    <w:p>
      <w:pPr>
        <w:spacing w:after="0" w:line="1"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7"/>
          <w:szCs w:val="17"/>
          <w:color w:val="auto"/>
        </w:rPr>
      </w:pPr>
      <w:r>
        <w:rPr>
          <w:rFonts w:ascii="Arial" w:cs="Arial" w:eastAsia="Arial" w:hAnsi="Arial"/>
          <w:sz w:val="17"/>
          <w:szCs w:val="17"/>
          <w:color w:val="auto"/>
        </w:rPr>
        <w:t>Combined ratio= (Net claims + General expenses + Fees + Underwriting expenses) / Net earned premiums. Do not include insurance Life business.</w:t>
      </w:r>
    </w:p>
    <w:p>
      <w:pPr>
        <w:spacing w:after="0" w:line="20" w:lineRule="exact"/>
        <w:rPr>
          <w:rFonts w:ascii="Arial" w:cs="Arial" w:eastAsia="Arial" w:hAnsi="Arial"/>
          <w:sz w:val="17"/>
          <w:szCs w:val="17"/>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Considers Grupo Pacifico's figures before eliminations for consolidation to Credicorp.</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The following chart shows Credicorp’s non-recurring income/expense for 2014 and 2015: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40" w:type="dxa"/>
            <w:vAlign w:val="bottom"/>
          </w:tcPr>
          <w:p>
            <w:pPr>
              <w:spacing w:after="0"/>
              <w:rPr>
                <w:sz w:val="20"/>
                <w:szCs w:val="20"/>
                <w:color w:val="auto"/>
              </w:rPr>
            </w:pPr>
          </w:p>
        </w:tc>
        <w:tc>
          <w:tcPr>
            <w:tcW w:w="3060" w:type="dxa"/>
            <w:vAlign w:val="bottom"/>
            <w:vMerge w:val="restart"/>
          </w:tcPr>
          <w:p>
            <w:pPr>
              <w:jc w:val="center"/>
              <w:ind w:left="710"/>
              <w:spacing w:after="0"/>
              <w:rPr>
                <w:sz w:val="20"/>
                <w:szCs w:val="20"/>
                <w:color w:val="auto"/>
              </w:rPr>
            </w:pPr>
            <w:r>
              <w:rPr>
                <w:rFonts w:ascii="Arial" w:cs="Arial" w:eastAsia="Arial" w:hAnsi="Arial"/>
                <w:sz w:val="18"/>
                <w:szCs w:val="18"/>
                <w:b w:val="1"/>
                <w:bCs w:val="1"/>
                <w:color w:val="auto"/>
                <w:w w:val="90"/>
              </w:rPr>
              <w:t>Net income Credicorp</w:t>
            </w:r>
          </w:p>
        </w:tc>
        <w:tc>
          <w:tcPr>
            <w:tcW w:w="3820" w:type="dxa"/>
            <w:vAlign w:val="bottom"/>
            <w:gridSpan w:val="3"/>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20"/>
                <w:szCs w:val="20"/>
                <w:color w:val="auto"/>
              </w:rPr>
            </w:pPr>
          </w:p>
        </w:tc>
        <w:tc>
          <w:tcPr>
            <w:tcW w:w="1360" w:type="dxa"/>
            <w:vAlign w:val="bottom"/>
            <w:gridSpan w:val="2"/>
          </w:tcPr>
          <w:p>
            <w:pPr>
              <w:ind w:left="360"/>
              <w:spacing w:after="0"/>
              <w:rPr>
                <w:sz w:val="20"/>
                <w:szCs w:val="20"/>
                <w:color w:val="auto"/>
              </w:rPr>
            </w:pPr>
            <w:r>
              <w:rPr>
                <w:rFonts w:ascii="Arial" w:cs="Arial" w:eastAsia="Arial" w:hAnsi="Arial"/>
                <w:sz w:val="18"/>
                <w:szCs w:val="18"/>
                <w:b w:val="1"/>
                <w:bCs w:val="1"/>
                <w:color w:val="auto"/>
              </w:rPr>
              <w:t>4Q15</w:t>
            </w: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740" w:type="dxa"/>
            <w:vAlign w:val="bottom"/>
          </w:tcPr>
          <w:p>
            <w:pPr>
              <w:spacing w:after="0"/>
              <w:rPr>
                <w:sz w:val="18"/>
                <w:szCs w:val="18"/>
                <w:color w:val="auto"/>
              </w:rPr>
            </w:pPr>
          </w:p>
        </w:tc>
        <w:tc>
          <w:tcPr>
            <w:tcW w:w="3060" w:type="dxa"/>
            <w:vAlign w:val="bottom"/>
            <w:vMerge w:val="continue"/>
          </w:tcPr>
          <w:p>
            <w:pPr>
              <w:spacing w:after="0"/>
              <w:rPr>
                <w:sz w:val="18"/>
                <w:szCs w:val="18"/>
                <w:color w:val="auto"/>
              </w:rPr>
            </w:pPr>
          </w:p>
        </w:tc>
        <w:tc>
          <w:tcPr>
            <w:tcW w:w="2660" w:type="dxa"/>
            <w:vAlign w:val="bottom"/>
            <w:gridSpan w:val="2"/>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2,387,851</w:t>
            </w:r>
          </w:p>
        </w:tc>
        <w:tc>
          <w:tcPr>
            <w:tcW w:w="20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731,132</w:t>
            </w:r>
          </w:p>
        </w:tc>
        <w:tc>
          <w:tcPr>
            <w:tcW w:w="22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3,092,306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4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b w:val="1"/>
                <w:bCs w:val="1"/>
                <w:color w:val="auto"/>
              </w:rPr>
              <w:t>Subsidiaries</w:t>
            </w:r>
          </w:p>
        </w:tc>
        <w:tc>
          <w:tcPr>
            <w:tcW w:w="306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b w:val="1"/>
                <w:bCs w:val="1"/>
                <w:color w:val="auto"/>
              </w:rPr>
              <w:t>Explanation</w:t>
            </w:r>
          </w:p>
        </w:tc>
        <w:tc>
          <w:tcPr>
            <w:tcW w:w="25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Affected line in the P&amp;L</w:t>
            </w:r>
          </w:p>
        </w:tc>
        <w:tc>
          <w:tcPr>
            <w:tcW w:w="120" w:type="dxa"/>
            <w:vAlign w:val="bottom"/>
            <w:tcBorders>
              <w:bottom w:val="single" w:sz="8" w:color="CCEEFF"/>
            </w:tcBorders>
          </w:tcPr>
          <w:p>
            <w:pPr>
              <w:spacing w:after="0"/>
              <w:rPr>
                <w:sz w:val="19"/>
                <w:szCs w:val="19"/>
                <w:color w:val="auto"/>
              </w:rPr>
            </w:pPr>
          </w:p>
        </w:tc>
        <w:tc>
          <w:tcPr>
            <w:tcW w:w="1160" w:type="dxa"/>
            <w:vAlign w:val="bottom"/>
            <w:tcBorders>
              <w:top w:val="single" w:sz="8" w:color="auto"/>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40" w:type="dxa"/>
            <w:vAlign w:val="bottom"/>
            <w:tcBorders>
              <w:top w:val="single" w:sz="8" w:color="auto"/>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40" w:type="dxa"/>
            <w:vAlign w:val="bottom"/>
            <w:tcBorders>
              <w:top w:val="single" w:sz="8" w:color="auto"/>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740" w:type="dxa"/>
            <w:vAlign w:val="bottom"/>
            <w:shd w:val="clear" w:color="auto" w:fill="CCEEFF"/>
          </w:tcPr>
          <w:p>
            <w:pPr>
              <w:spacing w:after="0"/>
              <w:rPr>
                <w:sz w:val="18"/>
                <w:szCs w:val="18"/>
                <w:color w:val="auto"/>
              </w:rPr>
            </w:pPr>
          </w:p>
        </w:tc>
        <w:tc>
          <w:tcPr>
            <w:tcW w:w="3060" w:type="dxa"/>
            <w:vAlign w:val="bottom"/>
            <w:shd w:val="clear" w:color="auto" w:fill="CCEEFF"/>
          </w:tcPr>
          <w:p>
            <w:pPr>
              <w:jc w:val="center"/>
              <w:ind w:left="730"/>
              <w:spacing w:after="0"/>
              <w:rPr>
                <w:sz w:val="20"/>
                <w:szCs w:val="20"/>
                <w:color w:val="auto"/>
              </w:rPr>
            </w:pPr>
            <w:r>
              <w:rPr>
                <w:rFonts w:ascii="Arial" w:cs="Arial" w:eastAsia="Arial" w:hAnsi="Arial"/>
                <w:sz w:val="18"/>
                <w:szCs w:val="18"/>
                <w:b w:val="1"/>
                <w:bCs w:val="1"/>
                <w:color w:val="auto"/>
                <w:w w:val="91"/>
              </w:rPr>
              <w:t>Non-recurring items (S/. 000)</w:t>
            </w:r>
          </w:p>
        </w:tc>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ind w:left="1500"/>
        <w:spacing w:after="0"/>
        <w:tabs>
          <w:tab w:leader="none" w:pos="4120" w:val="left"/>
        </w:tabs>
        <w:rPr>
          <w:sz w:val="20"/>
          <w:szCs w:val="20"/>
          <w:color w:val="auto"/>
        </w:rPr>
      </w:pPr>
      <w:r>
        <w:rPr>
          <w:rFonts w:ascii="Arial" w:cs="Arial" w:eastAsia="Arial" w:hAnsi="Arial"/>
          <w:sz w:val="18"/>
          <w:szCs w:val="18"/>
          <w:color w:val="auto"/>
        </w:rPr>
        <w:t>- Amortization - Edyficar's brand</w:t>
      </w:r>
      <w:r>
        <w:rPr>
          <w:sz w:val="20"/>
          <w:szCs w:val="20"/>
          <w:color w:val="auto"/>
        </w:rPr>
        <w:tab/>
      </w:r>
      <w:r>
        <w:rPr>
          <w:rFonts w:ascii="Arial" w:cs="Arial" w:eastAsia="Arial" w:hAnsi="Arial"/>
          <w:sz w:val="15"/>
          <w:szCs w:val="15"/>
          <w:color w:val="auto"/>
        </w:rPr>
        <w:t>Operating expenses</w:t>
      </w:r>
    </w:p>
    <w:p>
      <w:pPr>
        <w:sectPr>
          <w:pgSz w:w="11900" w:h="16838" w:orient="portrait"/>
          <w:cols w:equalWidth="0" w:num="1">
            <w:col w:w="11420"/>
          </w:cols>
          <w:pgMar w:left="240" w:top="908" w:right="239" w:bottom="1440" w:gutter="0" w:footer="0" w:header="0"/>
        </w:sectPr>
      </w:pP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Mibanco</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Grupo Pacífico</w:t>
      </w:r>
    </w:p>
    <w:p>
      <w:pPr>
        <w:spacing w:after="0" w:line="200" w:lineRule="exact"/>
        <w:rPr>
          <w:sz w:val="20"/>
          <w:szCs w:val="20"/>
          <w:color w:val="auto"/>
        </w:rPr>
      </w:pPr>
    </w:p>
    <w:p>
      <w:pPr>
        <w:spacing w:after="0" w:line="24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Atlantic Security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951865" cy="4114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51865" cy="41148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Prima AFP</w:t>
      </w:r>
    </w:p>
    <w:p>
      <w:pPr>
        <w:spacing w:after="0" w:line="225"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Credicorp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951865" cy="9607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51865" cy="96075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Others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Translation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320" w:type="dxa"/>
            <w:vAlign w:val="bottom"/>
          </w:tcPr>
          <w:p>
            <w:pPr>
              <w:ind w:left="120"/>
              <w:spacing w:after="0"/>
              <w:rPr>
                <w:sz w:val="20"/>
                <w:szCs w:val="20"/>
                <w:color w:val="auto"/>
              </w:rPr>
            </w:pPr>
            <w:r>
              <w:rPr>
                <w:rFonts w:ascii="Arial" w:cs="Arial" w:eastAsia="Arial" w:hAnsi="Arial"/>
                <w:sz w:val="18"/>
                <w:szCs w:val="18"/>
                <w:color w:val="auto"/>
              </w:rPr>
              <w:t>- Administrative expenses</w:t>
            </w:r>
          </w:p>
        </w:tc>
        <w:tc>
          <w:tcPr>
            <w:tcW w:w="1660" w:type="dxa"/>
            <w:vAlign w:val="bottom"/>
          </w:tcPr>
          <w:p>
            <w:pPr>
              <w:jc w:val="right"/>
              <w:ind w:right="290"/>
              <w:spacing w:after="0"/>
              <w:rPr>
                <w:sz w:val="20"/>
                <w:szCs w:val="20"/>
                <w:color w:val="auto"/>
              </w:rPr>
            </w:pPr>
            <w:r>
              <w:rPr>
                <w:rFonts w:ascii="Arial" w:cs="Arial" w:eastAsia="Arial" w:hAnsi="Arial"/>
                <w:sz w:val="18"/>
                <w:szCs w:val="18"/>
                <w:color w:val="auto"/>
              </w:rPr>
              <w:t>-14,241</w:t>
            </w:r>
          </w:p>
        </w:tc>
        <w:tc>
          <w:tcPr>
            <w:tcW w:w="136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1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 Non-recurring expenses</w:t>
            </w:r>
          </w:p>
        </w:tc>
        <w:tc>
          <w:tcPr>
            <w:tcW w:w="3320" w:type="dxa"/>
            <w:vAlign w:val="bottom"/>
          </w:tcPr>
          <w:p>
            <w:pPr>
              <w:ind w:left="120"/>
              <w:spacing w:after="0"/>
              <w:rPr>
                <w:sz w:val="20"/>
                <w:szCs w:val="20"/>
                <w:color w:val="auto"/>
              </w:rPr>
            </w:pPr>
            <w:r>
              <w:rPr>
                <w:rFonts w:ascii="Arial" w:cs="Arial" w:eastAsia="Arial" w:hAnsi="Arial"/>
                <w:sz w:val="18"/>
                <w:szCs w:val="18"/>
                <w:color w:val="auto"/>
              </w:rPr>
              <w:t>Operating expenses</w:t>
            </w:r>
          </w:p>
        </w:tc>
        <w:tc>
          <w:tcPr>
            <w:tcW w:w="16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Mibanco&amp;Edyficar</w:t>
            </w:r>
          </w:p>
        </w:tc>
        <w:tc>
          <w:tcPr>
            <w:tcW w:w="3320" w:type="dxa"/>
            <w:vAlign w:val="bottom"/>
          </w:tcPr>
          <w:p>
            <w:pPr>
              <w:ind w:left="120"/>
              <w:spacing w:after="0"/>
              <w:rPr>
                <w:sz w:val="20"/>
                <w:szCs w:val="20"/>
                <w:color w:val="auto"/>
              </w:rPr>
            </w:pPr>
            <w:r>
              <w:rPr>
                <w:rFonts w:ascii="Arial" w:cs="Arial" w:eastAsia="Arial" w:hAnsi="Arial"/>
                <w:sz w:val="18"/>
                <w:szCs w:val="18"/>
                <w:color w:val="auto"/>
              </w:rPr>
              <w:t>- Others</w:t>
            </w:r>
          </w:p>
        </w:tc>
        <w:tc>
          <w:tcPr>
            <w:tcW w:w="1660" w:type="dxa"/>
            <w:vAlign w:val="bottom"/>
          </w:tcPr>
          <w:p>
            <w:pPr>
              <w:jc w:val="right"/>
              <w:ind w:right="290"/>
              <w:spacing w:after="0"/>
              <w:rPr>
                <w:sz w:val="20"/>
                <w:szCs w:val="20"/>
                <w:color w:val="auto"/>
              </w:rPr>
            </w:pPr>
            <w:r>
              <w:rPr>
                <w:rFonts w:ascii="Arial" w:cs="Arial" w:eastAsia="Arial" w:hAnsi="Arial"/>
                <w:sz w:val="18"/>
                <w:szCs w:val="18"/>
                <w:color w:val="auto"/>
              </w:rPr>
              <w:t>-45,814</w:t>
            </w:r>
          </w:p>
        </w:tc>
        <w:tc>
          <w:tcPr>
            <w:tcW w:w="136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1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 JV with Banmédica</w:t>
            </w:r>
          </w:p>
        </w:tc>
        <w:tc>
          <w:tcPr>
            <w:tcW w:w="3320" w:type="dxa"/>
            <w:vAlign w:val="bottom"/>
          </w:tcPr>
          <w:p>
            <w:pPr>
              <w:ind w:left="120"/>
              <w:spacing w:after="0"/>
              <w:rPr>
                <w:sz w:val="20"/>
                <w:szCs w:val="20"/>
                <w:color w:val="auto"/>
              </w:rPr>
            </w:pPr>
            <w:r>
              <w:rPr>
                <w:rFonts w:ascii="Arial" w:cs="Arial" w:eastAsia="Arial" w:hAnsi="Arial"/>
                <w:sz w:val="18"/>
                <w:szCs w:val="18"/>
                <w:color w:val="auto"/>
              </w:rPr>
              <w:t>Non-financial income</w:t>
            </w:r>
          </w:p>
        </w:tc>
        <w:tc>
          <w:tcPr>
            <w:tcW w:w="16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320" w:type="dxa"/>
            <w:vAlign w:val="bottom"/>
          </w:tcPr>
          <w:p>
            <w:pPr>
              <w:ind w:left="120"/>
              <w:spacing w:after="0"/>
              <w:rPr>
                <w:sz w:val="20"/>
                <w:szCs w:val="20"/>
                <w:color w:val="auto"/>
              </w:rPr>
            </w:pPr>
            <w:r>
              <w:rPr>
                <w:rFonts w:ascii="Arial" w:cs="Arial" w:eastAsia="Arial" w:hAnsi="Arial"/>
                <w:sz w:val="18"/>
                <w:szCs w:val="18"/>
                <w:color w:val="auto"/>
              </w:rPr>
              <w:t>- Net gain on subsidiaries</w:t>
            </w:r>
          </w:p>
        </w:tc>
        <w:tc>
          <w:tcPr>
            <w:tcW w:w="16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10"/>
              <w:spacing w:after="0"/>
              <w:rPr>
                <w:sz w:val="20"/>
                <w:szCs w:val="20"/>
                <w:color w:val="auto"/>
              </w:rPr>
            </w:pPr>
            <w:r>
              <w:rPr>
                <w:rFonts w:ascii="Arial" w:cs="Arial" w:eastAsia="Arial" w:hAnsi="Arial"/>
                <w:sz w:val="18"/>
                <w:szCs w:val="18"/>
                <w:color w:val="auto"/>
              </w:rPr>
              <w:t>-7,609</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99,391</w:t>
            </w:r>
          </w:p>
        </w:tc>
      </w:tr>
      <w:tr>
        <w:trPr>
          <w:trHeight w:val="216"/>
        </w:trPr>
        <w:tc>
          <w:tcPr>
            <w:tcW w:w="1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 Compensation received from</w:t>
            </w:r>
          </w:p>
        </w:tc>
        <w:tc>
          <w:tcPr>
            <w:tcW w:w="3320" w:type="dxa"/>
            <w:vAlign w:val="bottom"/>
          </w:tcPr>
          <w:p>
            <w:pPr>
              <w:ind w:left="120"/>
              <w:spacing w:after="0"/>
              <w:rPr>
                <w:sz w:val="20"/>
                <w:szCs w:val="20"/>
                <w:color w:val="auto"/>
              </w:rPr>
            </w:pPr>
            <w:r>
              <w:rPr>
                <w:rFonts w:ascii="Arial" w:cs="Arial" w:eastAsia="Arial" w:hAnsi="Arial"/>
                <w:sz w:val="18"/>
                <w:szCs w:val="18"/>
                <w:color w:val="auto"/>
              </w:rPr>
              <w:t>Non-financial income</w:t>
            </w:r>
          </w:p>
        </w:tc>
        <w:tc>
          <w:tcPr>
            <w:tcW w:w="16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w w:val="99"/>
              </w:rPr>
              <w:t>reinsurers for incurred losses in</w:t>
            </w:r>
          </w:p>
        </w:tc>
        <w:tc>
          <w:tcPr>
            <w:tcW w:w="3320" w:type="dxa"/>
            <w:vAlign w:val="bottom"/>
          </w:tcPr>
          <w:p>
            <w:pPr>
              <w:ind w:left="120"/>
              <w:spacing w:after="0"/>
              <w:rPr>
                <w:sz w:val="20"/>
                <w:szCs w:val="20"/>
                <w:color w:val="auto"/>
              </w:rPr>
            </w:pPr>
            <w:r>
              <w:rPr>
                <w:rFonts w:ascii="Arial" w:cs="Arial" w:eastAsia="Arial" w:hAnsi="Arial"/>
                <w:sz w:val="18"/>
                <w:szCs w:val="18"/>
                <w:color w:val="auto"/>
              </w:rPr>
              <w:t>- Other income</w:t>
            </w:r>
          </w:p>
        </w:tc>
        <w:tc>
          <w:tcPr>
            <w:tcW w:w="16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2640" w:type="dxa"/>
            <w:vAlign w:val="bottom"/>
            <w:gridSpan w:val="2"/>
          </w:tcPr>
          <w:p>
            <w:pPr>
              <w:ind w:left="120"/>
              <w:spacing w:after="0"/>
              <w:rPr>
                <w:sz w:val="20"/>
                <w:szCs w:val="20"/>
                <w:color w:val="auto"/>
              </w:rPr>
            </w:pPr>
            <w:r>
              <w:rPr>
                <w:rFonts w:ascii="Arial" w:cs="Arial" w:eastAsia="Arial" w:hAnsi="Arial"/>
                <w:sz w:val="18"/>
                <w:szCs w:val="18"/>
                <w:color w:val="auto"/>
              </w:rPr>
              <w:t>2008</w:t>
            </w:r>
          </w:p>
        </w:tc>
        <w:tc>
          <w:tcPr>
            <w:tcW w:w="3320" w:type="dxa"/>
            <w:vAlign w:val="bottom"/>
          </w:tcPr>
          <w:p>
            <w:pPr>
              <w:spacing w:after="0"/>
              <w:rPr>
                <w:sz w:val="18"/>
                <w:szCs w:val="18"/>
                <w:color w:val="auto"/>
              </w:rPr>
            </w:pPr>
          </w:p>
        </w:tc>
        <w:tc>
          <w:tcPr>
            <w:tcW w:w="1660" w:type="dxa"/>
            <w:vAlign w:val="bottom"/>
          </w:tcPr>
          <w:p>
            <w:pPr>
              <w:jc w:val="right"/>
              <w:ind w:right="290"/>
              <w:spacing w:after="0"/>
              <w:rPr>
                <w:sz w:val="20"/>
                <w:szCs w:val="20"/>
                <w:color w:val="auto"/>
              </w:rPr>
            </w:pPr>
            <w:r>
              <w:rPr>
                <w:rFonts w:ascii="Arial" w:cs="Arial" w:eastAsia="Arial" w:hAnsi="Arial"/>
                <w:sz w:val="18"/>
                <w:szCs w:val="18"/>
                <w:color w:val="auto"/>
              </w:rPr>
              <w:t>40,822</w:t>
            </w:r>
          </w:p>
        </w:tc>
        <w:tc>
          <w:tcPr>
            <w:tcW w:w="136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1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 Sale of a fund position</w:t>
            </w:r>
          </w:p>
        </w:tc>
        <w:tc>
          <w:tcPr>
            <w:tcW w:w="3320" w:type="dxa"/>
            <w:vAlign w:val="bottom"/>
          </w:tcPr>
          <w:p>
            <w:pPr>
              <w:ind w:left="120"/>
              <w:spacing w:after="0"/>
              <w:rPr>
                <w:sz w:val="20"/>
                <w:szCs w:val="20"/>
                <w:color w:val="auto"/>
              </w:rPr>
            </w:pPr>
            <w:r>
              <w:rPr>
                <w:rFonts w:ascii="Arial" w:cs="Arial" w:eastAsia="Arial" w:hAnsi="Arial"/>
                <w:sz w:val="18"/>
                <w:szCs w:val="18"/>
                <w:color w:val="auto"/>
              </w:rPr>
              <w:t>Non-financial income</w:t>
            </w:r>
          </w:p>
        </w:tc>
        <w:tc>
          <w:tcPr>
            <w:tcW w:w="16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1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3320" w:type="dxa"/>
            <w:vAlign w:val="bottom"/>
          </w:tcPr>
          <w:p>
            <w:pPr>
              <w:ind w:left="120"/>
              <w:spacing w:after="0"/>
              <w:rPr>
                <w:sz w:val="20"/>
                <w:szCs w:val="20"/>
                <w:color w:val="auto"/>
              </w:rPr>
            </w:pPr>
            <w:r>
              <w:rPr>
                <w:rFonts w:ascii="Arial" w:cs="Arial" w:eastAsia="Arial" w:hAnsi="Arial"/>
                <w:sz w:val="18"/>
                <w:szCs w:val="18"/>
                <w:color w:val="auto"/>
              </w:rPr>
              <w:t>- Net gain on sales of securities</w:t>
            </w:r>
          </w:p>
        </w:tc>
        <w:tc>
          <w:tcPr>
            <w:tcW w:w="16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58,963</w:t>
            </w:r>
          </w:p>
        </w:tc>
      </w:tr>
      <w:tr>
        <w:trPr>
          <w:trHeight w:val="202"/>
        </w:trPr>
        <w:tc>
          <w:tcPr>
            <w:tcW w:w="120" w:type="dxa"/>
            <w:vAlign w:val="bottom"/>
            <w:shd w:val="clear" w:color="auto" w:fill="CCEEFF"/>
          </w:tcPr>
          <w:p>
            <w:pPr>
              <w:spacing w:after="0"/>
              <w:rPr>
                <w:sz w:val="17"/>
                <w:szCs w:val="17"/>
                <w:color w:val="auto"/>
              </w:rPr>
            </w:pPr>
          </w:p>
        </w:tc>
        <w:tc>
          <w:tcPr>
            <w:tcW w:w="2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 Real estate sale</w:t>
            </w:r>
          </w:p>
        </w:tc>
        <w:tc>
          <w:tcPr>
            <w:tcW w:w="332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Non-financial income</w:t>
            </w:r>
          </w:p>
        </w:tc>
        <w:tc>
          <w:tcPr>
            <w:tcW w:w="16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30"/>
        </w:trPr>
        <w:tc>
          <w:tcPr>
            <w:tcW w:w="120" w:type="dxa"/>
            <w:vAlign w:val="bottom"/>
            <w:shd w:val="clear" w:color="auto" w:fill="CCEEFF"/>
          </w:tcPr>
          <w:p>
            <w:pPr>
              <w:spacing w:after="0"/>
              <w:rPr>
                <w:sz w:val="20"/>
                <w:szCs w:val="20"/>
                <w:color w:val="auto"/>
              </w:rPr>
            </w:pPr>
          </w:p>
        </w:tc>
        <w:tc>
          <w:tcPr>
            <w:tcW w:w="2520" w:type="dxa"/>
            <w:vAlign w:val="bottom"/>
            <w:shd w:val="clear" w:color="auto" w:fill="CCEEFF"/>
          </w:tcPr>
          <w:p>
            <w:pPr>
              <w:spacing w:after="0"/>
              <w:rPr>
                <w:sz w:val="20"/>
                <w:szCs w:val="20"/>
                <w:color w:val="auto"/>
              </w:rPr>
            </w:pPr>
          </w:p>
        </w:tc>
        <w:tc>
          <w:tcPr>
            <w:tcW w:w="3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 Net gain on sales of securities</w:t>
            </w:r>
          </w:p>
        </w:tc>
        <w:tc>
          <w:tcPr>
            <w:tcW w:w="16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3,958</w:t>
            </w:r>
          </w:p>
        </w:tc>
        <w:tc>
          <w:tcPr>
            <w:tcW w:w="13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1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 Reversal of tax provisions</w:t>
            </w:r>
          </w:p>
        </w:tc>
        <w:tc>
          <w:tcPr>
            <w:tcW w:w="3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Tax</w:t>
            </w:r>
          </w:p>
        </w:tc>
        <w:tc>
          <w:tcPr>
            <w:tcW w:w="16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2,057</w:t>
            </w:r>
          </w:p>
        </w:tc>
        <w:tc>
          <w:tcPr>
            <w:tcW w:w="13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2"/>
        </w:trPr>
        <w:tc>
          <w:tcPr>
            <w:tcW w:w="120" w:type="dxa"/>
            <w:vAlign w:val="bottom"/>
          </w:tcPr>
          <w:p>
            <w:pPr>
              <w:spacing w:after="0"/>
              <w:rPr>
                <w:sz w:val="17"/>
                <w:szCs w:val="17"/>
                <w:color w:val="auto"/>
              </w:rPr>
            </w:pPr>
          </w:p>
        </w:tc>
        <w:tc>
          <w:tcPr>
            <w:tcW w:w="2520" w:type="dxa"/>
            <w:vAlign w:val="bottom"/>
          </w:tcPr>
          <w:p>
            <w:pPr>
              <w:spacing w:after="0" w:line="201" w:lineRule="exact"/>
              <w:rPr>
                <w:sz w:val="20"/>
                <w:szCs w:val="20"/>
                <w:color w:val="auto"/>
              </w:rPr>
            </w:pPr>
            <w:r>
              <w:rPr>
                <w:rFonts w:ascii="Arial" w:cs="Arial" w:eastAsia="Arial" w:hAnsi="Arial"/>
                <w:sz w:val="18"/>
                <w:szCs w:val="18"/>
                <w:color w:val="auto"/>
              </w:rPr>
              <w:t>- Puts&amp;Calls</w:t>
            </w:r>
          </w:p>
        </w:tc>
        <w:tc>
          <w:tcPr>
            <w:tcW w:w="3320" w:type="dxa"/>
            <w:vAlign w:val="bottom"/>
          </w:tcPr>
          <w:p>
            <w:pPr>
              <w:ind w:left="120"/>
              <w:spacing w:after="0" w:line="201" w:lineRule="exact"/>
              <w:rPr>
                <w:sz w:val="20"/>
                <w:szCs w:val="20"/>
                <w:color w:val="auto"/>
              </w:rPr>
            </w:pPr>
            <w:r>
              <w:rPr>
                <w:rFonts w:ascii="Arial" w:cs="Arial" w:eastAsia="Arial" w:hAnsi="Arial"/>
                <w:sz w:val="18"/>
                <w:szCs w:val="18"/>
                <w:color w:val="auto"/>
              </w:rPr>
              <w:t>Operating expenses</w:t>
            </w:r>
          </w:p>
        </w:tc>
        <w:tc>
          <w:tcPr>
            <w:tcW w:w="1660" w:type="dxa"/>
            <w:vAlign w:val="bottom"/>
          </w:tcPr>
          <w:p>
            <w:pPr>
              <w:jc w:val="right"/>
              <w:ind w:right="290"/>
              <w:spacing w:after="0" w:line="201" w:lineRule="exact"/>
              <w:rPr>
                <w:sz w:val="20"/>
                <w:szCs w:val="20"/>
                <w:color w:val="auto"/>
              </w:rPr>
            </w:pPr>
            <w:r>
              <w:rPr>
                <w:rFonts w:ascii="Arial" w:cs="Arial" w:eastAsia="Arial" w:hAnsi="Arial"/>
                <w:sz w:val="18"/>
                <w:szCs w:val="18"/>
                <w:color w:val="auto"/>
              </w:rPr>
              <w:t>-51,800</w:t>
            </w:r>
          </w:p>
        </w:tc>
        <w:tc>
          <w:tcPr>
            <w:tcW w:w="1360" w:type="dxa"/>
            <w:vAlign w:val="bottom"/>
          </w:tcPr>
          <w:p>
            <w:pPr>
              <w:spacing w:after="0"/>
              <w:rPr>
                <w:sz w:val="17"/>
                <w:szCs w:val="17"/>
                <w:color w:val="auto"/>
              </w:rPr>
            </w:pPr>
          </w:p>
        </w:tc>
        <w:tc>
          <w:tcPr>
            <w:tcW w:w="1060" w:type="dxa"/>
            <w:vAlign w:val="bottom"/>
          </w:tcPr>
          <w:p>
            <w:pPr>
              <w:jc w:val="right"/>
              <w:ind w:right="10"/>
              <w:spacing w:after="0" w:line="201" w:lineRule="exact"/>
              <w:rPr>
                <w:sz w:val="20"/>
                <w:szCs w:val="20"/>
                <w:color w:val="auto"/>
              </w:rPr>
            </w:pPr>
            <w:r>
              <w:rPr>
                <w:rFonts w:ascii="Arial" w:cs="Arial" w:eastAsia="Arial" w:hAnsi="Arial"/>
                <w:sz w:val="18"/>
                <w:szCs w:val="18"/>
                <w:color w:val="auto"/>
              </w:rPr>
              <w:t>-</w:t>
            </w:r>
          </w:p>
        </w:tc>
      </w:tr>
      <w:tr>
        <w:trPr>
          <w:trHeight w:val="230"/>
        </w:trPr>
        <w:tc>
          <w:tcPr>
            <w:tcW w:w="120" w:type="dxa"/>
            <w:vAlign w:val="bottom"/>
          </w:tcPr>
          <w:p>
            <w:pPr>
              <w:spacing w:after="0"/>
              <w:rPr>
                <w:sz w:val="20"/>
                <w:szCs w:val="20"/>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 Impairment and others</w:t>
            </w:r>
          </w:p>
        </w:tc>
        <w:tc>
          <w:tcPr>
            <w:tcW w:w="3320" w:type="dxa"/>
            <w:vAlign w:val="bottom"/>
          </w:tcPr>
          <w:p>
            <w:pPr>
              <w:ind w:left="120"/>
              <w:spacing w:after="0"/>
              <w:rPr>
                <w:sz w:val="20"/>
                <w:szCs w:val="20"/>
                <w:color w:val="auto"/>
              </w:rPr>
            </w:pPr>
            <w:r>
              <w:rPr>
                <w:rFonts w:ascii="Arial" w:cs="Arial" w:eastAsia="Arial" w:hAnsi="Arial"/>
                <w:sz w:val="18"/>
                <w:szCs w:val="18"/>
                <w:color w:val="auto"/>
              </w:rPr>
              <w:t>- Others</w:t>
            </w:r>
          </w:p>
        </w:tc>
        <w:tc>
          <w:tcPr>
            <w:tcW w:w="1660" w:type="dxa"/>
            <w:vAlign w:val="bottom"/>
          </w:tcPr>
          <w:p>
            <w:pPr>
              <w:jc w:val="right"/>
              <w:ind w:right="290"/>
              <w:spacing w:after="0"/>
              <w:rPr>
                <w:sz w:val="20"/>
                <w:szCs w:val="20"/>
                <w:color w:val="auto"/>
              </w:rPr>
            </w:pPr>
            <w:r>
              <w:rPr>
                <w:rFonts w:ascii="Arial" w:cs="Arial" w:eastAsia="Arial" w:hAnsi="Arial"/>
                <w:sz w:val="18"/>
                <w:szCs w:val="18"/>
                <w:color w:val="auto"/>
              </w:rPr>
              <w:t>-69,817</w:t>
            </w:r>
          </w:p>
        </w:tc>
        <w:tc>
          <w:tcPr>
            <w:tcW w:w="1360" w:type="dxa"/>
            <w:vAlign w:val="bottom"/>
          </w:tcPr>
          <w:p>
            <w:pPr>
              <w:jc w:val="right"/>
              <w:ind w:right="310"/>
              <w:spacing w:after="0"/>
              <w:rPr>
                <w:sz w:val="20"/>
                <w:szCs w:val="20"/>
                <w:color w:val="auto"/>
              </w:rPr>
            </w:pPr>
            <w:r>
              <w:rPr>
                <w:rFonts w:ascii="Arial" w:cs="Arial" w:eastAsia="Arial" w:hAnsi="Arial"/>
                <w:sz w:val="18"/>
                <w:szCs w:val="18"/>
                <w:color w:val="auto"/>
              </w:rPr>
              <w:t>-61,538</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-61,538</w:t>
            </w:r>
          </w:p>
        </w:tc>
      </w:tr>
      <w:tr>
        <w:trPr>
          <w:trHeight w:val="216"/>
        </w:trPr>
        <w:tc>
          <w:tcPr>
            <w:tcW w:w="12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 Sale of securities - Alicorp</w:t>
            </w:r>
          </w:p>
        </w:tc>
        <w:tc>
          <w:tcPr>
            <w:tcW w:w="3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Non-financial income</w:t>
            </w:r>
          </w:p>
        </w:tc>
        <w:tc>
          <w:tcPr>
            <w:tcW w:w="16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59,835</w:t>
            </w:r>
          </w:p>
        </w:tc>
        <w:tc>
          <w:tcPr>
            <w:tcW w:w="13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1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 Sale of securities - Bonds</w:t>
            </w:r>
          </w:p>
        </w:tc>
        <w:tc>
          <w:tcPr>
            <w:tcW w:w="3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 Net gain on sales of securities</w:t>
            </w:r>
          </w:p>
        </w:tc>
        <w:tc>
          <w:tcPr>
            <w:tcW w:w="16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15,030</w:t>
            </w:r>
          </w:p>
        </w:tc>
        <w:tc>
          <w:tcPr>
            <w:tcW w:w="13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1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 Shutdown of Tarjeta Naranja</w:t>
            </w:r>
          </w:p>
        </w:tc>
        <w:tc>
          <w:tcPr>
            <w:tcW w:w="3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expenses</w:t>
            </w:r>
          </w:p>
        </w:tc>
        <w:tc>
          <w:tcPr>
            <w:tcW w:w="16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-7,573</w:t>
            </w:r>
          </w:p>
        </w:tc>
        <w:tc>
          <w:tcPr>
            <w:tcW w:w="13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1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w w:val="96"/>
              </w:rPr>
              <w:t>- Deferred Tax Asset adjustment</w:t>
            </w:r>
          </w:p>
        </w:tc>
        <w:tc>
          <w:tcPr>
            <w:tcW w:w="33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Others</w:t>
            </w:r>
          </w:p>
        </w:tc>
        <w:tc>
          <w:tcPr>
            <w:tcW w:w="16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-23,882</w:t>
            </w:r>
          </w:p>
        </w:tc>
        <w:tc>
          <w:tcPr>
            <w:tcW w:w="13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1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 Tax adjustment</w:t>
            </w:r>
          </w:p>
        </w:tc>
        <w:tc>
          <w:tcPr>
            <w:tcW w:w="3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Tax</w:t>
            </w:r>
          </w:p>
        </w:tc>
        <w:tc>
          <w:tcPr>
            <w:tcW w:w="16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2,952</w:t>
            </w:r>
          </w:p>
        </w:tc>
        <w:tc>
          <w:tcPr>
            <w:tcW w:w="13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2"/>
        </w:trPr>
        <w:tc>
          <w:tcPr>
            <w:tcW w:w="120" w:type="dxa"/>
            <w:vAlign w:val="bottom"/>
          </w:tcPr>
          <w:p>
            <w:pPr>
              <w:spacing w:after="0"/>
              <w:rPr>
                <w:sz w:val="17"/>
                <w:szCs w:val="17"/>
                <w:color w:val="auto"/>
              </w:rPr>
            </w:pPr>
          </w:p>
        </w:tc>
        <w:tc>
          <w:tcPr>
            <w:tcW w:w="2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 Others, mainly a non-recurring</w:t>
            </w:r>
          </w:p>
        </w:tc>
        <w:tc>
          <w:tcPr>
            <w:tcW w:w="332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Other income / expense</w:t>
            </w:r>
          </w:p>
        </w:tc>
        <w:tc>
          <w:tcPr>
            <w:tcW w:w="16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30"/>
        </w:trPr>
        <w:tc>
          <w:tcPr>
            <w:tcW w:w="120" w:type="dxa"/>
            <w:vAlign w:val="bottom"/>
          </w:tcPr>
          <w:p>
            <w:pPr>
              <w:spacing w:after="0"/>
              <w:rPr>
                <w:sz w:val="20"/>
                <w:szCs w:val="20"/>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income from Edyficar</w:t>
            </w:r>
          </w:p>
        </w:tc>
        <w:tc>
          <w:tcPr>
            <w:tcW w:w="3320" w:type="dxa"/>
            <w:vAlign w:val="bottom"/>
            <w:shd w:val="clear" w:color="auto" w:fill="CCEEFF"/>
          </w:tcPr>
          <w:p>
            <w:pPr>
              <w:spacing w:after="0"/>
              <w:rPr>
                <w:sz w:val="20"/>
                <w:szCs w:val="20"/>
                <w:color w:val="auto"/>
              </w:rPr>
            </w:pPr>
          </w:p>
        </w:tc>
        <w:tc>
          <w:tcPr>
            <w:tcW w:w="16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27,959</w:t>
            </w:r>
          </w:p>
        </w:tc>
        <w:tc>
          <w:tcPr>
            <w:tcW w:w="13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2,491</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-870585</wp:posOffset>
            </wp:positionH>
            <wp:positionV relativeFrom="paragraph">
              <wp:posOffset>-2606675</wp:posOffset>
            </wp:positionV>
            <wp:extent cx="7246620" cy="274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93" w:lineRule="exact"/>
        <w:rPr>
          <w:sz w:val="20"/>
          <w:szCs w:val="20"/>
          <w:color w:val="auto"/>
        </w:rPr>
      </w:pPr>
    </w:p>
    <w:p>
      <w:pPr>
        <w:sectPr>
          <w:pgSz w:w="11900" w:h="16838" w:orient="portrait"/>
          <w:cols w:equalWidth="0" w:num="2">
            <w:col w:w="1240" w:space="140"/>
            <w:col w:w="10040"/>
          </w:cols>
          <w:pgMar w:left="240" w:top="908" w:right="239" w:bottom="1440" w:gutter="0" w:footer="0" w:header="0"/>
          <w:type w:val="continuous"/>
        </w:sectPr>
      </w:pPr>
    </w:p>
    <w:tbl>
      <w:tblPr>
        <w:tblLayout w:type="fixed"/>
        <w:tblInd w:w="0" w:type="dxa"/>
        <w:tblCellMar>
          <w:top w:w="0" w:type="dxa"/>
          <w:left w:w="0" w:type="dxa"/>
          <w:bottom w:w="0" w:type="dxa"/>
          <w:right w:w="0" w:type="dxa"/>
        </w:tblCellMar>
      </w:tblPr>
      <w:tr>
        <w:trPr>
          <w:trHeight w:val="294"/>
        </w:trPr>
        <w:tc>
          <w:tcPr>
            <w:tcW w:w="7460" w:type="dxa"/>
            <w:vAlign w:val="bottom"/>
            <w:gridSpan w:val="2"/>
          </w:tcPr>
          <w:p>
            <w:pPr>
              <w:spacing w:after="0" w:line="294" w:lineRule="exact"/>
              <w:rPr>
                <w:sz w:val="20"/>
                <w:szCs w:val="20"/>
                <w:color w:val="auto"/>
              </w:rPr>
            </w:pPr>
            <w:r>
              <w:rPr>
                <w:rFonts w:ascii="Arial" w:cs="Arial" w:eastAsia="Arial" w:hAnsi="Arial"/>
                <w:sz w:val="18"/>
                <w:szCs w:val="18"/>
                <w:color w:val="auto"/>
              </w:rPr>
              <w:t>result</w:t>
            </w:r>
            <w:r>
              <w:rPr>
                <w:rFonts w:ascii="Arial" w:cs="Arial" w:eastAsia="Arial" w:hAnsi="Arial"/>
                <w:sz w:val="30"/>
                <w:szCs w:val="30"/>
                <w:color w:val="auto"/>
                <w:vertAlign w:val="superscript"/>
              </w:rPr>
              <w:t>(1)</w:t>
            </w:r>
          </w:p>
        </w:tc>
        <w:tc>
          <w:tcPr>
            <w:tcW w:w="1160" w:type="dxa"/>
            <w:vAlign w:val="bottom"/>
          </w:tcPr>
          <w:p>
            <w:pPr>
              <w:jc w:val="right"/>
              <w:spacing w:after="0"/>
              <w:rPr>
                <w:sz w:val="20"/>
                <w:szCs w:val="20"/>
                <w:color w:val="auto"/>
              </w:rPr>
            </w:pPr>
            <w:r>
              <w:rPr>
                <w:rFonts w:ascii="Arial" w:cs="Arial" w:eastAsia="Arial" w:hAnsi="Arial"/>
                <w:sz w:val="18"/>
                <w:szCs w:val="18"/>
                <w:color w:val="auto"/>
              </w:rPr>
              <w:t>430</w:t>
            </w:r>
          </w:p>
        </w:tc>
        <w:tc>
          <w:tcPr>
            <w:tcW w:w="200" w:type="dxa"/>
            <w:vAlign w:val="bottom"/>
          </w:tcPr>
          <w:p>
            <w:pPr>
              <w:spacing w:after="0"/>
              <w:rPr>
                <w:sz w:val="24"/>
                <w:szCs w:val="2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28,223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42,053</w:t>
            </w:r>
          </w:p>
        </w:tc>
        <w:tc>
          <w:tcPr>
            <w:tcW w:w="0" w:type="dxa"/>
            <w:vAlign w:val="bottom"/>
          </w:tcPr>
          <w:p>
            <w:pPr>
              <w:spacing w:after="0"/>
              <w:rPr>
                <w:sz w:val="1"/>
                <w:szCs w:val="1"/>
                <w:color w:val="auto"/>
              </w:rPr>
            </w:pPr>
          </w:p>
        </w:tc>
      </w:tr>
      <w:tr>
        <w:trPr>
          <w:trHeight w:val="20"/>
        </w:trPr>
        <w:tc>
          <w:tcPr>
            <w:tcW w:w="240" w:type="dxa"/>
            <w:vAlign w:val="bottom"/>
            <w:shd w:val="clear" w:color="auto" w:fill="CCEEFF"/>
          </w:tcPr>
          <w:p>
            <w:pPr>
              <w:spacing w:after="0" w:line="20" w:lineRule="exact"/>
              <w:rPr>
                <w:sz w:val="1"/>
                <w:szCs w:val="1"/>
                <w:color w:val="auto"/>
              </w:rPr>
            </w:pPr>
          </w:p>
        </w:tc>
        <w:tc>
          <w:tcPr>
            <w:tcW w:w="7220" w:type="dxa"/>
            <w:vAlign w:val="bottom"/>
            <w:vMerge w:val="restart"/>
            <w:shd w:val="clear" w:color="auto" w:fill="CCEEFF"/>
          </w:tcPr>
          <w:p>
            <w:pPr>
              <w:ind w:left="1260"/>
              <w:spacing w:after="0" w:line="269" w:lineRule="exact"/>
              <w:rPr>
                <w:sz w:val="20"/>
                <w:szCs w:val="20"/>
                <w:color w:val="auto"/>
              </w:rPr>
            </w:pPr>
            <w:r>
              <w:rPr>
                <w:rFonts w:ascii="Arial" w:cs="Arial" w:eastAsia="Arial" w:hAnsi="Arial"/>
                <w:sz w:val="18"/>
                <w:szCs w:val="18"/>
                <w:b w:val="1"/>
                <w:bCs w:val="1"/>
                <w:color w:val="auto"/>
              </w:rPr>
              <w:t xml:space="preserve">Total non-recurring income / expense </w:t>
            </w:r>
            <w:r>
              <w:rPr>
                <w:rFonts w:ascii="Arial" w:cs="Arial" w:eastAsia="Arial" w:hAnsi="Arial"/>
                <w:sz w:val="30"/>
                <w:szCs w:val="30"/>
                <w:b w:val="1"/>
                <w:bCs w:val="1"/>
                <w:color w:val="auto"/>
                <w:vertAlign w:val="superscript"/>
              </w:rPr>
              <w:t>(2)</w:t>
            </w: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shd w:val="clear" w:color="auto" w:fill="CCEEFF"/>
          </w:tcPr>
          <w:p>
            <w:pPr>
              <w:spacing w:after="0"/>
              <w:rPr>
                <w:sz w:val="21"/>
                <w:szCs w:val="21"/>
                <w:color w:val="auto"/>
              </w:rPr>
            </w:pPr>
          </w:p>
        </w:tc>
        <w:tc>
          <w:tcPr>
            <w:tcW w:w="7220" w:type="dxa"/>
            <w:vAlign w:val="bottom"/>
            <w:vMerge w:val="continue"/>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-60,085</w:t>
            </w:r>
          </w:p>
        </w:tc>
        <w:tc>
          <w:tcPr>
            <w:tcW w:w="2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-38,434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141,359</w:t>
            </w: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7220" w:type="dxa"/>
            <w:vAlign w:val="bottom"/>
          </w:tcPr>
          <w:p>
            <w:pPr>
              <w:ind w:left="1260"/>
              <w:spacing w:after="0"/>
              <w:rPr>
                <w:sz w:val="20"/>
                <w:szCs w:val="20"/>
                <w:color w:val="auto"/>
              </w:rPr>
            </w:pPr>
            <w:r>
              <w:rPr>
                <w:rFonts w:ascii="Arial" w:cs="Arial" w:eastAsia="Arial" w:hAnsi="Arial"/>
                <w:sz w:val="18"/>
                <w:szCs w:val="18"/>
                <w:b w:val="1"/>
                <w:bCs w:val="1"/>
                <w:color w:val="auto"/>
              </w:rPr>
              <w:t>Recurring net income Credicorp</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2,447,936</w:t>
            </w:r>
          </w:p>
        </w:tc>
        <w:tc>
          <w:tcPr>
            <w:tcW w:w="20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769,566</w:t>
            </w:r>
          </w:p>
        </w:tc>
        <w:tc>
          <w:tcPr>
            <w:tcW w:w="22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2,950,947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240" w:type="dxa"/>
            <w:vAlign w:val="bottom"/>
          </w:tcPr>
          <w:p>
            <w:pPr>
              <w:spacing w:after="0"/>
              <w:rPr>
                <w:sz w:val="20"/>
                <w:szCs w:val="20"/>
                <w:color w:val="auto"/>
              </w:rPr>
            </w:pPr>
            <w:r>
              <w:rPr>
                <w:rFonts w:ascii="Arial" w:cs="Arial" w:eastAsia="Arial" w:hAnsi="Arial"/>
                <w:sz w:val="18"/>
                <w:szCs w:val="18"/>
                <w:color w:val="auto"/>
                <w:w w:val="99"/>
              </w:rPr>
              <w:t>(1)</w:t>
            </w:r>
          </w:p>
        </w:tc>
        <w:tc>
          <w:tcPr>
            <w:tcW w:w="7220" w:type="dxa"/>
            <w:vAlign w:val="bottom"/>
          </w:tcPr>
          <w:p>
            <w:pPr>
              <w:ind w:left="20"/>
              <w:spacing w:after="0"/>
              <w:rPr>
                <w:sz w:val="20"/>
                <w:szCs w:val="20"/>
                <w:color w:val="auto"/>
              </w:rPr>
            </w:pPr>
            <w:r>
              <w:rPr>
                <w:rFonts w:ascii="Arial" w:cs="Arial" w:eastAsia="Arial" w:hAnsi="Arial"/>
                <w:sz w:val="18"/>
                <w:szCs w:val="18"/>
                <w:color w:val="auto"/>
              </w:rPr>
              <w:t>Only translation result in 4Q15 is net of taxes.</w:t>
            </w: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r>
              <w:rPr>
                <w:rFonts w:ascii="Arial" w:cs="Arial" w:eastAsia="Arial" w:hAnsi="Arial"/>
                <w:sz w:val="18"/>
                <w:szCs w:val="18"/>
                <w:color w:val="auto"/>
                <w:w w:val="99"/>
              </w:rPr>
              <w:t>(2)</w:t>
            </w:r>
          </w:p>
        </w:tc>
        <w:tc>
          <w:tcPr>
            <w:tcW w:w="7220" w:type="dxa"/>
            <w:vAlign w:val="bottom"/>
          </w:tcPr>
          <w:p>
            <w:pPr>
              <w:ind w:left="20"/>
              <w:spacing w:after="0"/>
              <w:rPr>
                <w:sz w:val="20"/>
                <w:szCs w:val="20"/>
                <w:color w:val="auto"/>
              </w:rPr>
            </w:pPr>
            <w:r>
              <w:rPr>
                <w:rFonts w:ascii="Arial" w:cs="Arial" w:eastAsia="Arial" w:hAnsi="Arial"/>
                <w:sz w:val="18"/>
                <w:szCs w:val="18"/>
                <w:color w:val="auto"/>
              </w:rPr>
              <w:t>Figures net of taxes.</w:t>
            </w: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Credicorp reported </w:t>
      </w:r>
      <w:r>
        <w:rPr>
          <w:rFonts w:ascii="Arial" w:cs="Arial" w:eastAsia="Arial" w:hAnsi="Arial"/>
          <w:sz w:val="18"/>
          <w:szCs w:val="18"/>
          <w:b w:val="1"/>
          <w:bCs w:val="1"/>
          <w:color w:val="auto"/>
        </w:rPr>
        <w:t>net income</w:t>
      </w:r>
      <w:r>
        <w:rPr>
          <w:rFonts w:ascii="Arial" w:cs="Arial" w:eastAsia="Arial" w:hAnsi="Arial"/>
          <w:sz w:val="18"/>
          <w:szCs w:val="18"/>
          <w:color w:val="auto"/>
        </w:rPr>
        <w:t xml:space="preserve"> of S/. 731.1 million, which led to an ROAE and ROAA of 18.7% and 1.9%, respectively in 4Q15. These solid results allowed the organization to post positive figures for the third consecutive quarter, which is particularly noteworthy given an adverse macroeconomic context and market volatility. It is important to note that </w:t>
      </w:r>
      <w:r>
        <w:rPr>
          <w:rFonts w:ascii="Arial" w:cs="Arial" w:eastAsia="Arial" w:hAnsi="Arial"/>
          <w:sz w:val="18"/>
          <w:szCs w:val="18"/>
          <w:b w:val="1"/>
          <w:bCs w:val="1"/>
          <w:color w:val="auto"/>
        </w:rPr>
        <w:t>recurring net income</w:t>
      </w:r>
      <w:r>
        <w:rPr>
          <w:rFonts w:ascii="Arial" w:cs="Arial" w:eastAsia="Arial" w:hAnsi="Arial"/>
          <w:sz w:val="18"/>
          <w:szCs w:val="18"/>
          <w:color w:val="auto"/>
        </w:rPr>
        <w:t xml:space="preserve"> totaled S/. 769.6 million (+3.3% QoQ and +23% YoY), which represents a good level of profitability with recurring ROAE and ROAA of 19.9% and 2.0%, respectively.</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NII </w:t>
      </w:r>
      <w:r>
        <w:rPr>
          <w:rFonts w:ascii="Arial" w:cs="Arial" w:eastAsia="Arial" w:hAnsi="Arial"/>
          <w:sz w:val="18"/>
          <w:szCs w:val="18"/>
          <w:color w:val="auto"/>
        </w:rPr>
        <w:t>at Credicorp rose +5.8% QoQ and +15.4% YoY, which was the highest quarterly growth posted this year. This expansion was primarily associated with</w:t>
      </w:r>
      <w:r>
        <w:rPr>
          <w:rFonts w:ascii="Arial" w:cs="Arial" w:eastAsia="Arial" w:hAnsi="Arial"/>
          <w:sz w:val="18"/>
          <w:szCs w:val="18"/>
          <w:b w:val="1"/>
          <w:bCs w:val="1"/>
          <w:color w:val="auto"/>
        </w:rPr>
        <w:t xml:space="preserve"> </w:t>
      </w:r>
      <w:r>
        <w:rPr>
          <w:rFonts w:ascii="Arial" w:cs="Arial" w:eastAsia="Arial" w:hAnsi="Arial"/>
          <w:sz w:val="18"/>
          <w:szCs w:val="18"/>
          <w:color w:val="auto"/>
        </w:rPr>
        <w:t>an increase interest income, which was driven by higher interest on loans in 4Q15. Growth in interest income offset the increase in interest expenses, which reported a decrease in the pace of expansion due to a drop in the level of BCRP instruments.</w:t>
      </w:r>
    </w:p>
    <w:p>
      <w:pPr>
        <w:spacing w:after="0" w:line="17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The aforementioned led to an increase of +6 bps QoQ in Credicorp’s </w:t>
      </w:r>
      <w:r>
        <w:rPr>
          <w:rFonts w:ascii="Arial" w:cs="Arial" w:eastAsia="Arial" w:hAnsi="Arial"/>
          <w:sz w:val="18"/>
          <w:szCs w:val="18"/>
          <w:b w:val="1"/>
          <w:bCs w:val="1"/>
          <w:color w:val="auto"/>
        </w:rPr>
        <w:t>NIM</w:t>
      </w:r>
      <w:r>
        <w:rPr>
          <w:rFonts w:ascii="Arial" w:cs="Arial" w:eastAsia="Arial" w:hAnsi="Arial"/>
          <w:sz w:val="18"/>
          <w:szCs w:val="18"/>
          <w:color w:val="auto"/>
        </w:rPr>
        <w:t xml:space="preserve"> (5.49% in 3Q15 and 5.55% in 4Q15). This was attributable to significant expansion in NII and to a smaller increase in average IEA, which was due to a decrease in the level of BCRP instruments. The YoY evolution reveals a decline of -11 bps due to: (i) more use of BCRP instruments, which require restricted deposits that “inflate” the IEA; (ii) higher expansion in loans in segments with lower margins; and (iii) an increase in the cost of funding.</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Total loans </w:t>
      </w:r>
      <w:r>
        <w:rPr>
          <w:rFonts w:ascii="Arial" w:cs="Arial" w:eastAsia="Arial" w:hAnsi="Arial"/>
          <w:sz w:val="18"/>
          <w:szCs w:val="18"/>
          <w:color w:val="auto"/>
        </w:rPr>
        <w:t>increased +2.8% QoQ and +13.1% YoY in period-end balances and +4.8% QoQ and +16.8% YoY in average daily balances. Unlike the scenario</w:t>
      </w:r>
      <w:r>
        <w:rPr>
          <w:rFonts w:ascii="Arial" w:cs="Arial" w:eastAsia="Arial" w:hAnsi="Arial"/>
          <w:sz w:val="18"/>
          <w:szCs w:val="18"/>
          <w:b w:val="1"/>
          <w:bCs w:val="1"/>
          <w:color w:val="auto"/>
        </w:rPr>
        <w:t xml:space="preserve"> </w:t>
      </w:r>
      <w:r>
        <w:rPr>
          <w:rFonts w:ascii="Arial" w:cs="Arial" w:eastAsia="Arial" w:hAnsi="Arial"/>
          <w:sz w:val="18"/>
          <w:szCs w:val="18"/>
          <w:color w:val="auto"/>
        </w:rPr>
        <w:t>in previous quarters, loan expansion was led by Retail Banking and to a lesser extent by Wholesale Banking. In real terms, loans rose +0.5% QoQ in terms of period-end balances and 3.1% QoQ when measured in average daily balances.</w:t>
      </w:r>
    </w:p>
    <w:p>
      <w:pPr>
        <w:spacing w:after="0" w:line="3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5" w:name="page6"/>
    <w:bookmarkEnd w:id="5"/>
    <w:p>
      <w:pPr>
        <w:jc w:val="both"/>
        <w:spacing w:after="0" w:line="254" w:lineRule="auto"/>
        <w:rPr>
          <w:sz w:val="20"/>
          <w:szCs w:val="20"/>
          <w:color w:val="auto"/>
        </w:rPr>
      </w:pPr>
      <w:r>
        <w:rPr>
          <w:rFonts w:ascii="Arial" w:cs="Arial" w:eastAsia="Arial" w:hAnsi="Arial"/>
          <w:sz w:val="18"/>
          <w:szCs w:val="18"/>
          <w:color w:val="auto"/>
        </w:rPr>
        <w:t>In terms of loans by business segment, in average daily balances, Retail Banking posted growth of +4.4% QoQ and +13.0% YoY. This was mainly attributable to loan expansion in LC, which registered growth in every segment. In real terms, Retail Banking, the segment with the highest margins, also reported a larger contribution to growth in average daily loan balances than Wholesale Banking (28% vs. 25%). Wholesale Banking loans grew +4.7% QoQ and +19.7% YoY. This was mainly associated with an increase in medium-term financing at Corporate Banking, which was issued primarily in LC and offset the decline in the FC loan book both QoQ and YoY. An additional driver of loan growth in this portfolio was the increase in Middle Market banking loans, where growth was mainly generated by an expansion in the LC loan book that was attributable to an increase in financing for working capital and medium and long-term funding, which offset the drop in the FC Portfolio both QoQ and YoY. Mibanco reported loan growth for the second consecutive quarter (+2.6% QoQ and +4.3% YoY).</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analysis by currency reflects on-going dedollarization with growth of +7.3% QoQ and +32.5% YoY in the LC Portfolio and a decline in the FC loan book of -3.0% QoQ and -12.7% YoY, mainly at BCP Stand-alone. In this context, LC Loans continued to increase their share of total loans at Credicorp (58.0% in 3Q15 and 59.4% in 4Q15).</w:t>
      </w:r>
    </w:p>
    <w:p>
      <w:pPr>
        <w:spacing w:after="0" w:line="17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cost of funding</w:t>
      </w:r>
      <w:r>
        <w:rPr>
          <w:rFonts w:ascii="Arial" w:cs="Arial" w:eastAsia="Arial" w:hAnsi="Arial"/>
          <w:sz w:val="18"/>
          <w:szCs w:val="18"/>
          <w:color w:val="auto"/>
        </w:rPr>
        <w:t xml:space="preserve"> at Credicorp increased slightly by +4 bps QoQ. This was primarily attributable to an increase in the cost of funding at Mibanco and at BCP Stand-alone, which was in turn associated with higher costs this quarter relative to deposits and BCRP instruments (due to an increase in the reference rate).</w:t>
      </w:r>
    </w:p>
    <w:p>
      <w:pPr>
        <w:spacing w:after="0" w:line="17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L/D ratio</w:t>
      </w:r>
      <w:r>
        <w:rPr>
          <w:rFonts w:ascii="Arial" w:cs="Arial" w:eastAsia="Arial" w:hAnsi="Arial"/>
          <w:sz w:val="18"/>
          <w:szCs w:val="18"/>
          <w:color w:val="auto"/>
        </w:rPr>
        <w:t xml:space="preserve"> at Credicorp fell -190 bps QoQ and -380 bps YoY. This effect was seen at the banking subsidiary level: BCP Stand-alone, Mibanco and BCP Bolivia. The decline posted was in line with a +4.8% QoQ increase in total deposits vs. lower growth in total loans (+2.8% QoQ). Nevertheless, it is important to note that although the increase in total deposits contemplates the effect of the appreciation of the US Dollar, if we analyze the L/D ratio without this effect, we also find and improvement in the ratio of approximately - 80 bps QoQ.</w:t>
      </w:r>
    </w:p>
    <w:p>
      <w:pPr>
        <w:spacing w:after="0" w:line="18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terms of portfolio quality in 4Q15, the ratios for portfolio quality remained relatively stable with regard to those posted in 3Q15 (-1 bps QoQ in the Internal overdue ratio and +1 bps in the NPL ratio). The cost of risk increased QoQ and was situated at 2.23%, which surpassed the 2.02% registered in 3Q15. At the business segment level, the on-going improvement in the SME-Pyme and Mibanco portfolios is noteworthy. Wholesale Banking, SME-Business, Mortgage and Credit Cards reported as slight increase in delinquency that is not worrisome for two reasons: i) the levels of these indicators were well within the organization’s appetite for risk and ii) the probability of default (PD) for each portfolio fell throughout the year after risk quality was prioritized.</w:t>
      </w:r>
    </w:p>
    <w:p>
      <w:pPr>
        <w:spacing w:after="0" w:line="15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Non-financial loans grew +3.5% QoQ. This was due primarily to the increase in fees for banking services, higher gains on Foreign Exchange Transactions and growth in non-recurring income at Edyficar (Other Income). The aforementioned offset the loss on Sales of Securities and the loss on investments at the subsidiary level, which was mainly associated with a non-recurring expense at Grupo Pacifico (S/.10 million). The YoY evolution reported an increase of +9.5% due to higher gains on FX transactions and to the increase in fees, which are the main sources of non-financial income.</w:t>
      </w:r>
    </w:p>
    <w:p>
      <w:pPr>
        <w:spacing w:after="0" w:line="17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insurance underwriting result increased +7.3% QoQ, This was due primarily to a decrease in the acquisition cost in the property and casualty line, and to a lesser extent in Life Insurance, as well as to a higher increase in net premiums in life insurance. With regard to the YoY analysis, it is important to remember that the results contemplate the accounting effect of the joint venture with Banmedica; nevertheless the underwriting result increased 29.2%, which was due primarily to a decrease in claims in 4Q15 and to a drop in the acquisition cost, which attenuated the decline in the net earned premium.</w:t>
      </w:r>
    </w:p>
    <w:p>
      <w:pPr>
        <w:spacing w:after="0" w:line="15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In terms of operating efficiency, the </w:t>
      </w:r>
      <w:r>
        <w:rPr>
          <w:rFonts w:ascii="Arial" w:cs="Arial" w:eastAsia="Arial" w:hAnsi="Arial"/>
          <w:sz w:val="18"/>
          <w:szCs w:val="18"/>
          <w:b w:val="1"/>
          <w:bCs w:val="1"/>
          <w:color w:val="auto"/>
        </w:rPr>
        <w:t>efficiency ratio</w:t>
      </w:r>
      <w:r>
        <w:rPr>
          <w:rFonts w:ascii="Arial" w:cs="Arial" w:eastAsia="Arial" w:hAnsi="Arial"/>
          <w:sz w:val="18"/>
          <w:szCs w:val="18"/>
          <w:color w:val="auto"/>
        </w:rPr>
        <w:t xml:space="preserve"> increased QoQ due to seasonal expenses that are present every 4Q. Nevertheless, the positive results of the Efficiency Program are reflected in the -180 bps drop in this indicator YoY.</w:t>
      </w:r>
    </w:p>
    <w:p>
      <w:pPr>
        <w:spacing w:after="0" w:line="16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 xml:space="preserve">Finally, with regard to </w:t>
      </w:r>
      <w:r>
        <w:rPr>
          <w:rFonts w:ascii="Arial" w:cs="Arial" w:eastAsia="Arial" w:hAnsi="Arial"/>
          <w:sz w:val="17"/>
          <w:szCs w:val="17"/>
          <w:b w:val="1"/>
          <w:bCs w:val="1"/>
          <w:color w:val="auto"/>
        </w:rPr>
        <w:t>capital</w:t>
      </w:r>
      <w:r>
        <w:rPr>
          <w:rFonts w:ascii="Arial" w:cs="Arial" w:eastAsia="Arial" w:hAnsi="Arial"/>
          <w:sz w:val="17"/>
          <w:szCs w:val="17"/>
          <w:color w:val="auto"/>
        </w:rPr>
        <w:t xml:space="preserve">, Credicorp maintained a comfortable level of capitalization that at the end of 4Q15 represented 1.13 times the capital required by the Peruvian regulator. At BCP Stand-alone (in Peru GAAP), the ratios continued to be highly adequate and were above the regulatory limit with a </w:t>
      </w:r>
      <w:r>
        <w:rPr>
          <w:rFonts w:ascii="Arial" w:cs="Arial" w:eastAsia="Arial" w:hAnsi="Arial"/>
          <w:sz w:val="17"/>
          <w:szCs w:val="17"/>
          <w:b w:val="1"/>
          <w:bCs w:val="1"/>
          <w:color w:val="auto"/>
        </w:rPr>
        <w:t>BIS</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ratio </w:t>
      </w:r>
      <w:r>
        <w:rPr>
          <w:rFonts w:ascii="Arial" w:cs="Arial" w:eastAsia="Arial" w:hAnsi="Arial"/>
          <w:sz w:val="17"/>
          <w:szCs w:val="17"/>
          <w:color w:val="auto"/>
        </w:rPr>
        <w:t>of 14.34%,</w:t>
      </w:r>
      <w:r>
        <w:rPr>
          <w:rFonts w:ascii="Arial" w:cs="Arial" w:eastAsia="Arial" w:hAnsi="Arial"/>
          <w:sz w:val="17"/>
          <w:szCs w:val="17"/>
          <w:b w:val="1"/>
          <w:bCs w:val="1"/>
          <w:color w:val="auto"/>
        </w:rPr>
        <w:t xml:space="preserve"> Tier 1 </w:t>
      </w:r>
      <w:r>
        <w:rPr>
          <w:rFonts w:ascii="Arial" w:cs="Arial" w:eastAsia="Arial" w:hAnsi="Arial"/>
          <w:sz w:val="17"/>
          <w:szCs w:val="17"/>
          <w:color w:val="auto"/>
        </w:rPr>
        <w:t>of 9.61%, and, perhaps most noteworthy, a Tier 1 common equity increased to 9.34% vs. 9.01% in 3Q15</w:t>
      </w:r>
    </w:p>
    <w:p>
      <w:pPr>
        <w:spacing w:after="0" w:line="3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Results 2015 vs 2014</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annual terms, Credicorp obtained net income of S/. 3,092.3 million. This represented a +29.5% increase over the S/. 2,387.9 million registered in 2014 , which led to an ROAE of 20.5% and an ROAA of 2.1% (vs 18.5% and 1.9% in 2014, respectively). The result in 2015 clearly reflects Credicorp’s solid position. This allowed it achieve excellent profitability in local and international contexts, which characterized by low growth and high volatility. The recurring net income was S/. 2,950.9 million (20.5% higher than 2014 results) which represents and ROAE and ROAA of 19.7% and 2.0% respectively (vs. 18.6% and 2.0% in 2014,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Better performance in 2015 was due primarily to:</w:t>
      </w:r>
    </w:p>
    <w:p>
      <w:pPr>
        <w:spacing w:after="0" w:line="225" w:lineRule="exact"/>
        <w:rPr>
          <w:sz w:val="20"/>
          <w:szCs w:val="20"/>
          <w:color w:val="auto"/>
        </w:rPr>
      </w:pPr>
    </w:p>
    <w:p>
      <w:pPr>
        <w:jc w:val="both"/>
        <w:ind w:left="500" w:hanging="492"/>
        <w:spacing w:after="0" w:line="254"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Growth of +16.5% in net interest income, which was in turn attributable to higher income from interest on loans, which was associated with a +16.8% expansion in average daily loan balances. This offset the increase of +17.9% in interest expenses. The aforementioned implied a slight decline of -8 bps in NIM. This was in line with expectations and reflected more use of BCRP instruments, which require restricted deposits that “inflate” IEA; higher growth in loans in segments with lower margins; and an increase in the cost of funding.</w:t>
      </w:r>
    </w:p>
    <w:p>
      <w:pPr>
        <w:spacing w:after="0" w:line="2" w:lineRule="exact"/>
        <w:rPr>
          <w:rFonts w:ascii="Arial" w:cs="Arial" w:eastAsia="Arial" w:hAnsi="Arial"/>
          <w:sz w:val="18"/>
          <w:szCs w:val="18"/>
          <w:color w:val="auto"/>
        </w:rPr>
      </w:pPr>
    </w:p>
    <w:p>
      <w:pPr>
        <w:ind w:left="500" w:hanging="492"/>
        <w:spacing w:after="0" w:line="250"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increase of +8.7% in non-financial income was associated with gains on FX transactions and with fees for banking services, which offset losses on Sales of Securities due to a deterioration of the market values of the subsidiaries’ portfolios.</w:t>
      </w:r>
    </w:p>
    <w:p>
      <w:pPr>
        <w:ind w:left="500" w:hanging="492"/>
        <w:spacing w:after="0" w:line="261"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increase of +12.6% in the insurance underwriting result despite the fact that this figure incorporates the elimination of the underwriting result included in the joint venture with Banmedica.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aforementioned offset:</w:t>
      </w:r>
    </w:p>
    <w:p>
      <w:pPr>
        <w:spacing w:after="0" w:line="23" w:lineRule="exact"/>
        <w:rPr>
          <w:sz w:val="20"/>
          <w:szCs w:val="20"/>
          <w:color w:val="auto"/>
        </w:rPr>
      </w:pPr>
    </w:p>
    <w:p>
      <w:pPr>
        <w:jc w:val="both"/>
        <w:ind w:left="660" w:hanging="652"/>
        <w:spacing w:after="0" w:line="25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+9.6% increase in provisions for loan losses, which was primarily attributable to a deterioration in the payment capacities of a small and isolated number of clients in Wholesale Banking and in SME-Business, given that segments such as SME and Mibanco posted a significant drop for this indicator. The aforementioned led to an improvement in the cost of risk, which was situated at 2.08%. This fell below the 2.15% posted in 2014, which mainly reflects the quality of origination in business segments.</w:t>
      </w:r>
    </w:p>
    <w:p>
      <w:pPr>
        <w:spacing w:after="0" w:line="189" w:lineRule="exact"/>
        <w:rPr>
          <w:rFonts w:ascii="Arial" w:cs="Arial" w:eastAsia="Arial" w:hAnsi="Arial"/>
          <w:sz w:val="18"/>
          <w:szCs w:val="18"/>
          <w:color w:val="auto"/>
        </w:rPr>
      </w:pPr>
    </w:p>
    <w:p>
      <w:pPr>
        <w:jc w:val="both"/>
        <w:ind w:left="660" w:hanging="652"/>
        <w:spacing w:after="0" w:line="25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extremely low growth of +4.3% in operating expenses given that the increase salaries and employee benefits and in general and administrative expenses was well contained. This led to an improvement in the efficiency ratio of -200 bps (45.3% in 2014 and 43.3% in 2015). It is important to note that this result reflects the solid nature of the efficiency program implemented at BCP, which has allowed Credicorp to improve its operating efficiency for two consecutive years.</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0"/>
        </w:trPr>
        <w:tc>
          <w:tcPr>
            <w:tcW w:w="234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9"/>
              </w:rPr>
              <w:t>Credicorp and subsidiaries</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340" w:type="dxa"/>
            <w:vAlign w:val="bottom"/>
            <w:gridSpan w:val="2"/>
          </w:tcPr>
          <w:p>
            <w:pPr>
              <w:spacing w:after="0"/>
              <w:rPr>
                <w:sz w:val="20"/>
                <w:szCs w:val="20"/>
                <w:color w:val="auto"/>
              </w:rPr>
            </w:pPr>
            <w:r>
              <w:rPr>
                <w:rFonts w:ascii="Arial" w:cs="Arial" w:eastAsia="Arial" w:hAnsi="Arial"/>
                <w:sz w:val="18"/>
                <w:szCs w:val="18"/>
                <w:b w:val="1"/>
                <w:bCs w:val="1"/>
                <w:color w:val="auto"/>
              </w:rPr>
              <w:t>Earnings contribution</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Quarter</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3"/>
          </w:tcPr>
          <w:p>
            <w:pPr>
              <w:ind w:left="660"/>
              <w:spacing w:after="0"/>
              <w:rPr>
                <w:sz w:val="20"/>
                <w:szCs w:val="20"/>
                <w:color w:val="auto"/>
              </w:rPr>
            </w:pPr>
            <w:r>
              <w:rPr>
                <w:rFonts w:ascii="Arial" w:cs="Arial" w:eastAsia="Arial" w:hAnsi="Arial"/>
                <w:sz w:val="18"/>
                <w:szCs w:val="18"/>
                <w:b w:val="1"/>
                <w:bCs w:val="1"/>
                <w:color w:val="auto"/>
                <w:w w:val="90"/>
              </w:rPr>
              <w:t>% change</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gridSpan w:val="3"/>
          </w:tcPr>
          <w:p>
            <w:pPr>
              <w:ind w:left="840"/>
              <w:spacing w:after="0"/>
              <w:rPr>
                <w:sz w:val="20"/>
                <w:szCs w:val="20"/>
                <w:color w:val="auto"/>
              </w:rPr>
            </w:pPr>
            <w:r>
              <w:rPr>
                <w:rFonts w:ascii="Arial" w:cs="Arial" w:eastAsia="Arial" w:hAnsi="Arial"/>
                <w:sz w:val="18"/>
                <w:szCs w:val="18"/>
                <w:b w:val="1"/>
                <w:bCs w:val="1"/>
                <w:color w:val="auto"/>
              </w:rPr>
              <w:t>Year</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7"/>
              </w:rPr>
              <w:t>% change</w:t>
            </w:r>
          </w:p>
        </w:tc>
        <w:tc>
          <w:tcPr>
            <w:tcW w:w="0" w:type="dxa"/>
            <w:vAlign w:val="bottom"/>
          </w:tcPr>
          <w:p>
            <w:pPr>
              <w:spacing w:after="0"/>
              <w:rPr>
                <w:sz w:val="1"/>
                <w:szCs w:val="1"/>
                <w:color w:val="auto"/>
              </w:rPr>
            </w:pPr>
          </w:p>
        </w:tc>
      </w:tr>
      <w:tr>
        <w:trPr>
          <w:trHeight w:val="234"/>
        </w:trPr>
        <w:tc>
          <w:tcPr>
            <w:tcW w:w="2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000</w:t>
            </w:r>
          </w:p>
        </w:tc>
        <w:tc>
          <w:tcPr>
            <w:tcW w:w="10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4Q14</w:t>
            </w:r>
          </w:p>
        </w:tc>
        <w:tc>
          <w:tcPr>
            <w:tcW w:w="22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3Q15</w:t>
            </w:r>
          </w:p>
        </w:tc>
        <w:tc>
          <w:tcPr>
            <w:tcW w:w="22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4Q15</w:t>
            </w:r>
          </w:p>
        </w:tc>
        <w:tc>
          <w:tcPr>
            <w:tcW w:w="22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YoY</w:t>
            </w:r>
          </w:p>
        </w:tc>
        <w:tc>
          <w:tcPr>
            <w:tcW w:w="30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2014</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2015/2014</w:t>
            </w:r>
          </w:p>
        </w:tc>
        <w:tc>
          <w:tcPr>
            <w:tcW w:w="1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240" w:type="dxa"/>
            <w:vAlign w:val="bottom"/>
            <w:shd w:val="clear" w:color="auto" w:fill="CCEEFF"/>
          </w:tcPr>
          <w:p>
            <w:pPr>
              <w:spacing w:after="0" w:line="251" w:lineRule="exact"/>
              <w:rPr>
                <w:sz w:val="20"/>
                <w:szCs w:val="20"/>
                <w:color w:val="auto"/>
              </w:rPr>
            </w:pPr>
            <w:r>
              <w:rPr>
                <w:rFonts w:ascii="Arial" w:cs="Arial" w:eastAsia="Arial" w:hAnsi="Arial"/>
                <w:sz w:val="18"/>
                <w:szCs w:val="18"/>
                <w:color w:val="auto"/>
              </w:rPr>
              <w:t xml:space="preserve">Banco de Crédito BCP </w:t>
            </w:r>
            <w:r>
              <w:rPr>
                <w:rFonts w:ascii="Arial" w:cs="Arial" w:eastAsia="Arial" w:hAnsi="Arial"/>
                <w:sz w:val="29"/>
                <w:szCs w:val="29"/>
                <w:color w:val="auto"/>
                <w:vertAlign w:val="superscript"/>
              </w:rPr>
              <w:t>(1)</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441,223</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649,287</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661,507</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w:t>
            </w:r>
          </w:p>
        </w:tc>
        <w:tc>
          <w:tcPr>
            <w:tcW w:w="26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1,903,158</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2,476,830</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57"/>
        </w:trPr>
        <w:tc>
          <w:tcPr>
            <w:tcW w:w="2340" w:type="dxa"/>
            <w:vAlign w:val="bottom"/>
            <w:gridSpan w:val="2"/>
          </w:tcPr>
          <w:p>
            <w:pPr>
              <w:ind w:left="180"/>
              <w:spacing w:after="0" w:line="256" w:lineRule="exact"/>
              <w:rPr>
                <w:sz w:val="20"/>
                <w:szCs w:val="20"/>
                <w:color w:val="auto"/>
              </w:rPr>
            </w:pPr>
            <w:r>
              <w:rPr>
                <w:rFonts w:ascii="Arial" w:cs="Arial" w:eastAsia="Arial" w:hAnsi="Arial"/>
                <w:sz w:val="18"/>
                <w:szCs w:val="18"/>
                <w:color w:val="auto"/>
              </w:rPr>
              <w:t xml:space="preserve">Mibanco </w:t>
            </w:r>
            <w:r>
              <w:rPr>
                <w:rFonts w:ascii="Arial" w:cs="Arial" w:eastAsia="Arial" w:hAnsi="Arial"/>
                <w:sz w:val="29"/>
                <w:szCs w:val="29"/>
                <w:color w:val="auto"/>
                <w:vertAlign w:val="superscript"/>
              </w:rPr>
              <w:t>(2)</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(3,691)</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70,938</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53,860</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-24.1%</w:t>
            </w:r>
          </w:p>
        </w:tc>
        <w:tc>
          <w:tcPr>
            <w:tcW w:w="260" w:type="dxa"/>
            <w:vAlign w:val="bottom"/>
          </w:tcPr>
          <w:p>
            <w:pPr>
              <w:spacing w:after="0"/>
              <w:rPr>
                <w:sz w:val="22"/>
                <w:szCs w:val="22"/>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N/A</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75,559</w:t>
            </w:r>
          </w:p>
        </w:tc>
        <w:tc>
          <w:tcPr>
            <w:tcW w:w="1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212,374</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181.1%</w:t>
            </w:r>
          </w:p>
        </w:tc>
        <w:tc>
          <w:tcPr>
            <w:tcW w:w="0" w:type="dxa"/>
            <w:vAlign w:val="bottom"/>
          </w:tcPr>
          <w:p>
            <w:pPr>
              <w:spacing w:after="0"/>
              <w:rPr>
                <w:sz w:val="1"/>
                <w:szCs w:val="1"/>
                <w:color w:val="auto"/>
              </w:rPr>
            </w:pPr>
          </w:p>
        </w:tc>
      </w:tr>
      <w:tr>
        <w:trPr>
          <w:trHeight w:val="216"/>
        </w:trPr>
        <w:tc>
          <w:tcPr>
            <w:tcW w:w="2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BCB</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14,568</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16,333</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14,963</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66,483</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57,384</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57"/>
        </w:trPr>
        <w:tc>
          <w:tcPr>
            <w:tcW w:w="234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Grupo Pacífico </w:t>
            </w:r>
            <w:r>
              <w:rPr>
                <w:rFonts w:ascii="Arial" w:cs="Arial" w:eastAsia="Arial" w:hAnsi="Arial"/>
                <w:sz w:val="29"/>
                <w:szCs w:val="29"/>
                <w:color w:val="auto"/>
                <w:vertAlign w:val="superscript"/>
              </w:rPr>
              <w:t>(3)</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54,890</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48,498</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61,908</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27.7%</w:t>
            </w:r>
          </w:p>
        </w:tc>
        <w:tc>
          <w:tcPr>
            <w:tcW w:w="260" w:type="dxa"/>
            <w:vAlign w:val="bottom"/>
          </w:tcPr>
          <w:p>
            <w:pPr>
              <w:spacing w:after="0"/>
              <w:rPr>
                <w:sz w:val="22"/>
                <w:szCs w:val="22"/>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12.8%</w:t>
            </w:r>
          </w:p>
        </w:tc>
        <w:tc>
          <w:tcPr>
            <w:tcW w:w="900" w:type="dxa"/>
            <w:vAlign w:val="bottom"/>
          </w:tcPr>
          <w:p>
            <w:pPr>
              <w:jc w:val="right"/>
              <w:spacing w:after="0"/>
              <w:rPr>
                <w:sz w:val="20"/>
                <w:szCs w:val="20"/>
                <w:color w:val="auto"/>
              </w:rPr>
            </w:pPr>
            <w:r>
              <w:rPr>
                <w:rFonts w:ascii="Arial" w:cs="Arial" w:eastAsia="Arial" w:hAnsi="Arial"/>
                <w:sz w:val="18"/>
                <w:szCs w:val="18"/>
                <w:color w:val="auto"/>
              </w:rPr>
              <w:t>199,270</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344,507</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16"/>
        </w:trPr>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Atlantic Security Bank</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21,616</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67,792</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15,951</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-76.5%</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-26.2%</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159,441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150,033</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rPr>
              <w:t>Prima</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37,086</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40,074</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38,384</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3.5%</w:t>
            </w:r>
          </w:p>
        </w:tc>
        <w:tc>
          <w:tcPr>
            <w:tcW w:w="900" w:type="dxa"/>
            <w:vAlign w:val="bottom"/>
          </w:tcPr>
          <w:p>
            <w:pPr>
              <w:jc w:val="right"/>
              <w:spacing w:after="0"/>
              <w:rPr>
                <w:sz w:val="20"/>
                <w:szCs w:val="20"/>
                <w:color w:val="auto"/>
              </w:rPr>
            </w:pPr>
            <w:r>
              <w:rPr>
                <w:rFonts w:ascii="Arial" w:cs="Arial" w:eastAsia="Arial" w:hAnsi="Arial"/>
                <w:sz w:val="18"/>
                <w:szCs w:val="18"/>
                <w:color w:val="auto"/>
              </w:rPr>
              <w:t>153,362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162,084</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57"/>
        </w:trPr>
        <w:tc>
          <w:tcPr>
            <w:tcW w:w="23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Credicorp Capital </w:t>
            </w:r>
            <w:r>
              <w:rPr>
                <w:rFonts w:ascii="Arial" w:cs="Arial" w:eastAsia="Arial" w:hAnsi="Arial"/>
                <w:sz w:val="29"/>
                <w:szCs w:val="29"/>
                <w:color w:val="auto"/>
                <w:vertAlign w:val="superscript"/>
              </w:rPr>
              <w:t>(4)</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(53,875)</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10,759</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(44,461)</w:t>
            </w:r>
          </w:p>
        </w:tc>
        <w:tc>
          <w:tcPr>
            <w:tcW w:w="144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N/A</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17.5%</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(14,139)</w:t>
            </w:r>
          </w:p>
        </w:tc>
        <w:tc>
          <w:tcPr>
            <w:tcW w:w="1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391</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70"/>
        </w:trPr>
        <w:tc>
          <w:tcPr>
            <w:tcW w:w="2340" w:type="dxa"/>
            <w:vAlign w:val="bottom"/>
            <w:gridSpan w:val="2"/>
          </w:tcPr>
          <w:p>
            <w:pPr>
              <w:spacing w:after="0" w:line="269" w:lineRule="exact"/>
              <w:rPr>
                <w:sz w:val="20"/>
                <w:szCs w:val="20"/>
                <w:color w:val="auto"/>
              </w:rPr>
            </w:pPr>
            <w:r>
              <w:rPr>
                <w:rFonts w:ascii="Arial" w:cs="Arial" w:eastAsia="Arial" w:hAnsi="Arial"/>
                <w:sz w:val="18"/>
                <w:szCs w:val="18"/>
                <w:color w:val="auto"/>
              </w:rPr>
              <w:t xml:space="preserve">Others </w:t>
            </w:r>
            <w:r>
              <w:rPr>
                <w:rFonts w:ascii="Arial" w:cs="Arial" w:eastAsia="Arial" w:hAnsi="Arial"/>
                <w:sz w:val="30"/>
                <w:szCs w:val="30"/>
                <w:color w:val="auto"/>
                <w:vertAlign w:val="superscript"/>
              </w:rPr>
              <w:t>(5)</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(5,333)</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(9,265)</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(2,157)</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76.7%</w:t>
            </w:r>
          </w:p>
        </w:tc>
        <w:tc>
          <w:tcPr>
            <w:tcW w:w="260" w:type="dxa"/>
            <w:vAlign w:val="bottom"/>
          </w:tcPr>
          <w:p>
            <w:pPr>
              <w:spacing w:after="0"/>
              <w:rPr>
                <w:sz w:val="23"/>
                <w:szCs w:val="2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59.5%</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(13,241)</w:t>
            </w:r>
          </w:p>
        </w:tc>
        <w:tc>
          <w:tcPr>
            <w:tcW w:w="140" w:type="dxa"/>
            <w:vAlign w:val="bottom"/>
          </w:tcPr>
          <w:p>
            <w:pPr>
              <w:spacing w:after="0"/>
              <w:rPr>
                <w:sz w:val="23"/>
                <w:szCs w:val="23"/>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(41,540)</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-213.7%</w:t>
            </w:r>
          </w:p>
        </w:tc>
        <w:tc>
          <w:tcPr>
            <w:tcW w:w="0" w:type="dxa"/>
            <w:vAlign w:val="bottom"/>
          </w:tcPr>
          <w:p>
            <w:pPr>
              <w:spacing w:after="0"/>
              <w:rPr>
                <w:sz w:val="1"/>
                <w:szCs w:val="1"/>
                <w:color w:val="auto"/>
              </w:rPr>
            </w:pPr>
          </w:p>
        </w:tc>
      </w:tr>
      <w:tr>
        <w:trPr>
          <w:trHeight w:val="20"/>
        </w:trPr>
        <w:tc>
          <w:tcPr>
            <w:tcW w:w="23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b w:val="1"/>
                <w:bCs w:val="1"/>
                <w:color w:val="auto"/>
              </w:rPr>
              <w:t>Net income Credicorp</w:t>
            </w: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340" w:type="dxa"/>
            <w:vAlign w:val="bottom"/>
            <w:gridSpan w:val="2"/>
            <w:vMerge w:val="continue"/>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495,606</w:t>
            </w:r>
          </w:p>
        </w:tc>
        <w:tc>
          <w:tcPr>
            <w:tcW w:w="220" w:type="dxa"/>
            <w:vAlign w:val="bottom"/>
            <w:vMerge w:val="continue"/>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807,145</w:t>
            </w:r>
          </w:p>
        </w:tc>
        <w:tc>
          <w:tcPr>
            <w:tcW w:w="220" w:type="dxa"/>
            <w:vAlign w:val="bottom"/>
            <w:vMerge w:val="continue"/>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731,132</w:t>
            </w:r>
          </w:p>
        </w:tc>
        <w:tc>
          <w:tcPr>
            <w:tcW w:w="220" w:type="dxa"/>
            <w:vAlign w:val="bottom"/>
            <w:vMerge w:val="continue"/>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-9.4%</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47.5%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2,387,851</w:t>
            </w:r>
          </w:p>
        </w:tc>
        <w:tc>
          <w:tcPr>
            <w:tcW w:w="2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3,092,305</w:t>
            </w:r>
          </w:p>
        </w:tc>
        <w:tc>
          <w:tcPr>
            <w:tcW w:w="220" w:type="dxa"/>
            <w:vAlign w:val="bottom"/>
            <w:vMerge w:val="continue"/>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29.5%</w:t>
            </w:r>
          </w:p>
        </w:tc>
        <w:tc>
          <w:tcPr>
            <w:tcW w:w="0" w:type="dxa"/>
            <w:vAlign w:val="bottom"/>
          </w:tcPr>
          <w:p>
            <w:pPr>
              <w:spacing w:after="0"/>
              <w:rPr>
                <w:sz w:val="1"/>
                <w:szCs w:val="1"/>
                <w:color w:val="auto"/>
              </w:rPr>
            </w:pPr>
          </w:p>
        </w:tc>
      </w:tr>
      <w:tr>
        <w:trPr>
          <w:trHeight w:val="201"/>
        </w:trPr>
        <w:tc>
          <w:tcPr>
            <w:tcW w:w="234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Recurring net income</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0"/>
        </w:trPr>
        <w:tc>
          <w:tcPr>
            <w:tcW w:w="2340" w:type="dxa"/>
            <w:vAlign w:val="bottom"/>
            <w:gridSpan w:val="2"/>
          </w:tcPr>
          <w:p>
            <w:pPr>
              <w:spacing w:after="0" w:line="299" w:lineRule="exact"/>
              <w:rPr>
                <w:sz w:val="20"/>
                <w:szCs w:val="20"/>
                <w:color w:val="auto"/>
              </w:rPr>
            </w:pPr>
            <w:r>
              <w:rPr>
                <w:rFonts w:ascii="Arial" w:cs="Arial" w:eastAsia="Arial" w:hAnsi="Arial"/>
                <w:sz w:val="18"/>
                <w:szCs w:val="18"/>
                <w:b w:val="1"/>
                <w:bCs w:val="1"/>
                <w:color w:val="auto"/>
              </w:rPr>
              <w:t xml:space="preserve">Credicorp </w:t>
            </w:r>
            <w:r>
              <w:rPr>
                <w:rFonts w:ascii="Arial" w:cs="Arial" w:eastAsia="Arial" w:hAnsi="Arial"/>
                <w:sz w:val="30"/>
                <w:szCs w:val="30"/>
                <w:b w:val="1"/>
                <w:bCs w:val="1"/>
                <w:color w:val="auto"/>
                <w:vertAlign w:val="superscript"/>
              </w:rPr>
              <w:t>(6)</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625,781</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745,242</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769,566</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3.3%</w:t>
            </w:r>
          </w:p>
        </w:tc>
        <w:tc>
          <w:tcPr>
            <w:tcW w:w="260" w:type="dxa"/>
            <w:vAlign w:val="bottom"/>
          </w:tcPr>
          <w:p>
            <w:pPr>
              <w:spacing w:after="0"/>
              <w:rPr>
                <w:sz w:val="24"/>
                <w:szCs w:val="2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23.0%</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2,447,936</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4"/>
              </w:rPr>
              <w:t>2,950,946</w:t>
            </w: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1488440</wp:posOffset>
            </wp:positionH>
            <wp:positionV relativeFrom="paragraph">
              <wp:posOffset>-8890</wp:posOffset>
            </wp:positionV>
            <wp:extent cx="56426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42610" cy="8890"/>
                    </a:xfrm>
                    <a:prstGeom prst="rect">
                      <a:avLst/>
                    </a:prstGeom>
                    <a:noFill/>
                  </pic:spPr>
                </pic:pic>
              </a:graphicData>
            </a:graphic>
          </wp:anchor>
        </w:drawing>
      </w:r>
    </w:p>
    <w:p>
      <w:pPr>
        <w:ind w:left="340" w:right="80" w:hanging="332"/>
        <w:spacing w:after="0" w:line="249"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Banco de Crédito de Bolivia and Mibanco. Figures of 2015 do not include the gain on sale of BCI shares and interest income on a loan between BCP and Credicorp Ltd., both are eliminated in the consolidation to Credicorp.</w:t>
      </w: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figure is lower than the net income of Mibanco because Credicorp owns 95.4% of Mibanco (directly and indirectly).</w:t>
      </w:r>
    </w:p>
    <w:p>
      <w:pPr>
        <w:spacing w:after="0" w:line="9" w:lineRule="exact"/>
        <w:rPr>
          <w:rFonts w:ascii="Arial" w:cs="Arial" w:eastAsia="Arial" w:hAnsi="Arial"/>
          <w:sz w:val="18"/>
          <w:szCs w:val="18"/>
          <w:color w:val="auto"/>
        </w:rPr>
      </w:pPr>
    </w:p>
    <w:p>
      <w:pPr>
        <w:ind w:left="340" w:right="560" w:hanging="332"/>
        <w:spacing w:after="0" w:line="265"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figure is lower than the net income before minority interest of Grupo Pacifico because Credicorp owns 98.5% of Grupo Pacifico (directly and indirectly). The contribution of the year 2015 does not include the income for the JV with Banmedica and gain/loss for translation.</w:t>
      </w: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Credicorp Capital Limited and Credicorp Capital Peru.</w:t>
      </w:r>
    </w:p>
    <w:p>
      <w:pPr>
        <w:spacing w:after="0" w:line="9" w:lineRule="exact"/>
        <w:rPr>
          <w:rFonts w:ascii="Arial" w:cs="Arial" w:eastAsia="Arial" w:hAnsi="Arial"/>
          <w:sz w:val="18"/>
          <w:szCs w:val="18"/>
          <w:color w:val="auto"/>
        </w:rPr>
      </w:pPr>
    </w:p>
    <w:p>
      <w:pPr>
        <w:ind w:left="340" w:right="20" w:hanging="332"/>
        <w:spacing w:after="0" w:line="281"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Includes Grupo Credito excluding Prima (Servicorp and Emisiones BCP Latam), others of Atlantic Security Holding Corporation and others of Credicorp Ltd. Figures of 2015 do not include the interest expense on a loan between BCP and Credicorp Ltd., this is eliminated in the consolidation to Credicorp.</w:t>
      </w:r>
    </w:p>
    <w:p>
      <w:pPr>
        <w:spacing w:after="0" w:line="1" w:lineRule="exact"/>
        <w:rPr>
          <w:rFonts w:ascii="Arial" w:cs="Arial" w:eastAsia="Arial" w:hAnsi="Arial"/>
          <w:sz w:val="16"/>
          <w:szCs w:val="16"/>
          <w:color w:val="auto"/>
        </w:rPr>
      </w:pPr>
    </w:p>
    <w:p>
      <w:pPr>
        <w:ind w:left="340" w:right="320" w:hanging="332"/>
        <w:spacing w:after="0" w:line="21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Recurring Net income excludes Non-recurring income/(expense) and translation results (net of taxes). Recurring ROAE = (Net income attributable to Credicorp - Non-recurring income (expense) after tax)*4 / Average</w:t>
      </w:r>
      <w:r>
        <w:rPr>
          <w:rFonts w:ascii="Arial" w:cs="Arial" w:eastAsia="Arial" w:hAnsi="Arial"/>
          <w:sz w:val="30"/>
          <w:szCs w:val="30"/>
          <w:color w:val="auto"/>
          <w:vertAlign w:val="superscript"/>
        </w:rPr>
        <w:t>+</w:t>
      </w:r>
      <w:r>
        <w:rPr>
          <w:rFonts w:ascii="Arial" w:cs="Arial" w:eastAsia="Arial" w:hAnsi="Arial"/>
          <w:sz w:val="18"/>
          <w:szCs w:val="18"/>
          <w:color w:val="auto"/>
        </w:rPr>
        <w:t xml:space="preserve"> (Net shareholders’ equity excluding minority interest – Non-recurring income (expense) after tax).</w:t>
      </w:r>
    </w:p>
    <w:p>
      <w:pPr>
        <w:spacing w:after="0" w:line="130" w:lineRule="exact"/>
        <w:rPr>
          <w:sz w:val="20"/>
          <w:szCs w:val="20"/>
          <w:color w:val="auto"/>
        </w:rPr>
      </w:pPr>
    </w:p>
    <w:tbl>
      <w:tblPr>
        <w:tblLayout w:type="fixed"/>
        <w:tblInd w:w="860" w:type="dxa"/>
        <w:tblCellMar>
          <w:top w:w="0" w:type="dxa"/>
          <w:left w:w="0" w:type="dxa"/>
          <w:bottom w:w="0" w:type="dxa"/>
          <w:right w:w="0" w:type="dxa"/>
        </w:tblCellMar>
      </w:tblPr>
      <w:tr>
        <w:trPr>
          <w:trHeight w:val="345"/>
        </w:trPr>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ROAE</w:t>
            </w: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92"/>
              </w:rPr>
              <w:t xml:space="preserve">Recurring ROAE </w:t>
            </w:r>
            <w:r>
              <w:rPr>
                <w:rFonts w:ascii="Arial" w:cs="Arial" w:eastAsia="Arial" w:hAnsi="Arial"/>
                <w:sz w:val="30"/>
                <w:szCs w:val="30"/>
                <w:b w:val="1"/>
                <w:bCs w:val="1"/>
                <w:color w:val="auto"/>
                <w:w w:val="92"/>
                <w:vertAlign w:val="superscript"/>
              </w:rPr>
              <w:t>(6)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gridSpan w:val="2"/>
          </w:tcPr>
          <w:p>
            <w:pPr>
              <w:jc w:val="center"/>
              <w:ind w:right="300"/>
              <w:spacing w:after="0" w:line="205" w:lineRule="exact"/>
              <w:rPr>
                <w:sz w:val="20"/>
                <w:szCs w:val="20"/>
                <w:color w:val="auto"/>
              </w:rPr>
            </w:pPr>
            <w:r>
              <w:rPr>
                <w:rFonts w:ascii="Arial" w:cs="Arial" w:eastAsia="Arial" w:hAnsi="Arial"/>
                <w:sz w:val="18"/>
                <w:szCs w:val="18"/>
                <w:b w:val="1"/>
                <w:bCs w:val="1"/>
                <w:color w:val="auto"/>
                <w:w w:val="98"/>
              </w:rPr>
              <w:t>Quarter</w:t>
            </w:r>
          </w:p>
        </w:tc>
        <w:tc>
          <w:tcPr>
            <w:tcW w:w="6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gridSpan w:val="3"/>
          </w:tcPr>
          <w:p>
            <w:pPr>
              <w:ind w:left="600"/>
              <w:spacing w:after="0" w:line="205" w:lineRule="exact"/>
              <w:rPr>
                <w:sz w:val="20"/>
                <w:szCs w:val="20"/>
                <w:color w:val="auto"/>
              </w:rPr>
            </w:pPr>
            <w:r>
              <w:rPr>
                <w:rFonts w:ascii="Arial" w:cs="Arial" w:eastAsia="Arial" w:hAnsi="Arial"/>
                <w:sz w:val="18"/>
                <w:szCs w:val="18"/>
                <w:b w:val="1"/>
                <w:bCs w:val="1"/>
                <w:color w:val="auto"/>
              </w:rPr>
              <w:t>Year</w:t>
            </w:r>
          </w:p>
        </w:tc>
        <w:tc>
          <w:tcPr>
            <w:tcW w:w="5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Borders>
              <w:top w:val="single" w:sz="8" w:color="auto"/>
            </w:tcBorders>
            <w:gridSpan w:val="3"/>
          </w:tcPr>
          <w:p>
            <w:pPr>
              <w:jc w:val="center"/>
              <w:spacing w:after="0" w:line="205" w:lineRule="exact"/>
              <w:rPr>
                <w:sz w:val="20"/>
                <w:szCs w:val="20"/>
                <w:color w:val="auto"/>
              </w:rPr>
            </w:pPr>
            <w:r>
              <w:rPr>
                <w:rFonts w:ascii="Arial" w:cs="Arial" w:eastAsia="Arial" w:hAnsi="Arial"/>
                <w:sz w:val="18"/>
                <w:szCs w:val="18"/>
                <w:b w:val="1"/>
                <w:bCs w:val="1"/>
                <w:color w:val="auto"/>
                <w:w w:val="92"/>
              </w:rPr>
              <w:t>Year</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660" w:type="dxa"/>
            <w:vAlign w:val="bottom"/>
          </w:tcPr>
          <w:p>
            <w:pPr>
              <w:ind w:left="120"/>
              <w:spacing w:after="0"/>
              <w:rPr>
                <w:sz w:val="20"/>
                <w:szCs w:val="20"/>
                <w:color w:val="auto"/>
              </w:rPr>
            </w:pPr>
            <w:r>
              <w:rPr>
                <w:rFonts w:ascii="Arial" w:cs="Arial" w:eastAsia="Arial" w:hAnsi="Arial"/>
                <w:sz w:val="18"/>
                <w:szCs w:val="18"/>
                <w:b w:val="1"/>
                <w:bCs w:val="1"/>
                <w:color w:val="auto"/>
              </w:rPr>
              <w:t>4Q14</w:t>
            </w:r>
          </w:p>
        </w:tc>
        <w:tc>
          <w:tcPr>
            <w:tcW w:w="28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Arial" w:cs="Arial" w:eastAsia="Arial" w:hAnsi="Arial"/>
                <w:sz w:val="18"/>
                <w:szCs w:val="18"/>
                <w:b w:val="1"/>
                <w:bCs w:val="1"/>
                <w:color w:val="auto"/>
                <w:w w:val="90"/>
              </w:rPr>
              <w:t>3Q15</w:t>
            </w:r>
          </w:p>
        </w:tc>
        <w:tc>
          <w:tcPr>
            <w:tcW w:w="30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Arial" w:cs="Arial" w:eastAsia="Arial" w:hAnsi="Arial"/>
                <w:sz w:val="18"/>
                <w:szCs w:val="18"/>
                <w:b w:val="1"/>
                <w:bCs w:val="1"/>
                <w:color w:val="auto"/>
                <w:w w:val="95"/>
              </w:rPr>
              <w:t>4Q15</w:t>
            </w:r>
          </w:p>
        </w:tc>
        <w:tc>
          <w:tcPr>
            <w:tcW w:w="280" w:type="dxa"/>
            <w:vAlign w:val="bottom"/>
          </w:tcPr>
          <w:p>
            <w:pPr>
              <w:spacing w:after="0"/>
              <w:rPr>
                <w:sz w:val="20"/>
                <w:szCs w:val="20"/>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b w:val="1"/>
                <w:bCs w:val="1"/>
                <w:color w:val="auto"/>
              </w:rPr>
              <w:t>2014</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2015</w:t>
            </w:r>
          </w:p>
        </w:tc>
        <w:tc>
          <w:tcPr>
            <w:tcW w:w="280" w:type="dxa"/>
            <w:vAlign w:val="bottom"/>
          </w:tcPr>
          <w:p>
            <w:pPr>
              <w:spacing w:after="0"/>
              <w:rPr>
                <w:sz w:val="20"/>
                <w:szCs w:val="20"/>
                <w:color w:val="auto"/>
              </w:rPr>
            </w:pPr>
          </w:p>
        </w:tc>
        <w:tc>
          <w:tcPr>
            <w:tcW w:w="680" w:type="dxa"/>
            <w:vAlign w:val="bottom"/>
          </w:tcPr>
          <w:p>
            <w:pPr>
              <w:jc w:val="right"/>
              <w:ind w:right="70"/>
              <w:spacing w:after="0"/>
              <w:rPr>
                <w:sz w:val="20"/>
                <w:szCs w:val="20"/>
                <w:color w:val="auto"/>
              </w:rPr>
            </w:pPr>
            <w:r>
              <w:rPr>
                <w:rFonts w:ascii="Arial" w:cs="Arial" w:eastAsia="Arial" w:hAnsi="Arial"/>
                <w:sz w:val="18"/>
                <w:szCs w:val="18"/>
                <w:b w:val="1"/>
                <w:bCs w:val="1"/>
                <w:color w:val="auto"/>
              </w:rPr>
              <w:t>2014</w:t>
            </w:r>
          </w:p>
        </w:tc>
        <w:tc>
          <w:tcPr>
            <w:tcW w:w="280" w:type="dxa"/>
            <w:vAlign w:val="bottom"/>
          </w:tcPr>
          <w:p>
            <w:pPr>
              <w:spacing w:after="0"/>
              <w:rPr>
                <w:sz w:val="20"/>
                <w:szCs w:val="20"/>
                <w:color w:val="auto"/>
              </w:rPr>
            </w:pPr>
          </w:p>
        </w:tc>
        <w:tc>
          <w:tcPr>
            <w:tcW w:w="680" w:type="dxa"/>
            <w:vAlign w:val="bottom"/>
          </w:tcPr>
          <w:p>
            <w:pPr>
              <w:jc w:val="right"/>
              <w:ind w:right="230"/>
              <w:spacing w:after="0"/>
              <w:rPr>
                <w:sz w:val="20"/>
                <w:szCs w:val="20"/>
                <w:color w:val="auto"/>
              </w:rPr>
            </w:pPr>
            <w:r>
              <w:rPr>
                <w:rFonts w:ascii="Arial" w:cs="Arial" w:eastAsia="Arial" w:hAnsi="Arial"/>
                <w:sz w:val="18"/>
                <w:szCs w:val="18"/>
                <w:b w:val="1"/>
                <w:bCs w:val="1"/>
                <w:color w:val="auto"/>
                <w:w w:val="84"/>
              </w:rPr>
              <w:t>2015</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vMerge w:val="restart"/>
            <w:shd w:val="clear" w:color="auto" w:fill="CCEEFF"/>
          </w:tcPr>
          <w:p>
            <w:pPr>
              <w:spacing w:after="0" w:line="256" w:lineRule="exact"/>
              <w:rPr>
                <w:sz w:val="20"/>
                <w:szCs w:val="20"/>
                <w:color w:val="auto"/>
              </w:rPr>
            </w:pPr>
            <w:r>
              <w:rPr>
                <w:rFonts w:ascii="Arial" w:cs="Arial" w:eastAsia="Arial" w:hAnsi="Arial"/>
                <w:sz w:val="18"/>
                <w:szCs w:val="18"/>
                <w:color w:val="auto"/>
              </w:rPr>
              <w:t>Banco de Crédito BCP</w:t>
            </w:r>
            <w:r>
              <w:rPr>
                <w:rFonts w:ascii="Arial" w:cs="Arial" w:eastAsia="Arial" w:hAnsi="Arial"/>
                <w:sz w:val="29"/>
                <w:szCs w:val="29"/>
                <w:color w:val="auto"/>
                <w:vertAlign w:val="superscript"/>
              </w:rPr>
              <w:t>(1)</w:t>
            </w:r>
          </w:p>
        </w:tc>
        <w:tc>
          <w:tcPr>
            <w:tcW w:w="6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200" w:type="dxa"/>
            <w:vAlign w:val="bottom"/>
            <w:vMerge w:val="continue"/>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21.4%</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24.4%</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23.4%</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21.4%</w:t>
            </w:r>
          </w:p>
        </w:tc>
        <w:tc>
          <w:tcPr>
            <w:tcW w:w="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25.8%</w:t>
            </w:r>
          </w:p>
        </w:tc>
        <w:tc>
          <w:tcPr>
            <w:tcW w:w="9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21.8%</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00" w:type="dxa"/>
            <w:vAlign w:val="bottom"/>
          </w:tcPr>
          <w:p>
            <w:pPr>
              <w:ind w:left="140"/>
              <w:spacing w:after="0" w:line="256" w:lineRule="exact"/>
              <w:rPr>
                <w:sz w:val="20"/>
                <w:szCs w:val="20"/>
                <w:color w:val="auto"/>
              </w:rPr>
            </w:pPr>
            <w:r>
              <w:rPr>
                <w:rFonts w:ascii="Arial" w:cs="Arial" w:eastAsia="Arial" w:hAnsi="Arial"/>
                <w:sz w:val="18"/>
                <w:szCs w:val="18"/>
                <w:color w:val="auto"/>
              </w:rPr>
              <w:t xml:space="preserve">Mibanco </w:t>
            </w:r>
            <w:r>
              <w:rPr>
                <w:rFonts w:ascii="Arial" w:cs="Arial" w:eastAsia="Arial" w:hAnsi="Arial"/>
                <w:sz w:val="29"/>
                <w:szCs w:val="29"/>
                <w:color w:val="auto"/>
                <w:vertAlign w:val="superscript"/>
              </w:rPr>
              <w:t>(2)</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-3.8%</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23.7%</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17.1%</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22"/>
                <w:szCs w:val="2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17.8%</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12.7%</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BCB</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w:t>
            </w:r>
          </w:p>
        </w:tc>
        <w:tc>
          <w:tcPr>
            <w:tcW w:w="9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00" w:type="dxa"/>
            <w:vAlign w:val="bottom"/>
          </w:tcPr>
          <w:p>
            <w:pPr>
              <w:spacing w:after="0" w:line="256" w:lineRule="exact"/>
              <w:rPr>
                <w:sz w:val="20"/>
                <w:szCs w:val="20"/>
                <w:color w:val="auto"/>
              </w:rPr>
            </w:pPr>
            <w:r>
              <w:rPr>
                <w:rFonts w:ascii="Arial" w:cs="Arial" w:eastAsia="Arial" w:hAnsi="Arial"/>
                <w:sz w:val="18"/>
                <w:szCs w:val="18"/>
                <w:color w:val="auto"/>
              </w:rPr>
              <w:t xml:space="preserve">Grupo Pacífico </w:t>
            </w:r>
            <w:r>
              <w:rPr>
                <w:rFonts w:ascii="Arial" w:cs="Arial" w:eastAsia="Arial" w:hAnsi="Arial"/>
                <w:sz w:val="29"/>
                <w:szCs w:val="29"/>
                <w:color w:val="auto"/>
                <w:vertAlign w:val="superscript"/>
              </w:rPr>
              <w:t>(3)</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11.8%</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10.5%</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11.5%</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11.7%</w:t>
            </w:r>
          </w:p>
        </w:tc>
        <w:tc>
          <w:tcPr>
            <w:tcW w:w="80" w:type="dxa"/>
            <w:vAlign w:val="bottom"/>
          </w:tcPr>
          <w:p>
            <w:pPr>
              <w:spacing w:after="0"/>
              <w:rPr>
                <w:sz w:val="22"/>
                <w:szCs w:val="2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18.1%</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11.4%</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Atlantic Security Bank </w:t>
            </w:r>
            <w:r>
              <w:rPr>
                <w:rFonts w:ascii="Arial" w:cs="Arial" w:eastAsia="Arial" w:hAnsi="Arial"/>
                <w:sz w:val="29"/>
                <w:szCs w:val="29"/>
                <w:color w:val="auto"/>
                <w:vertAlign w:val="superscript"/>
              </w:rPr>
              <w:t>(4)</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42.8%</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26.7%</w:t>
            </w:r>
          </w:p>
        </w:tc>
        <w:tc>
          <w:tcPr>
            <w:tcW w:w="8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20.1%</w:t>
            </w:r>
          </w:p>
        </w:tc>
        <w:tc>
          <w:tcPr>
            <w:tcW w:w="9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20.6%</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Prima</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26.2%</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30.8%</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27.5%</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28.0%</w:t>
            </w: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27.5%</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29.6%</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200" w:type="dxa"/>
            <w:vAlign w:val="bottom"/>
            <w:shd w:val="clear" w:color="auto" w:fill="CCEEFF"/>
          </w:tcPr>
          <w:p>
            <w:pPr>
              <w:spacing w:after="0" w:line="269" w:lineRule="exact"/>
              <w:rPr>
                <w:sz w:val="20"/>
                <w:szCs w:val="20"/>
                <w:color w:val="auto"/>
              </w:rPr>
            </w:pPr>
            <w:r>
              <w:rPr>
                <w:rFonts w:ascii="Arial" w:cs="Arial" w:eastAsia="Arial" w:hAnsi="Arial"/>
                <w:sz w:val="18"/>
                <w:szCs w:val="18"/>
                <w:color w:val="auto"/>
              </w:rPr>
              <w:t xml:space="preserve">Credicorp Capital </w:t>
            </w:r>
            <w:r>
              <w:rPr>
                <w:rFonts w:ascii="Arial" w:cs="Arial" w:eastAsia="Arial" w:hAnsi="Arial"/>
                <w:sz w:val="30"/>
                <w:szCs w:val="30"/>
                <w:color w:val="auto"/>
                <w:vertAlign w:val="superscript"/>
              </w:rPr>
              <w:t>(5)</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-31.0%</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-27.3%</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w:t>
            </w:r>
          </w:p>
        </w:tc>
        <w:tc>
          <w:tcPr>
            <w:tcW w:w="9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vMerge w:val="restart"/>
          </w:tcPr>
          <w:p>
            <w:pPr>
              <w:spacing w:after="0"/>
              <w:rPr>
                <w:sz w:val="20"/>
                <w:szCs w:val="20"/>
                <w:color w:val="auto"/>
              </w:rPr>
            </w:pPr>
            <w:r>
              <w:rPr>
                <w:rFonts w:ascii="Arial" w:cs="Arial" w:eastAsia="Arial" w:hAnsi="Arial"/>
                <w:sz w:val="18"/>
                <w:szCs w:val="18"/>
                <w:b w:val="1"/>
                <w:bCs w:val="1"/>
                <w:color w:val="auto"/>
              </w:rPr>
              <w:t>Credicorp</w:t>
            </w: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0" w:type="dxa"/>
            <w:vAlign w:val="bottom"/>
            <w:vMerge w:val="continue"/>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14.5%</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21.6%</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18.7%</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18.5%</w:t>
            </w:r>
          </w:p>
        </w:tc>
        <w:tc>
          <w:tcPr>
            <w:tcW w:w="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20.5%</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18.6%</w:t>
            </w: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19.7%</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200" w:type="dxa"/>
            <w:vAlign w:val="bottom"/>
            <w:shd w:val="clear" w:color="auto" w:fill="CCEEFF"/>
          </w:tcPr>
          <w:p>
            <w:pPr>
              <w:spacing w:after="0" w:line="269" w:lineRule="exact"/>
              <w:rPr>
                <w:sz w:val="20"/>
                <w:szCs w:val="20"/>
                <w:color w:val="auto"/>
              </w:rPr>
            </w:pPr>
            <w:r>
              <w:rPr>
                <w:rFonts w:ascii="Arial" w:cs="Arial" w:eastAsia="Arial" w:hAnsi="Arial"/>
                <w:sz w:val="18"/>
                <w:szCs w:val="18"/>
                <w:b w:val="1"/>
                <w:bCs w:val="1"/>
                <w:color w:val="auto"/>
              </w:rPr>
              <w:t xml:space="preserve">Recurring ROAE Credicorp </w:t>
            </w:r>
            <w:r>
              <w:rPr>
                <w:rFonts w:ascii="Arial" w:cs="Arial" w:eastAsia="Arial" w:hAnsi="Arial"/>
                <w:sz w:val="30"/>
                <w:szCs w:val="30"/>
                <w:b w:val="1"/>
                <w:bCs w:val="1"/>
                <w:color w:val="auto"/>
                <w:vertAlign w:val="superscript"/>
              </w:rPr>
              <w:t>(6)</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18.3%</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20.1%</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19.9%</w:t>
            </w:r>
          </w:p>
        </w:tc>
        <w:tc>
          <w:tcPr>
            <w:tcW w:w="6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80" w:type="dxa"/>
            <w:vAlign w:val="bottom"/>
            <w:tcBorders>
              <w:right w:val="single" w:sz="8" w:color="CCEEFF"/>
            </w:tcBorders>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900" w:right="160" w:firstLine="2"/>
        <w:spacing w:after="0" w:line="258" w:lineRule="auto"/>
        <w:tabs>
          <w:tab w:leader="none" w:pos="1155" w:val="left"/>
        </w:tabs>
        <w:numPr>
          <w:ilvl w:val="0"/>
          <w:numId w:val="6"/>
        </w:numPr>
        <w:rPr>
          <w:rFonts w:ascii="Arial" w:cs="Arial" w:eastAsia="Arial" w:hAnsi="Arial"/>
          <w:sz w:val="18"/>
          <w:szCs w:val="18"/>
          <w:color w:val="auto"/>
        </w:rPr>
      </w:pPr>
      <w:r>
        <w:rPr>
          <w:rFonts w:ascii="Arial" w:cs="Arial" w:eastAsia="Arial" w:hAnsi="Arial"/>
          <w:sz w:val="18"/>
          <w:szCs w:val="18"/>
          <w:color w:val="auto"/>
        </w:rPr>
        <w:t>Figures of 2015 do not include the gain on sale of BCI shares and the interest income on a loan between BCP and Credicorp Ltd. (as a result of BCI operation), as it is eliminated in the consolidation to Credicorp.</w:t>
      </w:r>
    </w:p>
    <w:p>
      <w:pPr>
        <w:spacing w:after="0" w:line="1" w:lineRule="exact"/>
        <w:rPr>
          <w:rFonts w:ascii="Arial" w:cs="Arial" w:eastAsia="Arial" w:hAnsi="Arial"/>
          <w:sz w:val="18"/>
          <w:szCs w:val="18"/>
          <w:color w:val="auto"/>
        </w:rPr>
      </w:pPr>
    </w:p>
    <w:p>
      <w:pPr>
        <w:ind w:left="1160" w:hanging="258"/>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ROAE including goodwill of Edyficar and Mibanco is 15.5% in 4Q15 and 16% in 2015.</w:t>
      </w:r>
    </w:p>
    <w:p>
      <w:pPr>
        <w:spacing w:after="0" w:line="9" w:lineRule="exact"/>
        <w:rPr>
          <w:rFonts w:ascii="Arial" w:cs="Arial" w:eastAsia="Arial" w:hAnsi="Arial"/>
          <w:sz w:val="18"/>
          <w:szCs w:val="18"/>
          <w:color w:val="auto"/>
        </w:rPr>
      </w:pPr>
    </w:p>
    <w:p>
      <w:pPr>
        <w:ind w:left="900" w:right="460" w:firstLine="2"/>
        <w:spacing w:after="0" w:line="250" w:lineRule="auto"/>
        <w:tabs>
          <w:tab w:leader="none" w:pos="1155" w:val="left"/>
        </w:tabs>
        <w:numPr>
          <w:ilvl w:val="0"/>
          <w:numId w:val="6"/>
        </w:numPr>
        <w:rPr>
          <w:rFonts w:ascii="Arial" w:cs="Arial" w:eastAsia="Arial" w:hAnsi="Arial"/>
          <w:sz w:val="18"/>
          <w:szCs w:val="18"/>
          <w:color w:val="auto"/>
        </w:rPr>
      </w:pPr>
      <w:r>
        <w:rPr>
          <w:rFonts w:ascii="Arial" w:cs="Arial" w:eastAsia="Arial" w:hAnsi="Arial"/>
          <w:sz w:val="18"/>
          <w:szCs w:val="18"/>
          <w:color w:val="auto"/>
        </w:rPr>
        <w:t>ROAE and recurring ROAE for 2015 include unrealized gains or losses. Recurring ROAE for 2015 excludes the income for the JV with Banmédica and gain or loss for translation.</w:t>
      </w:r>
    </w:p>
    <w:p>
      <w:pPr>
        <w:ind w:left="1160" w:hanging="258"/>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recurring ROAE for 2015 excludes a fund liquidation.</w:t>
      </w:r>
    </w:p>
    <w:p>
      <w:pPr>
        <w:spacing w:after="0" w:line="9" w:lineRule="exact"/>
        <w:rPr>
          <w:rFonts w:ascii="Arial" w:cs="Arial" w:eastAsia="Arial" w:hAnsi="Arial"/>
          <w:sz w:val="18"/>
          <w:szCs w:val="18"/>
          <w:color w:val="auto"/>
        </w:rPr>
      </w:pPr>
    </w:p>
    <w:p>
      <w:pPr>
        <w:ind w:left="1160" w:hanging="258"/>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Credicorp Capital Limited and Credicorp Capital Peru.</w:t>
      </w:r>
    </w:p>
    <w:p>
      <w:pPr>
        <w:spacing w:after="0" w:line="9" w:lineRule="exact"/>
        <w:rPr>
          <w:rFonts w:ascii="Arial" w:cs="Arial" w:eastAsia="Arial" w:hAnsi="Arial"/>
          <w:sz w:val="18"/>
          <w:szCs w:val="18"/>
          <w:color w:val="auto"/>
        </w:rPr>
      </w:pPr>
    </w:p>
    <w:p>
      <w:pPr>
        <w:ind w:left="1160" w:hanging="258"/>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Excludes non-recurring income / (expense) and translation results (net of taxes).</w:t>
      </w:r>
    </w:p>
    <w:p>
      <w:pPr>
        <w:spacing w:after="0" w:line="21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 xml:space="preserve">BCP Consolidated </w:t>
      </w:r>
      <w:r>
        <w:rPr>
          <w:rFonts w:ascii="Arial" w:cs="Arial" w:eastAsia="Arial" w:hAnsi="Arial"/>
          <w:sz w:val="17"/>
          <w:szCs w:val="17"/>
          <w:color w:val="auto"/>
        </w:rPr>
        <w:t>contributed S/. 662 million to Credicorp, which represented growth of +1.9% QoQ and +49.9% YoY. This led to an ROAE of 23.4%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4Q15, which reflected a decline of -100 bps QoQ but an increase of +480 bps YoY. The evolution registered this quarter was primarily due to: (1) solid growth in Net Interest Income, which was in line with the evolution of the loan portfolio in terms of average daily balances; (2) growth in non-financial income, which was associated with an increase in the market value of sovereign bonds; non-recurring income at Edyficar (S/.12 million); and an increase in fee income and gains on Foreign Exchange Transactions. Operating expenses at BCP increased QoQ due to the seasonality that characterizes all 4Qs; nevertheless, operating expenses in YoY terms registered low growth (+3.5%), which was mainly due to a slight decline in administrative expenses. In this context, the efficiency ratio was situated at 44.5% in 4Q15, which topped the 41.8% reported in 3Q15 but fell below the 48% registered in 4Q14. In annual accumulated terms, BCP Consolidated contributed S/. 2,477 million (+30.1%) to Credicorp and reported an ROAE of 25.8%, which was superior to the 21.4% registered in 2014. Finally, BCP Consolidated’s efficiency ratio fell -370 bps this quarter.</w:t>
      </w:r>
    </w:p>
    <w:p>
      <w:pPr>
        <w:spacing w:after="0" w:line="3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 w:name="page9"/>
    <w:bookmarkEnd w:id="8"/>
    <w:p>
      <w:pPr>
        <w:jc w:val="both"/>
        <w:ind w:left="520"/>
        <w:spacing w:after="0" w:line="257" w:lineRule="auto"/>
        <w:rPr>
          <w:sz w:val="20"/>
          <w:szCs w:val="20"/>
          <w:color w:val="auto"/>
        </w:rPr>
      </w:pPr>
      <w:r>
        <w:rPr>
          <w:rFonts w:ascii="Arial" w:cs="Arial" w:eastAsia="Arial" w:hAnsi="Arial"/>
          <w:sz w:val="18"/>
          <w:szCs w:val="18"/>
          <w:b w:val="1"/>
          <w:bCs w:val="1"/>
          <w:i w:val="1"/>
          <w:iCs w:val="1"/>
          <w:color w:val="auto"/>
        </w:rPr>
        <w:t xml:space="preserve">Mibanco </w:t>
      </w:r>
      <w:r>
        <w:rPr>
          <w:rFonts w:ascii="Arial" w:cs="Arial" w:eastAsia="Arial" w:hAnsi="Arial"/>
          <w:sz w:val="18"/>
          <w:szCs w:val="18"/>
          <w:color w:val="auto"/>
        </w:rPr>
        <w:t>registered a net contribution to Credicorp for S/.53.8 million, which represented a drop of -24.1% QoQ and an ROAE of 17.1% in 4Q15 (vs.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23.7% in 3Q15). Although net interest income (NII) grew +3.2% QoQ due to an increase in loans in the small and micro business segments, its positive evolution was offset by higher operating expenses and a normalized level of provisions for loan losses. Operating expenses increased due to higher associated expenses in 4Q15, which led to an efficiency ratio of 56.2% (+210 bps QoQ). In YoY terms, however, the ratio posted an improvement of -430 bps (60.5%).</w:t>
      </w:r>
    </w:p>
    <w:p>
      <w:pPr>
        <w:spacing w:after="0" w:line="188" w:lineRule="exact"/>
        <w:rPr>
          <w:sz w:val="20"/>
          <w:szCs w:val="20"/>
          <w:color w:val="auto"/>
        </w:rPr>
      </w:pPr>
    </w:p>
    <w:p>
      <w:pPr>
        <w:jc w:val="both"/>
        <w:ind w:left="520"/>
        <w:spacing w:after="0" w:line="259" w:lineRule="auto"/>
        <w:rPr>
          <w:sz w:val="20"/>
          <w:szCs w:val="20"/>
          <w:color w:val="auto"/>
        </w:rPr>
      </w:pPr>
      <w:r>
        <w:rPr>
          <w:rFonts w:ascii="Arial" w:cs="Arial" w:eastAsia="Arial" w:hAnsi="Arial"/>
          <w:sz w:val="18"/>
          <w:szCs w:val="18"/>
          <w:b w:val="1"/>
          <w:bCs w:val="1"/>
          <w:i w:val="1"/>
          <w:iCs w:val="1"/>
          <w:color w:val="auto"/>
        </w:rPr>
        <w:t xml:space="preserve">BCP Bolivia </w:t>
      </w:r>
      <w:r>
        <w:rPr>
          <w:rFonts w:ascii="Arial" w:cs="Arial" w:eastAsia="Arial" w:hAnsi="Arial"/>
          <w:sz w:val="18"/>
          <w:szCs w:val="18"/>
          <w:color w:val="auto"/>
        </w:rPr>
        <w:t>reported a contribution of S/14.9 million in 4Q15, which represented a decline of -8.4% QoQ that led to an ROAE of 10.8% in 4Q15 (vs.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12.5% in 3Q15). Although several items evolved positively, such as NII, which grew hand-in-hand with loan growth and provisions for loan losses (which fell due to an improvement in portfolio quality), the effect of growth in operating expenses- due primarily to higher provisions for future losses due to operating risk- explains the decrease in BCP Bolivia’s contribution this quarter.</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ASB </w:t>
      </w:r>
      <w:r>
        <w:rPr>
          <w:rFonts w:ascii="Arial" w:cs="Arial" w:eastAsia="Arial" w:hAnsi="Arial"/>
          <w:sz w:val="18"/>
          <w:szCs w:val="18"/>
          <w:color w:val="auto"/>
        </w:rPr>
        <w:t>reported a contribution to Credicorp of S/. 16.0 million in 4Q15, which fell -76.5% below 3Q15’s result due to (i) an increase in provisions in 4Q15 due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a deterioration in the value of the investment portfolio (S/18.7 million), and (ii) lower income this quarter vs 3Q15, which registered income from fund liquidation (S/.53 million). This translated into an ROAE and recurring ROAE of 9.5% and 10.4%, respectively (42.8% and 5.8% in 3Q15). The efficiency ratio, which was situated at 26.2%, increased due to lower earnings this quarter.</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 xml:space="preserve">Grupo Pacífico </w:t>
      </w:r>
      <w:r>
        <w:rPr>
          <w:rFonts w:ascii="Arial" w:cs="Arial" w:eastAsia="Arial" w:hAnsi="Arial"/>
          <w:sz w:val="17"/>
          <w:szCs w:val="17"/>
          <w:color w:val="auto"/>
        </w:rPr>
        <w:t>reported a contribution of S/. 61.9 million in 4Q15, which represented an increase of +27.7% QoQ and +12.8% YoY. In accumulated terms,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Grupo Pacífico managed to contribute to Credicorp in S/. 344.5 million, +72% over 2014. The best results were due to a higher underwriting result recorder throughout 2015. In addition, the improvements made in operating efficiency contributed to reduced expenses in the P&amp;C and Life Insurance. The aforementioned translated into an ROAE of 11.5% at the end of 4Q15 and ROAE of 18.1% in 2015 (vs. 11.7 % achieved in 2014).</w:t>
      </w:r>
    </w:p>
    <w:p>
      <w:pPr>
        <w:spacing w:after="0" w:line="16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In 4Q15, </w:t>
      </w:r>
      <w:r>
        <w:rPr>
          <w:rFonts w:ascii="Arial" w:cs="Arial" w:eastAsia="Arial" w:hAnsi="Arial"/>
          <w:sz w:val="18"/>
          <w:szCs w:val="18"/>
          <w:b w:val="1"/>
          <w:bCs w:val="1"/>
          <w:color w:val="auto"/>
        </w:rPr>
        <w:t>Prima AFP</w:t>
      </w:r>
      <w:r>
        <w:rPr>
          <w:rFonts w:ascii="Arial" w:cs="Arial" w:eastAsia="Arial" w:hAnsi="Arial"/>
          <w:sz w:val="18"/>
          <w:szCs w:val="18"/>
          <w:color w:val="auto"/>
        </w:rPr>
        <w:t>’s contribution to Credicorp was S/ 38.4 million, which represented a decline of -4.2% QoQ and an increase of +3.5% YoY, which translated into an ROAE of 27.5% for the quarter. Operating expenses increased QoQ due to higher administrative expenses, which were primarily attributable to the seasonality that characterizes 4Qs. Operating efficiency in 4Q15 was 43.3%, which was higher than 3Q15’s figure (41.1%). The funds managed by Prima AFP totaled S/ 39,345 million, which represented 31.7% of the system’s total funds.</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 xml:space="preserve">Credicorp Capital </w:t>
      </w:r>
      <w:r>
        <w:rPr>
          <w:rFonts w:ascii="Arial" w:cs="Arial" w:eastAsia="Arial" w:hAnsi="Arial"/>
          <w:sz w:val="17"/>
          <w:szCs w:val="17"/>
          <w:color w:val="auto"/>
        </w:rPr>
        <w:t>reported a net loss of -S/ 44 million in 4Q15 and a contribution of S/. 3.2 million in 2015. The results in 4Q15 were due primarily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goodwill impairment of S/ 62 million. Nevertheless, if this expenditure is excluded, significant growth in non-financial income is evident (+14.3% QoQ). Expansion in this case was mainly attributable to the good evolution of fee income, which was in turn due to more activity in M&amp;A and advisory services. The increase in operating expenses was linked to goodwill impairment. In this context, Credicorp Capital’s ROAE was 10.1% in 4Q15 and 9.3% in 2015.</w:t>
      </w:r>
    </w:p>
    <w:p>
      <w:pPr>
        <w:spacing w:after="0" w:line="3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 w:name="page10"/>
    <w:bookmarkEnd w:id="9"/>
    <w:p>
      <w:pPr>
        <w:ind w:left="500" w:hanging="492"/>
        <w:spacing w:after="0"/>
        <w:tabs>
          <w:tab w:leader="none" w:pos="5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Interest-earning assets (IEA)</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IEA rose +2.4% QoQ and +17.8% YoY. This was due primarily to growth in total loans (+2.8% QoQ and +13.1% YoY), the group’s most profitable asset, followed by an increase in funds in BCRP and Other Banks (+2.2% QoQ and +35.2% YoY), which reflects more frequent use of BCRP instruments, in particular substitution and expansion repos.</w:t>
      </w:r>
    </w:p>
    <w:p>
      <w:pPr>
        <w:spacing w:after="0" w:line="177" w:lineRule="exact"/>
        <w:rPr>
          <w:sz w:val="20"/>
          <w:szCs w:val="20"/>
          <w:color w:val="auto"/>
        </w:rPr>
      </w:pPr>
    </w:p>
    <w:tbl>
      <w:tblPr>
        <w:tblLayout w:type="fixed"/>
        <w:tblInd w:w="860" w:type="dxa"/>
        <w:tblCellMar>
          <w:top w:w="0" w:type="dxa"/>
          <w:left w:w="0" w:type="dxa"/>
          <w:bottom w:w="0" w:type="dxa"/>
          <w:right w:w="0" w:type="dxa"/>
        </w:tblCellMar>
      </w:tblPr>
      <w:tr>
        <w:trPr>
          <w:trHeight w:val="230"/>
        </w:trPr>
        <w:tc>
          <w:tcPr>
            <w:tcW w:w="3420" w:type="dxa"/>
            <w:vAlign w:val="bottom"/>
            <w:gridSpan w:val="3"/>
          </w:tcPr>
          <w:p>
            <w:pPr>
              <w:spacing w:after="0"/>
              <w:rPr>
                <w:sz w:val="20"/>
                <w:szCs w:val="20"/>
                <w:color w:val="auto"/>
              </w:rPr>
            </w:pPr>
            <w:r>
              <w:rPr>
                <w:rFonts w:ascii="Arial" w:cs="Arial" w:eastAsia="Arial" w:hAnsi="Arial"/>
                <w:sz w:val="18"/>
                <w:szCs w:val="18"/>
                <w:b w:val="1"/>
                <w:bCs w:val="1"/>
                <w:color w:val="auto"/>
              </w:rPr>
              <w:t>Interest earning assets</w:t>
            </w: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Quarter</w:t>
            </w: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20" w:type="dxa"/>
            <w:vAlign w:val="bottom"/>
            <w:gridSpan w:val="3"/>
          </w:tcPr>
          <w:p>
            <w:pPr>
              <w:ind w:left="80"/>
              <w:spacing w:after="0"/>
              <w:rPr>
                <w:sz w:val="20"/>
                <w:szCs w:val="20"/>
                <w:color w:val="auto"/>
              </w:rPr>
            </w:pPr>
            <w:r>
              <w:rPr>
                <w:rFonts w:ascii="Arial" w:cs="Arial" w:eastAsia="Arial" w:hAnsi="Arial"/>
                <w:sz w:val="18"/>
                <w:szCs w:val="18"/>
                <w:b w:val="1"/>
                <w:bCs w:val="1"/>
                <w:color w:val="auto"/>
                <w:w w:val="97"/>
              </w:rPr>
              <w:t>% change</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420" w:type="dxa"/>
            <w:vAlign w:val="bottom"/>
            <w:gridSpan w:val="3"/>
          </w:tcPr>
          <w:p>
            <w:pPr>
              <w:spacing w:after="0"/>
              <w:rPr>
                <w:sz w:val="20"/>
                <w:szCs w:val="20"/>
                <w:color w:val="auto"/>
              </w:rPr>
            </w:pPr>
            <w:r>
              <w:rPr>
                <w:rFonts w:ascii="Arial" w:cs="Arial" w:eastAsia="Arial" w:hAnsi="Arial"/>
                <w:sz w:val="18"/>
                <w:szCs w:val="18"/>
                <w:color w:val="auto"/>
              </w:rPr>
              <w:t>S/. 000</w:t>
            </w:r>
          </w:p>
        </w:tc>
        <w:tc>
          <w:tcPr>
            <w:tcW w:w="1260" w:type="dxa"/>
            <w:vAlign w:val="bottom"/>
            <w:gridSpan w:val="2"/>
          </w:tcPr>
          <w:p>
            <w:pPr>
              <w:ind w:left="320"/>
              <w:spacing w:after="0"/>
              <w:rPr>
                <w:sz w:val="20"/>
                <w:szCs w:val="20"/>
                <w:color w:val="auto"/>
              </w:rPr>
            </w:pPr>
            <w:r>
              <w:rPr>
                <w:rFonts w:ascii="Arial" w:cs="Arial" w:eastAsia="Arial" w:hAnsi="Arial"/>
                <w:sz w:val="18"/>
                <w:szCs w:val="18"/>
                <w:b w:val="1"/>
                <w:bCs w:val="1"/>
                <w:color w:val="auto"/>
              </w:rPr>
              <w:t>4Q14</w:t>
            </w: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3Q15</w:t>
            </w:r>
          </w:p>
        </w:tc>
        <w:tc>
          <w:tcPr>
            <w:tcW w:w="1240" w:type="dxa"/>
            <w:vAlign w:val="bottom"/>
            <w:gridSpan w:val="2"/>
          </w:tcPr>
          <w:p>
            <w:pPr>
              <w:ind w:left="300"/>
              <w:spacing w:after="0"/>
              <w:rPr>
                <w:sz w:val="20"/>
                <w:szCs w:val="20"/>
                <w:color w:val="auto"/>
              </w:rPr>
            </w:pPr>
            <w:r>
              <w:rPr>
                <w:rFonts w:ascii="Arial" w:cs="Arial" w:eastAsia="Arial" w:hAnsi="Arial"/>
                <w:sz w:val="18"/>
                <w:szCs w:val="18"/>
                <w:b w:val="1"/>
                <w:bCs w:val="1"/>
                <w:color w:val="auto"/>
              </w:rPr>
              <w:t>4Q15</w:t>
            </w:r>
          </w:p>
        </w:tc>
        <w:tc>
          <w:tcPr>
            <w:tcW w:w="700" w:type="dxa"/>
            <w:vAlign w:val="bottom"/>
          </w:tcPr>
          <w:p>
            <w:pPr>
              <w:ind w:left="320"/>
              <w:spacing w:after="0"/>
              <w:rPr>
                <w:sz w:val="20"/>
                <w:szCs w:val="20"/>
                <w:color w:val="auto"/>
              </w:rPr>
            </w:pPr>
            <w:r>
              <w:rPr>
                <w:rFonts w:ascii="Arial" w:cs="Arial" w:eastAsia="Arial" w:hAnsi="Arial"/>
                <w:sz w:val="18"/>
                <w:szCs w:val="18"/>
                <w:b w:val="1"/>
                <w:bCs w:val="1"/>
                <w:color w:val="auto"/>
                <w:w w:val="92"/>
              </w:rPr>
              <w:t>QoQ</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BCRP and other banks</w:t>
            </w:r>
          </w:p>
        </w:tc>
        <w:tc>
          <w:tcPr>
            <w:tcW w:w="80" w:type="dxa"/>
            <w:vAlign w:val="bottom"/>
            <w:vMerge w:val="continue"/>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21,053,967</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27,845,763</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28,470,897</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Interbank funds</w:t>
            </w:r>
          </w:p>
        </w:tc>
        <w:tc>
          <w:tcPr>
            <w:tcW w:w="1060" w:type="dxa"/>
            <w:vAlign w:val="bottom"/>
          </w:tcPr>
          <w:p>
            <w:pPr>
              <w:jc w:val="right"/>
              <w:spacing w:after="0"/>
              <w:rPr>
                <w:sz w:val="20"/>
                <w:szCs w:val="20"/>
                <w:color w:val="auto"/>
              </w:rPr>
            </w:pPr>
            <w:r>
              <w:rPr>
                <w:rFonts w:ascii="Arial" w:cs="Arial" w:eastAsia="Arial" w:hAnsi="Arial"/>
                <w:sz w:val="18"/>
                <w:szCs w:val="18"/>
                <w:color w:val="auto"/>
              </w:rPr>
              <w:t>107,197</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109,592</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180,030</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gridSpan w:val="2"/>
          </w:tcPr>
          <w:p>
            <w:pPr>
              <w:jc w:val="right"/>
              <w:ind w:right="50"/>
              <w:spacing w:after="0"/>
              <w:rPr>
                <w:sz w:val="20"/>
                <w:szCs w:val="20"/>
                <w:color w:val="auto"/>
              </w:rPr>
            </w:pPr>
            <w:r>
              <w:rPr>
                <w:rFonts w:ascii="Arial" w:cs="Arial" w:eastAsia="Arial" w:hAnsi="Arial"/>
                <w:sz w:val="18"/>
                <w:szCs w:val="18"/>
                <w:color w:val="auto"/>
                <w:w w:val="90"/>
              </w:rPr>
              <w:t>64.3%</w:t>
            </w:r>
          </w:p>
        </w:tc>
        <w:tc>
          <w:tcPr>
            <w:tcW w:w="3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Trading securities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2,824,442</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2,608,267</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2,673,424</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2.5%</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Investments available for sale</w:t>
            </w:r>
          </w:p>
        </w:tc>
        <w:tc>
          <w:tcPr>
            <w:tcW w:w="1060" w:type="dxa"/>
            <w:vAlign w:val="bottom"/>
          </w:tcPr>
          <w:p>
            <w:pPr>
              <w:jc w:val="right"/>
              <w:spacing w:after="0"/>
              <w:rPr>
                <w:sz w:val="20"/>
                <w:szCs w:val="20"/>
                <w:color w:val="auto"/>
              </w:rPr>
            </w:pPr>
            <w:r>
              <w:rPr>
                <w:rFonts w:ascii="Arial" w:cs="Arial" w:eastAsia="Arial" w:hAnsi="Arial"/>
                <w:sz w:val="18"/>
                <w:szCs w:val="18"/>
                <w:color w:val="auto"/>
              </w:rPr>
              <w:t>15,787,619</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19,152,136</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18,868,752</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gridSpan w:val="2"/>
          </w:tcPr>
          <w:p>
            <w:pPr>
              <w:jc w:val="right"/>
              <w:ind w:right="50"/>
              <w:spacing w:after="0"/>
              <w:rPr>
                <w:sz w:val="20"/>
                <w:szCs w:val="20"/>
                <w:color w:val="auto"/>
              </w:rPr>
            </w:pPr>
            <w:r>
              <w:rPr>
                <w:rFonts w:ascii="Arial" w:cs="Arial" w:eastAsia="Arial" w:hAnsi="Arial"/>
                <w:sz w:val="18"/>
                <w:szCs w:val="18"/>
                <w:color w:val="auto"/>
                <w:w w:val="97"/>
              </w:rPr>
              <w:t>-1.5%</w:t>
            </w:r>
          </w:p>
        </w:tc>
        <w:tc>
          <w:tcPr>
            <w:tcW w:w="3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held to maturity</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2,669,778</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3,161,475</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3,582,129</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0"/>
              </w:rPr>
              <w:t>13.3%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Total loans</w:t>
            </w:r>
          </w:p>
        </w:tc>
        <w:tc>
          <w:tcPr>
            <w:tcW w:w="1060" w:type="dxa"/>
            <w:vAlign w:val="bottom"/>
          </w:tcPr>
          <w:p>
            <w:pPr>
              <w:jc w:val="right"/>
              <w:spacing w:after="0"/>
              <w:rPr>
                <w:sz w:val="20"/>
                <w:szCs w:val="20"/>
                <w:color w:val="auto"/>
              </w:rPr>
            </w:pPr>
            <w:r>
              <w:rPr>
                <w:rFonts w:ascii="Arial" w:cs="Arial" w:eastAsia="Arial" w:hAnsi="Arial"/>
                <w:sz w:val="18"/>
                <w:szCs w:val="18"/>
                <w:color w:val="auto"/>
              </w:rPr>
              <w:t>79,889,948</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87,842,690</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90,328,499</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gridSpan w:val="2"/>
          </w:tcPr>
          <w:p>
            <w:pPr>
              <w:jc w:val="right"/>
              <w:ind w:right="50"/>
              <w:spacing w:after="0"/>
              <w:rPr>
                <w:sz w:val="20"/>
                <w:szCs w:val="20"/>
                <w:color w:val="auto"/>
              </w:rPr>
            </w:pPr>
            <w:r>
              <w:rPr>
                <w:rFonts w:ascii="Arial" w:cs="Arial" w:eastAsia="Arial" w:hAnsi="Arial"/>
                <w:sz w:val="18"/>
                <w:szCs w:val="18"/>
                <w:color w:val="auto"/>
              </w:rPr>
              <w:t>2.8%</w:t>
            </w:r>
          </w:p>
        </w:tc>
        <w:tc>
          <w:tcPr>
            <w:tcW w:w="3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interest earning assets</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122,332,951</w:t>
            </w:r>
          </w:p>
        </w:tc>
        <w:tc>
          <w:tcPr>
            <w:tcW w:w="2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140,719,923</w:t>
            </w:r>
          </w:p>
        </w:tc>
        <w:tc>
          <w:tcPr>
            <w:tcW w:w="2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144,103,731</w:t>
            </w: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28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87"/>
              </w:rPr>
              <w:t>%</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17.8</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Evolution of IEA</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Growth of +2.4% QoQ was due primarily to an increase in Credicorp’s total loans, which rose +2.8% QoQ in quarter-end balances. The loan dynamic in 4Q15 was mainly led by the Retail Banking business, which is in line with seasonality in the second half of every year, when the largest financing campaigns are held.</w:t>
      </w:r>
    </w:p>
    <w:p>
      <w:pPr>
        <w:spacing w:after="0" w:line="17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The QoQ evolution was mainly attributable to +2.2% QoQ growth in </w:t>
      </w:r>
      <w:r>
        <w:rPr>
          <w:rFonts w:ascii="Arial" w:cs="Arial" w:eastAsia="Arial" w:hAnsi="Arial"/>
          <w:sz w:val="18"/>
          <w:szCs w:val="18"/>
          <w:b w:val="1"/>
          <w:bCs w:val="1"/>
          <w:color w:val="auto"/>
        </w:rPr>
        <w:t>BCRP and Other Banks</w:t>
      </w:r>
      <w:r>
        <w:rPr>
          <w:rFonts w:ascii="Arial" w:cs="Arial" w:eastAsia="Arial" w:hAnsi="Arial"/>
          <w:sz w:val="18"/>
          <w:szCs w:val="18"/>
          <w:color w:val="auto"/>
        </w:rPr>
        <w:t>. This was in turn primarily associated with an increase in available funds in operating cash for branches and in BCRP’s ordinary account, mainly at BCP.</w:t>
      </w:r>
    </w:p>
    <w:p>
      <w:pPr>
        <w:spacing w:after="0" w:line="16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Investments held-to-maturity </w:t>
      </w:r>
      <w:r>
        <w:rPr>
          <w:rFonts w:ascii="Arial" w:cs="Arial" w:eastAsia="Arial" w:hAnsi="Arial"/>
          <w:sz w:val="18"/>
          <w:szCs w:val="18"/>
          <w:color w:val="auto"/>
        </w:rPr>
        <w:t>rose primarily due to a +13.3% increase in BCP’s position, which is composed mainly of positions in Peruvian government</w:t>
      </w:r>
      <w:r>
        <w:rPr>
          <w:rFonts w:ascii="Arial" w:cs="Arial" w:eastAsia="Arial" w:hAnsi="Arial"/>
          <w:sz w:val="18"/>
          <w:szCs w:val="18"/>
          <w:b w:val="1"/>
          <w:bCs w:val="1"/>
          <w:color w:val="auto"/>
        </w:rPr>
        <w:t xml:space="preserve"> </w:t>
      </w:r>
      <w:r>
        <w:rPr>
          <w:rFonts w:ascii="Arial" w:cs="Arial" w:eastAsia="Arial" w:hAnsi="Arial"/>
          <w:sz w:val="18"/>
          <w:szCs w:val="18"/>
          <w:color w:val="auto"/>
        </w:rPr>
        <w:t>bonds.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Trading Securities </w:t>
      </w:r>
      <w:r>
        <w:rPr>
          <w:rFonts w:ascii="Arial" w:cs="Arial" w:eastAsia="Arial" w:hAnsi="Arial"/>
          <w:sz w:val="17"/>
          <w:szCs w:val="17"/>
          <w:color w:val="auto"/>
        </w:rPr>
        <w:t>increased +2.5% QoQ, which was due largely to an increase in the market value of Credicorp Capital Colombia’s equity portfolio.</w:t>
      </w:r>
    </w:p>
    <w:p>
      <w:pPr>
        <w:spacing w:after="0" w:line="23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Investments Available for Sale </w:t>
      </w:r>
      <w:r>
        <w:rPr>
          <w:rFonts w:ascii="Arial" w:cs="Arial" w:eastAsia="Arial" w:hAnsi="Arial"/>
          <w:sz w:val="18"/>
          <w:szCs w:val="18"/>
          <w:color w:val="auto"/>
        </w:rPr>
        <w:t>reported a drop of -1.5% QoQ, which was mainly associated with BCP’s redemptions of Certificates of Deposit with BCRP</w:t>
      </w:r>
      <w:r>
        <w:rPr>
          <w:rFonts w:ascii="Arial" w:cs="Arial" w:eastAsia="Arial" w:hAnsi="Arial"/>
          <w:sz w:val="18"/>
          <w:szCs w:val="18"/>
          <w:b w:val="1"/>
          <w:bCs w:val="1"/>
          <w:color w:val="auto"/>
        </w:rPr>
        <w:t xml:space="preserve"> </w:t>
      </w:r>
      <w:r>
        <w:rPr>
          <w:rFonts w:ascii="Arial" w:cs="Arial" w:eastAsia="Arial" w:hAnsi="Arial"/>
          <w:sz w:val="18"/>
          <w:szCs w:val="18"/>
          <w:color w:val="auto"/>
        </w:rPr>
        <w:t>(CDs). It is important to note that CDs with BCRP have been used, in part, in repo transactions with BCRP, which have represented a low cost source of funding for BCP. These repo transactions generate a restricted deposit in BCRP, which is also included in the IEAs.</w:t>
      </w:r>
    </w:p>
    <w:p>
      <w:pPr>
        <w:spacing w:after="0" w:line="17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In the YoY analysis, we see expansion in all components of IEA with the exception of </w:t>
      </w:r>
      <w:r>
        <w:rPr>
          <w:rFonts w:ascii="Arial" w:cs="Arial" w:eastAsia="Arial" w:hAnsi="Arial"/>
          <w:sz w:val="18"/>
          <w:szCs w:val="18"/>
          <w:b w:val="1"/>
          <w:bCs w:val="1"/>
          <w:color w:val="auto"/>
        </w:rPr>
        <w:t>Trading Securities,</w:t>
      </w:r>
      <w:r>
        <w:rPr>
          <w:rFonts w:ascii="Arial" w:cs="Arial" w:eastAsia="Arial" w:hAnsi="Arial"/>
          <w:sz w:val="18"/>
          <w:szCs w:val="18"/>
          <w:color w:val="auto"/>
        </w:rPr>
        <w:t xml:space="preserve"> which fell -5.3% YoY due to lower balances for government bonds from countries with high investment grades. This effect was seen primarily in BCP’s portfolios. It is important to note that the significant increase of +35.2% in </w:t>
      </w:r>
      <w:r>
        <w:rPr>
          <w:rFonts w:ascii="Arial" w:cs="Arial" w:eastAsia="Arial" w:hAnsi="Arial"/>
          <w:sz w:val="18"/>
          <w:szCs w:val="18"/>
          <w:b w:val="1"/>
          <w:bCs w:val="1"/>
          <w:color w:val="auto"/>
        </w:rPr>
        <w:t>BCRP and Other Banks</w:t>
      </w:r>
      <w:r>
        <w:rPr>
          <w:rFonts w:ascii="Arial" w:cs="Arial" w:eastAsia="Arial" w:hAnsi="Arial"/>
          <w:sz w:val="18"/>
          <w:szCs w:val="18"/>
          <w:color w:val="auto"/>
        </w:rPr>
        <w:t xml:space="preserve"> mainly reflects more use of BCRP instruments in general and substitution and expansion repos in particular. Under both schemes, repo transactions generate a restricted deposit in BCRP, which was the main driver of the expansion in IEAs. In Credicorp’s case, these transactions were only conducted by BCP Stand-alone and Mibanco.</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1.2 Credicorp Loans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loan growth contribution QoQ</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average daily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142875</wp:posOffset>
            </wp:positionV>
            <wp:extent cx="5746115" cy="19037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46115" cy="1903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growth contribution YoY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average daily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142875</wp:posOffset>
            </wp:positionV>
            <wp:extent cx="5746115" cy="16554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46115" cy="1655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*The above graphs explain the contribution to growth of each of Credicorp’s subsidiaries, for example, Wholesale Banking contributed with 34.4% of total loans’ growth YoY.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general, the analysis of growth in average daily balances indicates that the dynamic of past quarters has changed given that Retail Banking accounted for the highest share of nominal growth in average daily balances, which differs from the scenario observed in previous quarters in 2015, when Wholesale Banking led growth in this component. In real terms, Retail Banking, the segment with the highest margins, also posted the highest contribution to loan growth in average daily balances, 28.2% vs. 24.7% in Wholesale Banking.</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YoY evolution of business segments, the dynamic remained unchanged as Wholesale Banking continued to boast the highest share of average daily loan balances, measured in real terms, with a 50% contribution to growth vs. the 35% posted by Retail Banking.</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0"/>
        </w:trPr>
        <w:tc>
          <w:tcPr>
            <w:tcW w:w="3120" w:type="dxa"/>
            <w:vAlign w:val="bottom"/>
            <w:gridSpan w:val="3"/>
          </w:tcPr>
          <w:p>
            <w:pPr>
              <w:spacing w:after="0"/>
              <w:rPr>
                <w:sz w:val="20"/>
                <w:szCs w:val="20"/>
                <w:color w:val="auto"/>
              </w:rPr>
            </w:pPr>
            <w:r>
              <w:rPr>
                <w:rFonts w:ascii="Arial" w:cs="Arial" w:eastAsia="Arial" w:hAnsi="Arial"/>
                <w:sz w:val="18"/>
                <w:szCs w:val="18"/>
                <w:i w:val="1"/>
                <w:iCs w:val="1"/>
                <w:color w:val="auto"/>
                <w:w w:val="92"/>
              </w:rPr>
              <w:t>1.2.1 Loan evolution by business segment</w:t>
            </w: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32"/>
        </w:trPr>
        <w:tc>
          <w:tcPr>
            <w:tcW w:w="2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180" w:type="dxa"/>
            <w:vAlign w:val="bottom"/>
            <w:gridSpan w:val="12"/>
          </w:tcPr>
          <w:p>
            <w:pPr>
              <w:jc w:val="right"/>
              <w:ind w:right="90"/>
              <w:spacing w:after="0"/>
              <w:rPr>
                <w:sz w:val="20"/>
                <w:szCs w:val="20"/>
                <w:color w:val="auto"/>
              </w:rPr>
            </w:pPr>
            <w:r>
              <w:rPr>
                <w:rFonts w:ascii="Arial" w:cs="Arial" w:eastAsia="Arial" w:hAnsi="Arial"/>
                <w:sz w:val="18"/>
                <w:szCs w:val="18"/>
                <w:b w:val="1"/>
                <w:bCs w:val="1"/>
                <w:color w:val="auto"/>
                <w:w w:val="91"/>
              </w:rPr>
              <w:t>Loan evolution measured in average daily balances by segment</w:t>
            </w: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14"/>
        </w:trPr>
        <w:tc>
          <w:tcPr>
            <w:tcW w:w="2120" w:type="dxa"/>
            <w:vAlign w:val="bottom"/>
          </w:tcPr>
          <w:p>
            <w:pPr>
              <w:spacing w:after="0"/>
              <w:rPr>
                <w:sz w:val="24"/>
                <w:szCs w:val="24"/>
                <w:color w:val="auto"/>
              </w:rPr>
            </w:pPr>
          </w:p>
        </w:tc>
        <w:tc>
          <w:tcPr>
            <w:tcW w:w="2120" w:type="dxa"/>
            <w:vAlign w:val="bottom"/>
            <w:gridSpan w:val="5"/>
          </w:tcPr>
          <w:p>
            <w:pPr>
              <w:jc w:val="center"/>
              <w:ind w:left="590"/>
              <w:spacing w:after="0"/>
              <w:rPr>
                <w:sz w:val="20"/>
                <w:szCs w:val="20"/>
                <w:color w:val="auto"/>
              </w:rPr>
            </w:pPr>
            <w:r>
              <w:rPr>
                <w:rFonts w:ascii="Arial" w:cs="Arial" w:eastAsia="Arial" w:hAnsi="Arial"/>
                <w:sz w:val="18"/>
                <w:szCs w:val="18"/>
                <w:b w:val="1"/>
                <w:bCs w:val="1"/>
                <w:color w:val="auto"/>
                <w:w w:val="99"/>
              </w:rPr>
              <w:t>TOTAL LOANS</w:t>
            </w: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gridSpan w:val="5"/>
          </w:tcPr>
          <w:p>
            <w:pPr>
              <w:jc w:val="center"/>
              <w:ind w:right="210"/>
              <w:spacing w:after="0"/>
              <w:rPr>
                <w:sz w:val="20"/>
                <w:szCs w:val="20"/>
                <w:color w:val="auto"/>
              </w:rPr>
            </w:pPr>
            <w:r>
              <w:rPr>
                <w:rFonts w:ascii="Arial" w:cs="Arial" w:eastAsia="Arial" w:hAnsi="Arial"/>
                <w:sz w:val="18"/>
                <w:szCs w:val="18"/>
                <w:b w:val="1"/>
                <w:bCs w:val="1"/>
                <w:color w:val="auto"/>
                <w:w w:val="95"/>
              </w:rPr>
              <w:t>% nominal</w:t>
            </w: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0"/>
        </w:trPr>
        <w:tc>
          <w:tcPr>
            <w:tcW w:w="2120" w:type="dxa"/>
            <w:vAlign w:val="bottom"/>
          </w:tcPr>
          <w:p>
            <w:pPr>
              <w:spacing w:after="0"/>
              <w:rPr>
                <w:sz w:val="19"/>
                <w:szCs w:val="19"/>
                <w:color w:val="auto"/>
              </w:rPr>
            </w:pPr>
          </w:p>
        </w:tc>
        <w:tc>
          <w:tcPr>
            <w:tcW w:w="3000" w:type="dxa"/>
            <w:vAlign w:val="bottom"/>
            <w:gridSpan w:val="7"/>
          </w:tcPr>
          <w:p>
            <w:pPr>
              <w:jc w:val="center"/>
              <w:ind w:right="200"/>
              <w:spacing w:after="0"/>
              <w:rPr>
                <w:sz w:val="20"/>
                <w:szCs w:val="20"/>
                <w:color w:val="auto"/>
              </w:rPr>
            </w:pPr>
            <w:r>
              <w:rPr>
                <w:rFonts w:ascii="Arial" w:cs="Arial" w:eastAsia="Arial" w:hAnsi="Arial"/>
                <w:sz w:val="18"/>
                <w:szCs w:val="18"/>
                <w:i w:val="1"/>
                <w:iCs w:val="1"/>
                <w:color w:val="auto"/>
                <w:w w:val="89"/>
              </w:rPr>
              <w:t>Expressed in million Nuevos Soles</w:t>
            </w:r>
          </w:p>
        </w:tc>
        <w:tc>
          <w:tcPr>
            <w:tcW w:w="1220" w:type="dxa"/>
            <w:vAlign w:val="bottom"/>
            <w:gridSpan w:val="3"/>
          </w:tcPr>
          <w:p>
            <w:pPr>
              <w:jc w:val="center"/>
              <w:ind w:left="510"/>
              <w:spacing w:after="0"/>
              <w:rPr>
                <w:sz w:val="20"/>
                <w:szCs w:val="20"/>
                <w:color w:val="auto"/>
              </w:rPr>
            </w:pPr>
            <w:r>
              <w:rPr>
                <w:rFonts w:ascii="Arial" w:cs="Arial" w:eastAsia="Arial" w:hAnsi="Arial"/>
                <w:sz w:val="18"/>
                <w:szCs w:val="18"/>
                <w:b w:val="1"/>
                <w:bCs w:val="1"/>
                <w:color w:val="auto"/>
                <w:w w:val="85"/>
              </w:rPr>
              <w:t>change</w:t>
            </w: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20" w:type="dxa"/>
            <w:vAlign w:val="bottom"/>
            <w:gridSpan w:val="4"/>
          </w:tcPr>
          <w:p>
            <w:pPr>
              <w:ind w:left="360"/>
              <w:spacing w:after="0"/>
              <w:rPr>
                <w:sz w:val="20"/>
                <w:szCs w:val="20"/>
                <w:color w:val="auto"/>
              </w:rPr>
            </w:pPr>
            <w:r>
              <w:rPr>
                <w:rFonts w:ascii="Arial" w:cs="Arial" w:eastAsia="Arial" w:hAnsi="Arial"/>
                <w:sz w:val="18"/>
                <w:szCs w:val="18"/>
                <w:b w:val="1"/>
                <w:bCs w:val="1"/>
                <w:color w:val="auto"/>
              </w:rPr>
              <w:t>% real change</w:t>
            </w:r>
          </w:p>
        </w:tc>
        <w:tc>
          <w:tcPr>
            <w:tcW w:w="100" w:type="dxa"/>
            <w:vAlign w:val="bottom"/>
          </w:tcPr>
          <w:p>
            <w:pPr>
              <w:spacing w:after="0"/>
              <w:rPr>
                <w:sz w:val="19"/>
                <w:szCs w:val="19"/>
                <w:color w:val="auto"/>
              </w:rPr>
            </w:pPr>
          </w:p>
        </w:tc>
        <w:tc>
          <w:tcPr>
            <w:tcW w:w="2060" w:type="dxa"/>
            <w:vAlign w:val="bottom"/>
            <w:gridSpan w:val="4"/>
          </w:tcPr>
          <w:p>
            <w:pPr>
              <w:jc w:val="right"/>
              <w:ind w:right="190"/>
              <w:spacing w:after="0"/>
              <w:rPr>
                <w:sz w:val="20"/>
                <w:szCs w:val="20"/>
                <w:color w:val="auto"/>
              </w:rPr>
            </w:pPr>
            <w:r>
              <w:rPr>
                <w:rFonts w:ascii="Arial" w:cs="Arial" w:eastAsia="Arial" w:hAnsi="Arial"/>
                <w:sz w:val="18"/>
                <w:szCs w:val="18"/>
                <w:b w:val="1"/>
                <w:bCs w:val="1"/>
                <w:color w:val="auto"/>
                <w:w w:val="96"/>
              </w:rPr>
              <w:t>% Part. in Total loans</w:t>
            </w:r>
          </w:p>
        </w:tc>
      </w:tr>
      <w:tr>
        <w:trPr>
          <w:trHeight w:val="234"/>
        </w:trPr>
        <w:tc>
          <w:tcPr>
            <w:tcW w:w="212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4Q14</w:t>
            </w:r>
          </w:p>
        </w:tc>
        <w:tc>
          <w:tcPr>
            <w:tcW w:w="20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3Q15</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4Q15</w:t>
            </w:r>
          </w:p>
        </w:tc>
        <w:tc>
          <w:tcPr>
            <w:tcW w:w="20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YoY</w:t>
            </w:r>
          </w:p>
        </w:tc>
        <w:tc>
          <w:tcPr>
            <w:tcW w:w="30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4T14</w:t>
            </w:r>
          </w:p>
        </w:tc>
        <w:tc>
          <w:tcPr>
            <w:tcW w:w="28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4T15</w:t>
            </w:r>
          </w:p>
        </w:tc>
        <w:tc>
          <w:tcPr>
            <w:tcW w:w="180" w:type="dxa"/>
            <w:vAlign w:val="bottom"/>
            <w:tcBorders>
              <w:bottom w:val="single" w:sz="8" w:color="CCEEFF"/>
            </w:tcBorders>
          </w:tcPr>
          <w:p>
            <w:pPr>
              <w:spacing w:after="0"/>
              <w:rPr>
                <w:sz w:val="20"/>
                <w:szCs w:val="20"/>
                <w:color w:val="auto"/>
              </w:rPr>
            </w:pPr>
          </w:p>
        </w:tc>
      </w:tr>
      <w:tr>
        <w:trPr>
          <w:trHeight w:val="210"/>
        </w:trPr>
        <w:tc>
          <w:tcPr>
            <w:tcW w:w="2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BCP Stand-alone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65,229</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72,783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76,142</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4.6%</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16.7%</w:t>
            </w:r>
          </w:p>
        </w:tc>
        <w:tc>
          <w:tcPr>
            <w:tcW w:w="1060" w:type="dxa"/>
            <w:vAlign w:val="bottom"/>
            <w:gridSpan w:val="2"/>
            <w:shd w:val="clear" w:color="auto" w:fill="CCEEFF"/>
          </w:tcPr>
          <w:p>
            <w:pPr>
              <w:ind w:left="540"/>
              <w:spacing w:after="0"/>
              <w:rPr>
                <w:sz w:val="20"/>
                <w:szCs w:val="20"/>
                <w:color w:val="auto"/>
              </w:rPr>
            </w:pPr>
            <w:r>
              <w:rPr>
                <w:rFonts w:ascii="Arial" w:cs="Arial" w:eastAsia="Arial" w:hAnsi="Arial"/>
                <w:sz w:val="18"/>
                <w:szCs w:val="18"/>
                <w:b w:val="1"/>
                <w:bCs w:val="1"/>
                <w:color w:val="auto"/>
              </w:rPr>
              <w:t>3.0%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11.8%</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83.4%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83.3%</w:t>
            </w:r>
          </w:p>
        </w:tc>
      </w:tr>
      <w:tr>
        <w:trPr>
          <w:trHeight w:val="216"/>
        </w:trPr>
        <w:tc>
          <w:tcPr>
            <w:tcW w:w="2120" w:type="dxa"/>
            <w:vAlign w:val="bottom"/>
          </w:tcPr>
          <w:p>
            <w:pPr>
              <w:ind w:left="180"/>
              <w:spacing w:after="0"/>
              <w:rPr>
                <w:sz w:val="20"/>
                <w:szCs w:val="20"/>
                <w:color w:val="auto"/>
              </w:rPr>
            </w:pPr>
            <w:r>
              <w:rPr>
                <w:rFonts w:ascii="Arial" w:cs="Arial" w:eastAsia="Arial" w:hAnsi="Arial"/>
                <w:sz w:val="18"/>
                <w:szCs w:val="18"/>
                <w:b w:val="1"/>
                <w:bCs w:val="1"/>
                <w:color w:val="auto"/>
              </w:rPr>
              <w:t>Wholesale Banking</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34,459</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39,405</w:t>
            </w: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41,262</w:t>
            </w:r>
          </w:p>
        </w:tc>
        <w:tc>
          <w:tcPr>
            <w:tcW w:w="10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4.7%</w:t>
            </w:r>
          </w:p>
        </w:tc>
        <w:tc>
          <w:tcPr>
            <w:tcW w:w="160" w:type="dxa"/>
            <w:vAlign w:val="bottom"/>
          </w:tcPr>
          <w:p>
            <w:pPr>
              <w:spacing w:after="0"/>
              <w:rPr>
                <w:sz w:val="18"/>
                <w:szCs w:val="18"/>
                <w:color w:val="auto"/>
              </w:rPr>
            </w:pPr>
          </w:p>
        </w:tc>
        <w:tc>
          <w:tcPr>
            <w:tcW w:w="9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19.7%</w:t>
            </w:r>
          </w:p>
        </w:tc>
        <w:tc>
          <w:tcPr>
            <w:tcW w:w="1060" w:type="dxa"/>
            <w:vAlign w:val="bottom"/>
            <w:gridSpan w:val="2"/>
          </w:tcPr>
          <w:p>
            <w:pPr>
              <w:ind w:left="540"/>
              <w:spacing w:after="0"/>
              <w:rPr>
                <w:sz w:val="20"/>
                <w:szCs w:val="20"/>
                <w:color w:val="auto"/>
              </w:rPr>
            </w:pPr>
            <w:r>
              <w:rPr>
                <w:rFonts w:ascii="Arial" w:cs="Arial" w:eastAsia="Arial" w:hAnsi="Arial"/>
                <w:sz w:val="18"/>
                <w:szCs w:val="18"/>
                <w:b w:val="1"/>
                <w:bCs w:val="1"/>
                <w:color w:val="auto"/>
              </w:rPr>
              <w:t>2.6%</w:t>
            </w: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13.1%</w:t>
            </w:r>
          </w:p>
        </w:tc>
        <w:tc>
          <w:tcPr>
            <w:tcW w:w="118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44.1%</w:t>
            </w: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45.2%</w:t>
            </w:r>
          </w:p>
        </w:tc>
      </w:tr>
      <w:tr>
        <w:trPr>
          <w:trHeight w:val="216"/>
        </w:trPr>
        <w:tc>
          <w:tcPr>
            <w:tcW w:w="2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21,828</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25,867</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27,218</w:t>
            </w:r>
          </w:p>
        </w:tc>
        <w:tc>
          <w:tcPr>
            <w:tcW w:w="10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5.2%</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24.7%</w:t>
            </w:r>
          </w:p>
        </w:tc>
        <w:tc>
          <w:tcPr>
            <w:tcW w:w="1060" w:type="dxa"/>
            <w:vAlign w:val="bottom"/>
            <w:gridSpan w:val="2"/>
            <w:shd w:val="clear" w:color="auto" w:fill="C5D9F1"/>
          </w:tcPr>
          <w:p>
            <w:pPr>
              <w:ind w:left="540"/>
              <w:spacing w:after="0"/>
              <w:rPr>
                <w:sz w:val="20"/>
                <w:szCs w:val="20"/>
                <w:color w:val="auto"/>
              </w:rPr>
            </w:pPr>
            <w:r>
              <w:rPr>
                <w:rFonts w:ascii="Arial" w:cs="Arial" w:eastAsia="Arial" w:hAnsi="Arial"/>
                <w:sz w:val="18"/>
                <w:szCs w:val="18"/>
                <w:color w:val="auto"/>
              </w:rPr>
              <w:t>3.1%</w:t>
            </w:r>
          </w:p>
        </w:tc>
        <w:tc>
          <w:tcPr>
            <w:tcW w:w="960" w:type="dxa"/>
            <w:vAlign w:val="bottom"/>
            <w:gridSpan w:val="2"/>
            <w:shd w:val="clear" w:color="auto" w:fill="C5D9F1"/>
          </w:tcPr>
          <w:p>
            <w:pPr>
              <w:jc w:val="right"/>
              <w:spacing w:after="0"/>
              <w:rPr>
                <w:sz w:val="20"/>
                <w:szCs w:val="20"/>
                <w:color w:val="auto"/>
              </w:rPr>
            </w:pPr>
            <w:r>
              <w:rPr>
                <w:rFonts w:ascii="Arial" w:cs="Arial" w:eastAsia="Arial" w:hAnsi="Arial"/>
                <w:sz w:val="18"/>
                <w:szCs w:val="18"/>
                <w:color w:val="auto"/>
              </w:rPr>
              <w:t>17.7%</w:t>
            </w:r>
          </w:p>
        </w:tc>
        <w:tc>
          <w:tcPr>
            <w:tcW w:w="118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27.9%</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w:t>
            </w:r>
          </w:p>
        </w:tc>
      </w:tr>
      <w:tr>
        <w:trPr>
          <w:trHeight w:val="216"/>
        </w:trPr>
        <w:tc>
          <w:tcPr>
            <w:tcW w:w="2120" w:type="dxa"/>
            <w:vAlign w:val="bottom"/>
          </w:tcPr>
          <w:p>
            <w:pPr>
              <w:ind w:left="340"/>
              <w:spacing w:after="0"/>
              <w:rPr>
                <w:sz w:val="20"/>
                <w:szCs w:val="20"/>
                <w:color w:val="auto"/>
              </w:rPr>
            </w:pPr>
            <w:r>
              <w:rPr>
                <w:rFonts w:ascii="Arial" w:cs="Arial" w:eastAsia="Arial" w:hAnsi="Arial"/>
                <w:sz w:val="18"/>
                <w:szCs w:val="18"/>
                <w:color w:val="auto"/>
              </w:rPr>
              <w:t>Middle - Market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12,631</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13,538</w:t>
            </w: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14,044</w:t>
            </w:r>
          </w:p>
        </w:tc>
        <w:tc>
          <w:tcPr>
            <w:tcW w:w="1060" w:type="dxa"/>
            <w:vAlign w:val="bottom"/>
            <w:gridSpan w:val="2"/>
          </w:tcPr>
          <w:p>
            <w:pPr>
              <w:jc w:val="right"/>
              <w:ind w:right="50"/>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18"/>
                <w:szCs w:val="18"/>
                <w:color w:val="auto"/>
              </w:rPr>
            </w:pPr>
          </w:p>
        </w:tc>
        <w:tc>
          <w:tcPr>
            <w:tcW w:w="900" w:type="dxa"/>
            <w:vAlign w:val="bottom"/>
            <w:gridSpan w:val="2"/>
          </w:tcPr>
          <w:p>
            <w:pPr>
              <w:jc w:val="right"/>
              <w:ind w:right="70"/>
              <w:spacing w:after="0"/>
              <w:rPr>
                <w:sz w:val="20"/>
                <w:szCs w:val="20"/>
                <w:color w:val="auto"/>
              </w:rPr>
            </w:pPr>
            <w:r>
              <w:rPr>
                <w:rFonts w:ascii="Arial" w:cs="Arial" w:eastAsia="Arial" w:hAnsi="Arial"/>
                <w:sz w:val="18"/>
                <w:szCs w:val="18"/>
                <w:color w:val="auto"/>
              </w:rPr>
              <w:t>11.2%</w:t>
            </w:r>
          </w:p>
        </w:tc>
        <w:tc>
          <w:tcPr>
            <w:tcW w:w="1060" w:type="dxa"/>
            <w:vAlign w:val="bottom"/>
            <w:gridSpan w:val="2"/>
          </w:tcPr>
          <w:p>
            <w:pPr>
              <w:ind w:left="540"/>
              <w:spacing w:after="0"/>
              <w:rPr>
                <w:sz w:val="20"/>
                <w:szCs w:val="20"/>
                <w:color w:val="auto"/>
              </w:rPr>
            </w:pPr>
            <w:r>
              <w:rPr>
                <w:rFonts w:ascii="Arial" w:cs="Arial" w:eastAsia="Arial" w:hAnsi="Arial"/>
                <w:sz w:val="18"/>
                <w:szCs w:val="18"/>
                <w:color w:val="auto"/>
              </w:rPr>
              <w:t>1.7%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1180" w:type="dxa"/>
            <w:vAlign w:val="bottom"/>
            <w:gridSpan w:val="3"/>
          </w:tcPr>
          <w:p>
            <w:pPr>
              <w:jc w:val="right"/>
              <w:ind w:right="50"/>
              <w:spacing w:after="0"/>
              <w:rPr>
                <w:sz w:val="20"/>
                <w:szCs w:val="20"/>
                <w:color w:val="auto"/>
              </w:rPr>
            </w:pPr>
            <w:r>
              <w:rPr>
                <w:rFonts w:ascii="Arial" w:cs="Arial" w:eastAsia="Arial" w:hAnsi="Arial"/>
                <w:sz w:val="18"/>
                <w:szCs w:val="18"/>
                <w:color w:val="auto"/>
              </w:rPr>
              <w:t>16.1%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15.4%</w:t>
            </w:r>
          </w:p>
        </w:tc>
      </w:tr>
      <w:tr>
        <w:trPr>
          <w:trHeight w:val="216"/>
        </w:trPr>
        <w:tc>
          <w:tcPr>
            <w:tcW w:w="21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Retail Banking</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30,313</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32,811</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34,250</w:t>
            </w:r>
          </w:p>
        </w:tc>
        <w:tc>
          <w:tcPr>
            <w:tcW w:w="10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4.4%</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13.0%</w:t>
            </w:r>
          </w:p>
        </w:tc>
        <w:tc>
          <w:tcPr>
            <w:tcW w:w="1060" w:type="dxa"/>
            <w:vAlign w:val="bottom"/>
            <w:gridSpan w:val="2"/>
            <w:shd w:val="clear" w:color="auto" w:fill="CCEEFF"/>
          </w:tcPr>
          <w:p>
            <w:pPr>
              <w:ind w:left="540"/>
              <w:spacing w:after="0"/>
              <w:rPr>
                <w:sz w:val="20"/>
                <w:szCs w:val="20"/>
                <w:color w:val="auto"/>
              </w:rPr>
            </w:pPr>
            <w:r>
              <w:rPr>
                <w:rFonts w:ascii="Arial" w:cs="Arial" w:eastAsia="Arial" w:hAnsi="Arial"/>
                <w:sz w:val="18"/>
                <w:szCs w:val="18"/>
                <w:b w:val="1"/>
                <w:bCs w:val="1"/>
                <w:color w:val="auto"/>
              </w:rPr>
              <w:t>3.5%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10.4%</w:t>
            </w:r>
          </w:p>
        </w:tc>
        <w:tc>
          <w:tcPr>
            <w:tcW w:w="11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38.8%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37.5%</w:t>
            </w:r>
          </w:p>
        </w:tc>
      </w:tr>
      <w:tr>
        <w:trPr>
          <w:trHeight w:val="216"/>
        </w:trPr>
        <w:tc>
          <w:tcPr>
            <w:tcW w:w="2120" w:type="dxa"/>
            <w:vAlign w:val="bottom"/>
          </w:tcPr>
          <w:p>
            <w:pPr>
              <w:ind w:left="340"/>
              <w:spacing w:after="0"/>
              <w:rPr>
                <w:sz w:val="20"/>
                <w:szCs w:val="20"/>
                <w:color w:val="auto"/>
              </w:rPr>
            </w:pPr>
            <w:r>
              <w:rPr>
                <w:rFonts w:ascii="Arial" w:cs="Arial" w:eastAsia="Arial" w:hAnsi="Arial"/>
                <w:sz w:val="18"/>
                <w:szCs w:val="18"/>
                <w:color w:val="auto"/>
              </w:rPr>
              <w:t>SME - Business</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3,184</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3,718</w:t>
            </w: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4,064</w:t>
            </w:r>
          </w:p>
        </w:tc>
        <w:tc>
          <w:tcPr>
            <w:tcW w:w="1060" w:type="dxa"/>
            <w:vAlign w:val="bottom"/>
            <w:gridSpan w:val="2"/>
          </w:tcPr>
          <w:p>
            <w:pPr>
              <w:jc w:val="right"/>
              <w:ind w:right="50"/>
              <w:spacing w:after="0"/>
              <w:rPr>
                <w:sz w:val="20"/>
                <w:szCs w:val="20"/>
                <w:color w:val="auto"/>
              </w:rPr>
            </w:pPr>
            <w:r>
              <w:rPr>
                <w:rFonts w:ascii="Arial" w:cs="Arial" w:eastAsia="Arial" w:hAnsi="Arial"/>
                <w:sz w:val="18"/>
                <w:szCs w:val="18"/>
                <w:color w:val="auto"/>
              </w:rPr>
              <w:t>9.3%</w:t>
            </w:r>
          </w:p>
        </w:tc>
        <w:tc>
          <w:tcPr>
            <w:tcW w:w="160" w:type="dxa"/>
            <w:vAlign w:val="bottom"/>
          </w:tcPr>
          <w:p>
            <w:pPr>
              <w:spacing w:after="0"/>
              <w:rPr>
                <w:sz w:val="18"/>
                <w:szCs w:val="18"/>
                <w:color w:val="auto"/>
              </w:rPr>
            </w:pPr>
          </w:p>
        </w:tc>
        <w:tc>
          <w:tcPr>
            <w:tcW w:w="900" w:type="dxa"/>
            <w:vAlign w:val="bottom"/>
            <w:gridSpan w:val="2"/>
          </w:tcPr>
          <w:p>
            <w:pPr>
              <w:jc w:val="right"/>
              <w:ind w:right="70"/>
              <w:spacing w:after="0"/>
              <w:rPr>
                <w:sz w:val="20"/>
                <w:szCs w:val="20"/>
                <w:color w:val="auto"/>
              </w:rPr>
            </w:pPr>
            <w:r>
              <w:rPr>
                <w:rFonts w:ascii="Arial" w:cs="Arial" w:eastAsia="Arial" w:hAnsi="Arial"/>
                <w:sz w:val="18"/>
                <w:szCs w:val="18"/>
                <w:color w:val="auto"/>
              </w:rPr>
              <w:t>27.6%</w:t>
            </w:r>
          </w:p>
        </w:tc>
        <w:tc>
          <w:tcPr>
            <w:tcW w:w="1060" w:type="dxa"/>
            <w:vAlign w:val="bottom"/>
            <w:gridSpan w:val="2"/>
          </w:tcPr>
          <w:p>
            <w:pPr>
              <w:ind w:left="540"/>
              <w:spacing w:after="0"/>
              <w:rPr>
                <w:sz w:val="20"/>
                <w:szCs w:val="20"/>
                <w:color w:val="auto"/>
              </w:rPr>
            </w:pPr>
            <w:r>
              <w:rPr>
                <w:rFonts w:ascii="Arial" w:cs="Arial" w:eastAsia="Arial" w:hAnsi="Arial"/>
                <w:sz w:val="18"/>
                <w:szCs w:val="18"/>
                <w:color w:val="auto"/>
              </w:rPr>
              <w:t>6.9%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19.8%</w:t>
            </w:r>
          </w:p>
        </w:tc>
        <w:tc>
          <w:tcPr>
            <w:tcW w:w="1180" w:type="dxa"/>
            <w:vAlign w:val="bottom"/>
            <w:gridSpan w:val="3"/>
          </w:tcPr>
          <w:p>
            <w:pPr>
              <w:jc w:val="right"/>
              <w:ind w:right="50"/>
              <w:spacing w:after="0"/>
              <w:rPr>
                <w:sz w:val="20"/>
                <w:szCs w:val="20"/>
                <w:color w:val="auto"/>
              </w:rPr>
            </w:pPr>
            <w:r>
              <w:rPr>
                <w:rFonts w:ascii="Arial" w:cs="Arial" w:eastAsia="Arial" w:hAnsi="Arial"/>
                <w:sz w:val="18"/>
                <w:szCs w:val="18"/>
                <w:color w:val="auto"/>
              </w:rPr>
              <w:t>4.1%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2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SME - Pyme</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7,084</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7,102</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7,429</w:t>
            </w:r>
          </w:p>
        </w:tc>
        <w:tc>
          <w:tcPr>
            <w:tcW w:w="10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4.9%</w:t>
            </w:r>
          </w:p>
        </w:tc>
        <w:tc>
          <w:tcPr>
            <w:tcW w:w="1060" w:type="dxa"/>
            <w:vAlign w:val="bottom"/>
            <w:gridSpan w:val="2"/>
            <w:shd w:val="clear" w:color="auto" w:fill="C5D9F1"/>
          </w:tcPr>
          <w:p>
            <w:pPr>
              <w:ind w:left="540"/>
              <w:spacing w:after="0"/>
              <w:rPr>
                <w:sz w:val="20"/>
                <w:szCs w:val="20"/>
                <w:color w:val="auto"/>
              </w:rPr>
            </w:pPr>
            <w:r>
              <w:rPr>
                <w:rFonts w:ascii="Arial" w:cs="Arial" w:eastAsia="Arial" w:hAnsi="Arial"/>
                <w:sz w:val="18"/>
                <w:szCs w:val="18"/>
                <w:color w:val="auto"/>
              </w:rPr>
              <w:t>4.3%</w:t>
            </w:r>
          </w:p>
        </w:tc>
        <w:tc>
          <w:tcPr>
            <w:tcW w:w="960" w:type="dxa"/>
            <w:vAlign w:val="bottom"/>
            <w:gridSpan w:val="2"/>
            <w:shd w:val="clear" w:color="auto" w:fill="FCD5B4"/>
          </w:tcPr>
          <w:p>
            <w:pPr>
              <w:jc w:val="right"/>
              <w:spacing w:after="0"/>
              <w:rPr>
                <w:sz w:val="20"/>
                <w:szCs w:val="20"/>
                <w:color w:val="auto"/>
              </w:rPr>
            </w:pPr>
            <w:r>
              <w:rPr>
                <w:rFonts w:ascii="Arial" w:cs="Arial" w:eastAsia="Arial" w:hAnsi="Arial"/>
                <w:sz w:val="18"/>
                <w:szCs w:val="18"/>
                <w:color w:val="auto"/>
              </w:rPr>
              <w:t>4.1%</w:t>
            </w:r>
          </w:p>
        </w:tc>
        <w:tc>
          <w:tcPr>
            <w:tcW w:w="118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9.1%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2120" w:type="dxa"/>
            <w:vAlign w:val="bottom"/>
          </w:tcPr>
          <w:p>
            <w:pPr>
              <w:ind w:left="340"/>
              <w:spacing w:after="0"/>
              <w:rPr>
                <w:sz w:val="20"/>
                <w:szCs w:val="20"/>
                <w:color w:val="auto"/>
              </w:rPr>
            </w:pPr>
            <w:r>
              <w:rPr>
                <w:rFonts w:ascii="Arial" w:cs="Arial" w:eastAsia="Arial" w:hAnsi="Arial"/>
                <w:sz w:val="18"/>
                <w:szCs w:val="18"/>
                <w:color w:val="auto"/>
              </w:rPr>
              <w:t>Mortgage</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10,951</w:t>
            </w:r>
          </w:p>
        </w:tc>
        <w:tc>
          <w:tcPr>
            <w:tcW w:w="800" w:type="dxa"/>
            <w:vAlign w:val="bottom"/>
          </w:tcPr>
          <w:p>
            <w:pPr>
              <w:jc w:val="right"/>
              <w:spacing w:after="0"/>
              <w:rPr>
                <w:sz w:val="20"/>
                <w:szCs w:val="20"/>
                <w:color w:val="auto"/>
              </w:rPr>
            </w:pPr>
            <w:r>
              <w:rPr>
                <w:rFonts w:ascii="Arial" w:cs="Arial" w:eastAsia="Arial" w:hAnsi="Arial"/>
                <w:sz w:val="18"/>
                <w:szCs w:val="18"/>
                <w:color w:val="auto"/>
              </w:rPr>
              <w:t>11,819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12,164</w:t>
            </w:r>
          </w:p>
        </w:tc>
        <w:tc>
          <w:tcPr>
            <w:tcW w:w="1060" w:type="dxa"/>
            <w:vAlign w:val="bottom"/>
            <w:gridSpan w:val="2"/>
          </w:tcPr>
          <w:p>
            <w:pPr>
              <w:jc w:val="right"/>
              <w:ind w:right="50"/>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8"/>
                <w:szCs w:val="18"/>
                <w:color w:val="auto"/>
              </w:rPr>
            </w:pPr>
          </w:p>
        </w:tc>
        <w:tc>
          <w:tcPr>
            <w:tcW w:w="900" w:type="dxa"/>
            <w:vAlign w:val="bottom"/>
            <w:gridSpan w:val="2"/>
          </w:tcPr>
          <w:p>
            <w:pPr>
              <w:jc w:val="right"/>
              <w:ind w:right="70"/>
              <w:spacing w:after="0"/>
              <w:rPr>
                <w:sz w:val="20"/>
                <w:szCs w:val="20"/>
                <w:color w:val="auto"/>
              </w:rPr>
            </w:pPr>
            <w:r>
              <w:rPr>
                <w:rFonts w:ascii="Arial" w:cs="Arial" w:eastAsia="Arial" w:hAnsi="Arial"/>
                <w:sz w:val="18"/>
                <w:szCs w:val="18"/>
                <w:color w:val="auto"/>
              </w:rPr>
              <w:t>11.1%</w:t>
            </w:r>
          </w:p>
        </w:tc>
        <w:tc>
          <w:tcPr>
            <w:tcW w:w="1060" w:type="dxa"/>
            <w:vAlign w:val="bottom"/>
            <w:gridSpan w:val="2"/>
          </w:tcPr>
          <w:p>
            <w:pPr>
              <w:ind w:left="540"/>
              <w:spacing w:after="0"/>
              <w:rPr>
                <w:sz w:val="20"/>
                <w:szCs w:val="20"/>
                <w:color w:val="auto"/>
              </w:rPr>
            </w:pPr>
            <w:r>
              <w:rPr>
                <w:rFonts w:ascii="Arial" w:cs="Arial" w:eastAsia="Arial" w:hAnsi="Arial"/>
                <w:sz w:val="18"/>
                <w:szCs w:val="18"/>
                <w:color w:val="auto"/>
              </w:rPr>
              <w:t>1.7%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1180" w:type="dxa"/>
            <w:vAlign w:val="bottom"/>
            <w:gridSpan w:val="3"/>
          </w:tcPr>
          <w:p>
            <w:pPr>
              <w:jc w:val="right"/>
              <w:ind w:right="50"/>
              <w:spacing w:after="0"/>
              <w:rPr>
                <w:sz w:val="20"/>
                <w:szCs w:val="20"/>
                <w:color w:val="auto"/>
              </w:rPr>
            </w:pPr>
            <w:r>
              <w:rPr>
                <w:rFonts w:ascii="Arial" w:cs="Arial" w:eastAsia="Arial" w:hAnsi="Arial"/>
                <w:sz w:val="18"/>
                <w:szCs w:val="18"/>
                <w:color w:val="auto"/>
              </w:rPr>
              <w:t>14.0%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13.3%</w:t>
            </w:r>
          </w:p>
        </w:tc>
      </w:tr>
      <w:tr>
        <w:trPr>
          <w:trHeight w:val="216"/>
        </w:trPr>
        <w:tc>
          <w:tcPr>
            <w:tcW w:w="2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Consumer</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5,863</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6,247</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6,442</w:t>
            </w:r>
          </w:p>
        </w:tc>
        <w:tc>
          <w:tcPr>
            <w:tcW w:w="10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9.9%</w:t>
            </w:r>
          </w:p>
        </w:tc>
        <w:tc>
          <w:tcPr>
            <w:tcW w:w="10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2.4%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18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7.5%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2120" w:type="dxa"/>
            <w:vAlign w:val="bottom"/>
          </w:tcPr>
          <w:p>
            <w:pPr>
              <w:ind w:left="340"/>
              <w:spacing w:after="0"/>
              <w:rPr>
                <w:sz w:val="20"/>
                <w:szCs w:val="20"/>
                <w:color w:val="auto"/>
              </w:rPr>
            </w:pPr>
            <w:r>
              <w:rPr>
                <w:rFonts w:ascii="Arial" w:cs="Arial" w:eastAsia="Arial" w:hAnsi="Arial"/>
                <w:sz w:val="18"/>
                <w:szCs w:val="18"/>
                <w:color w:val="auto"/>
              </w:rPr>
              <w:t>Credit Card</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3,232</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3,925</w:t>
            </w: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4,152</w:t>
            </w:r>
          </w:p>
        </w:tc>
        <w:tc>
          <w:tcPr>
            <w:tcW w:w="1060" w:type="dxa"/>
            <w:vAlign w:val="bottom"/>
            <w:gridSpan w:val="2"/>
          </w:tcPr>
          <w:p>
            <w:pPr>
              <w:jc w:val="right"/>
              <w:ind w:right="50"/>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18"/>
                <w:szCs w:val="18"/>
                <w:color w:val="auto"/>
              </w:rPr>
            </w:pPr>
          </w:p>
        </w:tc>
        <w:tc>
          <w:tcPr>
            <w:tcW w:w="900" w:type="dxa"/>
            <w:vAlign w:val="bottom"/>
            <w:gridSpan w:val="2"/>
          </w:tcPr>
          <w:p>
            <w:pPr>
              <w:jc w:val="right"/>
              <w:ind w:right="70"/>
              <w:spacing w:after="0"/>
              <w:rPr>
                <w:sz w:val="20"/>
                <w:szCs w:val="20"/>
                <w:color w:val="auto"/>
              </w:rPr>
            </w:pPr>
            <w:r>
              <w:rPr>
                <w:rFonts w:ascii="Arial" w:cs="Arial" w:eastAsia="Arial" w:hAnsi="Arial"/>
                <w:sz w:val="18"/>
                <w:szCs w:val="18"/>
                <w:color w:val="auto"/>
              </w:rPr>
              <w:t>28.5%</w:t>
            </w:r>
          </w:p>
        </w:tc>
        <w:tc>
          <w:tcPr>
            <w:tcW w:w="1060" w:type="dxa"/>
            <w:vAlign w:val="bottom"/>
            <w:gridSpan w:val="2"/>
          </w:tcPr>
          <w:p>
            <w:pPr>
              <w:ind w:left="540"/>
              <w:spacing w:after="0"/>
              <w:rPr>
                <w:sz w:val="20"/>
                <w:szCs w:val="20"/>
                <w:color w:val="auto"/>
              </w:rPr>
            </w:pPr>
            <w:r>
              <w:rPr>
                <w:rFonts w:ascii="Arial" w:cs="Arial" w:eastAsia="Arial" w:hAnsi="Arial"/>
                <w:sz w:val="18"/>
                <w:szCs w:val="18"/>
                <w:color w:val="auto"/>
              </w:rPr>
              <w:t>5.3%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26.9%</w:t>
            </w:r>
          </w:p>
        </w:tc>
        <w:tc>
          <w:tcPr>
            <w:tcW w:w="1180" w:type="dxa"/>
            <w:vAlign w:val="bottom"/>
            <w:gridSpan w:val="3"/>
          </w:tcPr>
          <w:p>
            <w:pPr>
              <w:jc w:val="right"/>
              <w:ind w:right="50"/>
              <w:spacing w:after="0"/>
              <w:rPr>
                <w:sz w:val="20"/>
                <w:szCs w:val="20"/>
                <w:color w:val="auto"/>
              </w:rPr>
            </w:pPr>
            <w:r>
              <w:rPr>
                <w:rFonts w:ascii="Arial" w:cs="Arial" w:eastAsia="Arial" w:hAnsi="Arial"/>
                <w:sz w:val="18"/>
                <w:szCs w:val="18"/>
                <w:color w:val="auto"/>
              </w:rPr>
              <w:t>4.1%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4.5%</w:t>
            </w:r>
          </w:p>
        </w:tc>
      </w:tr>
      <w:tr>
        <w:trPr>
          <w:trHeight w:val="257"/>
        </w:trPr>
        <w:tc>
          <w:tcPr>
            <w:tcW w:w="2120" w:type="dxa"/>
            <w:vAlign w:val="bottom"/>
            <w:shd w:val="clear" w:color="auto" w:fill="CCEEFF"/>
          </w:tcPr>
          <w:p>
            <w:pPr>
              <w:ind w:left="180"/>
              <w:spacing w:after="0" w:line="256" w:lineRule="exact"/>
              <w:rPr>
                <w:sz w:val="20"/>
                <w:szCs w:val="20"/>
                <w:color w:val="auto"/>
              </w:rPr>
            </w:pPr>
            <w:r>
              <w:rPr>
                <w:rFonts w:ascii="Arial" w:cs="Arial" w:eastAsia="Arial" w:hAnsi="Arial"/>
                <w:sz w:val="18"/>
                <w:szCs w:val="18"/>
                <w:b w:val="1"/>
                <w:bCs w:val="1"/>
                <w:color w:val="auto"/>
              </w:rPr>
              <w:t xml:space="preserve">Others </w:t>
            </w:r>
            <w:r>
              <w:rPr>
                <w:rFonts w:ascii="Arial" w:cs="Arial" w:eastAsia="Arial" w:hAnsi="Arial"/>
                <w:sz w:val="29"/>
                <w:szCs w:val="29"/>
                <w:b w:val="1"/>
                <w:bCs w:val="1"/>
                <w:color w:val="auto"/>
                <w:vertAlign w:val="superscript"/>
              </w:rPr>
              <w:t>(1)</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457</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567</w:t>
            </w:r>
          </w:p>
        </w:tc>
        <w:tc>
          <w:tcPr>
            <w:tcW w:w="12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630</w:t>
            </w:r>
          </w:p>
        </w:tc>
        <w:tc>
          <w:tcPr>
            <w:tcW w:w="10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11.0%</w:t>
            </w:r>
          </w:p>
        </w:tc>
        <w:tc>
          <w:tcPr>
            <w:tcW w:w="16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37.9%</w:t>
            </w:r>
          </w:p>
        </w:tc>
        <w:tc>
          <w:tcPr>
            <w:tcW w:w="10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7.9%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27.1%</w:t>
            </w:r>
          </w:p>
        </w:tc>
        <w:tc>
          <w:tcPr>
            <w:tcW w:w="11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0.7%</w:t>
            </w:r>
          </w:p>
        </w:tc>
      </w:tr>
      <w:tr>
        <w:trPr>
          <w:trHeight w:val="257"/>
        </w:trPr>
        <w:tc>
          <w:tcPr>
            <w:tcW w:w="2120" w:type="dxa"/>
            <w:vAlign w:val="bottom"/>
          </w:tcPr>
          <w:p>
            <w:pPr>
              <w:spacing w:after="0" w:line="256" w:lineRule="exact"/>
              <w:rPr>
                <w:sz w:val="20"/>
                <w:szCs w:val="20"/>
                <w:color w:val="auto"/>
              </w:rPr>
            </w:pPr>
            <w:r>
              <w:rPr>
                <w:rFonts w:ascii="Arial" w:cs="Arial" w:eastAsia="Arial" w:hAnsi="Arial"/>
                <w:sz w:val="18"/>
                <w:szCs w:val="18"/>
                <w:b w:val="1"/>
                <w:bCs w:val="1"/>
                <w:color w:val="auto"/>
              </w:rPr>
              <w:t xml:space="preserve">Mibanco </w:t>
            </w:r>
            <w:r>
              <w:rPr>
                <w:rFonts w:ascii="Arial" w:cs="Arial" w:eastAsia="Arial" w:hAnsi="Arial"/>
                <w:sz w:val="29"/>
                <w:szCs w:val="29"/>
                <w:b w:val="1"/>
                <w:bCs w:val="1"/>
                <w:color w:val="auto"/>
                <w:vertAlign w:val="superscript"/>
              </w:rPr>
              <w:t>(2)</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7,339</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7,463</w:t>
            </w:r>
          </w:p>
        </w:tc>
        <w:tc>
          <w:tcPr>
            <w:tcW w:w="12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7,656</w:t>
            </w:r>
          </w:p>
        </w:tc>
        <w:tc>
          <w:tcPr>
            <w:tcW w:w="10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2.6%</w:t>
            </w:r>
          </w:p>
        </w:tc>
        <w:tc>
          <w:tcPr>
            <w:tcW w:w="160" w:type="dxa"/>
            <w:vAlign w:val="bottom"/>
          </w:tcPr>
          <w:p>
            <w:pPr>
              <w:spacing w:after="0"/>
              <w:rPr>
                <w:sz w:val="22"/>
                <w:szCs w:val="22"/>
                <w:color w:val="auto"/>
              </w:rPr>
            </w:pPr>
          </w:p>
        </w:tc>
        <w:tc>
          <w:tcPr>
            <w:tcW w:w="9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4.3%</w:t>
            </w:r>
          </w:p>
        </w:tc>
        <w:tc>
          <w:tcPr>
            <w:tcW w:w="1060" w:type="dxa"/>
            <w:vAlign w:val="bottom"/>
            <w:gridSpan w:val="2"/>
          </w:tcPr>
          <w:p>
            <w:pPr>
              <w:ind w:left="540"/>
              <w:spacing w:after="0"/>
              <w:rPr>
                <w:sz w:val="20"/>
                <w:szCs w:val="20"/>
                <w:color w:val="auto"/>
              </w:rPr>
            </w:pPr>
            <w:r>
              <w:rPr>
                <w:rFonts w:ascii="Arial" w:cs="Arial" w:eastAsia="Arial" w:hAnsi="Arial"/>
                <w:sz w:val="18"/>
                <w:szCs w:val="18"/>
                <w:b w:val="1"/>
                <w:bCs w:val="1"/>
                <w:color w:val="auto"/>
              </w:rPr>
              <w:t>2.3%</w:t>
            </w: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3.4%</w:t>
            </w:r>
          </w:p>
        </w:tc>
        <w:tc>
          <w:tcPr>
            <w:tcW w:w="118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9.4%</w:t>
            </w: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8.4%</w:t>
            </w:r>
          </w:p>
        </w:tc>
      </w:tr>
      <w:tr>
        <w:trPr>
          <w:trHeight w:val="216"/>
        </w:trPr>
        <w:tc>
          <w:tcPr>
            <w:tcW w:w="2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Bolivia</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3,371</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4,078</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4,509</w:t>
            </w:r>
          </w:p>
        </w:tc>
        <w:tc>
          <w:tcPr>
            <w:tcW w:w="10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10.6%</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33.8%</w:t>
            </w:r>
          </w:p>
        </w:tc>
        <w:tc>
          <w:tcPr>
            <w:tcW w:w="1060" w:type="dxa"/>
            <w:vAlign w:val="bottom"/>
            <w:gridSpan w:val="2"/>
            <w:shd w:val="clear" w:color="auto" w:fill="CCEEFF"/>
          </w:tcPr>
          <w:p>
            <w:pPr>
              <w:ind w:left="540"/>
              <w:spacing w:after="0"/>
              <w:rPr>
                <w:sz w:val="20"/>
                <w:szCs w:val="20"/>
                <w:color w:val="auto"/>
              </w:rPr>
            </w:pPr>
            <w:r>
              <w:rPr>
                <w:rFonts w:ascii="Arial" w:cs="Arial" w:eastAsia="Arial" w:hAnsi="Arial"/>
                <w:sz w:val="18"/>
                <w:szCs w:val="18"/>
                <w:b w:val="1"/>
                <w:bCs w:val="1"/>
                <w:color w:val="auto"/>
              </w:rPr>
              <w:t>6.1%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19.0%</w:t>
            </w:r>
          </w:p>
        </w:tc>
        <w:tc>
          <w:tcPr>
            <w:tcW w:w="11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4.9%</w:t>
            </w:r>
          </w:p>
        </w:tc>
      </w:tr>
      <w:tr>
        <w:trPr>
          <w:trHeight w:val="230"/>
        </w:trPr>
        <w:tc>
          <w:tcPr>
            <w:tcW w:w="2120" w:type="dxa"/>
            <w:vAlign w:val="bottom"/>
          </w:tcPr>
          <w:p>
            <w:pPr>
              <w:spacing w:after="0"/>
              <w:rPr>
                <w:sz w:val="20"/>
                <w:szCs w:val="20"/>
                <w:color w:val="auto"/>
              </w:rPr>
            </w:pPr>
            <w:r>
              <w:rPr>
                <w:rFonts w:ascii="Arial" w:cs="Arial" w:eastAsia="Arial" w:hAnsi="Arial"/>
                <w:sz w:val="18"/>
                <w:szCs w:val="18"/>
                <w:b w:val="1"/>
                <w:bCs w:val="1"/>
                <w:color w:val="auto"/>
              </w:rPr>
              <w:t>ASB</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2,286</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2,873</w:t>
            </w:r>
          </w:p>
        </w:tc>
        <w:tc>
          <w:tcPr>
            <w:tcW w:w="12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3,051</w:t>
            </w:r>
          </w:p>
        </w:tc>
        <w:tc>
          <w:tcPr>
            <w:tcW w:w="10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6.2%</w:t>
            </w:r>
          </w:p>
        </w:tc>
        <w:tc>
          <w:tcPr>
            <w:tcW w:w="160" w:type="dxa"/>
            <w:vAlign w:val="bottom"/>
          </w:tcPr>
          <w:p>
            <w:pPr>
              <w:spacing w:after="0"/>
              <w:rPr>
                <w:sz w:val="19"/>
                <w:szCs w:val="19"/>
                <w:color w:val="auto"/>
              </w:rPr>
            </w:pPr>
          </w:p>
        </w:tc>
        <w:tc>
          <w:tcPr>
            <w:tcW w:w="9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33.5%</w:t>
            </w:r>
          </w:p>
        </w:tc>
        <w:tc>
          <w:tcPr>
            <w:tcW w:w="1060" w:type="dxa"/>
            <w:vAlign w:val="bottom"/>
            <w:gridSpan w:val="2"/>
          </w:tcPr>
          <w:p>
            <w:pPr>
              <w:ind w:left="540"/>
              <w:spacing w:after="0"/>
              <w:rPr>
                <w:sz w:val="20"/>
                <w:szCs w:val="20"/>
                <w:color w:val="auto"/>
              </w:rPr>
            </w:pPr>
            <w:r>
              <w:rPr>
                <w:rFonts w:ascii="Arial" w:cs="Arial" w:eastAsia="Arial" w:hAnsi="Arial"/>
                <w:sz w:val="18"/>
                <w:szCs w:val="18"/>
                <w:b w:val="1"/>
                <w:bCs w:val="1"/>
                <w:color w:val="auto"/>
              </w:rPr>
              <w:t>1.9%</w:t>
            </w: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18.7%</w:t>
            </w:r>
          </w:p>
        </w:tc>
        <w:tc>
          <w:tcPr>
            <w:tcW w:w="118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2.9%</w:t>
            </w: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3.3%</w:t>
            </w:r>
          </w:p>
        </w:tc>
      </w:tr>
      <w:tr>
        <w:trPr>
          <w:trHeight w:val="210"/>
        </w:trPr>
        <w:tc>
          <w:tcPr>
            <w:tcW w:w="2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loans</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78,225</w:t>
            </w: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87,198</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91,357</w:t>
            </w: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w:t>
            </w:r>
          </w:p>
        </w:tc>
        <w:tc>
          <w:tcPr>
            <w:tcW w:w="30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16.8</w:t>
            </w:r>
          </w:p>
        </w:tc>
        <w:tc>
          <w:tcPr>
            <w:tcW w:w="30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shd w:val="clear" w:color="auto" w:fill="CCEEFF"/>
          </w:tcPr>
          <w:p>
            <w:pPr>
              <w:ind w:left="540"/>
              <w:spacing w:after="0"/>
              <w:rPr>
                <w:sz w:val="20"/>
                <w:szCs w:val="20"/>
                <w:color w:val="auto"/>
              </w:rPr>
            </w:pPr>
            <w:r>
              <w:rPr>
                <w:rFonts w:ascii="Arial" w:cs="Arial" w:eastAsia="Arial" w:hAnsi="Arial"/>
                <w:sz w:val="18"/>
                <w:szCs w:val="18"/>
                <w:b w:val="1"/>
                <w:bCs w:val="1"/>
                <w:color w:val="auto"/>
                <w:w w:val="79"/>
              </w:rPr>
              <w:t>3.1</w:t>
            </w:r>
          </w:p>
        </w:tc>
        <w:tc>
          <w:tcPr>
            <w:tcW w:w="30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11.6</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28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rPr>
          <w:sz w:val="20"/>
          <w:szCs w:val="20"/>
          <w:color w:val="auto"/>
        </w:rPr>
      </w:pPr>
      <w:r>
        <w:rPr>
          <w:rFonts w:ascii="Arial" w:cs="Arial" w:eastAsia="Arial" w:hAnsi="Arial"/>
          <w:sz w:val="18"/>
          <w:szCs w:val="18"/>
          <w:color w:val="auto"/>
        </w:rPr>
        <w:t>For consolidation effects, loans generated in FC are converted into LC.</w:t>
      </w:r>
    </w:p>
    <w:p>
      <w:pPr>
        <w:spacing w:after="0" w:line="9"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Work out unit, and other banking.</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Edyficar and Mibanco.</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Highest volume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8935"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68935" cy="137160"/>
                    </a:xfrm>
                    <a:prstGeom prst="rect">
                      <a:avLst/>
                    </a:prstGeom>
                    <a:noFill/>
                  </pic:spPr>
                </pic:pic>
              </a:graphicData>
            </a:graphic>
          </wp:anchor>
        </w:drawing>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Lowest volume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368935"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8935" cy="137160"/>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evolution by currency - average daily balances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gridSpan w:val="8"/>
          </w:tcPr>
          <w:p>
            <w:pPr>
              <w:jc w:val="center"/>
              <w:ind w:right="120"/>
              <w:spacing w:after="0"/>
              <w:rPr>
                <w:sz w:val="20"/>
                <w:szCs w:val="20"/>
                <w:color w:val="auto"/>
              </w:rPr>
            </w:pPr>
            <w:r>
              <w:rPr>
                <w:rFonts w:ascii="Arial" w:cs="Arial" w:eastAsia="Arial" w:hAnsi="Arial"/>
                <w:sz w:val="14"/>
                <w:szCs w:val="14"/>
                <w:b w:val="1"/>
                <w:bCs w:val="1"/>
                <w:color w:val="auto"/>
              </w:rPr>
              <w:t>DOMESTIC CURRENCY LOANS</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60" w:type="dxa"/>
            <w:vAlign w:val="bottom"/>
            <w:gridSpan w:val="6"/>
          </w:tcPr>
          <w:p>
            <w:pPr>
              <w:jc w:val="center"/>
              <w:ind w:right="148"/>
              <w:spacing w:after="0"/>
              <w:rPr>
                <w:sz w:val="20"/>
                <w:szCs w:val="20"/>
                <w:color w:val="auto"/>
              </w:rPr>
            </w:pPr>
            <w:r>
              <w:rPr>
                <w:rFonts w:ascii="Arial" w:cs="Arial" w:eastAsia="Arial" w:hAnsi="Arial"/>
                <w:sz w:val="14"/>
                <w:szCs w:val="14"/>
                <w:b w:val="1"/>
                <w:bCs w:val="1"/>
                <w:color w:val="auto"/>
              </w:rPr>
              <w:t>FOREIGN CURRENCY LOANS</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5"/>
          </w:tcPr>
          <w:p>
            <w:pPr>
              <w:jc w:val="center"/>
              <w:ind w:right="68"/>
              <w:spacing w:after="0"/>
              <w:rPr>
                <w:sz w:val="20"/>
                <w:szCs w:val="20"/>
                <w:color w:val="auto"/>
              </w:rPr>
            </w:pPr>
            <w:r>
              <w:rPr>
                <w:rFonts w:ascii="Arial" w:cs="Arial" w:eastAsia="Arial" w:hAnsi="Arial"/>
                <w:sz w:val="14"/>
                <w:szCs w:val="14"/>
                <w:b w:val="1"/>
                <w:bCs w:val="1"/>
                <w:color w:val="auto"/>
                <w:w w:val="96"/>
              </w:rPr>
              <w:t>% Part. by currency</w:t>
            </w:r>
          </w:p>
        </w:tc>
      </w:tr>
      <w:tr>
        <w:trPr>
          <w:trHeight w:val="162"/>
        </w:trPr>
        <w:tc>
          <w:tcPr>
            <w:tcW w:w="1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60" w:type="dxa"/>
            <w:vAlign w:val="bottom"/>
            <w:gridSpan w:val="7"/>
          </w:tcPr>
          <w:p>
            <w:pPr>
              <w:jc w:val="center"/>
              <w:ind w:right="280"/>
              <w:spacing w:after="0"/>
              <w:rPr>
                <w:sz w:val="20"/>
                <w:szCs w:val="20"/>
                <w:color w:val="auto"/>
              </w:rPr>
            </w:pPr>
            <w:r>
              <w:rPr>
                <w:rFonts w:ascii="Arial" w:cs="Arial" w:eastAsia="Arial" w:hAnsi="Arial"/>
                <w:sz w:val="14"/>
                <w:szCs w:val="14"/>
                <w:i w:val="1"/>
                <w:iCs w:val="1"/>
                <w:color w:val="auto"/>
                <w:w w:val="92"/>
              </w:rPr>
              <w:t>(Expressed in million Nuevos Soles)</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60" w:type="dxa"/>
            <w:vAlign w:val="bottom"/>
            <w:gridSpan w:val="6"/>
          </w:tcPr>
          <w:p>
            <w:pPr>
              <w:jc w:val="center"/>
              <w:ind w:right="148"/>
              <w:spacing w:after="0"/>
              <w:rPr>
                <w:sz w:val="20"/>
                <w:szCs w:val="20"/>
                <w:color w:val="auto"/>
              </w:rPr>
            </w:pPr>
            <w:r>
              <w:rPr>
                <w:rFonts w:ascii="Arial" w:cs="Arial" w:eastAsia="Arial" w:hAnsi="Arial"/>
                <w:sz w:val="14"/>
                <w:szCs w:val="14"/>
                <w:i w:val="1"/>
                <w:iCs w:val="1"/>
                <w:color w:val="auto"/>
                <w:w w:val="94"/>
              </w:rPr>
              <w:t>(Expressed in million USD)</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center"/>
              <w:ind w:left="388"/>
              <w:spacing w:after="0"/>
              <w:rPr>
                <w:sz w:val="20"/>
                <w:szCs w:val="20"/>
                <w:color w:val="auto"/>
              </w:rPr>
            </w:pPr>
            <w:r>
              <w:rPr>
                <w:rFonts w:ascii="Arial" w:cs="Arial" w:eastAsia="Arial" w:hAnsi="Arial"/>
                <w:sz w:val="14"/>
                <w:szCs w:val="14"/>
                <w:b w:val="1"/>
                <w:bCs w:val="1"/>
                <w:color w:val="auto"/>
                <w:w w:val="99"/>
              </w:rPr>
              <w:t>4Q15</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1"/>
        </w:trPr>
        <w:tc>
          <w:tcPr>
            <w:tcW w:w="196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4Q14</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3Q15</w:t>
            </w:r>
          </w:p>
        </w:tc>
        <w:tc>
          <w:tcPr>
            <w:tcW w:w="2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4Q15</w:t>
            </w:r>
          </w:p>
        </w:tc>
        <w:tc>
          <w:tcPr>
            <w:tcW w:w="22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QoQ</w:t>
            </w:r>
          </w:p>
        </w:tc>
        <w:tc>
          <w:tcPr>
            <w:tcW w:w="240" w:type="dxa"/>
            <w:vAlign w:val="bottom"/>
            <w:tcBorders>
              <w:bottom w:val="single" w:sz="8" w:color="CCEEFF"/>
            </w:tcBorders>
            <w:gridSpan w:val="2"/>
          </w:tcPr>
          <w:p>
            <w:pPr>
              <w:spacing w:after="0"/>
              <w:rPr>
                <w:sz w:val="14"/>
                <w:szCs w:val="14"/>
                <w:color w:val="auto"/>
              </w:rPr>
            </w:pPr>
          </w:p>
        </w:tc>
        <w:tc>
          <w:tcPr>
            <w:tcW w:w="5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YoY</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4Q14</w:t>
            </w:r>
          </w:p>
        </w:tc>
        <w:tc>
          <w:tcPr>
            <w:tcW w:w="2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3Q15</w:t>
            </w:r>
          </w:p>
        </w:tc>
        <w:tc>
          <w:tcPr>
            <w:tcW w:w="22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4Q15</w:t>
            </w:r>
          </w:p>
        </w:tc>
        <w:tc>
          <w:tcPr>
            <w:tcW w:w="2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QoQ</w:t>
            </w:r>
          </w:p>
        </w:tc>
        <w:tc>
          <w:tcPr>
            <w:tcW w:w="26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YoY</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LC</w:t>
            </w: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FC</w:t>
            </w:r>
          </w:p>
        </w:tc>
        <w:tc>
          <w:tcPr>
            <w:tcW w:w="140" w:type="dxa"/>
            <w:vAlign w:val="bottom"/>
            <w:tcBorders>
              <w:bottom w:val="single" w:sz="8" w:color="CCEEFF"/>
            </w:tcBorders>
          </w:tcPr>
          <w:p>
            <w:pPr>
              <w:spacing w:after="0"/>
              <w:rPr>
                <w:sz w:val="14"/>
                <w:szCs w:val="14"/>
                <w:color w:val="auto"/>
              </w:rPr>
            </w:pPr>
          </w:p>
        </w:tc>
      </w:tr>
      <w:tr>
        <w:trPr>
          <w:trHeight w:val="142"/>
        </w:trPr>
        <w:tc>
          <w:tcPr>
            <w:tcW w:w="19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BCP Stand-alone</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34,154</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43,671</w:t>
            </w: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47,157</w:t>
            </w:r>
          </w:p>
        </w:tc>
        <w:tc>
          <w:tcPr>
            <w:tcW w:w="2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8.0%</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38.1%</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10,563</w:t>
            </w: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9,053</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8,636</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8"/>
              <w:spacing w:after="0" w:line="142" w:lineRule="exact"/>
              <w:rPr>
                <w:sz w:val="20"/>
                <w:szCs w:val="20"/>
                <w:color w:val="auto"/>
              </w:rPr>
            </w:pPr>
            <w:r>
              <w:rPr>
                <w:rFonts w:ascii="Arial" w:cs="Arial" w:eastAsia="Arial" w:hAnsi="Arial"/>
                <w:sz w:val="14"/>
                <w:szCs w:val="14"/>
                <w:b w:val="1"/>
                <w:bCs w:val="1"/>
                <w:color w:val="auto"/>
              </w:rPr>
              <w:t>-4.6%</w:t>
            </w:r>
          </w:p>
        </w:tc>
        <w:tc>
          <w:tcPr>
            <w:tcW w:w="7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-18.2%</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8"/>
              <w:spacing w:after="0" w:line="142" w:lineRule="exact"/>
              <w:rPr>
                <w:sz w:val="20"/>
                <w:szCs w:val="20"/>
                <w:color w:val="auto"/>
              </w:rPr>
            </w:pPr>
            <w:r>
              <w:rPr>
                <w:rFonts w:ascii="Arial" w:cs="Arial" w:eastAsia="Arial" w:hAnsi="Arial"/>
                <w:sz w:val="14"/>
                <w:szCs w:val="14"/>
                <w:b w:val="1"/>
                <w:bCs w:val="1"/>
                <w:color w:val="auto"/>
              </w:rPr>
              <w:t>61.9%</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38.1%</w:t>
            </w:r>
          </w:p>
        </w:tc>
      </w:tr>
      <w:tr>
        <w:trPr>
          <w:trHeight w:val="149"/>
        </w:trPr>
        <w:tc>
          <w:tcPr>
            <w:tcW w:w="196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Wholesale Banking</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12,191</w:t>
            </w:r>
          </w:p>
        </w:tc>
        <w:tc>
          <w:tcPr>
            <w:tcW w:w="92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rPr>
              <w:t>18,528</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20,531</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10.8%</w:t>
            </w:r>
          </w:p>
        </w:tc>
        <w:tc>
          <w:tcPr>
            <w:tcW w:w="10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68.4%</w:t>
            </w:r>
          </w:p>
        </w:tc>
        <w:tc>
          <w:tcPr>
            <w:tcW w:w="88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rPr>
              <w:t>7,570</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6,492</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6,177</w:t>
            </w:r>
          </w:p>
        </w:tc>
        <w:tc>
          <w:tcPr>
            <w:tcW w:w="820" w:type="dxa"/>
            <w:vAlign w:val="bottom"/>
            <w:gridSpan w:val="2"/>
          </w:tcPr>
          <w:p>
            <w:pPr>
              <w:jc w:val="right"/>
              <w:ind w:right="48"/>
              <w:spacing w:after="0" w:line="149" w:lineRule="exact"/>
              <w:rPr>
                <w:sz w:val="20"/>
                <w:szCs w:val="20"/>
                <w:color w:val="auto"/>
              </w:rPr>
            </w:pPr>
            <w:r>
              <w:rPr>
                <w:rFonts w:ascii="Arial" w:cs="Arial" w:eastAsia="Arial" w:hAnsi="Arial"/>
                <w:sz w:val="14"/>
                <w:szCs w:val="14"/>
                <w:b w:val="1"/>
                <w:bCs w:val="1"/>
                <w:color w:val="auto"/>
              </w:rPr>
              <w:t>-4.9%</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-18.4%</w:t>
            </w:r>
          </w:p>
        </w:tc>
        <w:tc>
          <w:tcPr>
            <w:tcW w:w="920" w:type="dxa"/>
            <w:vAlign w:val="bottom"/>
            <w:gridSpan w:val="3"/>
          </w:tcPr>
          <w:p>
            <w:pPr>
              <w:jc w:val="right"/>
              <w:ind w:right="48"/>
              <w:spacing w:after="0" w:line="149" w:lineRule="exact"/>
              <w:rPr>
                <w:sz w:val="20"/>
                <w:szCs w:val="20"/>
                <w:color w:val="auto"/>
              </w:rPr>
            </w:pPr>
            <w:r>
              <w:rPr>
                <w:rFonts w:ascii="Arial" w:cs="Arial" w:eastAsia="Arial" w:hAnsi="Arial"/>
                <w:sz w:val="14"/>
                <w:szCs w:val="14"/>
                <w:b w:val="1"/>
                <w:bCs w:val="1"/>
                <w:color w:val="auto"/>
              </w:rPr>
              <w:t>49.8%</w:t>
            </w:r>
          </w:p>
        </w:tc>
        <w:tc>
          <w:tcPr>
            <w:tcW w:w="10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50.2%</w:t>
            </w:r>
          </w:p>
        </w:tc>
      </w:tr>
      <w:tr>
        <w:trPr>
          <w:trHeight w:val="149"/>
        </w:trPr>
        <w:tc>
          <w:tcPr>
            <w:tcW w:w="196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Corporate</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8,233</w:t>
            </w:r>
          </w:p>
        </w:tc>
        <w:tc>
          <w:tcPr>
            <w:tcW w:w="9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12,274</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13,359</w:t>
            </w:r>
          </w:p>
        </w:tc>
        <w:tc>
          <w:tcPr>
            <w:tcW w:w="700" w:type="dxa"/>
            <w:vAlign w:val="bottom"/>
            <w:gridSpan w:val="2"/>
            <w:shd w:val="clear" w:color="auto" w:fill="C5D9F1"/>
          </w:tcPr>
          <w:p>
            <w:pPr>
              <w:jc w:val="right"/>
              <w:spacing w:after="0" w:line="149" w:lineRule="exact"/>
              <w:rPr>
                <w:sz w:val="20"/>
                <w:szCs w:val="20"/>
                <w:color w:val="auto"/>
              </w:rPr>
            </w:pPr>
            <w:r>
              <w:rPr>
                <w:rFonts w:ascii="Arial" w:cs="Arial" w:eastAsia="Arial" w:hAnsi="Arial"/>
                <w:sz w:val="14"/>
                <w:szCs w:val="14"/>
                <w:color w:val="auto"/>
              </w:rPr>
              <w:t>8.8%</w:t>
            </w:r>
          </w:p>
        </w:tc>
        <w:tc>
          <w:tcPr>
            <w:tcW w:w="100" w:type="dxa"/>
            <w:vAlign w:val="bottom"/>
            <w:shd w:val="clear" w:color="auto" w:fill="C5D9F1"/>
          </w:tcPr>
          <w:p>
            <w:pPr>
              <w:spacing w:after="0"/>
              <w:rPr>
                <w:sz w:val="12"/>
                <w:szCs w:val="12"/>
                <w:color w:val="auto"/>
              </w:rPr>
            </w:pPr>
          </w:p>
        </w:tc>
        <w:tc>
          <w:tcPr>
            <w:tcW w:w="700" w:type="dxa"/>
            <w:vAlign w:val="bottom"/>
            <w:gridSpan w:val="2"/>
            <w:shd w:val="clear" w:color="auto" w:fill="C5D9F1"/>
          </w:tcPr>
          <w:p>
            <w:pPr>
              <w:jc w:val="right"/>
              <w:spacing w:after="0" w:line="149" w:lineRule="exact"/>
              <w:rPr>
                <w:sz w:val="20"/>
                <w:szCs w:val="20"/>
                <w:color w:val="auto"/>
              </w:rPr>
            </w:pPr>
            <w:r>
              <w:rPr>
                <w:rFonts w:ascii="Arial" w:cs="Arial" w:eastAsia="Arial" w:hAnsi="Arial"/>
                <w:sz w:val="14"/>
                <w:szCs w:val="14"/>
                <w:color w:val="auto"/>
              </w:rPr>
              <w:t>62.3%</w:t>
            </w:r>
          </w:p>
        </w:tc>
        <w:tc>
          <w:tcPr>
            <w:tcW w:w="8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4,622</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4,227</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4,129</w:t>
            </w:r>
          </w:p>
        </w:tc>
        <w:tc>
          <w:tcPr>
            <w:tcW w:w="82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-2.3%</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-10.7%</w:t>
            </w:r>
          </w:p>
        </w:tc>
        <w:tc>
          <w:tcPr>
            <w:tcW w:w="920" w:type="dxa"/>
            <w:vAlign w:val="bottom"/>
            <w:gridSpan w:val="3"/>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49.1%</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50.9%</w:t>
            </w:r>
          </w:p>
        </w:tc>
      </w:tr>
      <w:tr>
        <w:trPr>
          <w:trHeight w:val="149"/>
        </w:trPr>
        <w:tc>
          <w:tcPr>
            <w:tcW w:w="1960" w:type="dxa"/>
            <w:vAlign w:val="bottom"/>
          </w:tcPr>
          <w:p>
            <w:pPr>
              <w:ind w:left="340"/>
              <w:spacing w:after="0" w:line="149" w:lineRule="exact"/>
              <w:rPr>
                <w:sz w:val="20"/>
                <w:szCs w:val="20"/>
                <w:color w:val="auto"/>
              </w:rPr>
            </w:pPr>
            <w:r>
              <w:rPr>
                <w:rFonts w:ascii="Arial" w:cs="Arial" w:eastAsia="Arial" w:hAnsi="Arial"/>
                <w:sz w:val="14"/>
                <w:szCs w:val="14"/>
                <w:color w:val="auto"/>
              </w:rPr>
              <w:t>Middle-Market</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3,958</w:t>
            </w:r>
          </w:p>
        </w:tc>
        <w:tc>
          <w:tcPr>
            <w:tcW w:w="9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6,254</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7,172</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14.7%</w:t>
            </w:r>
          </w:p>
        </w:tc>
        <w:tc>
          <w:tcPr>
            <w:tcW w:w="10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81.2%</w:t>
            </w:r>
          </w:p>
        </w:tc>
        <w:tc>
          <w:tcPr>
            <w:tcW w:w="8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2,948</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2,265</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2,048</w:t>
            </w:r>
          </w:p>
        </w:tc>
        <w:tc>
          <w:tcPr>
            <w:tcW w:w="820" w:type="dxa"/>
            <w:vAlign w:val="bottom"/>
            <w:gridSpan w:val="2"/>
            <w:shd w:val="clear" w:color="auto" w:fill="FCD5B4"/>
          </w:tcPr>
          <w:p>
            <w:pPr>
              <w:jc w:val="right"/>
              <w:ind w:right="68"/>
              <w:spacing w:after="0" w:line="149" w:lineRule="exact"/>
              <w:rPr>
                <w:sz w:val="20"/>
                <w:szCs w:val="20"/>
                <w:color w:val="auto"/>
              </w:rPr>
            </w:pPr>
            <w:r>
              <w:rPr>
                <w:rFonts w:ascii="Arial" w:cs="Arial" w:eastAsia="Arial" w:hAnsi="Arial"/>
                <w:sz w:val="14"/>
                <w:szCs w:val="14"/>
                <w:color w:val="auto"/>
              </w:rPr>
              <w:t>-9.6%</w:t>
            </w:r>
          </w:p>
        </w:tc>
        <w:tc>
          <w:tcPr>
            <w:tcW w:w="700" w:type="dxa"/>
            <w:vAlign w:val="bottom"/>
            <w:gridSpan w:val="2"/>
            <w:shd w:val="clear" w:color="auto" w:fill="FCD5B4"/>
          </w:tcPr>
          <w:p>
            <w:pPr>
              <w:jc w:val="right"/>
              <w:spacing w:after="0" w:line="149" w:lineRule="exact"/>
              <w:rPr>
                <w:sz w:val="20"/>
                <w:szCs w:val="20"/>
                <w:color w:val="auto"/>
              </w:rPr>
            </w:pPr>
            <w:r>
              <w:rPr>
                <w:rFonts w:ascii="Arial" w:cs="Arial" w:eastAsia="Arial" w:hAnsi="Arial"/>
                <w:sz w:val="14"/>
                <w:szCs w:val="14"/>
                <w:color w:val="auto"/>
              </w:rPr>
              <w:t>-30.5%</w:t>
            </w:r>
          </w:p>
        </w:tc>
        <w:tc>
          <w:tcPr>
            <w:tcW w:w="920" w:type="dxa"/>
            <w:vAlign w:val="bottom"/>
            <w:gridSpan w:val="3"/>
          </w:tcPr>
          <w:p>
            <w:pPr>
              <w:jc w:val="right"/>
              <w:ind w:right="68"/>
              <w:spacing w:after="0" w:line="149" w:lineRule="exact"/>
              <w:rPr>
                <w:sz w:val="20"/>
                <w:szCs w:val="20"/>
                <w:color w:val="auto"/>
              </w:rPr>
            </w:pPr>
            <w:r>
              <w:rPr>
                <w:rFonts w:ascii="Arial" w:cs="Arial" w:eastAsia="Arial" w:hAnsi="Arial"/>
                <w:sz w:val="14"/>
                <w:szCs w:val="14"/>
                <w:color w:val="auto"/>
              </w:rPr>
              <w:t>51.1%</w:t>
            </w:r>
          </w:p>
        </w:tc>
        <w:tc>
          <w:tcPr>
            <w:tcW w:w="10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48.9%</w:t>
            </w:r>
          </w:p>
        </w:tc>
      </w:tr>
      <w:tr>
        <w:trPr>
          <w:trHeight w:val="149"/>
        </w:trPr>
        <w:tc>
          <w:tcPr>
            <w:tcW w:w="196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b w:val="1"/>
                <w:bCs w:val="1"/>
                <w:color w:val="auto"/>
              </w:rPr>
              <w:t>Retail Banking</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21,840</w:t>
            </w:r>
          </w:p>
        </w:tc>
        <w:tc>
          <w:tcPr>
            <w:tcW w:w="9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24,986</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26,444</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5.8%</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21.1%</w:t>
            </w:r>
          </w:p>
        </w:tc>
        <w:tc>
          <w:tcPr>
            <w:tcW w:w="8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2,880</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2,434</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2,326</w:t>
            </w:r>
          </w:p>
        </w:tc>
        <w:tc>
          <w:tcPr>
            <w:tcW w:w="82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b w:val="1"/>
                <w:bCs w:val="1"/>
                <w:color w:val="auto"/>
              </w:rPr>
              <w:t>-4.4%</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-19.2%</w:t>
            </w:r>
          </w:p>
        </w:tc>
        <w:tc>
          <w:tcPr>
            <w:tcW w:w="920" w:type="dxa"/>
            <w:vAlign w:val="bottom"/>
            <w:gridSpan w:val="3"/>
            <w:shd w:val="clear" w:color="auto" w:fill="CCEEFF"/>
          </w:tcPr>
          <w:p>
            <w:pPr>
              <w:jc w:val="right"/>
              <w:ind w:right="48"/>
              <w:spacing w:after="0" w:line="149" w:lineRule="exact"/>
              <w:rPr>
                <w:sz w:val="20"/>
                <w:szCs w:val="20"/>
                <w:color w:val="auto"/>
              </w:rPr>
            </w:pPr>
            <w:r>
              <w:rPr>
                <w:rFonts w:ascii="Arial" w:cs="Arial" w:eastAsia="Arial" w:hAnsi="Arial"/>
                <w:sz w:val="14"/>
                <w:szCs w:val="14"/>
                <w:b w:val="1"/>
                <w:bCs w:val="1"/>
                <w:color w:val="auto"/>
              </w:rPr>
              <w:t>77.2%</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22.8%</w:t>
            </w:r>
          </w:p>
        </w:tc>
      </w:tr>
      <w:tr>
        <w:trPr>
          <w:trHeight w:val="149"/>
        </w:trPr>
        <w:tc>
          <w:tcPr>
            <w:tcW w:w="1960" w:type="dxa"/>
            <w:vAlign w:val="bottom"/>
          </w:tcPr>
          <w:p>
            <w:pPr>
              <w:ind w:left="340"/>
              <w:spacing w:after="0" w:line="149" w:lineRule="exact"/>
              <w:rPr>
                <w:sz w:val="20"/>
                <w:szCs w:val="20"/>
                <w:color w:val="auto"/>
              </w:rPr>
            </w:pPr>
            <w:r>
              <w:rPr>
                <w:rFonts w:ascii="Arial" w:cs="Arial" w:eastAsia="Arial" w:hAnsi="Arial"/>
                <w:sz w:val="14"/>
                <w:szCs w:val="14"/>
                <w:color w:val="auto"/>
              </w:rPr>
              <w:t>SME - Business</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965</w:t>
            </w:r>
          </w:p>
        </w:tc>
        <w:tc>
          <w:tcPr>
            <w:tcW w:w="120" w:type="dxa"/>
            <w:vAlign w:val="bottom"/>
          </w:tcPr>
          <w:p>
            <w:pPr>
              <w:spacing w:after="0"/>
              <w:rPr>
                <w:sz w:val="12"/>
                <w:szCs w:val="12"/>
                <w:color w:val="auto"/>
              </w:rPr>
            </w:pPr>
          </w:p>
        </w:tc>
        <w:tc>
          <w:tcPr>
            <w:tcW w:w="9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1,559</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1,807</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15.9%</w:t>
            </w:r>
          </w:p>
        </w:tc>
        <w:tc>
          <w:tcPr>
            <w:tcW w:w="100" w:type="dxa"/>
            <w:vAlign w:val="bottom"/>
          </w:tcPr>
          <w:p>
            <w:pPr>
              <w:spacing w:after="0"/>
              <w:rPr>
                <w:sz w:val="12"/>
                <w:szCs w:val="12"/>
                <w:color w:val="auto"/>
              </w:rPr>
            </w:pPr>
          </w:p>
        </w:tc>
        <w:tc>
          <w:tcPr>
            <w:tcW w:w="700" w:type="dxa"/>
            <w:vAlign w:val="bottom"/>
            <w:gridSpan w:val="2"/>
            <w:shd w:val="clear" w:color="auto" w:fill="C5D9F1"/>
          </w:tcPr>
          <w:p>
            <w:pPr>
              <w:jc w:val="right"/>
              <w:spacing w:after="0" w:line="149" w:lineRule="exact"/>
              <w:rPr>
                <w:sz w:val="20"/>
                <w:szCs w:val="20"/>
                <w:color w:val="auto"/>
              </w:rPr>
            </w:pPr>
            <w:r>
              <w:rPr>
                <w:rFonts w:ascii="Arial" w:cs="Arial" w:eastAsia="Arial" w:hAnsi="Arial"/>
                <w:sz w:val="14"/>
                <w:szCs w:val="14"/>
                <w:color w:val="auto"/>
              </w:rPr>
              <w:t>87.1%</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754</w:t>
            </w:r>
          </w:p>
        </w:tc>
        <w:tc>
          <w:tcPr>
            <w:tcW w:w="2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671</w:t>
            </w:r>
          </w:p>
        </w:tc>
        <w:tc>
          <w:tcPr>
            <w:tcW w:w="2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672</w:t>
            </w:r>
          </w:p>
        </w:tc>
        <w:tc>
          <w:tcPr>
            <w:tcW w:w="200" w:type="dxa"/>
            <w:vAlign w:val="bottom"/>
          </w:tcPr>
          <w:p>
            <w:pPr>
              <w:spacing w:after="0"/>
              <w:rPr>
                <w:sz w:val="12"/>
                <w:szCs w:val="12"/>
                <w:color w:val="auto"/>
              </w:rPr>
            </w:pPr>
          </w:p>
        </w:tc>
        <w:tc>
          <w:tcPr>
            <w:tcW w:w="8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0.2%</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-10.8%</w:t>
            </w:r>
          </w:p>
        </w:tc>
        <w:tc>
          <w:tcPr>
            <w:tcW w:w="920" w:type="dxa"/>
            <w:vAlign w:val="bottom"/>
            <w:gridSpan w:val="3"/>
          </w:tcPr>
          <w:p>
            <w:pPr>
              <w:jc w:val="right"/>
              <w:ind w:right="68"/>
              <w:spacing w:after="0" w:line="149" w:lineRule="exact"/>
              <w:rPr>
                <w:sz w:val="20"/>
                <w:szCs w:val="20"/>
                <w:color w:val="auto"/>
              </w:rPr>
            </w:pPr>
            <w:r>
              <w:rPr>
                <w:rFonts w:ascii="Arial" w:cs="Arial" w:eastAsia="Arial" w:hAnsi="Arial"/>
                <w:sz w:val="14"/>
                <w:szCs w:val="14"/>
                <w:color w:val="auto"/>
              </w:rPr>
              <w:t>44.4%</w:t>
            </w:r>
          </w:p>
        </w:tc>
        <w:tc>
          <w:tcPr>
            <w:tcW w:w="10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55.6%</w:t>
            </w:r>
          </w:p>
        </w:tc>
      </w:tr>
      <w:tr>
        <w:trPr>
          <w:trHeight w:val="149"/>
        </w:trPr>
        <w:tc>
          <w:tcPr>
            <w:tcW w:w="1960" w:type="dxa"/>
            <w:vAlign w:val="bottom"/>
            <w:shd w:val="clear" w:color="auto" w:fill="CCEEFF"/>
          </w:tcPr>
          <w:p>
            <w:pPr>
              <w:ind w:left="340"/>
              <w:spacing w:after="0" w:line="130" w:lineRule="exact"/>
              <w:rPr>
                <w:sz w:val="20"/>
                <w:szCs w:val="20"/>
                <w:color w:val="auto"/>
              </w:rPr>
            </w:pPr>
            <w:r>
              <w:rPr>
                <w:rFonts w:ascii="Arial" w:cs="Arial" w:eastAsia="Arial" w:hAnsi="Arial"/>
                <w:sz w:val="14"/>
                <w:szCs w:val="14"/>
                <w:color w:val="auto"/>
              </w:rPr>
              <w:t>SME - Pyme</w:t>
            </w:r>
          </w:p>
        </w:tc>
        <w:tc>
          <w:tcPr>
            <w:tcW w:w="70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6,383</w:t>
            </w:r>
          </w:p>
        </w:tc>
        <w:tc>
          <w:tcPr>
            <w:tcW w:w="920" w:type="dxa"/>
            <w:vAlign w:val="bottom"/>
            <w:gridSpan w:val="3"/>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6,541</w:t>
            </w:r>
          </w:p>
        </w:tc>
        <w:tc>
          <w:tcPr>
            <w:tcW w:w="78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6,907</w:t>
            </w:r>
          </w:p>
        </w:tc>
        <w:tc>
          <w:tcPr>
            <w:tcW w:w="700" w:type="dxa"/>
            <w:vAlign w:val="bottom"/>
            <w:gridSpan w:val="2"/>
            <w:shd w:val="clear" w:color="auto" w:fill="C5D9F1"/>
          </w:tcPr>
          <w:p>
            <w:pPr>
              <w:jc w:val="right"/>
              <w:spacing w:after="0" w:line="130" w:lineRule="exact"/>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8.2%</w:t>
            </w:r>
          </w:p>
        </w:tc>
        <w:tc>
          <w:tcPr>
            <w:tcW w:w="68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238</w:t>
            </w: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174</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156</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8"/>
              <w:spacing w:after="0" w:line="130" w:lineRule="exact"/>
              <w:rPr>
                <w:sz w:val="20"/>
                <w:szCs w:val="20"/>
                <w:color w:val="auto"/>
              </w:rPr>
            </w:pPr>
            <w:r>
              <w:rPr>
                <w:rFonts w:ascii="Arial" w:cs="Arial" w:eastAsia="Arial" w:hAnsi="Arial"/>
                <w:sz w:val="14"/>
                <w:szCs w:val="14"/>
                <w:color w:val="auto"/>
              </w:rPr>
              <w:t>-10.6%</w:t>
            </w:r>
          </w:p>
        </w:tc>
        <w:tc>
          <w:tcPr>
            <w:tcW w:w="70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-34.7%</w:t>
            </w:r>
          </w:p>
        </w:tc>
        <w:tc>
          <w:tcPr>
            <w:tcW w:w="920" w:type="dxa"/>
            <w:vAlign w:val="bottom"/>
            <w:gridSpan w:val="3"/>
            <w:shd w:val="clear" w:color="auto" w:fill="CCEEFF"/>
          </w:tcPr>
          <w:p>
            <w:pPr>
              <w:jc w:val="right"/>
              <w:ind w:right="68"/>
              <w:spacing w:after="0" w:line="130" w:lineRule="exact"/>
              <w:rPr>
                <w:sz w:val="20"/>
                <w:szCs w:val="20"/>
                <w:color w:val="auto"/>
              </w:rPr>
            </w:pPr>
            <w:r>
              <w:rPr>
                <w:rFonts w:ascii="Arial" w:cs="Arial" w:eastAsia="Arial" w:hAnsi="Arial"/>
                <w:sz w:val="14"/>
                <w:szCs w:val="14"/>
                <w:color w:val="auto"/>
              </w:rPr>
              <w:t>93.0%</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7.0%</w:t>
            </w:r>
          </w:p>
        </w:tc>
      </w:tr>
      <w:tr>
        <w:trPr>
          <w:trHeight w:val="149"/>
        </w:trPr>
        <w:tc>
          <w:tcPr>
            <w:tcW w:w="1960" w:type="dxa"/>
            <w:vAlign w:val="bottom"/>
          </w:tcPr>
          <w:p>
            <w:pPr>
              <w:ind w:left="340"/>
              <w:spacing w:after="0" w:line="130" w:lineRule="exact"/>
              <w:rPr>
                <w:sz w:val="20"/>
                <w:szCs w:val="20"/>
                <w:color w:val="auto"/>
              </w:rPr>
            </w:pPr>
            <w:r>
              <w:rPr>
                <w:rFonts w:ascii="Arial" w:cs="Arial" w:eastAsia="Arial" w:hAnsi="Arial"/>
                <w:sz w:val="14"/>
                <w:szCs w:val="14"/>
                <w:color w:val="auto"/>
              </w:rPr>
              <w:t>Mortgage</w:t>
            </w:r>
          </w:p>
        </w:tc>
        <w:tc>
          <w:tcPr>
            <w:tcW w:w="70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rPr>
              <w:t>7,033</w:t>
            </w:r>
          </w:p>
        </w:tc>
        <w:tc>
          <w:tcPr>
            <w:tcW w:w="920" w:type="dxa"/>
            <w:vAlign w:val="bottom"/>
            <w:gridSpan w:val="3"/>
          </w:tcPr>
          <w:p>
            <w:pPr>
              <w:jc w:val="right"/>
              <w:ind w:right="200"/>
              <w:spacing w:after="0" w:line="130" w:lineRule="exact"/>
              <w:rPr>
                <w:sz w:val="20"/>
                <w:szCs w:val="20"/>
                <w:color w:val="auto"/>
              </w:rPr>
            </w:pPr>
            <w:r>
              <w:rPr>
                <w:rFonts w:ascii="Arial" w:cs="Arial" w:eastAsia="Arial" w:hAnsi="Arial"/>
                <w:sz w:val="14"/>
                <w:szCs w:val="14"/>
                <w:color w:val="auto"/>
              </w:rPr>
              <w:t>8,245</w:t>
            </w:r>
          </w:p>
        </w:tc>
        <w:tc>
          <w:tcPr>
            <w:tcW w:w="78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8,648</w:t>
            </w:r>
          </w:p>
        </w:tc>
        <w:tc>
          <w:tcPr>
            <w:tcW w:w="700" w:type="dxa"/>
            <w:vAlign w:val="bottom"/>
            <w:gridSpan w:val="2"/>
            <w:shd w:val="clear" w:color="auto" w:fill="C5D9F1"/>
          </w:tcPr>
          <w:p>
            <w:pPr>
              <w:jc w:val="right"/>
              <w:spacing w:after="0" w:line="149" w:lineRule="exact"/>
              <w:rPr>
                <w:sz w:val="20"/>
                <w:szCs w:val="20"/>
                <w:color w:val="auto"/>
              </w:rPr>
            </w:pPr>
            <w:r>
              <w:rPr>
                <w:rFonts w:ascii="Arial" w:cs="Arial" w:eastAsia="Arial" w:hAnsi="Arial"/>
                <w:sz w:val="14"/>
                <w:szCs w:val="14"/>
                <w:color w:val="auto"/>
              </w:rPr>
              <w:t>4.9%</w:t>
            </w:r>
          </w:p>
        </w:tc>
        <w:tc>
          <w:tcPr>
            <w:tcW w:w="100" w:type="dxa"/>
            <w:vAlign w:val="bottom"/>
            <w:shd w:val="clear" w:color="auto" w:fill="C5D9F1"/>
          </w:tcPr>
          <w:p>
            <w:pPr>
              <w:spacing w:after="0"/>
              <w:rPr>
                <w:sz w:val="12"/>
                <w:szCs w:val="12"/>
                <w:color w:val="auto"/>
              </w:rPr>
            </w:pPr>
          </w:p>
        </w:tc>
        <w:tc>
          <w:tcPr>
            <w:tcW w:w="700" w:type="dxa"/>
            <w:vAlign w:val="bottom"/>
            <w:gridSpan w:val="2"/>
            <w:shd w:val="clear" w:color="auto" w:fill="C5D9F1"/>
          </w:tcPr>
          <w:p>
            <w:pPr>
              <w:jc w:val="right"/>
              <w:spacing w:after="0" w:line="130" w:lineRule="exact"/>
              <w:rPr>
                <w:sz w:val="20"/>
                <w:szCs w:val="20"/>
                <w:color w:val="auto"/>
              </w:rPr>
            </w:pPr>
            <w:r>
              <w:rPr>
                <w:rFonts w:ascii="Arial" w:cs="Arial" w:eastAsia="Arial" w:hAnsi="Arial"/>
                <w:sz w:val="14"/>
                <w:szCs w:val="14"/>
                <w:color w:val="auto"/>
              </w:rPr>
              <w:t>23.0%</w:t>
            </w:r>
          </w:p>
        </w:tc>
        <w:tc>
          <w:tcPr>
            <w:tcW w:w="880" w:type="dxa"/>
            <w:vAlign w:val="bottom"/>
            <w:gridSpan w:val="3"/>
          </w:tcPr>
          <w:p>
            <w:pPr>
              <w:jc w:val="right"/>
              <w:ind w:right="200"/>
              <w:spacing w:after="0" w:line="130" w:lineRule="exact"/>
              <w:rPr>
                <w:sz w:val="20"/>
                <w:szCs w:val="20"/>
                <w:color w:val="auto"/>
              </w:rPr>
            </w:pPr>
            <w:r>
              <w:rPr>
                <w:rFonts w:ascii="Arial" w:cs="Arial" w:eastAsia="Arial" w:hAnsi="Arial"/>
                <w:sz w:val="14"/>
                <w:szCs w:val="14"/>
                <w:color w:val="auto"/>
              </w:rPr>
              <w:t>1,332</w:t>
            </w:r>
          </w:p>
        </w:tc>
        <w:tc>
          <w:tcPr>
            <w:tcW w:w="78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1,112</w:t>
            </w:r>
          </w:p>
        </w:tc>
        <w:tc>
          <w:tcPr>
            <w:tcW w:w="76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1,048</w:t>
            </w:r>
          </w:p>
        </w:tc>
        <w:tc>
          <w:tcPr>
            <w:tcW w:w="820" w:type="dxa"/>
            <w:vAlign w:val="bottom"/>
            <w:gridSpan w:val="2"/>
            <w:shd w:val="clear" w:color="auto" w:fill="FCD5B4"/>
          </w:tcPr>
          <w:p>
            <w:pPr>
              <w:jc w:val="right"/>
              <w:ind w:right="68"/>
              <w:spacing w:after="0" w:line="130" w:lineRule="exact"/>
              <w:rPr>
                <w:sz w:val="20"/>
                <w:szCs w:val="20"/>
                <w:color w:val="auto"/>
              </w:rPr>
            </w:pPr>
            <w:r>
              <w:rPr>
                <w:rFonts w:ascii="Arial" w:cs="Arial" w:eastAsia="Arial" w:hAnsi="Arial"/>
                <w:sz w:val="14"/>
                <w:szCs w:val="14"/>
                <w:color w:val="auto"/>
              </w:rPr>
              <w:t>-5.8%</w:t>
            </w:r>
          </w:p>
        </w:tc>
        <w:tc>
          <w:tcPr>
            <w:tcW w:w="700" w:type="dxa"/>
            <w:vAlign w:val="bottom"/>
            <w:gridSpan w:val="2"/>
            <w:shd w:val="clear" w:color="auto" w:fill="FCD5B4"/>
          </w:tcPr>
          <w:p>
            <w:pPr>
              <w:jc w:val="right"/>
              <w:spacing w:after="0" w:line="130" w:lineRule="exact"/>
              <w:rPr>
                <w:sz w:val="20"/>
                <w:szCs w:val="20"/>
                <w:color w:val="auto"/>
              </w:rPr>
            </w:pPr>
            <w:r>
              <w:rPr>
                <w:rFonts w:ascii="Arial" w:cs="Arial" w:eastAsia="Arial" w:hAnsi="Arial"/>
                <w:sz w:val="14"/>
                <w:szCs w:val="14"/>
                <w:color w:val="auto"/>
              </w:rPr>
              <w:t>-21.3%</w:t>
            </w:r>
          </w:p>
        </w:tc>
        <w:tc>
          <w:tcPr>
            <w:tcW w:w="920" w:type="dxa"/>
            <w:vAlign w:val="bottom"/>
            <w:gridSpan w:val="3"/>
          </w:tcPr>
          <w:p>
            <w:pPr>
              <w:jc w:val="right"/>
              <w:ind w:right="68"/>
              <w:spacing w:after="0" w:line="130" w:lineRule="exact"/>
              <w:rPr>
                <w:sz w:val="20"/>
                <w:szCs w:val="20"/>
                <w:color w:val="auto"/>
              </w:rPr>
            </w:pPr>
            <w:r>
              <w:rPr>
                <w:rFonts w:ascii="Arial" w:cs="Arial" w:eastAsia="Arial" w:hAnsi="Arial"/>
                <w:sz w:val="14"/>
                <w:szCs w:val="14"/>
                <w:color w:val="auto"/>
              </w:rPr>
              <w:t>71.1%</w:t>
            </w:r>
          </w:p>
        </w:tc>
        <w:tc>
          <w:tcPr>
            <w:tcW w:w="100" w:type="dxa"/>
            <w:vAlign w:val="bottom"/>
          </w:tcPr>
          <w:p>
            <w:pPr>
              <w:spacing w:after="0"/>
              <w:rPr>
                <w:sz w:val="12"/>
                <w:szCs w:val="12"/>
                <w:color w:val="auto"/>
              </w:rPr>
            </w:pPr>
          </w:p>
        </w:tc>
        <w:tc>
          <w:tcPr>
            <w:tcW w:w="60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28.9%</w:t>
            </w:r>
          </w:p>
        </w:tc>
      </w:tr>
      <w:tr>
        <w:trPr>
          <w:trHeight w:val="149"/>
        </w:trPr>
        <w:tc>
          <w:tcPr>
            <w:tcW w:w="196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Consumer</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4,595</w:t>
            </w:r>
          </w:p>
        </w:tc>
        <w:tc>
          <w:tcPr>
            <w:tcW w:w="9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5,132</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5,378</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17.0%</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431</w:t>
            </w: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347</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317</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FCD5B4"/>
          </w:tcPr>
          <w:p>
            <w:pPr>
              <w:jc w:val="right"/>
              <w:ind w:right="68"/>
              <w:spacing w:after="0" w:line="149" w:lineRule="exact"/>
              <w:rPr>
                <w:sz w:val="20"/>
                <w:szCs w:val="20"/>
                <w:color w:val="auto"/>
              </w:rPr>
            </w:pPr>
            <w:r>
              <w:rPr>
                <w:rFonts w:ascii="Arial" w:cs="Arial" w:eastAsia="Arial" w:hAnsi="Arial"/>
                <w:sz w:val="14"/>
                <w:szCs w:val="14"/>
                <w:color w:val="auto"/>
              </w:rPr>
              <w:t>-8.6%</w:t>
            </w:r>
          </w:p>
        </w:tc>
        <w:tc>
          <w:tcPr>
            <w:tcW w:w="700" w:type="dxa"/>
            <w:vAlign w:val="bottom"/>
            <w:gridSpan w:val="2"/>
            <w:shd w:val="clear" w:color="auto" w:fill="FCD5B4"/>
          </w:tcPr>
          <w:p>
            <w:pPr>
              <w:jc w:val="right"/>
              <w:spacing w:after="0" w:line="149" w:lineRule="exact"/>
              <w:rPr>
                <w:sz w:val="20"/>
                <w:szCs w:val="20"/>
                <w:color w:val="auto"/>
              </w:rPr>
            </w:pPr>
            <w:r>
              <w:rPr>
                <w:rFonts w:ascii="Arial" w:cs="Arial" w:eastAsia="Arial" w:hAnsi="Arial"/>
                <w:sz w:val="14"/>
                <w:szCs w:val="14"/>
                <w:color w:val="auto"/>
              </w:rPr>
              <w:t>-26.5%</w:t>
            </w:r>
          </w:p>
        </w:tc>
        <w:tc>
          <w:tcPr>
            <w:tcW w:w="920" w:type="dxa"/>
            <w:vAlign w:val="bottom"/>
            <w:gridSpan w:val="3"/>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83.5%</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16.5%</w:t>
            </w:r>
          </w:p>
        </w:tc>
      </w:tr>
      <w:tr>
        <w:trPr>
          <w:trHeight w:val="149"/>
        </w:trPr>
        <w:tc>
          <w:tcPr>
            <w:tcW w:w="1960" w:type="dxa"/>
            <w:vAlign w:val="bottom"/>
          </w:tcPr>
          <w:p>
            <w:pPr>
              <w:ind w:left="340"/>
              <w:spacing w:after="0" w:line="149" w:lineRule="exact"/>
              <w:rPr>
                <w:sz w:val="20"/>
                <w:szCs w:val="20"/>
                <w:color w:val="auto"/>
              </w:rPr>
            </w:pPr>
            <w:r>
              <w:rPr>
                <w:rFonts w:ascii="Arial" w:cs="Arial" w:eastAsia="Arial" w:hAnsi="Arial"/>
                <w:sz w:val="14"/>
                <w:szCs w:val="14"/>
                <w:color w:val="auto"/>
              </w:rPr>
              <w:t>Credit Card</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2,865</w:t>
            </w:r>
          </w:p>
        </w:tc>
        <w:tc>
          <w:tcPr>
            <w:tcW w:w="9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3,508</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3,704</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5.6%</w:t>
            </w:r>
          </w:p>
        </w:tc>
        <w:tc>
          <w:tcPr>
            <w:tcW w:w="10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29.3%</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125</w:t>
            </w:r>
          </w:p>
        </w:tc>
        <w:tc>
          <w:tcPr>
            <w:tcW w:w="2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130</w:t>
            </w:r>
          </w:p>
        </w:tc>
        <w:tc>
          <w:tcPr>
            <w:tcW w:w="2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133</w:t>
            </w:r>
          </w:p>
        </w:tc>
        <w:tc>
          <w:tcPr>
            <w:tcW w:w="200" w:type="dxa"/>
            <w:vAlign w:val="bottom"/>
          </w:tcPr>
          <w:p>
            <w:pPr>
              <w:spacing w:after="0"/>
              <w:rPr>
                <w:sz w:val="12"/>
                <w:szCs w:val="12"/>
                <w:color w:val="auto"/>
              </w:rPr>
            </w:pPr>
          </w:p>
        </w:tc>
        <w:tc>
          <w:tcPr>
            <w:tcW w:w="8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2.7%</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6.8%</w:t>
            </w:r>
          </w:p>
        </w:tc>
        <w:tc>
          <w:tcPr>
            <w:tcW w:w="920" w:type="dxa"/>
            <w:vAlign w:val="bottom"/>
            <w:gridSpan w:val="3"/>
          </w:tcPr>
          <w:p>
            <w:pPr>
              <w:jc w:val="right"/>
              <w:ind w:right="68"/>
              <w:spacing w:after="0" w:line="149" w:lineRule="exact"/>
              <w:rPr>
                <w:sz w:val="20"/>
                <w:szCs w:val="20"/>
                <w:color w:val="auto"/>
              </w:rPr>
            </w:pPr>
            <w:r>
              <w:rPr>
                <w:rFonts w:ascii="Arial" w:cs="Arial" w:eastAsia="Arial" w:hAnsi="Arial"/>
                <w:sz w:val="14"/>
                <w:szCs w:val="14"/>
                <w:color w:val="auto"/>
              </w:rPr>
              <w:t>89.2%</w:t>
            </w:r>
          </w:p>
        </w:tc>
        <w:tc>
          <w:tcPr>
            <w:tcW w:w="10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10.8%</w:t>
            </w:r>
          </w:p>
        </w:tc>
      </w:tr>
      <w:tr>
        <w:trPr>
          <w:trHeight w:val="189"/>
        </w:trPr>
        <w:tc>
          <w:tcPr>
            <w:tcW w:w="1960" w:type="dxa"/>
            <w:vAlign w:val="bottom"/>
            <w:shd w:val="clear" w:color="auto" w:fill="CCEEFF"/>
          </w:tcPr>
          <w:p>
            <w:pPr>
              <w:ind w:left="180"/>
              <w:spacing w:after="0" w:line="189" w:lineRule="exact"/>
              <w:rPr>
                <w:sz w:val="20"/>
                <w:szCs w:val="20"/>
                <w:color w:val="auto"/>
              </w:rPr>
            </w:pPr>
            <w:r>
              <w:rPr>
                <w:rFonts w:ascii="Arial" w:cs="Arial" w:eastAsia="Arial" w:hAnsi="Arial"/>
                <w:sz w:val="13"/>
                <w:szCs w:val="13"/>
                <w:b w:val="1"/>
                <w:bCs w:val="1"/>
                <w:color w:val="auto"/>
              </w:rPr>
              <w:t xml:space="preserve">Others </w:t>
            </w:r>
            <w:r>
              <w:rPr>
                <w:rFonts w:ascii="Arial" w:cs="Arial" w:eastAsia="Arial" w:hAnsi="Arial"/>
                <w:sz w:val="21"/>
                <w:szCs w:val="21"/>
                <w:b w:val="1"/>
                <w:bCs w:val="1"/>
                <w:color w:val="auto"/>
                <w:vertAlign w:val="superscript"/>
              </w:rPr>
              <w:t>(1)</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124</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158</w:t>
            </w: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183</w:t>
            </w:r>
          </w:p>
        </w:tc>
        <w:tc>
          <w:tcPr>
            <w:tcW w:w="2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15.9%</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47.8%</w:t>
            </w: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113</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127</w:t>
            </w: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133</w:t>
            </w: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17.6%</w:t>
            </w:r>
          </w:p>
        </w:tc>
        <w:tc>
          <w:tcPr>
            <w:tcW w:w="9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29.0%</w:t>
            </w: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71.0%</w:t>
            </w:r>
          </w:p>
        </w:tc>
      </w:tr>
      <w:tr>
        <w:trPr>
          <w:trHeight w:val="189"/>
        </w:trPr>
        <w:tc>
          <w:tcPr>
            <w:tcW w:w="1960" w:type="dxa"/>
            <w:vAlign w:val="bottom"/>
          </w:tcPr>
          <w:p>
            <w:pPr>
              <w:spacing w:after="0" w:line="189" w:lineRule="exact"/>
              <w:rPr>
                <w:sz w:val="20"/>
                <w:szCs w:val="20"/>
                <w:color w:val="auto"/>
              </w:rPr>
            </w:pPr>
            <w:r>
              <w:rPr>
                <w:rFonts w:ascii="Arial" w:cs="Arial" w:eastAsia="Arial" w:hAnsi="Arial"/>
                <w:sz w:val="13"/>
                <w:szCs w:val="13"/>
                <w:b w:val="1"/>
                <w:bCs w:val="1"/>
                <w:color w:val="auto"/>
              </w:rPr>
              <w:t xml:space="preserve">Mibanco </w:t>
            </w:r>
            <w:r>
              <w:rPr>
                <w:rFonts w:ascii="Arial" w:cs="Arial" w:eastAsia="Arial" w:hAnsi="Arial"/>
                <w:sz w:val="21"/>
                <w:szCs w:val="21"/>
                <w:b w:val="1"/>
                <w:bCs w:val="1"/>
                <w:color w:val="auto"/>
                <w:vertAlign w:val="superscript"/>
              </w:rPr>
              <w:t>(2)</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6,788</w:t>
            </w:r>
          </w:p>
        </w:tc>
        <w:tc>
          <w:tcPr>
            <w:tcW w:w="9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6,861</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7,076</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3.1%</w:t>
            </w:r>
          </w:p>
        </w:tc>
        <w:tc>
          <w:tcPr>
            <w:tcW w:w="10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4.2%</w:t>
            </w: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187</w:t>
            </w:r>
          </w:p>
        </w:tc>
        <w:tc>
          <w:tcPr>
            <w:tcW w:w="2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187</w:t>
            </w:r>
          </w:p>
        </w:tc>
        <w:tc>
          <w:tcPr>
            <w:tcW w:w="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173</w:t>
            </w:r>
          </w:p>
        </w:tc>
        <w:tc>
          <w:tcPr>
            <w:tcW w:w="200" w:type="dxa"/>
            <w:vAlign w:val="bottom"/>
          </w:tcPr>
          <w:p>
            <w:pPr>
              <w:spacing w:after="0"/>
              <w:rPr>
                <w:sz w:val="16"/>
                <w:szCs w:val="16"/>
                <w:color w:val="auto"/>
              </w:rPr>
            </w:pPr>
          </w:p>
        </w:tc>
        <w:tc>
          <w:tcPr>
            <w:tcW w:w="82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-7.7%</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-7.8%</w:t>
            </w:r>
          </w:p>
        </w:tc>
        <w:tc>
          <w:tcPr>
            <w:tcW w:w="920" w:type="dxa"/>
            <w:vAlign w:val="bottom"/>
            <w:gridSpan w:val="3"/>
          </w:tcPr>
          <w:p>
            <w:pPr>
              <w:jc w:val="right"/>
              <w:ind w:right="48"/>
              <w:spacing w:after="0"/>
              <w:rPr>
                <w:sz w:val="20"/>
                <w:szCs w:val="20"/>
                <w:color w:val="auto"/>
              </w:rPr>
            </w:pPr>
            <w:r>
              <w:rPr>
                <w:rFonts w:ascii="Arial" w:cs="Arial" w:eastAsia="Arial" w:hAnsi="Arial"/>
                <w:sz w:val="14"/>
                <w:szCs w:val="14"/>
                <w:b w:val="1"/>
                <w:bCs w:val="1"/>
                <w:color w:val="auto"/>
              </w:rPr>
              <w:t>92.4%</w:t>
            </w:r>
          </w:p>
        </w:tc>
        <w:tc>
          <w:tcPr>
            <w:tcW w:w="100" w:type="dxa"/>
            <w:vAlign w:val="bottom"/>
          </w:tcPr>
          <w:p>
            <w:pPr>
              <w:spacing w:after="0"/>
              <w:rPr>
                <w:sz w:val="16"/>
                <w:szCs w:val="16"/>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rPr>
              <w:t>7.6%</w:t>
            </w:r>
          </w:p>
        </w:tc>
      </w:tr>
      <w:tr>
        <w:trPr>
          <w:trHeight w:val="149"/>
        </w:trPr>
        <w:tc>
          <w:tcPr>
            <w:tcW w:w="19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Bolivia</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b w:val="1"/>
                <w:bCs w:val="1"/>
                <w:color w:val="auto"/>
              </w:rPr>
              <w:t>-</w:t>
            </w:r>
          </w:p>
        </w:tc>
        <w:tc>
          <w:tcPr>
            <w:tcW w:w="8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1,146</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1,268</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1,343</w:t>
            </w:r>
          </w:p>
        </w:tc>
        <w:tc>
          <w:tcPr>
            <w:tcW w:w="82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b w:val="1"/>
                <w:bCs w:val="1"/>
                <w:color w:val="auto"/>
              </w:rPr>
              <w:t>5.9%</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17.2%</w:t>
            </w:r>
          </w:p>
        </w:tc>
        <w:tc>
          <w:tcPr>
            <w:tcW w:w="920" w:type="dxa"/>
            <w:vAlign w:val="bottom"/>
            <w:gridSpan w:val="3"/>
            <w:shd w:val="clear" w:color="auto" w:fill="CCEEFF"/>
          </w:tcPr>
          <w:p>
            <w:pPr>
              <w:jc w:val="right"/>
              <w:ind w:right="188"/>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100.0%</w:t>
            </w:r>
          </w:p>
        </w:tc>
      </w:tr>
      <w:tr>
        <w:trPr>
          <w:trHeight w:val="162"/>
        </w:trPr>
        <w:tc>
          <w:tcPr>
            <w:tcW w:w="1960" w:type="dxa"/>
            <w:vAlign w:val="bottom"/>
          </w:tcPr>
          <w:p>
            <w:pPr>
              <w:spacing w:after="0"/>
              <w:rPr>
                <w:sz w:val="20"/>
                <w:szCs w:val="20"/>
                <w:color w:val="auto"/>
              </w:rPr>
            </w:pPr>
            <w:r>
              <w:rPr>
                <w:rFonts w:ascii="Arial" w:cs="Arial" w:eastAsia="Arial" w:hAnsi="Arial"/>
                <w:sz w:val="14"/>
                <w:szCs w:val="14"/>
                <w:b w:val="1"/>
                <w:bCs w:val="1"/>
                <w:color w:val="auto"/>
              </w:rPr>
              <w:t>ASB</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777</w:t>
            </w: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894</w:t>
            </w:r>
          </w:p>
        </w:tc>
        <w:tc>
          <w:tcPr>
            <w:tcW w:w="2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909</w:t>
            </w:r>
          </w:p>
        </w:tc>
        <w:tc>
          <w:tcPr>
            <w:tcW w:w="200" w:type="dxa"/>
            <w:vAlign w:val="bottom"/>
          </w:tcPr>
          <w:p>
            <w:pPr>
              <w:spacing w:after="0"/>
              <w:rPr>
                <w:sz w:val="14"/>
                <w:szCs w:val="14"/>
                <w:color w:val="auto"/>
              </w:rPr>
            </w:pPr>
          </w:p>
        </w:tc>
        <w:tc>
          <w:tcPr>
            <w:tcW w:w="82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1.7%</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17.0%</w:t>
            </w:r>
          </w:p>
        </w:tc>
        <w:tc>
          <w:tcPr>
            <w:tcW w:w="920" w:type="dxa"/>
            <w:vAlign w:val="bottom"/>
            <w:gridSpan w:val="3"/>
          </w:tcPr>
          <w:p>
            <w:pPr>
              <w:jc w:val="right"/>
              <w:ind w:right="18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rPr>
              <w:t>100.0%</w:t>
            </w:r>
          </w:p>
        </w:tc>
      </w:tr>
      <w:tr>
        <w:trPr>
          <w:trHeight w:val="142"/>
        </w:trPr>
        <w:tc>
          <w:tcPr>
            <w:tcW w:w="19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loans</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40,942</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50,532</w:t>
            </w:r>
          </w:p>
        </w:tc>
        <w:tc>
          <w:tcPr>
            <w:tcW w:w="2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54,234</w:t>
            </w:r>
          </w:p>
        </w:tc>
        <w:tc>
          <w:tcPr>
            <w:tcW w:w="22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7.3</w:t>
            </w:r>
          </w:p>
        </w:tc>
        <w:tc>
          <w:tcPr>
            <w:tcW w:w="14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1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32.5</w:t>
            </w:r>
          </w:p>
        </w:tc>
        <w:tc>
          <w:tcPr>
            <w:tcW w:w="14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12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12,673</w:t>
            </w:r>
          </w:p>
        </w:tc>
        <w:tc>
          <w:tcPr>
            <w:tcW w:w="2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11,402</w:t>
            </w:r>
          </w:p>
        </w:tc>
        <w:tc>
          <w:tcPr>
            <w:tcW w:w="22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11,061</w:t>
            </w:r>
          </w:p>
        </w:tc>
        <w:tc>
          <w:tcPr>
            <w:tcW w:w="2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-3.0</w:t>
            </w:r>
          </w:p>
        </w:tc>
        <w:tc>
          <w:tcPr>
            <w:tcW w:w="260" w:type="dxa"/>
            <w:vAlign w:val="bottom"/>
            <w:tcBorders>
              <w:top w:val="single" w:sz="8" w:color="CCEEFF"/>
            </w:tcBorders>
            <w:shd w:val="clear" w:color="auto" w:fill="CCEEFF"/>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-12.7</w:t>
            </w:r>
          </w:p>
        </w:tc>
        <w:tc>
          <w:tcPr>
            <w:tcW w:w="14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1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59.4</w:t>
            </w:r>
          </w:p>
        </w:tc>
        <w:tc>
          <w:tcPr>
            <w:tcW w:w="260" w:type="dxa"/>
            <w:vAlign w:val="bottom"/>
            <w:tcBorders>
              <w:top w:val="single" w:sz="8" w:color="CCEEFF"/>
            </w:tcBorders>
            <w:shd w:val="clear" w:color="auto" w:fill="CCEEFF"/>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40.6</w:t>
            </w:r>
          </w:p>
        </w:tc>
        <w:tc>
          <w:tcPr>
            <w:tcW w:w="14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r>
    </w:tbl>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Work out unit, and other banking.</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Edyficar and Mibanco.</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Highest volume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8935"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68935" cy="137160"/>
                    </a:xfrm>
                    <a:prstGeom prst="rect">
                      <a:avLst/>
                    </a:prstGeom>
                    <a:noFill/>
                  </pic:spPr>
                </pic:pic>
              </a:graphicData>
            </a:graphic>
          </wp:anchor>
        </w:drawing>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Lowest volume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368935"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68935" cy="1371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Growth in Wholesale Banking at BCP Stand-alone was due to</w:t>
      </w:r>
      <w:r>
        <w:rPr>
          <w:rFonts w:ascii="Arial" w:cs="Arial" w:eastAsia="Arial" w:hAnsi="Arial"/>
          <w:sz w:val="18"/>
          <w:szCs w:val="18"/>
          <w:color w:val="FF0000"/>
        </w:rPr>
        <w:t>:</w:t>
      </w:r>
    </w:p>
    <w:p>
      <w:pPr>
        <w:spacing w:after="0" w:line="221" w:lineRule="exact"/>
        <w:rPr>
          <w:sz w:val="20"/>
          <w:szCs w:val="20"/>
          <w:color w:val="auto"/>
        </w:rPr>
      </w:pPr>
    </w:p>
    <w:p>
      <w:pPr>
        <w:ind w:left="620" w:right="20" w:hanging="369"/>
        <w:spacing w:after="0" w:line="282" w:lineRule="auto"/>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Growth in </w:t>
      </w:r>
      <w:r>
        <w:rPr>
          <w:rFonts w:ascii="Arial" w:cs="Arial" w:eastAsia="Arial" w:hAnsi="Arial"/>
          <w:sz w:val="18"/>
          <w:szCs w:val="18"/>
          <w:b w:val="1"/>
          <w:bCs w:val="1"/>
          <w:color w:val="auto"/>
        </w:rPr>
        <w:t>Corporate Banking</w:t>
      </w:r>
      <w:r>
        <w:rPr>
          <w:rFonts w:ascii="Arial" w:cs="Arial" w:eastAsia="Arial" w:hAnsi="Arial"/>
          <w:sz w:val="18"/>
          <w:szCs w:val="18"/>
          <w:color w:val="auto"/>
        </w:rPr>
        <w:t>, which was due primarily to an increase in medium-term financing, mainly in LC, which helped offset the drop in the FC Portfolio, QoQ and YoY; and</w:t>
      </w:r>
    </w:p>
    <w:p>
      <w:pPr>
        <w:spacing w:after="0" w:line="161" w:lineRule="exact"/>
        <w:rPr>
          <w:rFonts w:ascii="Arial" w:cs="Arial" w:eastAsia="Arial" w:hAnsi="Arial"/>
          <w:sz w:val="18"/>
          <w:szCs w:val="18"/>
          <w:color w:val="auto"/>
        </w:rPr>
      </w:pPr>
    </w:p>
    <w:p>
      <w:pPr>
        <w:ind w:left="620" w:hanging="369"/>
        <w:spacing w:after="0" w:line="347" w:lineRule="auto"/>
        <w:tabs>
          <w:tab w:leader="none" w:pos="6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Growth in </w:t>
      </w:r>
      <w:r>
        <w:rPr>
          <w:rFonts w:ascii="Arial" w:cs="Arial" w:eastAsia="Arial" w:hAnsi="Arial"/>
          <w:sz w:val="16"/>
          <w:szCs w:val="16"/>
          <w:b w:val="1"/>
          <w:bCs w:val="1"/>
          <w:color w:val="auto"/>
        </w:rPr>
        <w:t>Middle-Market</w:t>
      </w:r>
      <w:r>
        <w:rPr>
          <w:rFonts w:ascii="Arial" w:cs="Arial" w:eastAsia="Arial" w:hAnsi="Arial"/>
          <w:sz w:val="16"/>
          <w:szCs w:val="16"/>
          <w:color w:val="auto"/>
        </w:rPr>
        <w:t xml:space="preserve"> loans, in real terms, which was due, in large part, to expansion in the LC loan book, which was attributable to an increase in financing for working capital and medium and long-term loans. The aforementioned offset the decline in the FC loan book QoQ and YoY.</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Retail Banking at BCP Stand-alone experienced growth QoQ and YoY due primarily to expansion in LC Loans across all of the portfolio’s segments.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Variations by business segment within the Retail Banking business were due to:</w:t>
      </w:r>
    </w:p>
    <w:p>
      <w:pPr>
        <w:spacing w:after="0" w:line="207" w:lineRule="exact"/>
        <w:rPr>
          <w:sz w:val="20"/>
          <w:szCs w:val="20"/>
          <w:color w:val="auto"/>
        </w:rPr>
      </w:pPr>
    </w:p>
    <w:p>
      <w:pPr>
        <w:ind w:left="620" w:hanging="369"/>
        <w:spacing w:after="0" w:line="282" w:lineRule="auto"/>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SME-Business</w:t>
      </w:r>
      <w:r>
        <w:rPr>
          <w:rFonts w:ascii="Arial" w:cs="Arial" w:eastAsia="Arial" w:hAnsi="Arial"/>
          <w:sz w:val="18"/>
          <w:szCs w:val="18"/>
          <w:color w:val="auto"/>
        </w:rPr>
        <w:t xml:space="preserve"> segment reported growth QoQ and YoY due mainly to expansion in the LC Portfolio, which reflects the on-going appreciation of the US Dollar. Growth this quarter was attributable to year-end financing campaigns.</w:t>
      </w:r>
    </w:p>
    <w:p>
      <w:pPr>
        <w:spacing w:after="0" w:line="161" w:lineRule="exact"/>
        <w:rPr>
          <w:rFonts w:ascii="Arial" w:cs="Arial" w:eastAsia="Arial" w:hAnsi="Arial"/>
          <w:sz w:val="18"/>
          <w:szCs w:val="18"/>
          <w:color w:val="auto"/>
        </w:rPr>
      </w:pPr>
    </w:p>
    <w:p>
      <w:pPr>
        <w:jc w:val="both"/>
        <w:ind w:left="620" w:hanging="369"/>
        <w:spacing w:after="0" w:line="261" w:lineRule="auto"/>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Mortgage</w:t>
      </w:r>
      <w:r>
        <w:rPr>
          <w:rFonts w:ascii="Arial" w:cs="Arial" w:eastAsia="Arial" w:hAnsi="Arial"/>
          <w:sz w:val="18"/>
          <w:szCs w:val="18"/>
          <w:color w:val="auto"/>
        </w:rPr>
        <w:t xml:space="preserve"> segment increased QoQ and YoY primarily due to expansion in the LC loan book, where the Mortgage Segment’s share of total loans increased from 69.8% in 3Q15 to 71.1% in 4Q15. The aforementioned reflects the good results achieved by the dedollarization program that was applied to this segment, given that 100% of the disbursements generated this quarter were in LC. The FC Portfolio fell -5.8% QoQ and -21.3% YoY due to amortizations and pre-payments</w:t>
      </w:r>
    </w:p>
    <w:p>
      <w:pPr>
        <w:spacing w:after="0" w:line="184" w:lineRule="exact"/>
        <w:rPr>
          <w:rFonts w:ascii="Arial" w:cs="Arial" w:eastAsia="Arial" w:hAnsi="Arial"/>
          <w:sz w:val="18"/>
          <w:szCs w:val="18"/>
          <w:color w:val="auto"/>
        </w:rPr>
      </w:pPr>
    </w:p>
    <w:p>
      <w:pPr>
        <w:jc w:val="both"/>
        <w:ind w:left="640"/>
        <w:spacing w:after="0" w:line="264" w:lineRule="auto"/>
        <w:rPr>
          <w:rFonts w:ascii="Arial" w:cs="Arial" w:eastAsia="Arial" w:hAnsi="Arial"/>
          <w:sz w:val="18"/>
          <w:szCs w:val="18"/>
          <w:color w:val="auto"/>
        </w:rPr>
      </w:pPr>
      <w:r>
        <w:rPr>
          <w:rFonts w:ascii="Arial" w:cs="Arial" w:eastAsia="Arial" w:hAnsi="Arial"/>
          <w:sz w:val="18"/>
          <w:szCs w:val="18"/>
          <w:color w:val="auto"/>
        </w:rPr>
        <w:t>It is important to note that the FC Loans registered a very low loan to value (LTV) of 50% at the end of December 2015 (lower than the 51% at the end of September 2015 and below the portfolio average of 56%). Disbursements since mid-2013 have been made primarily in LC and hit levels of 100% in most months.</w:t>
      </w:r>
    </w:p>
    <w:p>
      <w:pPr>
        <w:spacing w:after="0" w:line="177" w:lineRule="exact"/>
        <w:rPr>
          <w:rFonts w:ascii="Arial" w:cs="Arial" w:eastAsia="Arial" w:hAnsi="Arial"/>
          <w:sz w:val="18"/>
          <w:szCs w:val="18"/>
          <w:color w:val="auto"/>
        </w:rPr>
      </w:pPr>
    </w:p>
    <w:p>
      <w:pPr>
        <w:jc w:val="both"/>
        <w:ind w:left="620" w:hanging="369"/>
        <w:spacing w:after="0" w:line="266" w:lineRule="auto"/>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SME</w:t>
      </w:r>
      <w:r>
        <w:rPr>
          <w:rFonts w:ascii="Arial" w:cs="Arial" w:eastAsia="Arial" w:hAnsi="Arial"/>
          <w:sz w:val="18"/>
          <w:szCs w:val="18"/>
          <w:color w:val="auto"/>
        </w:rPr>
        <w:t xml:space="preserve"> segment posted an increase QoQ and YoY after an increase in the pace of origination. This contrasted with the scenario in the first half of the year, when the portfolio contracted after adjustments were made to risk models to tighten lending conditions. This situation tends to accentuate in situations of low economic growth.</w:t>
      </w:r>
    </w:p>
    <w:p>
      <w:pPr>
        <w:spacing w:after="0" w:line="176" w:lineRule="exact"/>
        <w:rPr>
          <w:rFonts w:ascii="Arial" w:cs="Arial" w:eastAsia="Arial" w:hAnsi="Arial"/>
          <w:sz w:val="18"/>
          <w:szCs w:val="18"/>
          <w:color w:val="auto"/>
        </w:rPr>
      </w:pPr>
    </w:p>
    <w:p>
      <w:pPr>
        <w:jc w:val="both"/>
        <w:ind w:left="620" w:hanging="369"/>
        <w:spacing w:after="0" w:line="266" w:lineRule="auto"/>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Credit Card</w:t>
      </w:r>
      <w:r>
        <w:rPr>
          <w:rFonts w:ascii="Arial" w:cs="Arial" w:eastAsia="Arial" w:hAnsi="Arial"/>
          <w:sz w:val="18"/>
          <w:szCs w:val="18"/>
          <w:color w:val="auto"/>
        </w:rPr>
        <w:t xml:space="preserve"> segment expanded QoQ and YoY. This was primarily due to an increase of the LC Portfolio, which was accompanied by lower growth in the FC loan book. It is important to note that in this segment, loans in FC are associated with purchases in US Dollars outside of the country that are made by internet or during trips by clients who pay in full at the payment date.</w:t>
      </w:r>
    </w:p>
    <w:p>
      <w:pPr>
        <w:spacing w:after="0" w:line="176" w:lineRule="exact"/>
        <w:rPr>
          <w:rFonts w:ascii="Arial" w:cs="Arial" w:eastAsia="Arial" w:hAnsi="Arial"/>
          <w:sz w:val="18"/>
          <w:szCs w:val="18"/>
          <w:color w:val="auto"/>
        </w:rPr>
      </w:pPr>
    </w:p>
    <w:p>
      <w:pPr>
        <w:ind w:left="620" w:hanging="369"/>
        <w:spacing w:after="0" w:line="282" w:lineRule="auto"/>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Consumer</w:t>
      </w:r>
      <w:r>
        <w:rPr>
          <w:rFonts w:ascii="Arial" w:cs="Arial" w:eastAsia="Arial" w:hAnsi="Arial"/>
          <w:sz w:val="18"/>
          <w:szCs w:val="18"/>
          <w:color w:val="auto"/>
        </w:rPr>
        <w:t xml:space="preserve"> segment posted growth QoQ and YoY mainly due to expansion in the LC Portfolio, which represented approximately 83% of total loans. This increase was offset by the decline in the FC Portfolio.</w:t>
      </w:r>
    </w:p>
    <w:p>
      <w:pPr>
        <w:spacing w:after="0" w:line="162"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BCP Bolivia </w:t>
      </w:r>
      <w:r>
        <w:rPr>
          <w:rFonts w:ascii="Arial" w:cs="Arial" w:eastAsia="Arial" w:hAnsi="Arial"/>
          <w:sz w:val="16"/>
          <w:szCs w:val="16"/>
          <w:color w:val="auto"/>
        </w:rPr>
        <w:t>posted good loan dynamism, registering growth of +10.6% QoQ and +33.8% YoY in average daily balances and +10.5% QoQ and +34.2% YoY</w:t>
      </w:r>
      <w:r>
        <w:rPr>
          <w:rFonts w:ascii="Arial" w:cs="Arial" w:eastAsia="Arial" w:hAnsi="Arial"/>
          <w:sz w:val="16"/>
          <w:szCs w:val="16"/>
          <w:b w:val="1"/>
          <w:bCs w:val="1"/>
          <w:color w:val="auto"/>
        </w:rPr>
        <w:t xml:space="preserve"> </w:t>
      </w:r>
      <w:r>
        <w:rPr>
          <w:rFonts w:ascii="Arial" w:cs="Arial" w:eastAsia="Arial" w:hAnsi="Arial"/>
          <w:sz w:val="16"/>
          <w:szCs w:val="16"/>
          <w:color w:val="auto"/>
        </w:rPr>
        <w:t>in quarter-end balances. The aforementioned is in line with expansion in its Retail Banking portfolio (+4.3% QoQ and +14.1% YoY), which represents 61% and 50% of QoQ and YoY growth, respectively. The highest expansion in volumes was posted for mortgage and personal loans after the government set lower financing rates for the regulated portfolio (productive sector and social housing), which must account for 60% of total loans at the end of 2018.</w:t>
      </w:r>
    </w:p>
    <w:p>
      <w:pPr>
        <w:spacing w:after="0" w:line="151"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 xml:space="preserve">ASB </w:t>
      </w:r>
      <w:r>
        <w:rPr>
          <w:rFonts w:ascii="Arial" w:cs="Arial" w:eastAsia="Arial" w:hAnsi="Arial"/>
          <w:sz w:val="16"/>
          <w:szCs w:val="16"/>
          <w:color w:val="auto"/>
        </w:rPr>
        <w:t>reported growth of +6.2% QoQ and +33.5% YoY in average daily balances and +2.1% QoQ and +8.6% YoY in quarter-end balances. The difference in</w:t>
      </w:r>
      <w:r>
        <w:rPr>
          <w:rFonts w:ascii="Arial" w:cs="Arial" w:eastAsia="Arial" w:hAnsi="Arial"/>
          <w:sz w:val="16"/>
          <w:szCs w:val="16"/>
          <w:b w:val="1"/>
          <w:bCs w:val="1"/>
          <w:color w:val="auto"/>
        </w:rPr>
        <w:t xml:space="preserve"> </w:t>
      </w:r>
      <w:r>
        <w:rPr>
          <w:rFonts w:ascii="Arial" w:cs="Arial" w:eastAsia="Arial" w:hAnsi="Arial"/>
          <w:sz w:val="16"/>
          <w:szCs w:val="16"/>
          <w:color w:val="auto"/>
        </w:rPr>
        <w:t>the growth rates in these items was due primarily to payments in full made at quarter-end and to the 5.87% QoQ appreciation in the US Dollar.</w:t>
      </w:r>
    </w:p>
    <w:p>
      <w:pPr>
        <w:spacing w:after="0" w:line="11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Finally, </w:t>
      </w:r>
      <w:r>
        <w:rPr>
          <w:rFonts w:ascii="Arial" w:cs="Arial" w:eastAsia="Arial" w:hAnsi="Arial"/>
          <w:sz w:val="18"/>
          <w:szCs w:val="18"/>
          <w:b w:val="1"/>
          <w:bCs w:val="1"/>
          <w:color w:val="auto"/>
        </w:rPr>
        <w:t>Mibanco</w:t>
      </w:r>
      <w:r>
        <w:rPr>
          <w:rFonts w:ascii="Arial" w:cs="Arial" w:eastAsia="Arial" w:hAnsi="Arial"/>
          <w:sz w:val="18"/>
          <w:szCs w:val="18"/>
          <w:color w:val="auto"/>
        </w:rPr>
        <w:t>’s loans, measured in average daily balances, increased slightly (+2.6% QoQ +4.3% YoY). This shows the initial recovery in loan origination after the acquisition and the subsequent clean-up process. Nevertheless, it is important to remember that the speed of origination is still below this segment’s potential, which reflects the bank’s focus on prioritizing portfolio quality over speeding up the pace of loan growth, considering the current macroeconomic context.</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t>1.2.2 Evolution of dollarization by segment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YoY evolution of dollarization by segment </w:t>
      </w:r>
      <w:r>
        <w:rPr>
          <w:rFonts w:ascii="Arial" w:cs="Arial" w:eastAsia="Arial" w:hAnsi="Arial"/>
          <w:sz w:val="30"/>
          <w:szCs w:val="30"/>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90170</wp:posOffset>
            </wp:positionV>
            <wp:extent cx="5746115" cy="22980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46115" cy="2298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Average daily balances.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figure above shows the YoY evolution of dollarization by loan segment in average daily balances. It is evident that the majority of segments in BCP’s portfolio have continued to de-dollarize. The de-dollarization process in Wholesale Banking, both in Corporate Banking and Middle Market Banking, is particularly noteworthy.</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Retail Banking segments that have the highest degree of dollarization, SME Business and Mortgage, posted significant de-dollarization YoY. In the case of Mortgages, the factors that explain de-dollarization are a high level of disbursements in local currency (almost 100%) and amortization of the stock in US Dollars.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1.2.3 BCRP de-dollarization plan at BCP Stand-alone</w:t>
      </w:r>
    </w:p>
    <w:p>
      <w:pPr>
        <w:spacing w:after="0" w:line="225" w:lineRule="exact"/>
        <w:rPr>
          <w:sz w:val="20"/>
          <w:szCs w:val="20"/>
          <w:color w:val="auto"/>
        </w:rPr>
      </w:pPr>
    </w:p>
    <w:p>
      <w:pPr>
        <w:spacing w:after="0" w:line="280" w:lineRule="auto"/>
        <w:rPr>
          <w:sz w:val="20"/>
          <w:szCs w:val="20"/>
          <w:color w:val="auto"/>
        </w:rPr>
      </w:pPr>
      <w:r>
        <w:rPr>
          <w:rFonts w:ascii="Arial" w:cs="Arial" w:eastAsia="Arial" w:hAnsi="Arial"/>
          <w:sz w:val="18"/>
          <w:szCs w:val="18"/>
          <w:color w:val="auto"/>
        </w:rPr>
        <w:t>In terms of the de-dollarization measures created by BCRP, it is important to note that de-dollarization targets were set for June 2015 and December 2015 for (i) all of the portfolio in FC with certain exceptions</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and (ii) all of the joint mortgage and car loan portfolio.</w:t>
      </w:r>
    </w:p>
    <w:p>
      <w:pPr>
        <w:spacing w:after="0" w:line="4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case of the total portfolio in FC, the reduction target is calculated based on the account balance (in Peru GAAP) at the end of September 2013. With regard to the joint mortgage and car loan portfolio, the reduction target is calculated based on the account balance (in Peru GAAP) at the end of February 2013. Nevertheless, the level of compliance for both targets is based on monthly average daily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18097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22" w:lineRule="exact"/>
        <w:rPr>
          <w:sz w:val="20"/>
          <w:szCs w:val="20"/>
          <w:color w:val="auto"/>
        </w:rPr>
      </w:pPr>
    </w:p>
    <w:p>
      <w:pPr>
        <w:ind w:left="120" w:hanging="112"/>
        <w:spacing w:after="0"/>
        <w:tabs>
          <w:tab w:leader="none" w:pos="120" w:val="left"/>
        </w:tabs>
        <w:numPr>
          <w:ilvl w:val="0"/>
          <w:numId w:val="12"/>
        </w:numPr>
        <w:rPr>
          <w:rFonts w:ascii="Arial" w:cs="Arial" w:eastAsia="Arial" w:hAnsi="Arial"/>
          <w:sz w:val="30"/>
          <w:szCs w:val="30"/>
          <w:color w:val="auto"/>
          <w:vertAlign w:val="superscript"/>
        </w:rPr>
      </w:pPr>
      <w:r>
        <w:rPr>
          <w:rFonts w:ascii="Arial" w:cs="Arial" w:eastAsia="Arial" w:hAnsi="Arial"/>
          <w:sz w:val="18"/>
          <w:szCs w:val="18"/>
          <w:color w:val="auto"/>
        </w:rPr>
        <w:t>This total portfolio excludes loans for foreign trade; those whose term exceeds 3 years; and those for more than US$ 10 million</w:t>
      </w: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 w:name="page15"/>
    <w:bookmarkEnd w:id="14"/>
    <w:p>
      <w:pPr>
        <w:spacing w:after="0"/>
        <w:rPr>
          <w:sz w:val="20"/>
          <w:szCs w:val="20"/>
          <w:color w:val="auto"/>
        </w:rPr>
      </w:pPr>
      <w:r>
        <w:rPr>
          <w:rFonts w:ascii="Arial" w:cs="Arial" w:eastAsia="Arial" w:hAnsi="Arial"/>
          <w:sz w:val="16"/>
          <w:szCs w:val="16"/>
          <w:color w:val="auto"/>
        </w:rPr>
        <w:t>The following figures show the percentage of compliance at the end of December 2015:</w:t>
      </w:r>
    </w:p>
    <w:p>
      <w:pPr>
        <w:sectPr>
          <w:pgSz w:w="11900" w:h="16838" w:orient="portrait"/>
          <w:cols w:equalWidth="0" w:num="1">
            <w:col w:w="11420"/>
          </w:cols>
          <w:pgMar w:left="240" w:top="908" w:right="239" w:bottom="1440" w:gutter="0" w:footer="0" w:header="0"/>
        </w:sectPr>
      </w:pPr>
    </w:p>
    <w:p>
      <w:pPr>
        <w:spacing w:after="0" w:line="200" w:lineRule="exact"/>
        <w:rPr>
          <w:sz w:val="20"/>
          <w:szCs w:val="20"/>
          <w:color w:val="auto"/>
        </w:rPr>
      </w:pPr>
    </w:p>
    <w:p>
      <w:pPr>
        <w:spacing w:after="0" w:line="260" w:lineRule="exact"/>
        <w:rPr>
          <w:sz w:val="20"/>
          <w:szCs w:val="20"/>
          <w:color w:val="auto"/>
        </w:rPr>
      </w:pPr>
    </w:p>
    <w:p>
      <w:pPr>
        <w:jc w:val="center"/>
        <w:ind w:right="120"/>
        <w:spacing w:after="0"/>
        <w:rPr>
          <w:sz w:val="20"/>
          <w:szCs w:val="20"/>
          <w:color w:val="auto"/>
        </w:rPr>
      </w:pPr>
      <w:r>
        <w:rPr>
          <w:rFonts w:ascii="Arial" w:cs="Arial" w:eastAsia="Arial" w:hAnsi="Arial"/>
          <w:sz w:val="16"/>
          <w:szCs w:val="16"/>
          <w:b w:val="1"/>
          <w:bCs w:val="1"/>
          <w:color w:val="auto"/>
        </w:rPr>
        <w:t>Reduction target for total loans in FC</w:t>
      </w:r>
    </w:p>
    <w:p>
      <w:pPr>
        <w:spacing w:after="0" w:line="50"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 at the end of December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142875</wp:posOffset>
            </wp:positionV>
            <wp:extent cx="2872740" cy="14236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872740" cy="14236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0" w:lineRule="exact"/>
        <w:rPr>
          <w:sz w:val="20"/>
          <w:szCs w:val="20"/>
          <w:color w:val="auto"/>
        </w:rPr>
      </w:pPr>
    </w:p>
    <w:p>
      <w:pPr>
        <w:jc w:val="center"/>
        <w:ind w:right="840"/>
        <w:spacing w:after="0"/>
        <w:rPr>
          <w:sz w:val="20"/>
          <w:szCs w:val="20"/>
          <w:color w:val="auto"/>
        </w:rPr>
      </w:pPr>
      <w:r>
        <w:rPr>
          <w:rFonts w:ascii="Arial" w:cs="Arial" w:eastAsia="Arial" w:hAnsi="Arial"/>
          <w:sz w:val="16"/>
          <w:szCs w:val="16"/>
          <w:b w:val="1"/>
          <w:bCs w:val="1"/>
          <w:color w:val="auto"/>
        </w:rPr>
        <w:t>Reduction target for “Mortgage &amp; Car” loans in FC</w:t>
      </w:r>
    </w:p>
    <w:p>
      <w:pPr>
        <w:spacing w:after="0" w:line="50"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 at the end of December 2015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wp:posOffset>
            </wp:positionH>
            <wp:positionV relativeFrom="paragraph">
              <wp:posOffset>203200</wp:posOffset>
            </wp:positionV>
            <wp:extent cx="2933065" cy="13290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933065" cy="13290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40" w:space="720"/>
            <w:col w:w="4860"/>
          </w:cols>
          <w:pgMar w:left="240" w:top="908"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 figures show that BCP Stand-alone has achieved a very comfortable level of compliance in both of the loan portfolios that are subject to the de-dollarization program.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1.2.4 Market share in loans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share in Peru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17145</wp:posOffset>
            </wp:positionV>
            <wp:extent cx="5746115" cy="12947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46115" cy="1294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60" w:hanging="252"/>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 the end of December 2015.</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Mortgage includes Mibanco’s market share, 1% in September 2015 and in November 2015.</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Consumer includes Mibanco’s market share, 2.1% in September 2015 and in November 2015.</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the end of November 2015, BCP Stand-alone continued to lead the market with a 30.5% share, which was significantly higher than the figure posted by its closest competitor.</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Although Wholesale Banking continued to lead the market, there was a drop in Corporate Banking’s share, which went from 44.6% in September 2015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43.7% in December 2015 due to loan amortization at quarter-end. Middle Market Banking’s share also fell slightly, going from 34.3% in September 2015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33.4% in December 2015.</w:t>
      </w:r>
    </w:p>
    <w:p>
      <w:pPr>
        <w:spacing w:after="0" w:line="21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terms of Retail Banking, BCP continued to lead the market in the vast majority of segments, with the exception of SME-Business and Credit Card, where it ranks second in terms of market share. BCP increased its share of the SME-Business segment (22.6% in December 2014, 24.2% in September 2015 vs. 25.1% in November 2015) and of the SME-Pyme segment (35.9% in December 2014, 36.4% in September 2015 2015 vs. 36.5% in November 2015)</w:t>
      </w: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15" w:name="page16"/>
    <w:bookmarkEnd w:id="15"/>
    <w:p>
      <w:pPr>
        <w:ind w:right="20"/>
        <w:spacing w:after="0" w:line="277" w:lineRule="auto"/>
        <w:rPr>
          <w:sz w:val="20"/>
          <w:szCs w:val="20"/>
          <w:color w:val="auto"/>
        </w:rPr>
      </w:pPr>
      <w:r>
        <w:rPr>
          <w:rFonts w:ascii="Arial" w:cs="Arial" w:eastAsia="Arial" w:hAnsi="Arial"/>
          <w:sz w:val="18"/>
          <w:szCs w:val="18"/>
          <w:color w:val="auto"/>
        </w:rPr>
        <w:t>Mibanco (including Edyficar) posted a 3% market share in the Peruvian financial system in both September 2015 and November 2015. An analysis of the SME-PYME segment in Peru shows that Mibanco’s share rose from 21.1% in September 2015 to 21.2% in November 2015.</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Finally, BCP Bolivia maintained its market share QoQ (9.0% at the end of December and September 2015) and continued to rank fourth in the Bolivian Financial System.</w:t>
      </w:r>
    </w:p>
    <w:p>
      <w:pPr>
        <w:spacing w:after="0" w:line="166"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Funding Sources</w:t>
      </w:r>
    </w:p>
    <w:p>
      <w:pPr>
        <w:spacing w:after="0" w:line="229" w:lineRule="exact"/>
        <w:rPr>
          <w:sz w:val="20"/>
          <w:szCs w:val="20"/>
          <w:color w:val="auto"/>
        </w:rPr>
      </w:pPr>
    </w:p>
    <w:p>
      <w:pPr>
        <w:jc w:val="both"/>
        <w:spacing w:after="0" w:line="232" w:lineRule="auto"/>
        <w:rPr>
          <w:sz w:val="20"/>
          <w:szCs w:val="20"/>
          <w:color w:val="auto"/>
        </w:rPr>
      </w:pPr>
      <w:r>
        <w:rPr>
          <w:rFonts w:ascii="Arial" w:cs="Arial" w:eastAsia="Arial" w:hAnsi="Arial"/>
          <w:sz w:val="18"/>
          <w:szCs w:val="18"/>
          <w:i w:val="1"/>
          <w:iCs w:val="1"/>
          <w:color w:val="auto"/>
        </w:rPr>
        <w:t>Credicorp’s deposits increased +4.8% QoQ, mainly due to growth in Savings Deposits and Non-interest bearing deposits at BCP Stand-alone. Other funding sources fell QoQ, which was in line with maturities in Due to Banks and Correspondents and in BCRP Instruments. In this context, the cost of funding</w:t>
      </w:r>
      <w:r>
        <w:rPr>
          <w:rFonts w:ascii="Arial" w:cs="Arial" w:eastAsia="Arial" w:hAnsi="Arial"/>
          <w:sz w:val="30"/>
          <w:szCs w:val="30"/>
          <w:color w:val="auto"/>
          <w:vertAlign w:val="superscript"/>
        </w:rPr>
        <w:t>2</w:t>
      </w:r>
      <w:r>
        <w:rPr>
          <w:rFonts w:ascii="Arial" w:cs="Arial" w:eastAsia="Arial" w:hAnsi="Arial"/>
          <w:sz w:val="18"/>
          <w:szCs w:val="18"/>
          <w:i w:val="1"/>
          <w:iCs w:val="1"/>
          <w:color w:val="auto"/>
        </w:rPr>
        <w:t xml:space="preserve"> at Credicorp and BCP Stand-alone increased slightly QoQ (+4 bps). The L/D ratio fell QoQ, in line with higher growth in deposits vs. loans (+2.8% QoQ). In accumulated annual terms, Credicorp’s funding cost increased only +3 bps; this was due primarily to the evolution of this indicator at BCP Stand-alone (+8 bps) and at Mibanco (-9 bps).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Funding</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ind w:left="300"/>
              <w:spacing w:after="0"/>
              <w:rPr>
                <w:sz w:val="20"/>
                <w:szCs w:val="20"/>
                <w:color w:val="auto"/>
              </w:rPr>
            </w:pPr>
            <w:r>
              <w:rPr>
                <w:rFonts w:ascii="Arial" w:cs="Arial" w:eastAsia="Arial" w:hAnsi="Arial"/>
                <w:sz w:val="18"/>
                <w:szCs w:val="18"/>
                <w:b w:val="1"/>
                <w:bCs w:val="1"/>
                <w:color w:val="auto"/>
              </w:rPr>
              <w:t>Quarter</w:t>
            </w: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60" w:type="dxa"/>
            <w:vAlign w:val="bottom"/>
            <w:gridSpan w:val="3"/>
          </w:tcPr>
          <w:p>
            <w:pPr>
              <w:ind w:left="180"/>
              <w:spacing w:after="0"/>
              <w:rPr>
                <w:sz w:val="20"/>
                <w:szCs w:val="20"/>
                <w:color w:val="auto"/>
              </w:rPr>
            </w:pPr>
            <w:r>
              <w:rPr>
                <w:rFonts w:ascii="Arial" w:cs="Arial" w:eastAsia="Arial" w:hAnsi="Arial"/>
                <w:sz w:val="18"/>
                <w:szCs w:val="18"/>
                <w:b w:val="1"/>
                <w:bCs w:val="1"/>
                <w:color w:val="auto"/>
              </w:rPr>
              <w:t>% change</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4"/>
        </w:trPr>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000</w:t>
            </w:r>
          </w:p>
        </w:tc>
        <w:tc>
          <w:tcPr>
            <w:tcW w:w="1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4Q14</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3Q15</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4Q15</w:t>
            </w:r>
          </w:p>
        </w:tc>
        <w:tc>
          <w:tcPr>
            <w:tcW w:w="20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w w:val="97"/>
              </w:rPr>
              <w:t>QoQ</w:t>
            </w:r>
          </w:p>
        </w:tc>
        <w:tc>
          <w:tcPr>
            <w:tcW w:w="420" w:type="dxa"/>
            <w:vAlign w:val="bottom"/>
            <w:tcBorders>
              <w:bottom w:val="single" w:sz="8" w:color="auto"/>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20"/>
                <w:szCs w:val="20"/>
                <w:color w:val="auto"/>
              </w:rPr>
            </w:pP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Non-interest bearing deposits</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20,574,593</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23,240,530</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24,311,350</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4.6%</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Demand deposits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4,682,123</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5,885,143</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6,159,876</w:t>
            </w:r>
          </w:p>
        </w:tc>
        <w:tc>
          <w:tcPr>
            <w:tcW w:w="840" w:type="dxa"/>
            <w:vAlign w:val="bottom"/>
          </w:tcPr>
          <w:p>
            <w:pPr>
              <w:spacing w:after="0"/>
              <w:rPr>
                <w:sz w:val="18"/>
                <w:szCs w:val="18"/>
                <w:color w:val="auto"/>
              </w:rPr>
            </w:pPr>
          </w:p>
        </w:tc>
        <w:tc>
          <w:tcPr>
            <w:tcW w:w="700" w:type="dxa"/>
            <w:vAlign w:val="bottom"/>
            <w:gridSpan w:val="2"/>
          </w:tcPr>
          <w:p>
            <w:pPr>
              <w:jc w:val="right"/>
              <w:ind w:right="50"/>
              <w:spacing w:after="0"/>
              <w:rPr>
                <w:sz w:val="20"/>
                <w:szCs w:val="20"/>
                <w:color w:val="auto"/>
              </w:rPr>
            </w:pPr>
            <w:r>
              <w:rPr>
                <w:rFonts w:ascii="Arial" w:cs="Arial" w:eastAsia="Arial" w:hAnsi="Arial"/>
                <w:sz w:val="18"/>
                <w:szCs w:val="18"/>
                <w:color w:val="auto"/>
              </w:rPr>
              <w:t>4.7%</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31.6%</w:t>
            </w: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Saving deposits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21,208,831</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22,794,914</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24,904,566</w:t>
            </w:r>
          </w:p>
        </w:tc>
        <w:tc>
          <w:tcPr>
            <w:tcW w:w="8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9.3%</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Time deposits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23,668,110</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27,688,032</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27,719,786</w:t>
            </w:r>
          </w:p>
        </w:tc>
        <w:tc>
          <w:tcPr>
            <w:tcW w:w="840" w:type="dxa"/>
            <w:vAlign w:val="bottom"/>
          </w:tcPr>
          <w:p>
            <w:pPr>
              <w:spacing w:after="0"/>
              <w:rPr>
                <w:sz w:val="18"/>
                <w:szCs w:val="18"/>
                <w:color w:val="auto"/>
              </w:rPr>
            </w:pPr>
          </w:p>
        </w:tc>
        <w:tc>
          <w:tcPr>
            <w:tcW w:w="700" w:type="dxa"/>
            <w:vAlign w:val="bottom"/>
            <w:gridSpan w:val="2"/>
          </w:tcPr>
          <w:p>
            <w:pPr>
              <w:jc w:val="right"/>
              <w:ind w:right="50"/>
              <w:spacing w:after="0"/>
              <w:rPr>
                <w:sz w:val="20"/>
                <w:szCs w:val="20"/>
                <w:color w:val="auto"/>
              </w:rPr>
            </w:pPr>
            <w:r>
              <w:rPr>
                <w:rFonts w:ascii="Arial" w:cs="Arial" w:eastAsia="Arial" w:hAnsi="Arial"/>
                <w:sz w:val="18"/>
                <w:szCs w:val="18"/>
                <w:color w:val="auto"/>
              </w:rPr>
              <w:t>0.1%</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17.1%</w:t>
            </w:r>
          </w:p>
        </w:tc>
      </w:tr>
      <w:tr>
        <w:trPr>
          <w:trHeight w:val="257"/>
        </w:trPr>
        <w:tc>
          <w:tcPr>
            <w:tcW w:w="40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CTS deposits</w:t>
            </w:r>
            <w:r>
              <w:rPr>
                <w:rFonts w:ascii="Arial" w:cs="Arial" w:eastAsia="Arial" w:hAnsi="Arial"/>
                <w:sz w:val="29"/>
                <w:szCs w:val="29"/>
                <w:color w:val="auto"/>
                <w:vertAlign w:val="superscript"/>
              </w:rPr>
              <w:t>(1)</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6,763,832</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6,535,695</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7,183,421</w:t>
            </w:r>
          </w:p>
        </w:tc>
        <w:tc>
          <w:tcPr>
            <w:tcW w:w="84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9.9%</w:t>
            </w:r>
          </w:p>
        </w:tc>
        <w:tc>
          <w:tcPr>
            <w:tcW w:w="3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30"/>
        </w:trPr>
        <w:tc>
          <w:tcPr>
            <w:tcW w:w="4080" w:type="dxa"/>
            <w:vAlign w:val="bottom"/>
            <w:gridSpan w:val="2"/>
          </w:tcPr>
          <w:p>
            <w:pPr>
              <w:spacing w:after="0"/>
              <w:rPr>
                <w:sz w:val="20"/>
                <w:szCs w:val="20"/>
                <w:color w:val="auto"/>
              </w:rPr>
            </w:pPr>
            <w:r>
              <w:rPr>
                <w:rFonts w:ascii="Arial" w:cs="Arial" w:eastAsia="Arial" w:hAnsi="Arial"/>
                <w:sz w:val="18"/>
                <w:szCs w:val="18"/>
                <w:color w:val="auto"/>
              </w:rPr>
              <w:t>Interest payable</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263,005</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282,393</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314,303</w:t>
            </w:r>
          </w:p>
        </w:tc>
        <w:tc>
          <w:tcPr>
            <w:tcW w:w="840" w:type="dxa"/>
            <w:vAlign w:val="bottom"/>
          </w:tcPr>
          <w:p>
            <w:pPr>
              <w:spacing w:after="0"/>
              <w:rPr>
                <w:sz w:val="19"/>
                <w:szCs w:val="19"/>
                <w:color w:val="auto"/>
              </w:rPr>
            </w:pPr>
          </w:p>
        </w:tc>
        <w:tc>
          <w:tcPr>
            <w:tcW w:w="700" w:type="dxa"/>
            <w:vAlign w:val="bottom"/>
            <w:gridSpan w:val="2"/>
          </w:tcPr>
          <w:p>
            <w:pPr>
              <w:jc w:val="right"/>
              <w:ind w:right="50"/>
              <w:spacing w:after="0"/>
              <w:rPr>
                <w:sz w:val="20"/>
                <w:szCs w:val="20"/>
                <w:color w:val="auto"/>
              </w:rPr>
            </w:pPr>
            <w:r>
              <w:rPr>
                <w:rFonts w:ascii="Arial" w:cs="Arial" w:eastAsia="Arial" w:hAnsi="Arial"/>
                <w:sz w:val="18"/>
                <w:szCs w:val="18"/>
                <w:color w:val="auto"/>
              </w:rPr>
              <w:t>11.3%</w:t>
            </w:r>
          </w:p>
        </w:tc>
        <w:tc>
          <w:tcPr>
            <w:tcW w:w="3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19.5%</w:t>
            </w:r>
          </w:p>
        </w:tc>
      </w:tr>
      <w:tr>
        <w:trPr>
          <w:trHeight w:val="210"/>
        </w:trPr>
        <w:tc>
          <w:tcPr>
            <w:tcW w:w="40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deposits</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77,160,494</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86,426,707</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90,593,302</w:t>
            </w: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w:t>
            </w:r>
          </w:p>
        </w:tc>
        <w:tc>
          <w:tcPr>
            <w:tcW w:w="28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17.4</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210"/>
        </w:trPr>
        <w:tc>
          <w:tcPr>
            <w:tcW w:w="4080" w:type="dxa"/>
            <w:vAlign w:val="bottom"/>
            <w:gridSpan w:val="2"/>
          </w:tcPr>
          <w:p>
            <w:pPr>
              <w:spacing w:after="0"/>
              <w:rPr>
                <w:sz w:val="20"/>
                <w:szCs w:val="20"/>
                <w:color w:val="auto"/>
              </w:rPr>
            </w:pPr>
            <w:r>
              <w:rPr>
                <w:rFonts w:ascii="Arial" w:cs="Arial" w:eastAsia="Arial" w:hAnsi="Arial"/>
                <w:sz w:val="18"/>
                <w:szCs w:val="18"/>
                <w:color w:val="auto"/>
              </w:rPr>
              <w:t>Due to banks and correspondents</w:t>
            </w:r>
          </w:p>
        </w:tc>
        <w:tc>
          <w:tcPr>
            <w:tcW w:w="1240" w:type="dxa"/>
            <w:vAlign w:val="bottom"/>
          </w:tcPr>
          <w:p>
            <w:pPr>
              <w:jc w:val="right"/>
              <w:spacing w:after="0"/>
              <w:rPr>
                <w:sz w:val="20"/>
                <w:szCs w:val="20"/>
                <w:color w:val="auto"/>
              </w:rPr>
            </w:pPr>
            <w:r>
              <w:rPr>
                <w:rFonts w:ascii="Arial" w:cs="Arial" w:eastAsia="Arial" w:hAnsi="Arial"/>
                <w:sz w:val="18"/>
                <w:szCs w:val="18"/>
                <w:color w:val="auto"/>
              </w:rPr>
              <w:t>11,160,872</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9,737,111</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8,387,517</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gridSpan w:val="2"/>
          </w:tcPr>
          <w:p>
            <w:pPr>
              <w:jc w:val="right"/>
              <w:ind w:right="50"/>
              <w:spacing w:after="0"/>
              <w:rPr>
                <w:sz w:val="20"/>
                <w:szCs w:val="20"/>
                <w:color w:val="auto"/>
              </w:rPr>
            </w:pPr>
            <w:r>
              <w:rPr>
                <w:rFonts w:ascii="Arial" w:cs="Arial" w:eastAsia="Arial" w:hAnsi="Arial"/>
                <w:sz w:val="18"/>
                <w:szCs w:val="18"/>
                <w:color w:val="auto"/>
                <w:w w:val="94"/>
              </w:rPr>
              <w:t>-13.9%</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-24.8%</w:t>
            </w: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BCRP instruments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4,980,531</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11,863,340</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10,612,840</w:t>
            </w:r>
          </w:p>
        </w:tc>
        <w:tc>
          <w:tcPr>
            <w:tcW w:w="8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4"/>
              </w:rPr>
              <w:t>-10.5%</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113.1%</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Bonds and subordinated debt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15,096,612</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16,016,573</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16,305,819</w:t>
            </w:r>
          </w:p>
        </w:tc>
        <w:tc>
          <w:tcPr>
            <w:tcW w:w="840" w:type="dxa"/>
            <w:vAlign w:val="bottom"/>
          </w:tcPr>
          <w:p>
            <w:pPr>
              <w:spacing w:after="0"/>
              <w:rPr>
                <w:sz w:val="18"/>
                <w:szCs w:val="18"/>
                <w:color w:val="auto"/>
              </w:rPr>
            </w:pPr>
          </w:p>
        </w:tc>
        <w:tc>
          <w:tcPr>
            <w:tcW w:w="700" w:type="dxa"/>
            <w:vAlign w:val="bottom"/>
            <w:gridSpan w:val="2"/>
          </w:tcPr>
          <w:p>
            <w:pPr>
              <w:jc w:val="right"/>
              <w:ind w:right="50"/>
              <w:spacing w:after="0"/>
              <w:rPr>
                <w:sz w:val="20"/>
                <w:szCs w:val="20"/>
                <w:color w:val="auto"/>
              </w:rPr>
            </w:pPr>
            <w:r>
              <w:rPr>
                <w:rFonts w:ascii="Arial" w:cs="Arial" w:eastAsia="Arial" w:hAnsi="Arial"/>
                <w:sz w:val="18"/>
                <w:szCs w:val="18"/>
                <w:color w:val="auto"/>
              </w:rPr>
              <w:t>1.8%</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8.0%</w:t>
            </w:r>
          </w:p>
        </w:tc>
      </w:tr>
      <w:tr>
        <w:trPr>
          <w:trHeight w:val="270"/>
        </w:trPr>
        <w:tc>
          <w:tcPr>
            <w:tcW w:w="4080" w:type="dxa"/>
            <w:vAlign w:val="bottom"/>
            <w:gridSpan w:val="2"/>
            <w:shd w:val="clear" w:color="auto" w:fill="CCEEFF"/>
          </w:tcPr>
          <w:p>
            <w:pPr>
              <w:spacing w:after="0" w:line="269" w:lineRule="exact"/>
              <w:rPr>
                <w:sz w:val="20"/>
                <w:szCs w:val="20"/>
                <w:color w:val="auto"/>
              </w:rPr>
            </w:pPr>
            <w:r>
              <w:rPr>
                <w:rFonts w:ascii="Arial" w:cs="Arial" w:eastAsia="Arial" w:hAnsi="Arial"/>
                <w:sz w:val="18"/>
                <w:szCs w:val="18"/>
                <w:color w:val="auto"/>
              </w:rPr>
              <w:t>Other liabilities</w:t>
            </w:r>
            <w:r>
              <w:rPr>
                <w:rFonts w:ascii="Arial" w:cs="Arial" w:eastAsia="Arial" w:hAnsi="Arial"/>
                <w:sz w:val="30"/>
                <w:szCs w:val="30"/>
                <w:color w:val="auto"/>
                <w:vertAlign w:val="superscript"/>
              </w:rPr>
              <w:t>(2)</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12,426,878</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13,010,791</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13,072,489</w:t>
            </w:r>
          </w:p>
        </w:tc>
        <w:tc>
          <w:tcPr>
            <w:tcW w:w="84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0.5%</w:t>
            </w:r>
          </w:p>
        </w:tc>
        <w:tc>
          <w:tcPr>
            <w:tcW w:w="3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25"/>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Total funding</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120,825,387</w:t>
            </w:r>
          </w:p>
        </w:tc>
        <w:tc>
          <w:tcPr>
            <w:tcW w:w="22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137,054,522</w:t>
            </w:r>
          </w:p>
        </w:tc>
        <w:tc>
          <w:tcPr>
            <w:tcW w:w="22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138,971,967</w:t>
            </w:r>
          </w:p>
        </w:tc>
        <w:tc>
          <w:tcPr>
            <w:tcW w:w="2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3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15.0</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2586355</wp:posOffset>
            </wp:positionH>
            <wp:positionV relativeFrom="paragraph">
              <wp:posOffset>-8890</wp:posOffset>
            </wp:positionV>
            <wp:extent cx="454533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545330" cy="8890"/>
                    </a:xfrm>
                    <a:prstGeom prst="rect">
                      <a:avLst/>
                    </a:prstGeom>
                    <a:noFill/>
                  </pic:spPr>
                </pic:pic>
              </a:graphicData>
            </a:graphic>
          </wp:anchor>
        </w:drawing>
      </w:r>
    </w:p>
    <w:p>
      <w:pPr>
        <w:ind w:left="260" w:hanging="252"/>
        <w:spacing w:after="0"/>
        <w:tabs>
          <w:tab w:leader="none" w:pos="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Severance indemnity deposits (CTS by its Spanish initials): Compensation for time of service.</w:t>
      </w:r>
    </w:p>
    <w:p>
      <w:pPr>
        <w:spacing w:after="0" w:line="7" w:lineRule="exact"/>
        <w:rPr>
          <w:rFonts w:ascii="Arial" w:cs="Arial" w:eastAsia="Arial" w:hAnsi="Arial"/>
          <w:sz w:val="18"/>
          <w:szCs w:val="18"/>
          <w:color w:val="auto"/>
        </w:rPr>
      </w:pPr>
    </w:p>
    <w:p>
      <w:pPr>
        <w:ind w:right="40" w:firstLine="8"/>
        <w:spacing w:after="0" w:line="261" w:lineRule="auto"/>
        <w:tabs>
          <w:tab w:leader="none" w:pos="2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bankers’ acceptances outstanding, reserves for property and casualty insurance claims, reserves for unearned premiums, reinsurance payable debt and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80975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25" w:lineRule="exact"/>
        <w:rPr>
          <w:sz w:val="20"/>
          <w:szCs w:val="20"/>
          <w:color w:val="auto"/>
        </w:rPr>
      </w:pPr>
    </w:p>
    <w:p>
      <w:pPr>
        <w:ind w:left="120" w:hanging="112"/>
        <w:spacing w:after="0"/>
        <w:tabs>
          <w:tab w:leader="none" w:pos="120" w:val="left"/>
        </w:tabs>
        <w:numPr>
          <w:ilvl w:val="0"/>
          <w:numId w:val="16"/>
        </w:numPr>
        <w:rPr>
          <w:rFonts w:ascii="Arial" w:cs="Arial" w:eastAsia="Arial" w:hAnsi="Arial"/>
          <w:sz w:val="30"/>
          <w:szCs w:val="30"/>
          <w:color w:val="auto"/>
          <w:vertAlign w:val="superscript"/>
        </w:rPr>
      </w:pPr>
      <w:r>
        <w:rPr>
          <w:rFonts w:ascii="Arial" w:cs="Arial" w:eastAsia="Arial" w:hAnsi="Arial"/>
          <w:sz w:val="18"/>
          <w:szCs w:val="18"/>
          <w:color w:val="auto"/>
        </w:rPr>
        <w:t>The funding cost is calculated using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1406525"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406525" cy="154305"/>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 It considers the average between the initial balance and the closing balance of total liabilities for the period.</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2.1 Funding Structure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Evolution of the funding structure and cost – BAP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154940</wp:posOffset>
            </wp:positionV>
            <wp:extent cx="5746115" cy="24523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46115" cy="2452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40" w:hanging="332"/>
        <w:spacing w:after="0" w:line="27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bankers’ acceptances outstanding, reserves for property and casualty insurance claims, reserves for unearned premiums, reinsurance payable debt and other liabilities.</w:t>
      </w:r>
    </w:p>
    <w:p>
      <w:pPr>
        <w:spacing w:after="0" w:line="16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figure “</w:t>
      </w:r>
      <w:r>
        <w:rPr>
          <w:rFonts w:ascii="Arial" w:cs="Arial" w:eastAsia="Arial" w:hAnsi="Arial"/>
          <w:sz w:val="18"/>
          <w:szCs w:val="18"/>
          <w:b w:val="1"/>
          <w:bCs w:val="1"/>
          <w:color w:val="auto"/>
        </w:rPr>
        <w:t>Evolution of the funding structure and cost BAP</w:t>
      </w:r>
      <w:r>
        <w:rPr>
          <w:rFonts w:ascii="Arial" w:cs="Arial" w:eastAsia="Arial" w:hAnsi="Arial"/>
          <w:sz w:val="18"/>
          <w:szCs w:val="18"/>
          <w:color w:val="auto"/>
        </w:rPr>
        <w:t>” shows that the level of BCRP Instruments fell slightly in 4Q15, which meant that this component’s share of total liabilities also fell (7.6% in 4Q15 vs. 8.7% in 3Q15). The chart also shows an increase in Savings Deposits’ share of total liabilities, which corresponds to seasonality in this segment, as we will explain later in the report. Nevertheless, in the YoY analysis it is worth noting that BCRP instruments have posted on-going growth, which is attributable to improvements in their conditions (longer tenure). In this context, the YoY analysis reflects an increase in the share of BCRP instruments (4.1% in 4Q14 vs. 7.6% in 4Q15) and a decrease in the share of Due to Banks and Correspondents (9.2% in 4Q14 vs. 6.0% in 4Q15).</w:t>
      </w:r>
    </w:p>
    <w:p>
      <w:pPr>
        <w:spacing w:after="0" w:line="19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Consequently, the QoQ and YoY evolutions show an increase in the share of deposits in Credicorp’s total funding, which went from representing 63% in 4Q14 and 3Q15 to 65.2% in 4Q15. As such, deposits continue to represent Credicorp’s main source of funding. Core deposits (Non-interest Bearing Deposits, Demand Deposits, Savings Deposits and CTS deposits) represent approximately 45% of the total funding structure, and grew +7% QoQ and +17% YoY.</w:t>
      </w: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2.1.1 Funding Structure by currency and tenure - BCP Stand-alone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BCP Stand-alone represents around 78% of Credicorp’s assets and liabilities. This is why it is important to analyze its currency mismatch and funding structure by tenure.</w:t>
      </w:r>
    </w:p>
    <w:p>
      <w:pPr>
        <w:spacing w:after="0" w:line="166" w:lineRule="exact"/>
        <w:rPr>
          <w:sz w:val="20"/>
          <w:szCs w:val="20"/>
          <w:color w:val="auto"/>
        </w:rPr>
      </w:pPr>
    </w:p>
    <w:p>
      <w:pPr>
        <w:ind w:left="720"/>
        <w:spacing w:after="0"/>
        <w:tabs>
          <w:tab w:leader="none" w:pos="3360" w:val="left"/>
          <w:tab w:leader="none" w:pos="7680" w:val="left"/>
        </w:tabs>
        <w:rPr>
          <w:sz w:val="20"/>
          <w:szCs w:val="20"/>
          <w:color w:val="auto"/>
        </w:rPr>
      </w:pPr>
      <w:r>
        <w:rPr>
          <w:rFonts w:ascii="Arial" w:cs="Arial" w:eastAsia="Arial" w:hAnsi="Arial"/>
          <w:sz w:val="18"/>
          <w:szCs w:val="18"/>
          <w:b w:val="1"/>
          <w:bCs w:val="1"/>
          <w:color w:val="auto"/>
        </w:rPr>
        <w:t>Assets by currency</w:t>
      </w:r>
      <w:r>
        <w:rPr>
          <w:sz w:val="20"/>
          <w:szCs w:val="20"/>
          <w:color w:val="auto"/>
        </w:rPr>
        <w:tab/>
      </w:r>
      <w:r>
        <w:rPr>
          <w:rFonts w:ascii="Arial" w:cs="Arial" w:eastAsia="Arial" w:hAnsi="Arial"/>
          <w:sz w:val="18"/>
          <w:szCs w:val="18"/>
          <w:b w:val="1"/>
          <w:bCs w:val="1"/>
          <w:color w:val="auto"/>
        </w:rPr>
        <w:t>Liabilities by currency</w:t>
      </w:r>
      <w:r>
        <w:rPr>
          <w:sz w:val="20"/>
          <w:szCs w:val="20"/>
          <w:color w:val="auto"/>
        </w:rPr>
        <w:tab/>
      </w:r>
      <w:r>
        <w:rPr>
          <w:rFonts w:ascii="Arial" w:cs="Arial" w:eastAsia="Arial" w:hAnsi="Arial"/>
          <w:sz w:val="16"/>
          <w:szCs w:val="16"/>
          <w:b w:val="1"/>
          <w:bCs w:val="1"/>
          <w:color w:val="auto"/>
        </w:rPr>
        <w:t>Funding LC breakdown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154940</wp:posOffset>
            </wp:positionV>
            <wp:extent cx="3095625" cy="23152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095625" cy="2315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Includes acceptances outstanding, other payable accounts and other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It is important to note that the currency mismatch between BCP Stand-alone’s assets and liabilities is small and limited, as is required under corporate policy.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such, 46% of the assets and 45% of the liabilities from BCP Stand-alone are denominated in LC.</w:t>
      </w:r>
    </w:p>
    <w:p>
      <w:pPr>
        <w:spacing w:after="0" w:line="21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 terms of the cost of funding sources, it is necessary to note that total funding in LC is composed mainly of: (1) Deposits (which represent 65% of LC funding), with an average cost of around 1.6%; and (2) BCRP instruments (which represent 18% of LC funding), with an average cost of 4.3%. Although in both cases costs mainly grew in the second half of 2015, the increase was gradual. As such, the impact on the total funding cost was limited.</w:t>
      </w:r>
    </w:p>
    <w:p>
      <w:pPr>
        <w:spacing w:after="0" w:line="16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It is important to remember that BCRP funding is considered a more stable funding source. It has allowed us to reinforce our long-term funding while keeping the funding cost low. Accordingly, these instruments facilitate loan expansion in LC and aid in the process to convert loans from FC to LC.</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BCP Stand-alone - Funding structure by tenure QoQ</w:t>
      </w:r>
    </w:p>
    <w:p>
      <w:pPr>
        <w:spacing w:after="0" w:line="225" w:lineRule="exact"/>
        <w:rPr>
          <w:sz w:val="20"/>
          <w:szCs w:val="20"/>
          <w:color w:val="auto"/>
        </w:rPr>
      </w:pPr>
    </w:p>
    <w:p>
      <w:pPr>
        <w:ind w:left="1820"/>
        <w:spacing w:after="0"/>
        <w:tabs>
          <w:tab w:leader="none" w:pos="7520" w:val="left"/>
        </w:tabs>
        <w:rPr>
          <w:sz w:val="20"/>
          <w:szCs w:val="20"/>
          <w:color w:val="auto"/>
        </w:rPr>
      </w:pPr>
      <w:r>
        <w:rPr>
          <w:rFonts w:ascii="Arial" w:cs="Arial" w:eastAsia="Arial" w:hAnsi="Arial"/>
          <w:sz w:val="18"/>
          <w:szCs w:val="18"/>
          <w:b w:val="1"/>
          <w:bCs w:val="1"/>
          <w:color w:val="auto"/>
        </w:rPr>
        <w:t>At the end of September 15</w:t>
      </w:r>
      <w:r>
        <w:rPr>
          <w:sz w:val="20"/>
          <w:szCs w:val="20"/>
          <w:color w:val="auto"/>
        </w:rPr>
        <w:tab/>
      </w:r>
      <w:r>
        <w:rPr>
          <w:rFonts w:ascii="Arial" w:cs="Arial" w:eastAsia="Arial" w:hAnsi="Arial"/>
          <w:sz w:val="16"/>
          <w:szCs w:val="16"/>
          <w:b w:val="1"/>
          <w:bCs w:val="1"/>
          <w:color w:val="auto"/>
        </w:rPr>
        <w:t>At the end of December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154940</wp:posOffset>
            </wp:positionV>
            <wp:extent cx="6388735" cy="12693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388735" cy="126936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420" w:hanging="315"/>
        <w:spacing w:after="0" w:line="268" w:lineRule="auto"/>
        <w:tabs>
          <w:tab w:leader="none" w:pos="659" w:val="left"/>
        </w:tabs>
        <w:numPr>
          <w:ilvl w:val="0"/>
          <w:numId w:val="18"/>
        </w:numPr>
        <w:rPr>
          <w:rFonts w:ascii="Arial" w:cs="Arial" w:eastAsia="Arial" w:hAnsi="Arial"/>
          <w:sz w:val="17"/>
          <w:szCs w:val="17"/>
          <w:color w:val="auto"/>
        </w:rPr>
      </w:pPr>
      <w:r>
        <w:rPr>
          <w:rFonts w:ascii="Arial" w:cs="Arial" w:eastAsia="Arial" w:hAnsi="Arial"/>
          <w:sz w:val="17"/>
          <w:szCs w:val="17"/>
          <w:color w:val="auto"/>
        </w:rPr>
        <w:t>Deposits include non-contractual deposits (Demand, Savings and Severance indemnity -CTS) and Time Deposits. The non-contractual deposits represent 74% of total deposits and have tenures lower than 6 months. Based on BCP analysis, 67% of the non-contractual deposits has a duration higher than 6 months (10% ≤ 1 year, 28% between &gt;1 year and ≤ 3 years, and 62% from &gt;3 years onwards).</w:t>
      </w:r>
    </w:p>
    <w:p>
      <w:pPr>
        <w:spacing w:after="0" w:line="1" w:lineRule="exact"/>
        <w:rPr>
          <w:rFonts w:ascii="Arial" w:cs="Arial" w:eastAsia="Arial" w:hAnsi="Arial"/>
          <w:sz w:val="17"/>
          <w:szCs w:val="17"/>
          <w:color w:val="auto"/>
        </w:rPr>
      </w:pPr>
    </w:p>
    <w:p>
      <w:pPr>
        <w:ind w:left="420" w:hanging="315"/>
        <w:spacing w:after="0" w:line="261" w:lineRule="auto"/>
        <w:tabs>
          <w:tab w:leader="none" w:pos="739" w:val="left"/>
        </w:tabs>
        <w:numPr>
          <w:ilvl w:val="0"/>
          <w:numId w:val="18"/>
        </w:numPr>
        <w:rPr>
          <w:rFonts w:ascii="Arial" w:cs="Arial" w:eastAsia="Arial" w:hAnsi="Arial"/>
          <w:sz w:val="18"/>
          <w:szCs w:val="18"/>
          <w:color w:val="auto"/>
        </w:rPr>
      </w:pPr>
      <w:r>
        <w:rPr>
          <w:rFonts w:ascii="Arial" w:cs="Arial" w:eastAsia="Arial" w:hAnsi="Arial"/>
          <w:sz w:val="18"/>
          <w:szCs w:val="18"/>
          <w:color w:val="auto"/>
        </w:rPr>
        <w:t>It includes Due to banks and correspondents and Bonds and subordinated debt.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322" w:right="100" w:hanging="322"/>
        <w:spacing w:after="0" w:line="268" w:lineRule="auto"/>
        <w:tabs>
          <w:tab w:leader="none" w:pos="496" w:val="left"/>
        </w:tabs>
        <w:numPr>
          <w:ilvl w:val="0"/>
          <w:numId w:val="19"/>
        </w:numPr>
        <w:rPr>
          <w:rFonts w:ascii="Arial" w:cs="Arial" w:eastAsia="Arial" w:hAnsi="Arial"/>
          <w:sz w:val="17"/>
          <w:szCs w:val="17"/>
          <w:color w:val="auto"/>
        </w:rPr>
      </w:pPr>
      <w:r>
        <w:rPr>
          <w:rFonts w:ascii="Arial" w:cs="Arial" w:eastAsia="Arial" w:hAnsi="Arial"/>
          <w:sz w:val="17"/>
          <w:szCs w:val="17"/>
          <w:color w:val="auto"/>
        </w:rPr>
        <w:t>Deposits include non-contractual deposits (Demand, Savings and Severance indemnity -CTS) and Time Deposits. The non-contractual deposits represent 77% of total deposits and have tenures lower than 6 months. Based on BCP analysis, 67% of the non-contractual deposits has a duration higher than 6 months (10% ≤ 1 year, 29% between &gt;1 year and ≤ 3 years, and 61% from &gt;3 years onwards).</w:t>
      </w:r>
    </w:p>
    <w:p>
      <w:pPr>
        <w:spacing w:after="0" w:line="1" w:lineRule="exact"/>
        <w:rPr>
          <w:rFonts w:ascii="Arial" w:cs="Arial" w:eastAsia="Arial" w:hAnsi="Arial"/>
          <w:sz w:val="17"/>
          <w:szCs w:val="17"/>
          <w:color w:val="auto"/>
        </w:rPr>
      </w:pPr>
    </w:p>
    <w:p>
      <w:pPr>
        <w:ind w:left="322" w:right="100" w:hanging="322"/>
        <w:spacing w:after="0" w:line="261" w:lineRule="auto"/>
        <w:tabs>
          <w:tab w:leader="none" w:pos="637" w:val="left"/>
        </w:tabs>
        <w:numPr>
          <w:ilvl w:val="0"/>
          <w:numId w:val="19"/>
        </w:numPr>
        <w:rPr>
          <w:rFonts w:ascii="Arial" w:cs="Arial" w:eastAsia="Arial" w:hAnsi="Arial"/>
          <w:sz w:val="18"/>
          <w:szCs w:val="18"/>
          <w:color w:val="auto"/>
        </w:rPr>
      </w:pPr>
      <w:r>
        <w:rPr>
          <w:rFonts w:ascii="Arial" w:cs="Arial" w:eastAsia="Arial" w:hAnsi="Arial"/>
          <w:sz w:val="18"/>
          <w:szCs w:val="18"/>
          <w:color w:val="auto"/>
        </w:rPr>
        <w:t>It includes Due to banks and correspondents and Bonds and subordinated debt.</w:t>
      </w:r>
    </w:p>
    <w:p>
      <w:pPr>
        <w:spacing w:after="0" w:line="200" w:lineRule="exact"/>
        <w:rPr>
          <w:sz w:val="20"/>
          <w:szCs w:val="20"/>
          <w:color w:val="auto"/>
        </w:rPr>
      </w:pPr>
    </w:p>
    <w:p>
      <w:pPr>
        <w:sectPr>
          <w:pgSz w:w="11900" w:h="16838" w:orient="portrait"/>
          <w:cols w:equalWidth="0" w:num="2">
            <w:col w:w="5620" w:space="198"/>
            <w:col w:w="5602"/>
          </w:cols>
          <w:pgMar w:left="240" w:top="908" w:right="239" w:bottom="1440" w:gutter="0" w:footer="0" w:header="0"/>
          <w:type w:val="continuous"/>
        </w:sectPr>
      </w:pPr>
    </w:p>
    <w:p>
      <w:pPr>
        <w:spacing w:after="0" w:line="200"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18" w:name="page19"/>
    <w:bookmarkEnd w:id="18"/>
    <w:p>
      <w:pPr>
        <w:jc w:val="both"/>
        <w:spacing w:after="0" w:line="286" w:lineRule="auto"/>
        <w:rPr>
          <w:sz w:val="20"/>
          <w:szCs w:val="20"/>
          <w:color w:val="auto"/>
        </w:rPr>
      </w:pPr>
      <w:r>
        <w:rPr>
          <w:rFonts w:ascii="Arial" w:cs="Arial" w:eastAsia="Arial" w:hAnsi="Arial"/>
          <w:sz w:val="17"/>
          <w:szCs w:val="17"/>
          <w:color w:val="auto"/>
        </w:rPr>
        <w:t>The figures above show BCP Stand-alone’s funding structure by tenure. It is evident that long-term funding has a larger share. This was in line with growth in the share of BCRP Instruments with tenures longer than 2 years, which is attributable to an increase in maturities in 4Q15 (3Q15: 35.6% &lt; 2A vs. 4Q15: 18.6% &lt; 2A) and to a stable level of BCRP Instruments with tenures above 2 years (3Q15: 64.4% ≥ 2A vs. 4Q15: 81.4% ≥ 2A).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gridSpan w:val="3"/>
          </w:tcPr>
          <w:p>
            <w:pPr>
              <w:spacing w:after="0"/>
              <w:rPr>
                <w:sz w:val="20"/>
                <w:szCs w:val="20"/>
                <w:color w:val="auto"/>
              </w:rPr>
            </w:pPr>
            <w:r>
              <w:rPr>
                <w:rFonts w:ascii="Arial" w:cs="Arial" w:eastAsia="Arial" w:hAnsi="Arial"/>
                <w:sz w:val="18"/>
                <w:szCs w:val="18"/>
                <w:b w:val="1"/>
                <w:bCs w:val="1"/>
                <w:color w:val="auto"/>
              </w:rPr>
              <w:t>2.2 Deposits</w:t>
            </w: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27"/>
        </w:trPr>
        <w:tc>
          <w:tcPr>
            <w:tcW w:w="4240" w:type="dxa"/>
            <w:vAlign w:val="bottom"/>
            <w:gridSpan w:val="3"/>
          </w:tcPr>
          <w:p>
            <w:pPr>
              <w:ind w:left="980"/>
              <w:spacing w:after="0"/>
              <w:rPr>
                <w:sz w:val="20"/>
                <w:szCs w:val="20"/>
                <w:color w:val="auto"/>
              </w:rPr>
            </w:pPr>
            <w:r>
              <w:rPr>
                <w:rFonts w:ascii="Arial" w:cs="Arial" w:eastAsia="Arial" w:hAnsi="Arial"/>
                <w:sz w:val="18"/>
                <w:szCs w:val="18"/>
                <w:b w:val="1"/>
                <w:bCs w:val="1"/>
                <w:color w:val="auto"/>
              </w:rPr>
              <w:t>Deposits</w:t>
            </w: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ind w:left="180"/>
              <w:spacing w:after="0"/>
              <w:rPr>
                <w:sz w:val="20"/>
                <w:szCs w:val="20"/>
                <w:color w:val="auto"/>
              </w:rPr>
            </w:pPr>
            <w:r>
              <w:rPr>
                <w:rFonts w:ascii="Arial" w:cs="Arial" w:eastAsia="Arial" w:hAnsi="Arial"/>
                <w:sz w:val="18"/>
                <w:szCs w:val="18"/>
                <w:b w:val="1"/>
                <w:bCs w:val="1"/>
                <w:color w:val="auto"/>
              </w:rPr>
              <w:t>Quarter</w:t>
            </w: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 w:type="dxa"/>
            <w:vAlign w:val="bottom"/>
            <w:gridSpan w:val="3"/>
          </w:tcPr>
          <w:p>
            <w:pPr>
              <w:ind w:left="60"/>
              <w:spacing w:after="0"/>
              <w:rPr>
                <w:sz w:val="20"/>
                <w:szCs w:val="20"/>
                <w:color w:val="auto"/>
              </w:rPr>
            </w:pPr>
            <w:r>
              <w:rPr>
                <w:rFonts w:ascii="Arial" w:cs="Arial" w:eastAsia="Arial" w:hAnsi="Arial"/>
                <w:sz w:val="18"/>
                <w:szCs w:val="18"/>
                <w:b w:val="1"/>
                <w:bCs w:val="1"/>
                <w:color w:val="auto"/>
                <w:w w:val="92"/>
              </w:rPr>
              <w:t>% change</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4"/>
        </w:trPr>
        <w:tc>
          <w:tcPr>
            <w:tcW w:w="980" w:type="dxa"/>
            <w:vAlign w:val="bottom"/>
          </w:tcPr>
          <w:p>
            <w:pPr>
              <w:spacing w:after="0"/>
              <w:rPr>
                <w:sz w:val="20"/>
                <w:szCs w:val="20"/>
                <w:color w:val="auto"/>
              </w:rPr>
            </w:pPr>
          </w:p>
        </w:tc>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000</w:t>
            </w:r>
          </w:p>
        </w:tc>
        <w:tc>
          <w:tcPr>
            <w:tcW w:w="8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4Q14</w:t>
            </w:r>
          </w:p>
        </w:tc>
        <w:tc>
          <w:tcPr>
            <w:tcW w:w="16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3Q15</w:t>
            </w:r>
          </w:p>
        </w:tc>
        <w:tc>
          <w:tcPr>
            <w:tcW w:w="18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4Q15</w:t>
            </w:r>
          </w:p>
        </w:tc>
        <w:tc>
          <w:tcPr>
            <w:tcW w:w="16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w w:val="92"/>
              </w:rPr>
              <w:t>QoQ</w:t>
            </w:r>
          </w:p>
        </w:tc>
        <w:tc>
          <w:tcPr>
            <w:tcW w:w="300" w:type="dxa"/>
            <w:vAlign w:val="bottom"/>
            <w:tcBorders>
              <w:bottom w:val="single" w:sz="8" w:color="auto"/>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20"/>
                <w:szCs w:val="20"/>
                <w:color w:val="auto"/>
              </w:rPr>
            </w:pPr>
          </w:p>
        </w:tc>
      </w:tr>
      <w:tr>
        <w:trPr>
          <w:trHeight w:val="210"/>
        </w:trPr>
        <w:tc>
          <w:tcPr>
            <w:tcW w:w="98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Non-interest bearing deposits</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20,574,593</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23,240,530</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24,311,350</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4.6%</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216"/>
        </w:trPr>
        <w:tc>
          <w:tcPr>
            <w:tcW w:w="98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Demand deposits</w:t>
            </w:r>
          </w:p>
        </w:tc>
        <w:tc>
          <w:tcPr>
            <w:tcW w:w="980" w:type="dxa"/>
            <w:vAlign w:val="bottom"/>
          </w:tcPr>
          <w:p>
            <w:pPr>
              <w:jc w:val="right"/>
              <w:spacing w:after="0"/>
              <w:rPr>
                <w:sz w:val="20"/>
                <w:szCs w:val="20"/>
                <w:color w:val="auto"/>
              </w:rPr>
            </w:pPr>
            <w:r>
              <w:rPr>
                <w:rFonts w:ascii="Arial" w:cs="Arial" w:eastAsia="Arial" w:hAnsi="Arial"/>
                <w:sz w:val="18"/>
                <w:szCs w:val="18"/>
                <w:color w:val="auto"/>
              </w:rPr>
              <w:t>4,682,123</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5,885,143</w:t>
            </w: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6,159,876</w:t>
            </w:r>
          </w:p>
        </w:tc>
        <w:tc>
          <w:tcPr>
            <w:tcW w:w="680" w:type="dxa"/>
            <w:vAlign w:val="bottom"/>
          </w:tcPr>
          <w:p>
            <w:pPr>
              <w:spacing w:after="0"/>
              <w:rPr>
                <w:sz w:val="18"/>
                <w:szCs w:val="18"/>
                <w:color w:val="auto"/>
              </w:rPr>
            </w:pPr>
          </w:p>
        </w:tc>
        <w:tc>
          <w:tcPr>
            <w:tcW w:w="580" w:type="dxa"/>
            <w:vAlign w:val="bottom"/>
            <w:gridSpan w:val="2"/>
          </w:tcPr>
          <w:p>
            <w:pPr>
              <w:jc w:val="right"/>
              <w:ind w:right="30"/>
              <w:spacing w:after="0"/>
              <w:rPr>
                <w:sz w:val="20"/>
                <w:szCs w:val="20"/>
                <w:color w:val="auto"/>
              </w:rPr>
            </w:pPr>
            <w:r>
              <w:rPr>
                <w:rFonts w:ascii="Arial" w:cs="Arial" w:eastAsia="Arial" w:hAnsi="Arial"/>
                <w:sz w:val="18"/>
                <w:szCs w:val="18"/>
                <w:color w:val="auto"/>
              </w:rPr>
              <w:t>4.7%</w:t>
            </w:r>
          </w:p>
        </w:tc>
        <w:tc>
          <w:tcPr>
            <w:tcW w:w="2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31.6%</w:t>
            </w:r>
          </w:p>
        </w:tc>
      </w:tr>
      <w:tr>
        <w:trPr>
          <w:trHeight w:val="216"/>
        </w:trPr>
        <w:tc>
          <w:tcPr>
            <w:tcW w:w="980" w:type="dxa"/>
            <w:vAlign w:val="bottom"/>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Saving deposits</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21,208,831</w:t>
            </w:r>
          </w:p>
        </w:tc>
        <w:tc>
          <w:tcPr>
            <w:tcW w:w="1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22,794,914</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24,904,566</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9.3%</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w:t>
            </w:r>
          </w:p>
        </w:tc>
      </w:tr>
      <w:tr>
        <w:trPr>
          <w:trHeight w:val="216"/>
        </w:trPr>
        <w:tc>
          <w:tcPr>
            <w:tcW w:w="98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Time deposits</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23,668,110</w:t>
            </w:r>
          </w:p>
        </w:tc>
        <w:tc>
          <w:tcPr>
            <w:tcW w:w="1160" w:type="dxa"/>
            <w:vAlign w:val="bottom"/>
            <w:gridSpan w:val="2"/>
          </w:tcPr>
          <w:p>
            <w:pPr>
              <w:ind w:left="180"/>
              <w:spacing w:after="0"/>
              <w:rPr>
                <w:sz w:val="20"/>
                <w:szCs w:val="20"/>
                <w:color w:val="auto"/>
              </w:rPr>
            </w:pPr>
            <w:r>
              <w:rPr>
                <w:rFonts w:ascii="Arial" w:cs="Arial" w:eastAsia="Arial" w:hAnsi="Arial"/>
                <w:sz w:val="18"/>
                <w:szCs w:val="18"/>
                <w:color w:val="auto"/>
              </w:rPr>
              <w:t>27,688,032</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27,719,786</w:t>
            </w:r>
          </w:p>
        </w:tc>
        <w:tc>
          <w:tcPr>
            <w:tcW w:w="680" w:type="dxa"/>
            <w:vAlign w:val="bottom"/>
          </w:tcPr>
          <w:p>
            <w:pPr>
              <w:spacing w:after="0"/>
              <w:rPr>
                <w:sz w:val="18"/>
                <w:szCs w:val="18"/>
                <w:color w:val="auto"/>
              </w:rPr>
            </w:pPr>
          </w:p>
        </w:tc>
        <w:tc>
          <w:tcPr>
            <w:tcW w:w="580" w:type="dxa"/>
            <w:vAlign w:val="bottom"/>
            <w:gridSpan w:val="2"/>
          </w:tcPr>
          <w:p>
            <w:pPr>
              <w:jc w:val="right"/>
              <w:ind w:right="30"/>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17.1%</w:t>
            </w:r>
          </w:p>
        </w:tc>
      </w:tr>
      <w:tr>
        <w:trPr>
          <w:trHeight w:val="257"/>
        </w:trPr>
        <w:tc>
          <w:tcPr>
            <w:tcW w:w="980" w:type="dxa"/>
            <w:vAlign w:val="bottom"/>
          </w:tcPr>
          <w:p>
            <w:pPr>
              <w:spacing w:after="0"/>
              <w:rPr>
                <w:sz w:val="22"/>
                <w:szCs w:val="22"/>
                <w:color w:val="auto"/>
              </w:rPr>
            </w:pPr>
          </w:p>
        </w:tc>
        <w:tc>
          <w:tcPr>
            <w:tcW w:w="32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CTS deposits </w:t>
            </w:r>
            <w:r>
              <w:rPr>
                <w:rFonts w:ascii="Arial" w:cs="Arial" w:eastAsia="Arial" w:hAnsi="Arial"/>
                <w:sz w:val="29"/>
                <w:szCs w:val="29"/>
                <w:color w:val="auto"/>
                <w:vertAlign w:val="superscript"/>
              </w:rPr>
              <w:t>(1)</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6,763,832</w:t>
            </w: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6,535,695</w:t>
            </w:r>
          </w:p>
        </w:tc>
        <w:tc>
          <w:tcPr>
            <w:tcW w:w="18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7,183,421</w:t>
            </w:r>
          </w:p>
        </w:tc>
        <w:tc>
          <w:tcPr>
            <w:tcW w:w="68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9.9%</w:t>
            </w:r>
          </w:p>
        </w:tc>
        <w:tc>
          <w:tcPr>
            <w:tcW w:w="28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30"/>
        </w:trPr>
        <w:tc>
          <w:tcPr>
            <w:tcW w:w="980" w:type="dxa"/>
            <w:vAlign w:val="bottom"/>
          </w:tcPr>
          <w:p>
            <w:pPr>
              <w:spacing w:after="0"/>
              <w:rPr>
                <w:sz w:val="19"/>
                <w:szCs w:val="19"/>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Interest payable</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263,005</w:t>
            </w:r>
          </w:p>
        </w:tc>
        <w:tc>
          <w:tcPr>
            <w:tcW w:w="980" w:type="dxa"/>
            <w:vAlign w:val="bottom"/>
          </w:tcPr>
          <w:p>
            <w:pPr>
              <w:jc w:val="right"/>
              <w:spacing w:after="0"/>
              <w:rPr>
                <w:sz w:val="20"/>
                <w:szCs w:val="20"/>
                <w:color w:val="auto"/>
              </w:rPr>
            </w:pPr>
            <w:r>
              <w:rPr>
                <w:rFonts w:ascii="Arial" w:cs="Arial" w:eastAsia="Arial" w:hAnsi="Arial"/>
                <w:sz w:val="18"/>
                <w:szCs w:val="18"/>
                <w:color w:val="auto"/>
              </w:rPr>
              <w:t>282,393</w:t>
            </w:r>
          </w:p>
        </w:tc>
        <w:tc>
          <w:tcPr>
            <w:tcW w:w="1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314,303</w:t>
            </w:r>
          </w:p>
        </w:tc>
        <w:tc>
          <w:tcPr>
            <w:tcW w:w="680" w:type="dxa"/>
            <w:vAlign w:val="bottom"/>
          </w:tcPr>
          <w:p>
            <w:pPr>
              <w:spacing w:after="0"/>
              <w:rPr>
                <w:sz w:val="19"/>
                <w:szCs w:val="19"/>
                <w:color w:val="auto"/>
              </w:rPr>
            </w:pPr>
          </w:p>
        </w:tc>
        <w:tc>
          <w:tcPr>
            <w:tcW w:w="580" w:type="dxa"/>
            <w:vAlign w:val="bottom"/>
            <w:gridSpan w:val="2"/>
          </w:tcPr>
          <w:p>
            <w:pPr>
              <w:jc w:val="right"/>
              <w:ind w:right="30"/>
              <w:spacing w:after="0"/>
              <w:rPr>
                <w:sz w:val="20"/>
                <w:szCs w:val="20"/>
                <w:color w:val="auto"/>
              </w:rPr>
            </w:pPr>
            <w:r>
              <w:rPr>
                <w:rFonts w:ascii="Arial" w:cs="Arial" w:eastAsia="Arial" w:hAnsi="Arial"/>
                <w:sz w:val="18"/>
                <w:szCs w:val="18"/>
                <w:color w:val="auto"/>
                <w:w w:val="86"/>
              </w:rPr>
              <w:t>11.3%</w:t>
            </w:r>
          </w:p>
        </w:tc>
        <w:tc>
          <w:tcPr>
            <w:tcW w:w="2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19.5%</w:t>
            </w:r>
          </w:p>
        </w:tc>
      </w:tr>
      <w:tr>
        <w:trPr>
          <w:trHeight w:val="210"/>
        </w:trPr>
        <w:tc>
          <w:tcPr>
            <w:tcW w:w="980" w:type="dxa"/>
            <w:vAlign w:val="bottom"/>
          </w:tcPr>
          <w:p>
            <w:pPr>
              <w:spacing w:after="0"/>
              <w:rPr>
                <w:sz w:val="18"/>
                <w:szCs w:val="18"/>
                <w:color w:val="auto"/>
              </w:rPr>
            </w:pPr>
          </w:p>
        </w:tc>
        <w:tc>
          <w:tcPr>
            <w:tcW w:w="32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customer deposits</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77,160,494</w:t>
            </w:r>
          </w:p>
        </w:tc>
        <w:tc>
          <w:tcPr>
            <w:tcW w:w="1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86,426,707</w:t>
            </w:r>
          </w:p>
        </w:tc>
        <w:tc>
          <w:tcPr>
            <w:tcW w:w="1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90,593,302</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w:t>
            </w:r>
          </w:p>
        </w:tc>
        <w:tc>
          <w:tcPr>
            <w:tcW w:w="28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17.4</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r>
    </w:tbl>
    <w:p>
      <w:pPr>
        <w:ind w:left="980"/>
        <w:spacing w:after="0"/>
        <w:rPr>
          <w:sz w:val="20"/>
          <w:szCs w:val="20"/>
          <w:color w:val="auto"/>
        </w:rPr>
      </w:pPr>
      <w:r>
        <w:rPr>
          <w:rFonts w:ascii="Arial" w:cs="Arial" w:eastAsia="Arial" w:hAnsi="Arial"/>
          <w:sz w:val="18"/>
          <w:szCs w:val="18"/>
          <w:color w:val="auto"/>
        </w:rPr>
        <w:t>(1)  Severance indemnity deposits.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Growth in total deposits was attributable primarily to the QoQ increase in Savings Deposits, followed by an increase in Non-interest Bearing Deposits. It is important to note that the evolution of Deposits incorporates the effect of the devaluation of the Sol against the US Dollar. If the effect of the appreciation of the US Dollar is excluded, real growth in total deposits was +1.3% QoQ and +9.0% YoY.</w:t>
      </w:r>
    </w:p>
    <w:p>
      <w:pPr>
        <w:spacing w:after="0" w:line="17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Savings Deposits </w:t>
      </w:r>
      <w:r>
        <w:rPr>
          <w:rFonts w:ascii="Arial" w:cs="Arial" w:eastAsia="Arial" w:hAnsi="Arial"/>
          <w:sz w:val="18"/>
          <w:szCs w:val="18"/>
          <w:color w:val="auto"/>
        </w:rPr>
        <w:t>increased +9.3% QoQ. This was due primarily to higher deposits by individuals at BCP Stand-alone, Mibanco and BCP Bolivia after</w:t>
      </w:r>
      <w:r>
        <w:rPr>
          <w:rFonts w:ascii="Arial" w:cs="Arial" w:eastAsia="Arial" w:hAnsi="Arial"/>
          <w:sz w:val="18"/>
          <w:szCs w:val="18"/>
          <w:b w:val="1"/>
          <w:bCs w:val="1"/>
          <w:color w:val="auto"/>
        </w:rPr>
        <w:t xml:space="preserve"> </w:t>
      </w:r>
      <w:r>
        <w:rPr>
          <w:rFonts w:ascii="Arial" w:cs="Arial" w:eastAsia="Arial" w:hAnsi="Arial"/>
          <w:sz w:val="18"/>
          <w:szCs w:val="18"/>
          <w:color w:val="auto"/>
        </w:rPr>
        <w:t>bonuses were paid in 4Q. It is important to note that the evolution of BCP Bolivia’s deposits was due to: (1) an additional bonus payment given that regulation stipulates that if the country’s growth tops 4.5%, Bolivian employees receive 2 bonuses; and (2) the effect of appreciation in the Boliviano against the Sol (+6.02% QoQ, the highest of the year).</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The increase in </w:t>
      </w:r>
      <w:r>
        <w:rPr>
          <w:rFonts w:ascii="Arial" w:cs="Arial" w:eastAsia="Arial" w:hAnsi="Arial"/>
          <w:sz w:val="18"/>
          <w:szCs w:val="18"/>
          <w:b w:val="1"/>
          <w:bCs w:val="1"/>
          <w:color w:val="auto"/>
        </w:rPr>
        <w:t>Demand Deposits and Non-interest Bearing deposits</w:t>
      </w:r>
      <w:r>
        <w:rPr>
          <w:rFonts w:ascii="Arial" w:cs="Arial" w:eastAsia="Arial" w:hAnsi="Arial"/>
          <w:sz w:val="18"/>
          <w:szCs w:val="18"/>
          <w:color w:val="auto"/>
        </w:rPr>
        <w:t xml:space="preserve"> was due to growth in deposits in current accounts and by companies in the financial system; these deposits were primarily in LC. It is important to note that the highest increase was registered in non-interest bearing deposits, which do not increase our interest expenses.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CTS deposits </w:t>
      </w:r>
      <w:r>
        <w:rPr>
          <w:rFonts w:ascii="Arial" w:cs="Arial" w:eastAsia="Arial" w:hAnsi="Arial"/>
          <w:sz w:val="18"/>
          <w:szCs w:val="18"/>
          <w:color w:val="auto"/>
        </w:rPr>
        <w:t>reported growth of +9.9% QoQ, mainly in LC, which reflects the seasonality of all 4Qs due to CTS payments in November.</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Time Deposits </w:t>
      </w:r>
      <w:r>
        <w:rPr>
          <w:rFonts w:ascii="Arial" w:cs="Arial" w:eastAsia="Arial" w:hAnsi="Arial"/>
          <w:sz w:val="17"/>
          <w:szCs w:val="17"/>
          <w:color w:val="auto"/>
        </w:rPr>
        <w:t>remained stable QoQ given that the significant growth in Mibanco deposits, which was attributable to the campaigns conducted in the second</w:t>
      </w:r>
      <w:r>
        <w:rPr>
          <w:rFonts w:ascii="Arial" w:cs="Arial" w:eastAsia="Arial" w:hAnsi="Arial"/>
          <w:sz w:val="17"/>
          <w:szCs w:val="17"/>
          <w:b w:val="1"/>
          <w:bCs w:val="1"/>
          <w:color w:val="auto"/>
        </w:rPr>
        <w:t xml:space="preserve"> </w:t>
      </w:r>
      <w:r>
        <w:rPr>
          <w:rFonts w:ascii="Arial" w:cs="Arial" w:eastAsia="Arial" w:hAnsi="Arial"/>
          <w:sz w:val="17"/>
          <w:szCs w:val="17"/>
          <w:color w:val="auto"/>
        </w:rPr>
        <w:t>half of 2015, was offset by the increase in deposit withdrawals in FC by Retail Banking clients (Private Banking). These deposits were captured at the end of 3Q15 at BCP stand-alone and were withdrawn at the end of November 2015, which generated higher interest expenses in 4Q15.</w:t>
      </w:r>
    </w:p>
    <w:p>
      <w:pPr>
        <w:spacing w:after="0" w:line="162"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In YoY terms, growth in deposits was led primarily by time deposits, followed by non-interest bearing deposits and savings deposits. It is important to note the time deposits include the effect of the US Dollar’s appreciation against the Sol, which was in line with higher dollarization. Finally, the YoY analysis of CTS deposits eliminates the seasonal effects of 4Qs and shows a higher level of deposits, primarily from BCP Stand-alone.</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2.2.1 Deposit dollarization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Deposit Dollarization </w:t>
      </w:r>
      <w:r>
        <w:rPr>
          <w:rFonts w:ascii="Arial" w:cs="Arial" w:eastAsia="Arial" w:hAnsi="Arial"/>
          <w:sz w:val="30"/>
          <w:szCs w:val="30"/>
          <w:b w:val="1"/>
          <w:bCs w:val="1"/>
          <w:color w:val="auto"/>
          <w:vertAlign w:val="superscript"/>
        </w:rPr>
        <w:t>(1)</w:t>
      </w:r>
      <w:r>
        <w:rPr>
          <w:rFonts w:ascii="Arial" w:cs="Arial" w:eastAsia="Arial" w:hAnsi="Arial"/>
          <w:sz w:val="18"/>
          <w:szCs w:val="18"/>
          <w:b w:val="1"/>
          <w:bCs w:val="1"/>
          <w:color w:val="auto"/>
        </w:rPr>
        <w:t xml:space="preserve"> – BAP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2020570</wp:posOffset>
            </wp:positionH>
            <wp:positionV relativeFrom="paragraph">
              <wp:posOffset>90170</wp:posOffset>
            </wp:positionV>
            <wp:extent cx="3190240" cy="7975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190240"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(1) Quarter-end balances.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level of dollarization of Credicorp’s deposits slightly decreased and was situated at 59.2%. This fell below the result posted in 3Q15 and was mainly attributable to a slight reduction in time deposits in US Dollars. The latter was associated with FC withdrawals by Private Banking clients in November 2015 and with growth in other types of LC Deposits, particularly at BCP Stand-alone. Nevertheless, an analysis of the evolution of dollarization in 2015 indicates on-going expansion in the level of FC Deposits, which was associated with the US Dollar’s appreciation against the Sol.</w:t>
      </w:r>
    </w:p>
    <w:p>
      <w:pPr>
        <w:spacing w:after="0" w:line="17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It is important to note that approximately 88% of Credicorp’s total deposits originate in Peru, specifically at BCP Stand-alone and Mibanco. The deposit level in US Dollars for BCP Stand-alone and Mibanco at the end of December 2015 was 55.9% (57.6% in 3Q15) and 21.4% (23.0% in 3Q15), respectively.</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BCP Stand-alone- Deposit Dollarization measured in average daily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154940</wp:posOffset>
            </wp:positionV>
            <wp:extent cx="5746115" cy="11747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46115" cy="1174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An analysis of the evolution of the four types of deposits at BCP Stand-alone, in terms of average daily balances, shows an increase in the dollarization level of </w:t>
      </w:r>
      <w:r>
        <w:rPr>
          <w:rFonts w:ascii="Arial" w:cs="Arial" w:eastAsia="Arial" w:hAnsi="Arial"/>
          <w:sz w:val="17"/>
          <w:szCs w:val="17"/>
          <w:b w:val="1"/>
          <w:bCs w:val="1"/>
          <w:color w:val="auto"/>
        </w:rPr>
        <w:t>Time Deposits and Savings Deposits</w:t>
      </w:r>
      <w:r>
        <w:rPr>
          <w:rFonts w:ascii="Arial" w:cs="Arial" w:eastAsia="Arial" w:hAnsi="Arial"/>
          <w:sz w:val="17"/>
          <w:szCs w:val="17"/>
          <w:color w:val="auto"/>
        </w:rPr>
        <w:t>. It is important to note that around 60% of these deposit types are registered in FC; consequently, the evolution of their dollarization was affected by an increase in the US Dollar’s appreciation against the Sol. The dollarization level of time deposits rose despite withdrawals from FC Deposits by Private Banking clients because said withdrawals were made at the end of the quarter.</w:t>
      </w:r>
    </w:p>
    <w:p>
      <w:pPr>
        <w:spacing w:after="0" w:line="167"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Demand Deposits</w:t>
      </w:r>
      <w:r>
        <w:rPr>
          <w:rFonts w:ascii="Arial" w:cs="Arial" w:eastAsia="Arial" w:hAnsi="Arial"/>
          <w:sz w:val="18"/>
          <w:szCs w:val="18"/>
          <w:color w:val="auto"/>
        </w:rPr>
        <w:t>, which included non-interest bearing deposits, maintained a stable dollarization level QoQ. This was in line with growth in current account</w:t>
      </w:r>
      <w:r>
        <w:rPr>
          <w:rFonts w:ascii="Arial" w:cs="Arial" w:eastAsia="Arial" w:hAnsi="Arial"/>
          <w:sz w:val="18"/>
          <w:szCs w:val="18"/>
          <w:b w:val="1"/>
          <w:bCs w:val="1"/>
          <w:color w:val="auto"/>
        </w:rPr>
        <w:t xml:space="preserve"> </w:t>
      </w:r>
      <w:r>
        <w:rPr>
          <w:rFonts w:ascii="Arial" w:cs="Arial" w:eastAsia="Arial" w:hAnsi="Arial"/>
          <w:sz w:val="18"/>
          <w:szCs w:val="18"/>
          <w:color w:val="auto"/>
        </w:rPr>
        <w:t>deposits and in deposits in LC by companies in the financial system.</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Finally, </w:t>
      </w:r>
      <w:r>
        <w:rPr>
          <w:rFonts w:ascii="Arial" w:cs="Arial" w:eastAsia="Arial" w:hAnsi="Arial"/>
          <w:sz w:val="18"/>
          <w:szCs w:val="18"/>
          <w:b w:val="1"/>
          <w:bCs w:val="1"/>
          <w:color w:val="auto"/>
        </w:rPr>
        <w:t>CTS Deposits</w:t>
      </w:r>
      <w:r>
        <w:rPr>
          <w:rFonts w:ascii="Arial" w:cs="Arial" w:eastAsia="Arial" w:hAnsi="Arial"/>
          <w:sz w:val="18"/>
          <w:szCs w:val="18"/>
          <w:color w:val="auto"/>
        </w:rPr>
        <w:t xml:space="preserve"> have remained stable in the currency mix.</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dynamic seen in the QoQ evolution of deposit dollarization also holds in the YoY analysis with the exception of demand deposits, whose dollarization level increased YoY (in keeping with the trend reported in the first three quarters of 2015)..</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2.2.2 Market share in Deposits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share in Peru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154940</wp:posOffset>
            </wp:positionV>
            <wp:extent cx="5746115" cy="8661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46115" cy="866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Demand deposits include Mibanco’s market share, 0.2% in December 2014, September 2015 and November 2015.</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Savings deposits include Mibanco’s market share, 1.4% in December 2014, 1.3% in September 2015 and in November 2015.</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Time deposits include Mibanco’s share, 5.3% in December 2014, 4.9% in September 2015 and 4.8% in November 2015</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CTS or Severance indemnity deposits includes Mibanco’s market share, 1.3% in December 2014, 1.2% in September 2015 and in November 2015</w:t>
      </w:r>
    </w:p>
    <w:p>
      <w:pPr>
        <w:spacing w:after="0" w:line="22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At the end of November 2015, Credicorp’s subsidiaries in Peru, BCP and Mibanco, continued to lead in the market for different types of deposits with a 32.8% share (30.7% in LC Deposits and 34.8% in FC Deposits). These results placed BCP and Mibanco 10 percentage points above their closest competitor.</w:t>
      </w:r>
    </w:p>
    <w:p>
      <w:pPr>
        <w:spacing w:after="0" w:line="12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the analysis by deposit type, Time Deposits posted a market share of 24% QoQ and YoY due to the capture level registered for deposits by individuals and companies. Demand Deposits remained stable QoQ, which was in line with a higher level of current account deposits and deposits from companies in the financial system; nevertheless, in YoY terms, the market share of Demand Deposits contracted slightly. Savings and CTS deposits fell slightly QoQ and YoY.</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BCP Bolivia once again ranked fifth in the Bolivian financial system with a market share of 8.9% at the end of 4Q15 (9.0% at the end of 3Q15 and 4Q14).</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gridSpan w:val="3"/>
          </w:tcPr>
          <w:p>
            <w:pPr>
              <w:spacing w:after="0"/>
              <w:rPr>
                <w:sz w:val="20"/>
                <w:szCs w:val="20"/>
                <w:color w:val="auto"/>
              </w:rPr>
            </w:pPr>
            <w:r>
              <w:rPr>
                <w:rFonts w:ascii="Arial" w:cs="Arial" w:eastAsia="Arial" w:hAnsi="Arial"/>
                <w:sz w:val="18"/>
                <w:szCs w:val="18"/>
                <w:b w:val="1"/>
                <w:bCs w:val="1"/>
                <w:color w:val="auto"/>
              </w:rPr>
              <w:t>2.3 Other funding sources</w:t>
            </w: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4080" w:type="dxa"/>
            <w:vAlign w:val="bottom"/>
            <w:gridSpan w:val="3"/>
          </w:tcPr>
          <w:p>
            <w:pPr>
              <w:ind w:left="660"/>
              <w:spacing w:after="0"/>
              <w:rPr>
                <w:sz w:val="20"/>
                <w:szCs w:val="20"/>
                <w:color w:val="auto"/>
              </w:rPr>
            </w:pPr>
            <w:r>
              <w:rPr>
                <w:rFonts w:ascii="Arial" w:cs="Arial" w:eastAsia="Arial" w:hAnsi="Arial"/>
                <w:sz w:val="18"/>
                <w:szCs w:val="18"/>
                <w:b w:val="1"/>
                <w:bCs w:val="1"/>
                <w:color w:val="auto"/>
              </w:rPr>
              <w:t>Other funding sources</w:t>
            </w: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2"/>
          </w:tcPr>
          <w:p>
            <w:pPr>
              <w:ind w:left="200"/>
              <w:spacing w:after="0"/>
              <w:rPr>
                <w:sz w:val="20"/>
                <w:szCs w:val="20"/>
                <w:color w:val="auto"/>
              </w:rPr>
            </w:pPr>
            <w:r>
              <w:rPr>
                <w:rFonts w:ascii="Arial" w:cs="Arial" w:eastAsia="Arial" w:hAnsi="Arial"/>
                <w:sz w:val="18"/>
                <w:szCs w:val="18"/>
                <w:b w:val="1"/>
                <w:bCs w:val="1"/>
                <w:color w:val="auto"/>
              </w:rPr>
              <w:t>Quarter</w:t>
            </w: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gridSpan w:val="3"/>
          </w:tcPr>
          <w:p>
            <w:pPr>
              <w:ind w:left="800"/>
              <w:spacing w:after="0"/>
              <w:rPr>
                <w:sz w:val="20"/>
                <w:szCs w:val="20"/>
                <w:color w:val="auto"/>
              </w:rPr>
            </w:pPr>
            <w:r>
              <w:rPr>
                <w:rFonts w:ascii="Arial" w:cs="Arial" w:eastAsia="Arial" w:hAnsi="Arial"/>
                <w:sz w:val="18"/>
                <w:szCs w:val="18"/>
                <w:b w:val="1"/>
                <w:bCs w:val="1"/>
                <w:color w:val="auto"/>
                <w:w w:val="95"/>
              </w:rPr>
              <w:t>% change</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80" w:type="dxa"/>
            <w:vAlign w:val="bottom"/>
            <w:gridSpan w:val="3"/>
          </w:tcPr>
          <w:p>
            <w:pPr>
              <w:ind w:left="660"/>
              <w:spacing w:after="0"/>
              <w:rPr>
                <w:sz w:val="20"/>
                <w:szCs w:val="20"/>
                <w:color w:val="auto"/>
              </w:rPr>
            </w:pPr>
            <w:r>
              <w:rPr>
                <w:rFonts w:ascii="Arial" w:cs="Arial" w:eastAsia="Arial" w:hAnsi="Arial"/>
                <w:sz w:val="18"/>
                <w:szCs w:val="18"/>
                <w:color w:val="auto"/>
              </w:rPr>
              <w:t>S/. 000</w:t>
            </w:r>
          </w:p>
        </w:tc>
        <w:tc>
          <w:tcPr>
            <w:tcW w:w="12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4Q14</w:t>
            </w:r>
          </w:p>
        </w:tc>
        <w:tc>
          <w:tcPr>
            <w:tcW w:w="1240" w:type="dxa"/>
            <w:vAlign w:val="bottom"/>
            <w:gridSpan w:val="2"/>
          </w:tcPr>
          <w:p>
            <w:pPr>
              <w:ind w:left="320"/>
              <w:spacing w:after="0"/>
              <w:rPr>
                <w:sz w:val="20"/>
                <w:szCs w:val="20"/>
                <w:color w:val="auto"/>
              </w:rPr>
            </w:pPr>
            <w:r>
              <w:rPr>
                <w:rFonts w:ascii="Arial" w:cs="Arial" w:eastAsia="Arial" w:hAnsi="Arial"/>
                <w:sz w:val="18"/>
                <w:szCs w:val="18"/>
                <w:b w:val="1"/>
                <w:bCs w:val="1"/>
                <w:color w:val="auto"/>
              </w:rPr>
              <w:t>3Q15</w:t>
            </w:r>
          </w:p>
        </w:tc>
        <w:tc>
          <w:tcPr>
            <w:tcW w:w="1240" w:type="dxa"/>
            <w:vAlign w:val="bottom"/>
            <w:gridSpan w:val="2"/>
          </w:tcPr>
          <w:p>
            <w:pPr>
              <w:ind w:left="320"/>
              <w:spacing w:after="0"/>
              <w:rPr>
                <w:sz w:val="20"/>
                <w:szCs w:val="20"/>
                <w:color w:val="auto"/>
              </w:rPr>
            </w:pPr>
            <w:r>
              <w:rPr>
                <w:rFonts w:ascii="Arial" w:cs="Arial" w:eastAsia="Arial" w:hAnsi="Arial"/>
                <w:sz w:val="18"/>
                <w:szCs w:val="18"/>
                <w:b w:val="1"/>
                <w:bCs w:val="1"/>
                <w:color w:val="auto"/>
              </w:rPr>
              <w:t>4Q15</w:t>
            </w:r>
          </w:p>
        </w:tc>
        <w:tc>
          <w:tcPr>
            <w:tcW w:w="1620" w:type="dxa"/>
            <w:vAlign w:val="bottom"/>
            <w:gridSpan w:val="3"/>
          </w:tcPr>
          <w:p>
            <w:pPr>
              <w:ind w:left="340"/>
              <w:spacing w:after="0"/>
              <w:rPr>
                <w:sz w:val="20"/>
                <w:szCs w:val="20"/>
                <w:color w:val="auto"/>
              </w:rPr>
            </w:pPr>
            <w:r>
              <w:rPr>
                <w:rFonts w:ascii="Arial" w:cs="Arial" w:eastAsia="Arial" w:hAnsi="Arial"/>
                <w:sz w:val="18"/>
                <w:szCs w:val="18"/>
                <w:b w:val="1"/>
                <w:bCs w:val="1"/>
                <w:color w:val="auto"/>
              </w:rPr>
              <w:t>QoQ</w:t>
            </w:r>
          </w:p>
        </w:tc>
        <w:tc>
          <w:tcPr>
            <w:tcW w:w="94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3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Due to banks and correspondents</w:t>
            </w:r>
          </w:p>
        </w:tc>
        <w:tc>
          <w:tcPr>
            <w:tcW w:w="100" w:type="dxa"/>
            <w:vAlign w:val="bottom"/>
            <w:vMerge w:val="continue"/>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11,160,872</w:t>
            </w:r>
          </w:p>
        </w:tc>
        <w:tc>
          <w:tcPr>
            <w:tcW w:w="200" w:type="dxa"/>
            <w:vAlign w:val="bottom"/>
            <w:vMerge w:val="continue"/>
            <w:shd w:val="clear" w:color="auto" w:fill="CCEEFF"/>
          </w:tcPr>
          <w:p>
            <w:pPr>
              <w:spacing w:after="0"/>
              <w:rPr>
                <w:sz w:val="18"/>
                <w:szCs w:val="18"/>
                <w:color w:val="auto"/>
              </w:rPr>
            </w:pPr>
          </w:p>
        </w:tc>
        <w:tc>
          <w:tcPr>
            <w:tcW w:w="10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4"/>
              </w:rPr>
              <w:t>9,737,111</w:t>
            </w:r>
          </w:p>
        </w:tc>
        <w:tc>
          <w:tcPr>
            <w:tcW w:w="200" w:type="dxa"/>
            <w:vAlign w:val="bottom"/>
            <w:vMerge w:val="continue"/>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8,387,517</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-13.9%</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BCRP instruments</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4,980,531</w:t>
            </w:r>
          </w:p>
        </w:tc>
        <w:tc>
          <w:tcPr>
            <w:tcW w:w="1240" w:type="dxa"/>
            <w:vAlign w:val="bottom"/>
            <w:gridSpan w:val="2"/>
          </w:tcPr>
          <w:p>
            <w:pPr>
              <w:ind w:left="240"/>
              <w:spacing w:after="0"/>
              <w:rPr>
                <w:sz w:val="20"/>
                <w:szCs w:val="20"/>
                <w:color w:val="auto"/>
              </w:rPr>
            </w:pPr>
            <w:r>
              <w:rPr>
                <w:rFonts w:ascii="Arial" w:cs="Arial" w:eastAsia="Arial" w:hAnsi="Arial"/>
                <w:sz w:val="18"/>
                <w:szCs w:val="18"/>
                <w:color w:val="auto"/>
              </w:rPr>
              <w:t>11,863,340</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10,612,840</w:t>
            </w:r>
          </w:p>
        </w:tc>
        <w:tc>
          <w:tcPr>
            <w:tcW w:w="1320" w:type="dxa"/>
            <w:vAlign w:val="bottom"/>
            <w:gridSpan w:val="2"/>
          </w:tcPr>
          <w:p>
            <w:pPr>
              <w:jc w:val="right"/>
              <w:ind w:right="30"/>
              <w:spacing w:after="0"/>
              <w:rPr>
                <w:sz w:val="20"/>
                <w:szCs w:val="20"/>
                <w:color w:val="auto"/>
              </w:rPr>
            </w:pPr>
            <w:r>
              <w:rPr>
                <w:rFonts w:ascii="Arial" w:cs="Arial" w:eastAsia="Arial" w:hAnsi="Arial"/>
                <w:sz w:val="18"/>
                <w:szCs w:val="18"/>
                <w:color w:val="auto"/>
              </w:rPr>
              <w:t>-10.5%</w:t>
            </w:r>
          </w:p>
        </w:tc>
        <w:tc>
          <w:tcPr>
            <w:tcW w:w="3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113.1%</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Bonds and subordinated debt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15,096,612</w:t>
            </w:r>
          </w:p>
        </w:tc>
        <w:tc>
          <w:tcPr>
            <w:tcW w:w="12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16,016,573</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16,305,819</w:t>
            </w:r>
          </w:p>
        </w:tc>
        <w:tc>
          <w:tcPr>
            <w:tcW w:w="1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0"/>
        </w:trPr>
        <w:tc>
          <w:tcPr>
            <w:tcW w:w="660" w:type="dxa"/>
            <w:vAlign w:val="bottom"/>
          </w:tcPr>
          <w:p>
            <w:pPr>
              <w:spacing w:after="0"/>
              <w:rPr>
                <w:sz w:val="23"/>
                <w:szCs w:val="23"/>
                <w:color w:val="auto"/>
              </w:rPr>
            </w:pPr>
          </w:p>
        </w:tc>
        <w:tc>
          <w:tcPr>
            <w:tcW w:w="3420" w:type="dxa"/>
            <w:vAlign w:val="bottom"/>
            <w:gridSpan w:val="2"/>
          </w:tcPr>
          <w:p>
            <w:pPr>
              <w:spacing w:after="0" w:line="269" w:lineRule="exact"/>
              <w:rPr>
                <w:sz w:val="20"/>
                <w:szCs w:val="20"/>
                <w:color w:val="auto"/>
              </w:rPr>
            </w:pPr>
            <w:r>
              <w:rPr>
                <w:rFonts w:ascii="Arial" w:cs="Arial" w:eastAsia="Arial" w:hAnsi="Arial"/>
                <w:sz w:val="18"/>
                <w:szCs w:val="18"/>
                <w:color w:val="auto"/>
              </w:rPr>
              <w:t>Other liabilities</w:t>
            </w:r>
            <w:r>
              <w:rPr>
                <w:rFonts w:ascii="Arial" w:cs="Arial" w:eastAsia="Arial" w:hAnsi="Arial"/>
                <w:sz w:val="30"/>
                <w:szCs w:val="30"/>
                <w:color w:val="auto"/>
                <w:vertAlign w:val="superscript"/>
              </w:rPr>
              <w:t>(1)</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12,426,878</w:t>
            </w:r>
          </w:p>
        </w:tc>
        <w:tc>
          <w:tcPr>
            <w:tcW w:w="1240" w:type="dxa"/>
            <w:vAlign w:val="bottom"/>
            <w:gridSpan w:val="2"/>
          </w:tcPr>
          <w:p>
            <w:pPr>
              <w:ind w:left="240"/>
              <w:spacing w:after="0"/>
              <w:rPr>
                <w:sz w:val="20"/>
                <w:szCs w:val="20"/>
                <w:color w:val="auto"/>
              </w:rPr>
            </w:pPr>
            <w:r>
              <w:rPr>
                <w:rFonts w:ascii="Arial" w:cs="Arial" w:eastAsia="Arial" w:hAnsi="Arial"/>
                <w:sz w:val="18"/>
                <w:szCs w:val="18"/>
                <w:color w:val="auto"/>
              </w:rPr>
              <w:t>13,010,791</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13,072,489</w:t>
            </w:r>
          </w:p>
        </w:tc>
        <w:tc>
          <w:tcPr>
            <w:tcW w:w="1320" w:type="dxa"/>
            <w:vAlign w:val="bottom"/>
            <w:gridSpan w:val="2"/>
          </w:tcPr>
          <w:p>
            <w:pPr>
              <w:jc w:val="right"/>
              <w:ind w:right="30"/>
              <w:spacing w:after="0"/>
              <w:rPr>
                <w:sz w:val="20"/>
                <w:szCs w:val="20"/>
                <w:color w:val="auto"/>
              </w:rPr>
            </w:pPr>
            <w:r>
              <w:rPr>
                <w:rFonts w:ascii="Arial" w:cs="Arial" w:eastAsia="Arial" w:hAnsi="Arial"/>
                <w:sz w:val="18"/>
                <w:szCs w:val="18"/>
                <w:color w:val="auto"/>
              </w:rPr>
              <w:t>0.5%</w:t>
            </w:r>
          </w:p>
        </w:tc>
        <w:tc>
          <w:tcPr>
            <w:tcW w:w="30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34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Other funding sources</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43,664,893</w:t>
            </w:r>
          </w:p>
        </w:tc>
        <w:tc>
          <w:tcPr>
            <w:tcW w:w="2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ind w:left="240"/>
              <w:spacing w:after="0"/>
              <w:rPr>
                <w:sz w:val="20"/>
                <w:szCs w:val="20"/>
                <w:color w:val="auto"/>
              </w:rPr>
            </w:pPr>
            <w:r>
              <w:rPr>
                <w:rFonts w:ascii="Arial" w:cs="Arial" w:eastAsia="Arial" w:hAnsi="Arial"/>
                <w:sz w:val="18"/>
                <w:szCs w:val="18"/>
                <w:b w:val="1"/>
                <w:bCs w:val="1"/>
                <w:color w:val="auto"/>
                <w:w w:val="86"/>
              </w:rPr>
              <w:t>50,627,815</w:t>
            </w:r>
          </w:p>
        </w:tc>
        <w:tc>
          <w:tcPr>
            <w:tcW w:w="2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48,378,665</w:t>
            </w:r>
          </w:p>
        </w:tc>
        <w:tc>
          <w:tcPr>
            <w:tcW w:w="18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w:t>
            </w:r>
          </w:p>
        </w:tc>
        <w:tc>
          <w:tcPr>
            <w:tcW w:w="28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10.8</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bl>
    <w:p>
      <w:pPr>
        <w:ind w:left="980" w:right="420" w:hanging="324"/>
        <w:spacing w:after="0" w:line="261"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acceptances outstanding, reserves for property and casualty claims, reserve for unearned premiums, reinsurance payable and other liabilities.</w:t>
      </w:r>
    </w:p>
    <w:p>
      <w:pPr>
        <w:spacing w:after="0" w:line="18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 xml:space="preserve">The total of </w:t>
      </w:r>
      <w:r>
        <w:rPr>
          <w:rFonts w:ascii="Arial" w:cs="Arial" w:eastAsia="Arial" w:hAnsi="Arial"/>
          <w:sz w:val="18"/>
          <w:szCs w:val="18"/>
          <w:b w:val="1"/>
          <w:bCs w:val="1"/>
          <w:color w:val="auto"/>
        </w:rPr>
        <w:t>Other Funding Sources</w:t>
      </w:r>
      <w:r>
        <w:rPr>
          <w:rFonts w:ascii="Arial" w:cs="Arial" w:eastAsia="Arial" w:hAnsi="Arial"/>
          <w:sz w:val="18"/>
          <w:szCs w:val="18"/>
          <w:color w:val="auto"/>
        </w:rPr>
        <w:t xml:space="preserve"> contracted -4.4% QoQ. This was due primarily to a decrease in Due to Banks and Correspondents, followed by maturities of BCRP Instruments.</w:t>
      </w:r>
    </w:p>
    <w:p>
      <w:pPr>
        <w:spacing w:after="0" w:line="16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 xml:space="preserve">The drop in </w:t>
      </w:r>
      <w:r>
        <w:rPr>
          <w:rFonts w:ascii="Arial" w:cs="Arial" w:eastAsia="Arial" w:hAnsi="Arial"/>
          <w:sz w:val="17"/>
          <w:szCs w:val="17"/>
          <w:b w:val="1"/>
          <w:bCs w:val="1"/>
          <w:color w:val="auto"/>
        </w:rPr>
        <w:t>Due to Banks and Correspondents</w:t>
      </w:r>
      <w:r>
        <w:rPr>
          <w:rFonts w:ascii="Arial" w:cs="Arial" w:eastAsia="Arial" w:hAnsi="Arial"/>
          <w:sz w:val="17"/>
          <w:szCs w:val="17"/>
          <w:color w:val="auto"/>
        </w:rPr>
        <w:t xml:space="preserve"> was mainly attributable to amortization of lines with foreign banks held by BCP Stand-alone and interbank funds at Mibanco. The decrease in BCRP Instruments was associated with maturities at the end of 4Q15 at BCP Stand-alone, which led this item’s share of total funding at Credicorp to fall for the first time this year (4.1% - 4Q14, 6.3% -1Q15, 7.5% - 2Q15, 8.7% - 3Q15 and 6.0% - 4Q15).</w:t>
      </w:r>
    </w:p>
    <w:p>
      <w:pPr>
        <w:spacing w:after="0" w:line="16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aforementioned was offset by a slight increase in Bonds and Subordinated Debt. This was primarily due to the US Dollar’s appreciation this quarter (+5.87% QoQ), which had a larger effect on bonds issued by BCP Stand-alone given that 89% of these instruments are denominated in FC.</w:t>
      </w: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1" w:name="page22"/>
    <w:bookmarkEnd w:id="21"/>
    <w:p>
      <w:pPr>
        <w:jc w:val="both"/>
        <w:spacing w:after="0" w:line="282" w:lineRule="auto"/>
        <w:rPr>
          <w:sz w:val="20"/>
          <w:szCs w:val="20"/>
          <w:color w:val="auto"/>
        </w:rPr>
      </w:pPr>
      <w:r>
        <w:rPr>
          <w:rFonts w:ascii="Arial" w:cs="Arial" w:eastAsia="Arial" w:hAnsi="Arial"/>
          <w:sz w:val="18"/>
          <w:szCs w:val="18"/>
          <w:color w:val="auto"/>
        </w:rPr>
        <w:t xml:space="preserve">The level of </w:t>
      </w:r>
      <w:r>
        <w:rPr>
          <w:rFonts w:ascii="Arial" w:cs="Arial" w:eastAsia="Arial" w:hAnsi="Arial"/>
          <w:sz w:val="18"/>
          <w:szCs w:val="18"/>
          <w:b w:val="1"/>
          <w:bCs w:val="1"/>
          <w:color w:val="auto"/>
        </w:rPr>
        <w:t>Other Liabilities</w:t>
      </w:r>
      <w:r>
        <w:rPr>
          <w:rFonts w:ascii="Arial" w:cs="Arial" w:eastAsia="Arial" w:hAnsi="Arial"/>
          <w:sz w:val="18"/>
          <w:szCs w:val="18"/>
          <w:color w:val="auto"/>
        </w:rPr>
        <w:t xml:space="preserve"> remained stable QoQ due to payment of accounts receivables and lower provisions for income taxes, at BCP Stand-alone, ASB and Grupo Pacifico.</w:t>
      </w:r>
    </w:p>
    <w:p>
      <w:pPr>
        <w:spacing w:after="0" w:line="16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YoY analysis shows a significant increase in BCRP instruments and a reduction in Due to Banks and Correspondents, which was in line with on-going efforts to replace different types of funding with BCRP Instruments. The aforementioned led Other Funding Sources at Credicorp to restructure and shift toward lower cost and more stable liabilities. This is turn led to moves to replace mainly Bonds and Subordinated Debt, which represent a funding source with higher funding cost, as well as Due to Banks and Correspondents. More use of these instruments offset the reduction in time deposits in 2015.</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60" w:type="dxa"/>
            <w:vAlign w:val="bottom"/>
            <w:gridSpan w:val="2"/>
          </w:tcPr>
          <w:p>
            <w:pPr>
              <w:spacing w:after="0"/>
              <w:rPr>
                <w:sz w:val="20"/>
                <w:szCs w:val="20"/>
                <w:color w:val="auto"/>
              </w:rPr>
            </w:pPr>
            <w:r>
              <w:rPr>
                <w:rFonts w:ascii="Arial" w:cs="Arial" w:eastAsia="Arial" w:hAnsi="Arial"/>
                <w:sz w:val="18"/>
                <w:szCs w:val="18"/>
                <w:b w:val="1"/>
                <w:bCs w:val="1"/>
                <w:color w:val="auto"/>
              </w:rPr>
              <w:t>2.4 Loan/Deposit (L/D)</w:t>
            </w:r>
          </w:p>
        </w:tc>
        <w:tc>
          <w:tcPr>
            <w:tcW w:w="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32"/>
        </w:trPr>
        <w:tc>
          <w:tcPr>
            <w:tcW w:w="9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60" w:type="dxa"/>
            <w:vAlign w:val="bottom"/>
            <w:gridSpan w:val="9"/>
          </w:tcPr>
          <w:p>
            <w:pPr>
              <w:ind w:left="1180"/>
              <w:spacing w:after="0"/>
              <w:rPr>
                <w:sz w:val="20"/>
                <w:szCs w:val="20"/>
                <w:color w:val="auto"/>
              </w:rPr>
            </w:pPr>
            <w:r>
              <w:rPr>
                <w:rFonts w:ascii="Arial" w:cs="Arial" w:eastAsia="Arial" w:hAnsi="Arial"/>
                <w:sz w:val="18"/>
                <w:szCs w:val="18"/>
                <w:b w:val="1"/>
                <w:bCs w:val="1"/>
                <w:color w:val="auto"/>
                <w:w w:val="92"/>
              </w:rPr>
              <w:t>Loan/Deposit ratio by subsidiary and currency</w:t>
            </w: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92"/>
        </w:trPr>
        <w:tc>
          <w:tcPr>
            <w:tcW w:w="9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Loans</w:t>
            </w:r>
          </w:p>
        </w:tc>
        <w:tc>
          <w:tcPr>
            <w:tcW w:w="1020" w:type="dxa"/>
            <w:vAlign w:val="bottom"/>
            <w:gridSpan w:val="3"/>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50"/>
        </w:trPr>
        <w:tc>
          <w:tcPr>
            <w:tcW w:w="9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gridSpan w:val="5"/>
          </w:tcPr>
          <w:p>
            <w:pPr>
              <w:jc w:val="center"/>
              <w:ind w:right="700"/>
              <w:spacing w:after="0"/>
              <w:rPr>
                <w:sz w:val="20"/>
                <w:szCs w:val="20"/>
                <w:color w:val="auto"/>
              </w:rPr>
            </w:pPr>
            <w:r>
              <w:rPr>
                <w:rFonts w:ascii="Arial" w:cs="Arial" w:eastAsia="Arial" w:hAnsi="Arial"/>
                <w:sz w:val="18"/>
                <w:szCs w:val="18"/>
                <w:b w:val="1"/>
                <w:bCs w:val="1"/>
                <w:color w:val="auto"/>
                <w:w w:val="84"/>
              </w:rPr>
              <w:t>Deposits</w:t>
            </w:r>
          </w:p>
        </w:tc>
        <w:tc>
          <w:tcPr>
            <w:tcW w:w="8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r>
      <w:tr>
        <w:trPr>
          <w:trHeight w:val="223"/>
        </w:trPr>
        <w:tc>
          <w:tcPr>
            <w:tcW w:w="980" w:type="dxa"/>
            <w:vAlign w:val="bottom"/>
          </w:tcPr>
          <w:p>
            <w:pPr>
              <w:spacing w:after="0"/>
              <w:rPr>
                <w:sz w:val="19"/>
                <w:szCs w:val="19"/>
                <w:color w:val="auto"/>
              </w:rPr>
            </w:pPr>
          </w:p>
        </w:tc>
        <w:tc>
          <w:tcPr>
            <w:tcW w:w="168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rPr>
              <w:t>Total</w:t>
            </w:r>
          </w:p>
        </w:tc>
        <w:tc>
          <w:tcPr>
            <w:tcW w:w="8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BCP Stand-alone</w:t>
            </w:r>
          </w:p>
        </w:tc>
        <w:tc>
          <w:tcPr>
            <w:tcW w:w="24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Mibanco</w:t>
            </w:r>
          </w:p>
        </w:tc>
        <w:tc>
          <w:tcPr>
            <w:tcW w:w="24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rPr>
              <w:t>BCP Bolivia</w:t>
            </w: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ASB</w:t>
            </w:r>
          </w:p>
        </w:tc>
        <w:tc>
          <w:tcPr>
            <w:tcW w:w="24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BAP</w:t>
            </w:r>
          </w:p>
        </w:tc>
        <w:tc>
          <w:tcPr>
            <w:tcW w:w="180" w:type="dxa"/>
            <w:vAlign w:val="bottom"/>
            <w:tcBorders>
              <w:bottom w:val="single" w:sz="8" w:color="CCEEFF"/>
            </w:tcBorders>
          </w:tcPr>
          <w:p>
            <w:pPr>
              <w:spacing w:after="0"/>
              <w:rPr>
                <w:sz w:val="19"/>
                <w:szCs w:val="19"/>
                <w:color w:val="auto"/>
              </w:rPr>
            </w:pPr>
          </w:p>
        </w:tc>
      </w:tr>
      <w:tr>
        <w:trPr>
          <w:trHeight w:val="210"/>
        </w:trPr>
        <w:tc>
          <w:tcPr>
            <w:tcW w:w="980" w:type="dxa"/>
            <w:vAlign w:val="bottom"/>
          </w:tcPr>
          <w:p>
            <w:pPr>
              <w:spacing w:after="0"/>
              <w:rPr>
                <w:sz w:val="18"/>
                <w:szCs w:val="18"/>
                <w:color w:val="auto"/>
              </w:rPr>
            </w:pPr>
          </w:p>
        </w:tc>
        <w:tc>
          <w:tcPr>
            <w:tcW w:w="168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4Q14</w:t>
            </w: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106.1%</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138.2%</w:t>
            </w:r>
          </w:p>
        </w:tc>
        <w:tc>
          <w:tcPr>
            <w:tcW w:w="14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77.8%</w:t>
            </w: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52.8%</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103.5%</w:t>
            </w:r>
          </w:p>
        </w:tc>
      </w:tr>
      <w:tr>
        <w:trPr>
          <w:trHeight w:val="216"/>
        </w:trPr>
        <w:tc>
          <w:tcPr>
            <w:tcW w:w="980" w:type="dxa"/>
            <w:vAlign w:val="bottom"/>
          </w:tcPr>
          <w:p>
            <w:pPr>
              <w:spacing w:after="0"/>
              <w:rPr>
                <w:sz w:val="18"/>
                <w:szCs w:val="18"/>
                <w:color w:val="auto"/>
              </w:rPr>
            </w:pPr>
          </w:p>
        </w:tc>
        <w:tc>
          <w:tcPr>
            <w:tcW w:w="1680" w:type="dxa"/>
            <w:vAlign w:val="bottom"/>
          </w:tcPr>
          <w:p>
            <w:pPr>
              <w:ind w:left="640"/>
              <w:spacing w:after="0"/>
              <w:rPr>
                <w:sz w:val="20"/>
                <w:szCs w:val="20"/>
                <w:color w:val="auto"/>
              </w:rPr>
            </w:pPr>
            <w:r>
              <w:rPr>
                <w:rFonts w:ascii="Arial" w:cs="Arial" w:eastAsia="Arial" w:hAnsi="Arial"/>
                <w:sz w:val="18"/>
                <w:szCs w:val="18"/>
                <w:b w:val="1"/>
                <w:bCs w:val="1"/>
                <w:color w:val="auto"/>
              </w:rPr>
              <w:t>3Q15</w:t>
            </w:r>
          </w:p>
        </w:tc>
        <w:tc>
          <w:tcPr>
            <w:tcW w:w="1660" w:type="dxa"/>
            <w:vAlign w:val="bottom"/>
            <w:gridSpan w:val="3"/>
          </w:tcPr>
          <w:p>
            <w:pPr>
              <w:jc w:val="right"/>
              <w:ind w:right="100"/>
              <w:spacing w:after="0"/>
              <w:rPr>
                <w:sz w:val="20"/>
                <w:szCs w:val="20"/>
                <w:color w:val="auto"/>
              </w:rPr>
            </w:pPr>
            <w:r>
              <w:rPr>
                <w:rFonts w:ascii="Arial" w:cs="Arial" w:eastAsia="Arial" w:hAnsi="Arial"/>
                <w:sz w:val="18"/>
                <w:szCs w:val="18"/>
                <w:color w:val="auto"/>
              </w:rPr>
              <w:t>104.8%</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142.0%</w:t>
            </w:r>
          </w:p>
        </w:tc>
        <w:tc>
          <w:tcPr>
            <w:tcW w:w="1480" w:type="dxa"/>
            <w:vAlign w:val="bottom"/>
            <w:gridSpan w:val="4"/>
          </w:tcPr>
          <w:p>
            <w:pPr>
              <w:jc w:val="right"/>
              <w:ind w:right="100"/>
              <w:spacing w:after="0"/>
              <w:rPr>
                <w:sz w:val="20"/>
                <w:szCs w:val="20"/>
                <w:color w:val="auto"/>
              </w:rPr>
            </w:pPr>
            <w:r>
              <w:rPr>
                <w:rFonts w:ascii="Arial" w:cs="Arial" w:eastAsia="Arial" w:hAnsi="Arial"/>
                <w:sz w:val="18"/>
                <w:szCs w:val="18"/>
                <w:color w:val="auto"/>
              </w:rPr>
              <w:t>77.3%</w:t>
            </w:r>
          </w:p>
        </w:tc>
        <w:tc>
          <w:tcPr>
            <w:tcW w:w="3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54.5%</w:t>
            </w:r>
          </w:p>
        </w:tc>
        <w:tc>
          <w:tcPr>
            <w:tcW w:w="1400" w:type="dxa"/>
            <w:vAlign w:val="bottom"/>
            <w:gridSpan w:val="2"/>
          </w:tcPr>
          <w:p>
            <w:pPr>
              <w:jc w:val="right"/>
              <w:spacing w:after="0"/>
              <w:rPr>
                <w:sz w:val="20"/>
                <w:szCs w:val="20"/>
                <w:color w:val="auto"/>
              </w:rPr>
            </w:pPr>
            <w:r>
              <w:rPr>
                <w:rFonts w:ascii="Arial" w:cs="Arial" w:eastAsia="Arial" w:hAnsi="Arial"/>
                <w:sz w:val="18"/>
                <w:szCs w:val="18"/>
                <w:b w:val="1"/>
                <w:bCs w:val="1"/>
                <w:color w:val="auto"/>
              </w:rPr>
              <w:t>101.6%</w:t>
            </w:r>
          </w:p>
        </w:tc>
      </w:tr>
      <w:tr>
        <w:trPr>
          <w:trHeight w:val="216"/>
        </w:trPr>
        <w:tc>
          <w:tcPr>
            <w:tcW w:w="980" w:type="dxa"/>
            <w:vAlign w:val="bottom"/>
          </w:tcPr>
          <w:p>
            <w:pPr>
              <w:spacing w:after="0"/>
              <w:rPr>
                <w:sz w:val="18"/>
                <w:szCs w:val="18"/>
                <w:color w:val="auto"/>
              </w:rPr>
            </w:pPr>
          </w:p>
        </w:tc>
        <w:tc>
          <w:tcPr>
            <w:tcW w:w="168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4Q15</w:t>
            </w: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103.2%</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132.0%</w:t>
            </w:r>
          </w:p>
        </w:tc>
        <w:tc>
          <w:tcPr>
            <w:tcW w:w="14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74.2%</w:t>
            </w: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58.9%</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99.7%</w:t>
            </w:r>
          </w:p>
        </w:tc>
      </w:tr>
    </w:tbl>
    <w:p>
      <w:pPr>
        <w:spacing w:after="0" w:line="211" w:lineRule="exact"/>
        <w:rPr>
          <w:sz w:val="20"/>
          <w:szCs w:val="20"/>
          <w:color w:val="auto"/>
        </w:rPr>
      </w:pPr>
    </w:p>
    <w:tbl>
      <w:tblPr>
        <w:tblLayout w:type="fixed"/>
        <w:tblInd w:w="980" w:type="dxa"/>
        <w:tblCellMar>
          <w:top w:w="0" w:type="dxa"/>
          <w:left w:w="0" w:type="dxa"/>
          <w:bottom w:w="0" w:type="dxa"/>
          <w:right w:w="0" w:type="dxa"/>
        </w:tblCellMar>
      </w:tblPr>
      <w:tr>
        <w:trPr>
          <w:trHeight w:val="234"/>
        </w:trPr>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LC</w:t>
            </w:r>
          </w:p>
        </w:tc>
        <w:tc>
          <w:tcPr>
            <w:tcW w:w="60" w:type="dxa"/>
            <w:vAlign w:val="bottom"/>
            <w:tcBorders>
              <w:bottom w:val="single" w:sz="8" w:color="CCEEFF"/>
            </w:tcBorders>
          </w:tcPr>
          <w:p>
            <w:pPr>
              <w:spacing w:after="0"/>
              <w:rPr>
                <w:sz w:val="20"/>
                <w:szCs w:val="20"/>
                <w:color w:val="auto"/>
              </w:rPr>
            </w:pPr>
          </w:p>
        </w:tc>
        <w:tc>
          <w:tcPr>
            <w:tcW w:w="14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91"/>
              </w:rPr>
              <w:t>BCP Stand-alone</w:t>
            </w:r>
          </w:p>
        </w:tc>
        <w:tc>
          <w:tcPr>
            <w:tcW w:w="22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Mibanco</w:t>
            </w:r>
          </w:p>
        </w:tc>
        <w:tc>
          <w:tcPr>
            <w:tcW w:w="160" w:type="dxa"/>
            <w:vAlign w:val="bottom"/>
            <w:tcBorders>
              <w:bottom w:val="single" w:sz="8" w:color="CCEEFF"/>
            </w:tcBorders>
          </w:tcPr>
          <w:p>
            <w:pPr>
              <w:spacing w:after="0"/>
              <w:rPr>
                <w:sz w:val="20"/>
                <w:szCs w:val="20"/>
                <w:color w:val="auto"/>
              </w:rPr>
            </w:pPr>
          </w:p>
        </w:tc>
      </w:tr>
      <w:tr>
        <w:trPr>
          <w:trHeight w:val="210"/>
        </w:trPr>
        <w:tc>
          <w:tcPr>
            <w:tcW w:w="18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4Q14</w:t>
            </w:r>
          </w:p>
        </w:tc>
        <w:tc>
          <w:tcPr>
            <w:tcW w:w="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110.6%</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155.2%</w:t>
            </w:r>
          </w:p>
        </w:tc>
      </w:tr>
      <w:tr>
        <w:trPr>
          <w:trHeight w:val="216"/>
        </w:trPr>
        <w:tc>
          <w:tcPr>
            <w:tcW w:w="19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0"/>
              </w:rPr>
              <w:t>3Q15</w:t>
            </w:r>
          </w:p>
        </w:tc>
        <w:tc>
          <w:tcPr>
            <w:tcW w:w="1620" w:type="dxa"/>
            <w:vAlign w:val="bottom"/>
            <w:gridSpan w:val="2"/>
          </w:tcPr>
          <w:p>
            <w:pPr>
              <w:jc w:val="right"/>
              <w:ind w:right="60"/>
              <w:spacing w:after="0"/>
              <w:rPr>
                <w:sz w:val="20"/>
                <w:szCs w:val="20"/>
                <w:color w:val="auto"/>
              </w:rPr>
            </w:pPr>
            <w:r>
              <w:rPr>
                <w:rFonts w:ascii="Arial" w:cs="Arial" w:eastAsia="Arial" w:hAnsi="Arial"/>
                <w:sz w:val="18"/>
                <w:szCs w:val="18"/>
                <w:color w:val="auto"/>
              </w:rPr>
              <w:t>152.5%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176.6%</w:t>
            </w:r>
          </w:p>
        </w:tc>
      </w:tr>
      <w:tr>
        <w:trPr>
          <w:trHeight w:val="216"/>
        </w:trPr>
        <w:tc>
          <w:tcPr>
            <w:tcW w:w="190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b w:val="1"/>
                <w:bCs w:val="1"/>
                <w:color w:val="auto"/>
                <w:w w:val="90"/>
              </w:rPr>
              <w:t>4Q15</w:t>
            </w:r>
          </w:p>
        </w:tc>
        <w:tc>
          <w:tcPr>
            <w:tcW w:w="1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148.0%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161.9%</w:t>
            </w:r>
          </w:p>
        </w:tc>
      </w:tr>
    </w:tbl>
    <w:p>
      <w:pPr>
        <w:spacing w:after="0" w:line="211" w:lineRule="exact"/>
        <w:rPr>
          <w:sz w:val="20"/>
          <w:szCs w:val="20"/>
          <w:color w:val="auto"/>
        </w:rPr>
      </w:pPr>
    </w:p>
    <w:tbl>
      <w:tblPr>
        <w:tblLayout w:type="fixed"/>
        <w:tblInd w:w="980" w:type="dxa"/>
        <w:tblCellMar>
          <w:top w:w="0" w:type="dxa"/>
          <w:left w:w="0" w:type="dxa"/>
          <w:bottom w:w="0" w:type="dxa"/>
          <w:right w:w="0" w:type="dxa"/>
        </w:tblCellMar>
      </w:tblPr>
      <w:tr>
        <w:trPr>
          <w:trHeight w:val="234"/>
        </w:trPr>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FC</w:t>
            </w:r>
          </w:p>
        </w:tc>
        <w:tc>
          <w:tcPr>
            <w:tcW w:w="60" w:type="dxa"/>
            <w:vAlign w:val="bottom"/>
            <w:tcBorders>
              <w:bottom w:val="single" w:sz="8" w:color="CCEEFF"/>
            </w:tcBorders>
          </w:tcPr>
          <w:p>
            <w:pPr>
              <w:spacing w:after="0"/>
              <w:rPr>
                <w:sz w:val="20"/>
                <w:szCs w:val="20"/>
                <w:color w:val="auto"/>
              </w:rPr>
            </w:pPr>
          </w:p>
        </w:tc>
        <w:tc>
          <w:tcPr>
            <w:tcW w:w="14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91"/>
              </w:rPr>
              <w:t>BCP Stand-alone</w:t>
            </w:r>
          </w:p>
        </w:tc>
        <w:tc>
          <w:tcPr>
            <w:tcW w:w="22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Mibanco</w:t>
            </w:r>
          </w:p>
        </w:tc>
        <w:tc>
          <w:tcPr>
            <w:tcW w:w="160" w:type="dxa"/>
            <w:vAlign w:val="bottom"/>
            <w:tcBorders>
              <w:bottom w:val="single" w:sz="8" w:color="CCEEFF"/>
            </w:tcBorders>
          </w:tcPr>
          <w:p>
            <w:pPr>
              <w:spacing w:after="0"/>
              <w:rPr>
                <w:sz w:val="20"/>
                <w:szCs w:val="20"/>
                <w:color w:val="auto"/>
              </w:rPr>
            </w:pPr>
          </w:p>
        </w:tc>
      </w:tr>
      <w:tr>
        <w:trPr>
          <w:trHeight w:val="210"/>
        </w:trPr>
        <w:tc>
          <w:tcPr>
            <w:tcW w:w="18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4Q14</w:t>
            </w:r>
          </w:p>
        </w:tc>
        <w:tc>
          <w:tcPr>
            <w:tcW w:w="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101.4%</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57.1%</w:t>
            </w:r>
          </w:p>
        </w:tc>
      </w:tr>
      <w:tr>
        <w:trPr>
          <w:trHeight w:val="216"/>
        </w:trPr>
        <w:tc>
          <w:tcPr>
            <w:tcW w:w="19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0"/>
              </w:rPr>
              <w:t>3Q15</w:t>
            </w:r>
          </w:p>
        </w:tc>
        <w:tc>
          <w:tcPr>
            <w:tcW w:w="1620" w:type="dxa"/>
            <w:vAlign w:val="bottom"/>
            <w:gridSpan w:val="2"/>
          </w:tcPr>
          <w:p>
            <w:pPr>
              <w:jc w:val="right"/>
              <w:ind w:right="60"/>
              <w:spacing w:after="0"/>
              <w:rPr>
                <w:sz w:val="20"/>
                <w:szCs w:val="20"/>
                <w:color w:val="auto"/>
              </w:rPr>
            </w:pPr>
            <w:r>
              <w:rPr>
                <w:rFonts w:ascii="Arial" w:cs="Arial" w:eastAsia="Arial" w:hAnsi="Arial"/>
                <w:sz w:val="18"/>
                <w:szCs w:val="18"/>
                <w:color w:val="auto"/>
              </w:rPr>
              <w:t>69.7%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25.9%</w:t>
            </w:r>
          </w:p>
        </w:tc>
      </w:tr>
      <w:tr>
        <w:trPr>
          <w:trHeight w:val="216"/>
        </w:trPr>
        <w:tc>
          <w:tcPr>
            <w:tcW w:w="190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b w:val="1"/>
                <w:bCs w:val="1"/>
                <w:color w:val="auto"/>
                <w:w w:val="90"/>
              </w:rPr>
              <w:t>4Q15</w:t>
            </w:r>
          </w:p>
        </w:tc>
        <w:tc>
          <w:tcPr>
            <w:tcW w:w="1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67.9%</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w:t>
            </w:r>
          </w:p>
        </w:tc>
      </w:tr>
    </w:tbl>
    <w:p>
      <w:pPr>
        <w:spacing w:after="0" w:line="19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Loan/Deposit</w:t>
      </w:r>
      <w:r>
        <w:rPr>
          <w:rFonts w:ascii="Arial" w:cs="Arial" w:eastAsia="Arial" w:hAnsi="Arial"/>
          <w:sz w:val="18"/>
          <w:szCs w:val="18"/>
          <w:color w:val="auto"/>
        </w:rPr>
        <w:t xml:space="preserve"> (L/D) ratio at Credicorp fell -190 bps QoQ and -380 bps YoY. This effect was observed in the banking subsidiaries: BCP Stand-alone, Mibanco and BCP Bolivia.</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 analysis of the decline in the L/D ratio indicates that it is attributable to a +4.8% increase QoQ in total deposits vs. lower growth in total loans (+2.8% QoQ). Nevertheless, it is important to mention that although the larger increase in total deposits incorporates the effect of the US Dollar’s appreciation, an analysis of the L/D ratio without this effect also reveals an improvement in the ratio of approximately -80 bps QoQ.</w:t>
      </w:r>
    </w:p>
    <w:p>
      <w:pPr>
        <w:spacing w:after="0" w:line="17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The total L/D ratio at </w:t>
      </w:r>
      <w:r>
        <w:rPr>
          <w:rFonts w:ascii="Arial" w:cs="Arial" w:eastAsia="Arial" w:hAnsi="Arial"/>
          <w:sz w:val="18"/>
          <w:szCs w:val="18"/>
          <w:b w:val="1"/>
          <w:bCs w:val="1"/>
          <w:color w:val="auto"/>
        </w:rPr>
        <w:t>BCP Stand-alone</w:t>
      </w:r>
      <w:r>
        <w:rPr>
          <w:rFonts w:ascii="Arial" w:cs="Arial" w:eastAsia="Arial" w:hAnsi="Arial"/>
          <w:sz w:val="18"/>
          <w:szCs w:val="18"/>
          <w:color w:val="auto"/>
        </w:rPr>
        <w:t xml:space="preserve"> was situated at 103.2% at the end of 4Q15, which was -160 bps below the level reported in 3Q15 (104.8%). Even if we analyze the QoQ evolution of the total L/D ratio at BCP Stand-alone without the effect of the appreciation of the US Dollar, we find a drop of approximately -50 bps QoQ. It is important to note that this trend was due to a decrease in both the L/D ratio in FC and in LC.</w:t>
      </w:r>
    </w:p>
    <w:p>
      <w:pPr>
        <w:spacing w:after="0" w:line="18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L/D ratio at BCP Stand-alone contracted for the first time this year to situate at 148.0% at the end of 4Q15 vs. 152.5% at the end of 3Q15. This was attributable to an increase in LC Deposits, mainly in Demand Deposits, Savings Deposits and CTS. The L/D in FC fell -180 bps. This was primarily attributable to the contraction in FC Loans in Wholesale Banking and in Middle Market Banking in particular vs. a slight increase in FC Deposits.</w:t>
      </w:r>
    </w:p>
    <w:p>
      <w:pPr>
        <w:spacing w:after="0" w:line="382"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2" w:name="page23"/>
    <w:bookmarkEnd w:id="22"/>
    <w:p>
      <w:pPr>
        <w:jc w:val="both"/>
        <w:spacing w:after="0" w:line="289" w:lineRule="auto"/>
        <w:rPr>
          <w:sz w:val="20"/>
          <w:szCs w:val="20"/>
          <w:color w:val="auto"/>
        </w:rPr>
      </w:pPr>
      <w:r>
        <w:rPr>
          <w:rFonts w:ascii="Arial" w:cs="Arial" w:eastAsia="Arial" w:hAnsi="Arial"/>
          <w:sz w:val="17"/>
          <w:szCs w:val="17"/>
          <w:b w:val="1"/>
          <w:bCs w:val="1"/>
          <w:color w:val="auto"/>
        </w:rPr>
        <w:t>Mibanco</w:t>
      </w:r>
      <w:r>
        <w:rPr>
          <w:rFonts w:ascii="Arial" w:cs="Arial" w:eastAsia="Arial" w:hAnsi="Arial"/>
          <w:sz w:val="17"/>
          <w:szCs w:val="17"/>
          <w:color w:val="auto"/>
        </w:rPr>
        <w:t>’s total L/C ratio fell -1,000 due to significant growth in deposits (+11.3% QoQ) vs. the increase posted in loans (+3.4%). Growth in deposits was</w:t>
      </w:r>
      <w:r>
        <w:rPr>
          <w:rFonts w:ascii="Arial" w:cs="Arial" w:eastAsia="Arial" w:hAnsi="Arial"/>
          <w:sz w:val="17"/>
          <w:szCs w:val="17"/>
          <w:b w:val="1"/>
          <w:bCs w:val="1"/>
          <w:color w:val="auto"/>
        </w:rPr>
        <w:t xml:space="preserve"> </w:t>
      </w:r>
      <w:r>
        <w:rPr>
          <w:rFonts w:ascii="Arial" w:cs="Arial" w:eastAsia="Arial" w:hAnsi="Arial"/>
          <w:sz w:val="17"/>
          <w:szCs w:val="17"/>
          <w:color w:val="auto"/>
        </w:rPr>
        <w:t>attributable to expansion in Time Deposits, which was associated with the campaigns held in the second half of 2015. It is important to note that an analysis of the L/D ratio by currency shows at QoQ drop in LC and FC. The latter was due to a contraction in the loan portfolio in US Dollars.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L/D ratio at </w:t>
      </w:r>
      <w:r>
        <w:rPr>
          <w:rFonts w:ascii="Arial" w:cs="Arial" w:eastAsia="Arial" w:hAnsi="Arial"/>
          <w:sz w:val="18"/>
          <w:szCs w:val="18"/>
          <w:b w:val="1"/>
          <w:bCs w:val="1"/>
          <w:color w:val="auto"/>
        </w:rPr>
        <w:t>BCP Bolivia</w:t>
      </w:r>
      <w:r>
        <w:rPr>
          <w:rFonts w:ascii="Arial" w:cs="Arial" w:eastAsia="Arial" w:hAnsi="Arial"/>
          <w:sz w:val="18"/>
          <w:szCs w:val="18"/>
          <w:color w:val="auto"/>
        </w:rPr>
        <w:t xml:space="preserve"> dropped -310 bps QoQ due to excellent growth in Savings Deposits at the end of 4Q15.</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ASB </w:t>
      </w:r>
      <w:r>
        <w:rPr>
          <w:rFonts w:ascii="Arial" w:cs="Arial" w:eastAsia="Arial" w:hAnsi="Arial"/>
          <w:sz w:val="18"/>
          <w:szCs w:val="18"/>
          <w:color w:val="auto"/>
        </w:rPr>
        <w:t>reported an increase in its total L/D ratio QoQ due to solid loan expansion. Deposits were stable QoQ given that the contraction in deposits was offset by</w:t>
      </w:r>
      <w:r>
        <w:rPr>
          <w:rFonts w:ascii="Arial" w:cs="Arial" w:eastAsia="Arial" w:hAnsi="Arial"/>
          <w:sz w:val="18"/>
          <w:szCs w:val="18"/>
          <w:b w:val="1"/>
          <w:bCs w:val="1"/>
          <w:color w:val="auto"/>
        </w:rPr>
        <w:t xml:space="preserve"> </w:t>
      </w:r>
      <w:r>
        <w:rPr>
          <w:rFonts w:ascii="Arial" w:cs="Arial" w:eastAsia="Arial" w:hAnsi="Arial"/>
          <w:sz w:val="18"/>
          <w:szCs w:val="18"/>
          <w:color w:val="auto"/>
        </w:rPr>
        <w:t>an increase in other funding sources.</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the YoY analysis, the total L/D ratio follows the same trends posted for QoQ results. Nevertheless, the L/D ratio at BCP Stand-alone and Mibanco increased YoY due to an increase in the use of BCRP instruments.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 Funding Cost</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Credicorp’s </w:t>
      </w:r>
      <w:r>
        <w:rPr>
          <w:rFonts w:ascii="Arial" w:cs="Arial" w:eastAsia="Arial" w:hAnsi="Arial"/>
          <w:sz w:val="18"/>
          <w:szCs w:val="18"/>
          <w:color w:val="auto"/>
        </w:rPr>
        <w:t>funding cost increased slightly by +4 bps QoQ. This was due primarily to higher funding costs at Mibanco and BCP Stand-alone. At the end of</w:t>
      </w:r>
      <w:r>
        <w:rPr>
          <w:rFonts w:ascii="Arial" w:cs="Arial" w:eastAsia="Arial" w:hAnsi="Arial"/>
          <w:sz w:val="18"/>
          <w:szCs w:val="18"/>
          <w:b w:val="1"/>
          <w:bCs w:val="1"/>
          <w:color w:val="auto"/>
        </w:rPr>
        <w:t xml:space="preserve"> </w:t>
      </w:r>
      <w:r>
        <w:rPr>
          <w:rFonts w:ascii="Arial" w:cs="Arial" w:eastAsia="Arial" w:hAnsi="Arial"/>
          <w:sz w:val="18"/>
          <w:szCs w:val="18"/>
          <w:color w:val="auto"/>
        </w:rPr>
        <w:t>2015, Credicorp’s funding cost was situated at 1.97%, which was +3 bps higher than the 1.94% registered in 2014. The increase in Credicorp’s funding cost was due primarily to higher funding costs at BCP Stand-alone (+8 bps) and to a lesser extent at BCP Bolivia and ASB. Nevertheless, the 9 bps drop in Mibanco’s funding cost helped attenuate the impact in the consolidated result.</w:t>
      </w:r>
    </w:p>
    <w:p>
      <w:pPr>
        <w:spacing w:after="0" w:line="180" w:lineRule="exact"/>
        <w:rPr>
          <w:sz w:val="20"/>
          <w:szCs w:val="20"/>
          <w:color w:val="auto"/>
        </w:rPr>
      </w:pPr>
    </w:p>
    <w:tbl>
      <w:tblPr>
        <w:tblLayout w:type="fixed"/>
        <w:tblInd w:w="980" w:type="dxa"/>
        <w:tblCellMar>
          <w:top w:w="0" w:type="dxa"/>
          <w:left w:w="0" w:type="dxa"/>
          <w:bottom w:w="0" w:type="dxa"/>
          <w:right w:w="0" w:type="dxa"/>
        </w:tblCellMar>
      </w:tblPr>
      <w:tr>
        <w:trPr>
          <w:trHeight w:val="234"/>
        </w:trPr>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00" w:type="dxa"/>
            <w:vAlign w:val="bottom"/>
            <w:gridSpan w:val="6"/>
          </w:tcPr>
          <w:p>
            <w:pPr>
              <w:jc w:val="right"/>
              <w:ind w:right="1020"/>
              <w:spacing w:after="0"/>
              <w:rPr>
                <w:sz w:val="20"/>
                <w:szCs w:val="20"/>
                <w:color w:val="auto"/>
              </w:rPr>
            </w:pPr>
            <w:r>
              <w:rPr>
                <w:rFonts w:ascii="Arial" w:cs="Arial" w:eastAsia="Arial" w:hAnsi="Arial"/>
                <w:sz w:val="18"/>
                <w:szCs w:val="18"/>
                <w:b w:val="1"/>
                <w:bCs w:val="1"/>
                <w:color w:val="auto"/>
              </w:rPr>
              <w:t>Funding cost by subsidiary</w:t>
            </w: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73"/>
        </w:trPr>
        <w:tc>
          <w:tcPr>
            <w:tcW w:w="28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BCP Stand-alone</w:t>
            </w:r>
          </w:p>
        </w:tc>
        <w:tc>
          <w:tcPr>
            <w:tcW w:w="240" w:type="dxa"/>
            <w:vAlign w:val="bottom"/>
            <w:tcBorders>
              <w:bottom w:val="single" w:sz="8" w:color="CCEEFF"/>
            </w:tcBorders>
          </w:tcPr>
          <w:p>
            <w:pPr>
              <w:spacing w:after="0"/>
              <w:rPr>
                <w:sz w:val="24"/>
                <w:szCs w:val="24"/>
                <w:color w:val="auto"/>
              </w:rPr>
            </w:pPr>
          </w:p>
        </w:tc>
        <w:tc>
          <w:tcPr>
            <w:tcW w:w="9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Mibanco</w:t>
            </w:r>
          </w:p>
        </w:tc>
        <w:tc>
          <w:tcPr>
            <w:tcW w:w="24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BCP Bolivia</w:t>
            </w:r>
          </w:p>
        </w:tc>
        <w:tc>
          <w:tcPr>
            <w:tcW w:w="240" w:type="dxa"/>
            <w:vAlign w:val="bottom"/>
            <w:tcBorders>
              <w:bottom w:val="single" w:sz="8" w:color="CCEEFF"/>
            </w:tcBorders>
          </w:tcPr>
          <w:p>
            <w:pPr>
              <w:spacing w:after="0"/>
              <w:rPr>
                <w:sz w:val="24"/>
                <w:szCs w:val="24"/>
                <w:color w:val="auto"/>
              </w:rPr>
            </w:pPr>
          </w:p>
        </w:tc>
        <w:tc>
          <w:tcPr>
            <w:tcW w:w="92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ASB</w:t>
            </w:r>
          </w:p>
        </w:tc>
        <w:tc>
          <w:tcPr>
            <w:tcW w:w="24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7"/>
              </w:rPr>
              <w:t>Credicorp</w:t>
            </w:r>
            <w:r>
              <w:rPr>
                <w:rFonts w:ascii="Arial" w:cs="Arial" w:eastAsia="Arial" w:hAnsi="Arial"/>
                <w:sz w:val="30"/>
                <w:szCs w:val="30"/>
                <w:b w:val="1"/>
                <w:bCs w:val="1"/>
                <w:color w:val="auto"/>
                <w:w w:val="87"/>
                <w:vertAlign w:val="superscript"/>
              </w:rPr>
              <w:t>(1)</w:t>
            </w:r>
          </w:p>
        </w:tc>
        <w:tc>
          <w:tcPr>
            <w:tcW w:w="180" w:type="dxa"/>
            <w:vAlign w:val="bottom"/>
            <w:tcBorders>
              <w:bottom w:val="single" w:sz="8" w:color="CCEEFF"/>
            </w:tcBorders>
          </w:tcPr>
          <w:p>
            <w:pPr>
              <w:spacing w:after="0"/>
              <w:rPr>
                <w:sz w:val="24"/>
                <w:szCs w:val="24"/>
                <w:color w:val="auto"/>
              </w:rPr>
            </w:pPr>
          </w:p>
        </w:tc>
      </w:tr>
      <w:tr>
        <w:trPr>
          <w:trHeight w:val="210"/>
        </w:trPr>
        <w:tc>
          <w:tcPr>
            <w:tcW w:w="29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b w:val="1"/>
                <w:bCs w:val="1"/>
                <w:color w:val="auto"/>
                <w:w w:val="95"/>
              </w:rPr>
              <w:t>4Q14</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1.91%</w:t>
            </w:r>
          </w:p>
        </w:tc>
      </w:tr>
      <w:tr>
        <w:trPr>
          <w:trHeight w:val="216"/>
        </w:trPr>
        <w:tc>
          <w:tcPr>
            <w:tcW w:w="29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5"/>
              </w:rPr>
              <w:t>3Q15</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1.91%</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4.28%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2.03%</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2.38%</w:t>
            </w: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1.97%</w:t>
            </w:r>
          </w:p>
        </w:tc>
      </w:tr>
      <w:tr>
        <w:trPr>
          <w:trHeight w:val="230"/>
        </w:trPr>
        <w:tc>
          <w:tcPr>
            <w:tcW w:w="28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5"/>
              </w:rPr>
              <w:t>4Q15</w:t>
            </w: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2.01%</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0"/>
        </w:trPr>
        <w:tc>
          <w:tcPr>
            <w:tcW w:w="2800" w:type="dxa"/>
            <w:vAlign w:val="bottom"/>
          </w:tcPr>
          <w:p>
            <w:pPr>
              <w:jc w:val="center"/>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1.83%</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4.28%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1.80%</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2.21%</w:t>
            </w: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1.94%</w:t>
            </w:r>
          </w:p>
        </w:tc>
      </w:tr>
      <w:tr>
        <w:trPr>
          <w:trHeight w:val="230"/>
        </w:trPr>
        <w:tc>
          <w:tcPr>
            <w:tcW w:w="28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1.97%</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  Credicorp includes results for the Banking Business, Pacifico, Prima AFP, smaller subsidiaries and consolidation adjustments.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At BCP Stand-alone, the funding cost expanded slightly (+4 bps QoQ) due to higher growth in interest expenses in comparison to the increase registered in average total liabilities QoQ. This was attributable to higher funding costs for main sources, deposits and BCRP instruments. The increase in interest expenses was due to: (i) growth in the volume of Time Deposits in terms of average daily balances; this was in line with the volume captured by Private Banking at the end of 3Q15, which was withdrawn in November 2015; (ii) the slight increase in the interest rates for LC Deposits; and (iii) to a lesser extent, due to the impact of the appreciation of the US Dollar on interest expenses for Bonds and subordinated notes, as we will explain later in the report.</w:t>
      </w:r>
    </w:p>
    <w:p>
      <w:pPr>
        <w:spacing w:after="0" w:line="15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Mibanco’s </w:t>
      </w:r>
      <w:r>
        <w:rPr>
          <w:rFonts w:ascii="Arial" w:cs="Arial" w:eastAsia="Arial" w:hAnsi="Arial"/>
          <w:sz w:val="18"/>
          <w:szCs w:val="18"/>
          <w:color w:val="auto"/>
        </w:rPr>
        <w:t>funding cost increased +15 bps QoQ due to higher interest expenses this quarter, which were primarily associated with higher expenses for</w:t>
      </w:r>
      <w:r>
        <w:rPr>
          <w:rFonts w:ascii="Arial" w:cs="Arial" w:eastAsia="Arial" w:hAnsi="Arial"/>
          <w:sz w:val="18"/>
          <w:szCs w:val="18"/>
          <w:b w:val="1"/>
          <w:bCs w:val="1"/>
          <w:color w:val="auto"/>
        </w:rPr>
        <w:t xml:space="preserve"> </w:t>
      </w:r>
      <w:r>
        <w:rPr>
          <w:rFonts w:ascii="Arial" w:cs="Arial" w:eastAsia="Arial" w:hAnsi="Arial"/>
          <w:sz w:val="18"/>
          <w:szCs w:val="18"/>
          <w:color w:val="auto"/>
        </w:rPr>
        <w:t>deposits. The latter was attributable to deposits captured in the second half of the year, which offered higher interest rate.</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Funding costs at </w:t>
      </w:r>
      <w:r>
        <w:rPr>
          <w:rFonts w:ascii="Arial" w:cs="Arial" w:eastAsia="Arial" w:hAnsi="Arial"/>
          <w:sz w:val="18"/>
          <w:szCs w:val="18"/>
          <w:b w:val="1"/>
          <w:bCs w:val="1"/>
          <w:color w:val="auto"/>
        </w:rPr>
        <w:t>BCP Bolivia</w:t>
      </w:r>
      <w:r>
        <w:rPr>
          <w:rFonts w:ascii="Arial" w:cs="Arial" w:eastAsia="Arial" w:hAnsi="Arial"/>
          <w:sz w:val="18"/>
          <w:szCs w:val="18"/>
          <w:color w:val="auto"/>
        </w:rPr>
        <w:t xml:space="preserve"> and </w:t>
      </w:r>
      <w:r>
        <w:rPr>
          <w:rFonts w:ascii="Arial" w:cs="Arial" w:eastAsia="Arial" w:hAnsi="Arial"/>
          <w:sz w:val="18"/>
          <w:szCs w:val="18"/>
          <w:b w:val="1"/>
          <w:bCs w:val="1"/>
          <w:color w:val="auto"/>
        </w:rPr>
        <w:t>ASB</w:t>
      </w:r>
      <w:r>
        <w:rPr>
          <w:rFonts w:ascii="Arial" w:cs="Arial" w:eastAsia="Arial" w:hAnsi="Arial"/>
          <w:sz w:val="18"/>
          <w:szCs w:val="18"/>
          <w:color w:val="auto"/>
        </w:rPr>
        <w:t xml:space="preserve"> fell -6 bps and -3 bps QoQ, respectively due to lower growth in interest expenses in comparison to the increase posted in average liabilities, which was due to a significant increase in Savings Deposits at the end of 4Q15</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4"/>
        </w:trPr>
        <w:tc>
          <w:tcPr>
            <w:tcW w:w="4420" w:type="dxa"/>
            <w:vAlign w:val="bottom"/>
            <w:gridSpan w:val="3"/>
          </w:tcPr>
          <w:p>
            <w:pPr>
              <w:spacing w:after="0"/>
              <w:rPr>
                <w:sz w:val="20"/>
                <w:szCs w:val="20"/>
                <w:color w:val="auto"/>
              </w:rPr>
            </w:pPr>
            <w:r>
              <w:rPr>
                <w:rFonts w:ascii="Arial" w:cs="Arial" w:eastAsia="Arial" w:hAnsi="Arial"/>
                <w:sz w:val="18"/>
                <w:szCs w:val="18"/>
                <w:b w:val="1"/>
                <w:bCs w:val="1"/>
                <w:color w:val="auto"/>
              </w:rPr>
              <w:t>2.6 Mutual Funds</w:t>
            </w: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4420" w:type="dxa"/>
            <w:vAlign w:val="bottom"/>
            <w:gridSpan w:val="3"/>
          </w:tcPr>
          <w:p>
            <w:pPr>
              <w:ind w:left="1140"/>
              <w:spacing w:after="0"/>
              <w:rPr>
                <w:sz w:val="20"/>
                <w:szCs w:val="20"/>
                <w:color w:val="auto"/>
              </w:rPr>
            </w:pPr>
            <w:r>
              <w:rPr>
                <w:rFonts w:ascii="Arial" w:cs="Arial" w:eastAsia="Arial" w:hAnsi="Arial"/>
                <w:sz w:val="18"/>
                <w:szCs w:val="18"/>
                <w:b w:val="1"/>
                <w:bCs w:val="1"/>
                <w:color w:val="auto"/>
              </w:rPr>
              <w:t>Mutual funds</w:t>
            </w: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5"/>
              </w:rPr>
              <w:t>Quarter</w:t>
            </w: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 w:type="dxa"/>
            <w:vAlign w:val="bottom"/>
            <w:gridSpan w:val="3"/>
          </w:tcPr>
          <w:p>
            <w:pPr>
              <w:ind w:left="40"/>
              <w:spacing w:after="0"/>
              <w:rPr>
                <w:sz w:val="20"/>
                <w:szCs w:val="20"/>
                <w:color w:val="auto"/>
              </w:rPr>
            </w:pPr>
            <w:r>
              <w:rPr>
                <w:rFonts w:ascii="Arial" w:cs="Arial" w:eastAsia="Arial" w:hAnsi="Arial"/>
                <w:sz w:val="18"/>
                <w:szCs w:val="18"/>
                <w:b w:val="1"/>
                <w:bCs w:val="1"/>
                <w:color w:val="auto"/>
                <w:w w:val="95"/>
              </w:rPr>
              <w:t>% change</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20" w:type="dxa"/>
            <w:vAlign w:val="bottom"/>
            <w:gridSpan w:val="3"/>
          </w:tcPr>
          <w:p>
            <w:pPr>
              <w:ind w:left="1140"/>
              <w:spacing w:after="0"/>
              <w:rPr>
                <w:sz w:val="20"/>
                <w:szCs w:val="20"/>
                <w:color w:val="auto"/>
              </w:rPr>
            </w:pPr>
            <w:r>
              <w:rPr>
                <w:rFonts w:ascii="Arial" w:cs="Arial" w:eastAsia="Arial" w:hAnsi="Arial"/>
                <w:sz w:val="18"/>
                <w:szCs w:val="18"/>
                <w:color w:val="auto"/>
              </w:rPr>
              <w:t>S/. 000</w:t>
            </w:r>
          </w:p>
        </w:tc>
        <w:tc>
          <w:tcPr>
            <w:tcW w:w="1140" w:type="dxa"/>
            <w:vAlign w:val="bottom"/>
            <w:gridSpan w:val="2"/>
          </w:tcPr>
          <w:p>
            <w:pPr>
              <w:ind w:left="280"/>
              <w:spacing w:after="0"/>
              <w:rPr>
                <w:sz w:val="20"/>
                <w:szCs w:val="20"/>
                <w:color w:val="auto"/>
              </w:rPr>
            </w:pPr>
            <w:r>
              <w:rPr>
                <w:rFonts w:ascii="Arial" w:cs="Arial" w:eastAsia="Arial" w:hAnsi="Arial"/>
                <w:sz w:val="18"/>
                <w:szCs w:val="18"/>
                <w:b w:val="1"/>
                <w:bCs w:val="1"/>
                <w:color w:val="auto"/>
              </w:rPr>
              <w:t>4Q14</w:t>
            </w:r>
          </w:p>
        </w:tc>
        <w:tc>
          <w:tcPr>
            <w:tcW w:w="11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5"/>
              </w:rPr>
              <w:t>3Q15</w:t>
            </w:r>
          </w:p>
        </w:tc>
        <w:tc>
          <w:tcPr>
            <w:tcW w:w="1160" w:type="dxa"/>
            <w:vAlign w:val="bottom"/>
            <w:gridSpan w:val="2"/>
          </w:tcPr>
          <w:p>
            <w:pPr>
              <w:ind w:left="280"/>
              <w:spacing w:after="0"/>
              <w:rPr>
                <w:sz w:val="20"/>
                <w:szCs w:val="20"/>
                <w:color w:val="auto"/>
              </w:rPr>
            </w:pPr>
            <w:r>
              <w:rPr>
                <w:rFonts w:ascii="Arial" w:cs="Arial" w:eastAsia="Arial" w:hAnsi="Arial"/>
                <w:sz w:val="18"/>
                <w:szCs w:val="18"/>
                <w:b w:val="1"/>
                <w:bCs w:val="1"/>
                <w:color w:val="auto"/>
              </w:rPr>
              <w:t>4Q15</w:t>
            </w:r>
          </w:p>
        </w:tc>
        <w:tc>
          <w:tcPr>
            <w:tcW w:w="680" w:type="dxa"/>
            <w:vAlign w:val="bottom"/>
          </w:tcPr>
          <w:p>
            <w:pPr>
              <w:ind w:left="300"/>
              <w:spacing w:after="0"/>
              <w:rPr>
                <w:sz w:val="20"/>
                <w:szCs w:val="20"/>
                <w:color w:val="auto"/>
              </w:rPr>
            </w:pPr>
            <w:r>
              <w:rPr>
                <w:rFonts w:ascii="Arial" w:cs="Arial" w:eastAsia="Arial" w:hAnsi="Arial"/>
                <w:sz w:val="18"/>
                <w:szCs w:val="18"/>
                <w:b w:val="1"/>
                <w:bCs w:val="1"/>
                <w:color w:val="auto"/>
                <w:w w:val="92"/>
              </w:rPr>
              <w:t>QoQ</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w w:val="96"/>
              </w:rPr>
              <w:t>YoY</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1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Mutual funds in Peru</w:t>
            </w:r>
          </w:p>
        </w:tc>
        <w:tc>
          <w:tcPr>
            <w:tcW w:w="100" w:type="dxa"/>
            <w:vAlign w:val="bottom"/>
            <w:vMerge w:val="continue"/>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8,008,149</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8,728,789</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8,722,875</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89"/>
              </w:rPr>
              <w:t>-0.1%</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Mutual funds in Bolivia</w:t>
            </w:r>
          </w:p>
        </w:tc>
        <w:tc>
          <w:tcPr>
            <w:tcW w:w="980" w:type="dxa"/>
            <w:vAlign w:val="bottom"/>
          </w:tcPr>
          <w:p>
            <w:pPr>
              <w:jc w:val="right"/>
              <w:spacing w:after="0"/>
              <w:rPr>
                <w:sz w:val="20"/>
                <w:szCs w:val="20"/>
                <w:color w:val="auto"/>
              </w:rPr>
            </w:pPr>
            <w:r>
              <w:rPr>
                <w:rFonts w:ascii="Arial" w:cs="Arial" w:eastAsia="Arial" w:hAnsi="Arial"/>
                <w:sz w:val="18"/>
                <w:szCs w:val="18"/>
                <w:color w:val="auto"/>
              </w:rPr>
              <w:t>250,354</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437,792</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479,337</w:t>
            </w: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gridSpan w:val="2"/>
          </w:tcPr>
          <w:p>
            <w:pPr>
              <w:jc w:val="right"/>
              <w:ind w:right="50"/>
              <w:spacing w:after="0"/>
              <w:rPr>
                <w:sz w:val="20"/>
                <w:szCs w:val="20"/>
                <w:color w:val="auto"/>
              </w:rPr>
            </w:pPr>
            <w:r>
              <w:rPr>
                <w:rFonts w:ascii="Arial" w:cs="Arial" w:eastAsia="Arial" w:hAnsi="Arial"/>
                <w:sz w:val="18"/>
                <w:szCs w:val="18"/>
                <w:color w:val="auto"/>
              </w:rPr>
              <w:t>9.5%</w:t>
            </w:r>
          </w:p>
        </w:tc>
        <w:tc>
          <w:tcPr>
            <w:tcW w:w="2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91.5%</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2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mutual funds</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8,258,503</w:t>
            </w:r>
          </w:p>
        </w:tc>
        <w:tc>
          <w:tcPr>
            <w:tcW w:w="16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9,166,581</w:t>
            </w:r>
          </w:p>
        </w:tc>
        <w:tc>
          <w:tcPr>
            <w:tcW w:w="16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9,202,212</w:t>
            </w:r>
          </w:p>
        </w:tc>
        <w:tc>
          <w:tcPr>
            <w:tcW w:w="16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0.4</w:t>
            </w:r>
          </w:p>
        </w:tc>
        <w:tc>
          <w:tcPr>
            <w:tcW w:w="28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11.4</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Funds under management at </w:t>
      </w:r>
      <w:r>
        <w:rPr>
          <w:rFonts w:ascii="Arial" w:cs="Arial" w:eastAsia="Arial" w:hAnsi="Arial"/>
          <w:sz w:val="18"/>
          <w:szCs w:val="18"/>
          <w:b w:val="1"/>
          <w:bCs w:val="1"/>
          <w:color w:val="auto"/>
        </w:rPr>
        <w:t>Credicorp Capital Fondos Peru</w:t>
      </w:r>
      <w:r>
        <w:rPr>
          <w:rFonts w:ascii="Arial" w:cs="Arial" w:eastAsia="Arial" w:hAnsi="Arial"/>
          <w:sz w:val="18"/>
          <w:szCs w:val="18"/>
          <w:color w:val="auto"/>
        </w:rPr>
        <w:t xml:space="preserve"> remained stable QoQ but increased YoY. This allowed the fund to continue leading the Peruvian mutual funds market with a 41.4% market share at the end of December 2015. Nevertheless, it is important to note that the evolution of the fund level has been positively affected by the US Dollar’s appreciation against the Sol (+5.87% QoQ and +14.23% YoY).</w:t>
      </w:r>
    </w:p>
    <w:p>
      <w:pPr>
        <w:spacing w:after="0" w:line="176"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 xml:space="preserve">The portfolio managed by </w:t>
      </w:r>
      <w:r>
        <w:rPr>
          <w:rFonts w:ascii="Arial" w:cs="Arial" w:eastAsia="Arial" w:hAnsi="Arial"/>
          <w:sz w:val="16"/>
          <w:szCs w:val="16"/>
          <w:b w:val="1"/>
          <w:bCs w:val="1"/>
          <w:color w:val="auto"/>
        </w:rPr>
        <w:t>Credifondo Bolivia</w:t>
      </w:r>
      <w:r>
        <w:rPr>
          <w:rFonts w:ascii="Arial" w:cs="Arial" w:eastAsia="Arial" w:hAnsi="Arial"/>
          <w:sz w:val="16"/>
          <w:szCs w:val="16"/>
          <w:color w:val="auto"/>
        </w:rPr>
        <w:t xml:space="preserve"> increased +9.5% QoQ, which represented on-going and solid growth. In this context, the fund’s market share rose to 13.2% at the end of December 2015 (12.6% - 3Q15). This situated Credifondo Bolivia among the 5 largest competitors in the Bolivian Market. It is important to note that growth in funds under management was achieved with the same client level as last quarter but in 4Q15, clients made larger investments with Credifondo Bolivia. Finally, it is worth mentioning that approximately 600 bps of the QoQ increase was due to an appreciation in the Bolivianos against the Sol. In YoY terms, Credifondo Bolivia reported an expansion of 91.5% in its funds under management. If we exclude the effect of the Bolivianos’ appreciation against the Sol, the increase was situated at 67.6% and reflected the commercial efforts made with strategic clients in 2015.</w:t>
      </w:r>
    </w:p>
    <w:p>
      <w:pPr>
        <w:spacing w:after="0" w:line="156"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Portfolio quality and Provisions for loan losses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In 4Q15, the portfolio’s quality ratios remained relatively stable with regard to those recorded in 3Q15 (-1 bps QoQ in the internal overdue ratio and +1 bps in the NPL ratio). The cost of risk increased QoQ and situated at 2.23%, which topped the 2.02% reported in 3Q15. In annual terms, a slight increase is visible in the quality ratios for the portfolio that was, nonetheless, lower than that registered in 2014. Additionally, the cost of risk fell 7 bps, which reflects the improvements posted in the quality of the SME-Pyme and Mibanco portfolios in 2015.</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gridSpan w:val="2"/>
          </w:tcPr>
          <w:p>
            <w:pPr>
              <w:spacing w:after="0"/>
              <w:rPr>
                <w:sz w:val="20"/>
                <w:szCs w:val="20"/>
                <w:color w:val="auto"/>
              </w:rPr>
            </w:pPr>
            <w:r>
              <w:rPr>
                <w:rFonts w:ascii="Arial" w:cs="Arial" w:eastAsia="Arial" w:hAnsi="Arial"/>
                <w:sz w:val="14"/>
                <w:szCs w:val="14"/>
                <w:b w:val="1"/>
                <w:bCs w:val="1"/>
                <w:color w:val="auto"/>
                <w:w w:val="93"/>
              </w:rPr>
              <w:t>Portfolio quality and Provisions for loan losses</w:t>
            </w: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Quarter</w:t>
            </w: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3"/>
          </w:tcPr>
          <w:p>
            <w:pPr>
              <w:ind w:left="580"/>
              <w:spacing w:after="0"/>
              <w:rPr>
                <w:sz w:val="20"/>
                <w:szCs w:val="20"/>
                <w:color w:val="auto"/>
              </w:rPr>
            </w:pPr>
            <w:r>
              <w:rPr>
                <w:rFonts w:ascii="Arial" w:cs="Arial" w:eastAsia="Arial" w:hAnsi="Arial"/>
                <w:sz w:val="14"/>
                <w:szCs w:val="14"/>
                <w:b w:val="1"/>
                <w:bCs w:val="1"/>
                <w:color w:val="auto"/>
                <w:w w:val="94"/>
              </w:rPr>
              <w:t>% change</w:t>
            </w: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3"/>
          </w:tcPr>
          <w:p>
            <w:pPr>
              <w:ind w:left="840"/>
              <w:spacing w:after="0"/>
              <w:rPr>
                <w:sz w:val="20"/>
                <w:szCs w:val="20"/>
                <w:color w:val="auto"/>
              </w:rPr>
            </w:pPr>
            <w:r>
              <w:rPr>
                <w:rFonts w:ascii="Arial" w:cs="Arial" w:eastAsia="Arial" w:hAnsi="Arial"/>
                <w:sz w:val="14"/>
                <w:szCs w:val="14"/>
                <w:b w:val="1"/>
                <w:bCs w:val="1"/>
                <w:color w:val="auto"/>
              </w:rPr>
              <w:t>Year</w:t>
            </w: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5"/>
        </w:trPr>
        <w:tc>
          <w:tcPr>
            <w:tcW w:w="28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000</w:t>
            </w:r>
          </w:p>
        </w:tc>
        <w:tc>
          <w:tcPr>
            <w:tcW w:w="8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4Q14</w:t>
            </w:r>
          </w:p>
        </w:tc>
        <w:tc>
          <w:tcPr>
            <w:tcW w:w="24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3Q15</w:t>
            </w:r>
          </w:p>
        </w:tc>
        <w:tc>
          <w:tcPr>
            <w:tcW w:w="26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4Q15</w:t>
            </w:r>
          </w:p>
        </w:tc>
        <w:tc>
          <w:tcPr>
            <w:tcW w:w="24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QoQ</w:t>
            </w:r>
          </w:p>
        </w:tc>
        <w:tc>
          <w:tcPr>
            <w:tcW w:w="2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YoY</w:t>
            </w:r>
          </w:p>
        </w:tc>
        <w:tc>
          <w:tcPr>
            <w:tcW w:w="24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2015/ 2014</w:t>
            </w:r>
          </w:p>
        </w:tc>
        <w:tc>
          <w:tcPr>
            <w:tcW w:w="1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8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Provisions</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(494,345)</w:t>
            </w: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(497,077)</w:t>
            </w: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(552,075)</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11.1%</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11.7%</w:t>
            </w: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(1,914,142)</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(2,166,186)</w:t>
            </w:r>
          </w:p>
        </w:tc>
        <w:tc>
          <w:tcPr>
            <w:tcW w:w="2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149"/>
        </w:trPr>
        <w:tc>
          <w:tcPr>
            <w:tcW w:w="2960" w:type="dxa"/>
            <w:vAlign w:val="bottom"/>
            <w:gridSpan w:val="2"/>
          </w:tcPr>
          <w:p>
            <w:pPr>
              <w:spacing w:after="0" w:line="149" w:lineRule="exact"/>
              <w:rPr>
                <w:sz w:val="20"/>
                <w:szCs w:val="20"/>
                <w:color w:val="auto"/>
              </w:rPr>
            </w:pPr>
            <w:r>
              <w:rPr>
                <w:rFonts w:ascii="Arial" w:cs="Arial" w:eastAsia="Arial" w:hAnsi="Arial"/>
                <w:sz w:val="14"/>
                <w:szCs w:val="14"/>
                <w:color w:val="auto"/>
              </w:rPr>
              <w:t>Loan loss recoveries</w:t>
            </w: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57,087</w:t>
            </w:r>
          </w:p>
        </w:tc>
        <w:tc>
          <w:tcPr>
            <w:tcW w:w="11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52,652</w:t>
            </w:r>
          </w:p>
        </w:tc>
        <w:tc>
          <w:tcPr>
            <w:tcW w:w="11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49,501</w:t>
            </w:r>
          </w:p>
        </w:tc>
        <w:tc>
          <w:tcPr>
            <w:tcW w:w="10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-6.0%</w:t>
            </w:r>
          </w:p>
        </w:tc>
        <w:tc>
          <w:tcPr>
            <w:tcW w:w="220" w:type="dxa"/>
            <w:vAlign w:val="bottom"/>
          </w:tcPr>
          <w:p>
            <w:pPr>
              <w:spacing w:after="0"/>
              <w:rPr>
                <w:sz w:val="12"/>
                <w:szCs w:val="12"/>
                <w:color w:val="auto"/>
              </w:rPr>
            </w:pPr>
          </w:p>
        </w:tc>
        <w:tc>
          <w:tcPr>
            <w:tcW w:w="8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-13.3%</w:t>
            </w: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198,333</w:t>
            </w:r>
          </w:p>
        </w:tc>
        <w:tc>
          <w:tcPr>
            <w:tcW w:w="14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285,288</w:t>
            </w:r>
          </w:p>
        </w:tc>
        <w:tc>
          <w:tcPr>
            <w:tcW w:w="10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43.8%</w:t>
            </w:r>
          </w:p>
        </w:tc>
        <w:tc>
          <w:tcPr>
            <w:tcW w:w="0" w:type="dxa"/>
            <w:vAlign w:val="bottom"/>
          </w:tcPr>
          <w:p>
            <w:pPr>
              <w:spacing w:after="0"/>
              <w:rPr>
                <w:sz w:val="1"/>
                <w:szCs w:val="1"/>
                <w:color w:val="auto"/>
              </w:rPr>
            </w:pPr>
          </w:p>
        </w:tc>
      </w:tr>
      <w:tr>
        <w:trPr>
          <w:trHeight w:val="162"/>
        </w:trPr>
        <w:tc>
          <w:tcPr>
            <w:tcW w:w="29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Provision for loan losses, net of recoveries</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(437,258)</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(444,425)</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(502,574)</w:t>
            </w:r>
          </w:p>
        </w:tc>
        <w:tc>
          <w:tcPr>
            <w:tcW w:w="10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13.1%</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14.9%</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(1,715,809)</w:t>
            </w: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(1,880,898)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9.6%</w:t>
            </w:r>
          </w:p>
        </w:tc>
        <w:tc>
          <w:tcPr>
            <w:tcW w:w="0" w:type="dxa"/>
            <w:vAlign w:val="bottom"/>
          </w:tcPr>
          <w:p>
            <w:pPr>
              <w:spacing w:after="0"/>
              <w:rPr>
                <w:sz w:val="1"/>
                <w:szCs w:val="1"/>
                <w:color w:val="auto"/>
              </w:rPr>
            </w:pPr>
          </w:p>
        </w:tc>
      </w:tr>
      <w:tr>
        <w:trPr>
          <w:trHeight w:val="20"/>
        </w:trPr>
        <w:tc>
          <w:tcPr>
            <w:tcW w:w="2960" w:type="dxa"/>
            <w:vAlign w:val="bottom"/>
            <w:gridSpan w:val="2"/>
            <w:vMerge w:val="restart"/>
          </w:tcPr>
          <w:p>
            <w:pPr>
              <w:spacing w:after="0" w:line="189" w:lineRule="exact"/>
              <w:rPr>
                <w:sz w:val="20"/>
                <w:szCs w:val="20"/>
                <w:color w:val="auto"/>
              </w:rPr>
            </w:pPr>
            <w:r>
              <w:rPr>
                <w:rFonts w:ascii="Arial" w:cs="Arial" w:eastAsia="Arial" w:hAnsi="Arial"/>
                <w:sz w:val="13"/>
                <w:szCs w:val="13"/>
                <w:color w:val="auto"/>
              </w:rPr>
              <w:t xml:space="preserve">Cost of risk </w:t>
            </w:r>
            <w:r>
              <w:rPr>
                <w:rFonts w:ascii="Arial" w:cs="Arial" w:eastAsia="Arial" w:hAnsi="Arial"/>
                <w:sz w:val="21"/>
                <w:szCs w:val="21"/>
                <w:color w:val="auto"/>
                <w:vertAlign w:val="superscript"/>
              </w:rPr>
              <w:t>(1)</w:t>
            </w: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960" w:type="dxa"/>
            <w:vAlign w:val="bottom"/>
            <w:gridSpan w:val="2"/>
            <w:vMerge w:val="continue"/>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2.19%</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2.02%</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2.23%</w:t>
            </w:r>
          </w:p>
        </w:tc>
        <w:tc>
          <w:tcPr>
            <w:tcW w:w="1220" w:type="dxa"/>
            <w:vAlign w:val="bottom"/>
            <w:gridSpan w:val="3"/>
          </w:tcPr>
          <w:p>
            <w:pPr>
              <w:jc w:val="right"/>
              <w:ind w:right="460"/>
              <w:spacing w:after="0"/>
              <w:rPr>
                <w:sz w:val="20"/>
                <w:szCs w:val="20"/>
                <w:color w:val="auto"/>
              </w:rPr>
            </w:pPr>
            <w:r>
              <w:rPr>
                <w:rFonts w:ascii="Arial" w:cs="Arial" w:eastAsia="Arial" w:hAnsi="Arial"/>
                <w:sz w:val="14"/>
                <w:szCs w:val="14"/>
                <w:color w:val="auto"/>
              </w:rPr>
              <w:t>21 bps</w:t>
            </w:r>
          </w:p>
        </w:tc>
        <w:tc>
          <w:tcPr>
            <w:tcW w:w="800" w:type="dxa"/>
            <w:vAlign w:val="bottom"/>
            <w:gridSpan w:val="2"/>
          </w:tcPr>
          <w:p>
            <w:pPr>
              <w:jc w:val="right"/>
              <w:ind w:right="168"/>
              <w:spacing w:after="0"/>
              <w:rPr>
                <w:sz w:val="20"/>
                <w:szCs w:val="20"/>
                <w:color w:val="auto"/>
              </w:rPr>
            </w:pPr>
            <w:r>
              <w:rPr>
                <w:rFonts w:ascii="Arial" w:cs="Arial" w:eastAsia="Arial" w:hAnsi="Arial"/>
                <w:sz w:val="14"/>
                <w:szCs w:val="14"/>
                <w:color w:val="auto"/>
              </w:rPr>
              <w:t>4 bps</w:t>
            </w: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2.15%</w:t>
            </w:r>
          </w:p>
        </w:tc>
        <w:tc>
          <w:tcPr>
            <w:tcW w:w="14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2.08%</w:t>
            </w: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-7 bps</w:t>
            </w:r>
          </w:p>
        </w:tc>
        <w:tc>
          <w:tcPr>
            <w:tcW w:w="0" w:type="dxa"/>
            <w:vAlign w:val="bottom"/>
          </w:tcPr>
          <w:p>
            <w:pPr>
              <w:spacing w:after="0"/>
              <w:rPr>
                <w:sz w:val="1"/>
                <w:szCs w:val="1"/>
                <w:color w:val="auto"/>
              </w:rPr>
            </w:pPr>
          </w:p>
        </w:tc>
      </w:tr>
      <w:tr>
        <w:trPr>
          <w:trHeight w:val="162"/>
        </w:trPr>
        <w:tc>
          <w:tcPr>
            <w:tcW w:w="2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Provisions for loan losses / Net interest income</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25.5%</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23.8%</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25.4%</w:t>
            </w:r>
          </w:p>
        </w:tc>
        <w:tc>
          <w:tcPr>
            <w:tcW w:w="1220" w:type="dxa"/>
            <w:vAlign w:val="bottom"/>
            <w:gridSpan w:val="3"/>
            <w:shd w:val="clear" w:color="auto" w:fill="CCEEFF"/>
          </w:tcPr>
          <w:p>
            <w:pPr>
              <w:jc w:val="right"/>
              <w:ind w:right="460"/>
              <w:spacing w:after="0"/>
              <w:rPr>
                <w:sz w:val="20"/>
                <w:szCs w:val="20"/>
                <w:color w:val="auto"/>
              </w:rPr>
            </w:pPr>
            <w:r>
              <w:rPr>
                <w:rFonts w:ascii="Arial" w:cs="Arial" w:eastAsia="Arial" w:hAnsi="Arial"/>
                <w:sz w:val="14"/>
                <w:szCs w:val="14"/>
                <w:color w:val="auto"/>
              </w:rPr>
              <w:t>160 bps</w:t>
            </w:r>
          </w:p>
        </w:tc>
        <w:tc>
          <w:tcPr>
            <w:tcW w:w="80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-10 bps</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26.8%</w:t>
            </w: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25.2%</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-160 bps</w:t>
            </w:r>
          </w:p>
        </w:tc>
        <w:tc>
          <w:tcPr>
            <w:tcW w:w="0" w:type="dxa"/>
            <w:vAlign w:val="bottom"/>
          </w:tcPr>
          <w:p>
            <w:pPr>
              <w:spacing w:after="0"/>
              <w:rPr>
                <w:sz w:val="1"/>
                <w:szCs w:val="1"/>
                <w:color w:val="auto"/>
              </w:rPr>
            </w:pPr>
          </w:p>
        </w:tc>
      </w:tr>
      <w:tr>
        <w:trPr>
          <w:trHeight w:val="156"/>
        </w:trPr>
        <w:tc>
          <w:tcPr>
            <w:tcW w:w="2960" w:type="dxa"/>
            <w:vAlign w:val="bottom"/>
            <w:tcBorders>
              <w:bottom w:val="single" w:sz="8" w:color="CCEEFF"/>
            </w:tcBorders>
            <w:gridSpan w:val="2"/>
          </w:tcPr>
          <w:p>
            <w:pPr>
              <w:spacing w:after="0" w:line="155" w:lineRule="exact"/>
              <w:rPr>
                <w:sz w:val="20"/>
                <w:szCs w:val="20"/>
                <w:color w:val="auto"/>
              </w:rPr>
            </w:pPr>
            <w:r>
              <w:rPr>
                <w:rFonts w:ascii="Arial" w:cs="Arial" w:eastAsia="Arial" w:hAnsi="Arial"/>
                <w:sz w:val="14"/>
                <w:szCs w:val="14"/>
                <w:b w:val="1"/>
                <w:bCs w:val="1"/>
                <w:color w:val="auto"/>
              </w:rPr>
              <w:t>Total loans</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79,889,948</w:t>
            </w:r>
          </w:p>
        </w:tc>
        <w:tc>
          <w:tcPr>
            <w:tcW w:w="240" w:type="dxa"/>
            <w:vAlign w:val="bottom"/>
            <w:tcBorders>
              <w:bottom w:val="single" w:sz="8" w:color="CCEEFF"/>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87,842,690</w:t>
            </w:r>
          </w:p>
        </w:tc>
        <w:tc>
          <w:tcPr>
            <w:tcW w:w="260" w:type="dxa"/>
            <w:vAlign w:val="bottom"/>
            <w:tcBorders>
              <w:bottom w:val="single" w:sz="8" w:color="CCEEFF"/>
            </w:tcBorders>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90,328,499</w:t>
            </w:r>
          </w:p>
        </w:tc>
        <w:tc>
          <w:tcPr>
            <w:tcW w:w="240" w:type="dxa"/>
            <w:vAlign w:val="bottom"/>
            <w:tcBorders>
              <w:bottom w:val="single" w:sz="8" w:color="CCEEFF"/>
            </w:tcBorders>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2.8</w:t>
            </w:r>
          </w:p>
        </w:tc>
        <w:tc>
          <w:tcPr>
            <w:tcW w:w="240" w:type="dxa"/>
            <w:vAlign w:val="bottom"/>
            <w:tcBorders>
              <w:bottom w:val="single" w:sz="8" w:color="CCEEFF"/>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13.1</w:t>
            </w:r>
          </w:p>
        </w:tc>
        <w:tc>
          <w:tcPr>
            <w:tcW w:w="240" w:type="dxa"/>
            <w:vAlign w:val="bottom"/>
            <w:tcBorders>
              <w:bottom w:val="single" w:sz="8" w:color="CCEEFF"/>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CCEEFF"/>
            </w:tcBorders>
          </w:tcPr>
          <w:p>
            <w:pPr>
              <w:spacing w:after="0"/>
              <w:rPr>
                <w:sz w:val="13"/>
                <w:szCs w:val="13"/>
                <w:color w:val="auto"/>
              </w:rPr>
            </w:pPr>
          </w:p>
        </w:tc>
        <w:tc>
          <w:tcPr>
            <w:tcW w:w="740" w:type="dxa"/>
            <w:vAlign w:val="bottom"/>
            <w:tcBorders>
              <w:top w:val="single" w:sz="8" w:color="auto"/>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880" w:type="dxa"/>
            <w:vAlign w:val="bottom"/>
            <w:tcBorders>
              <w:top w:val="single" w:sz="8" w:color="auto"/>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960" w:type="dxa"/>
            <w:vAlign w:val="bottom"/>
            <w:gridSpan w:val="2"/>
            <w:shd w:val="clear" w:color="auto" w:fill="CCEEFF"/>
          </w:tcPr>
          <w:p>
            <w:pPr>
              <w:spacing w:after="0" w:line="155" w:lineRule="exact"/>
              <w:rPr>
                <w:sz w:val="20"/>
                <w:szCs w:val="20"/>
                <w:color w:val="auto"/>
              </w:rPr>
            </w:pPr>
            <w:r>
              <w:rPr>
                <w:rFonts w:ascii="Arial" w:cs="Arial" w:eastAsia="Arial" w:hAnsi="Arial"/>
                <w:sz w:val="14"/>
                <w:szCs w:val="14"/>
                <w:color w:val="auto"/>
              </w:rPr>
              <w:t>Allowance for loan losses</w:t>
            </w:r>
          </w:p>
        </w:tc>
        <w:tc>
          <w:tcPr>
            <w:tcW w:w="8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3,308,220</w:t>
            </w:r>
          </w:p>
        </w:tc>
        <w:tc>
          <w:tcPr>
            <w:tcW w:w="240" w:type="dxa"/>
            <w:vAlign w:val="bottom"/>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3,674,654</w:t>
            </w:r>
          </w:p>
        </w:tc>
        <w:tc>
          <w:tcPr>
            <w:tcW w:w="260" w:type="dxa"/>
            <w:vAlign w:val="bottom"/>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3,840,337</w:t>
            </w:r>
          </w:p>
        </w:tc>
        <w:tc>
          <w:tcPr>
            <w:tcW w:w="240" w:type="dxa"/>
            <w:vAlign w:val="bottom"/>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4.5</w:t>
            </w:r>
          </w:p>
        </w:tc>
        <w:tc>
          <w:tcPr>
            <w:tcW w:w="24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16.1</w:t>
            </w:r>
          </w:p>
        </w:tc>
        <w:tc>
          <w:tcPr>
            <w:tcW w:w="24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960" w:type="dxa"/>
            <w:vAlign w:val="bottom"/>
            <w:tcBorders>
              <w:bottom w:val="single" w:sz="8" w:color="CCEEFF"/>
            </w:tcBorders>
            <w:gridSpan w:val="2"/>
          </w:tcPr>
          <w:p>
            <w:pPr>
              <w:spacing w:after="0" w:line="155" w:lineRule="exact"/>
              <w:rPr>
                <w:sz w:val="20"/>
                <w:szCs w:val="20"/>
                <w:color w:val="auto"/>
              </w:rPr>
            </w:pPr>
            <w:r>
              <w:rPr>
                <w:rFonts w:ascii="Arial" w:cs="Arial" w:eastAsia="Arial" w:hAnsi="Arial"/>
                <w:sz w:val="14"/>
                <w:szCs w:val="14"/>
                <w:color w:val="auto"/>
              </w:rPr>
              <w:t>Write-offs</w:t>
            </w: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413,010</w:t>
            </w:r>
          </w:p>
        </w:tc>
        <w:tc>
          <w:tcPr>
            <w:tcW w:w="24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442,768</w:t>
            </w:r>
          </w:p>
        </w:tc>
        <w:tc>
          <w:tcPr>
            <w:tcW w:w="26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446,357</w:t>
            </w:r>
          </w:p>
        </w:tc>
        <w:tc>
          <w:tcPr>
            <w:tcW w:w="24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0.8</w:t>
            </w:r>
          </w:p>
        </w:tc>
        <w:tc>
          <w:tcPr>
            <w:tcW w:w="240" w:type="dxa"/>
            <w:vAlign w:val="bottom"/>
            <w:tcBorders>
              <w:bottom w:val="single" w:sz="8" w:color="CCEEFF"/>
            </w:tcBorders>
          </w:tcPr>
          <w:p>
            <w:pPr>
              <w:spacing w:after="0" w:line="155"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8.1</w:t>
            </w:r>
          </w:p>
        </w:tc>
        <w:tc>
          <w:tcPr>
            <w:tcW w:w="240" w:type="dxa"/>
            <w:vAlign w:val="bottom"/>
            <w:tcBorders>
              <w:bottom w:val="single" w:sz="8" w:color="CCEEFF"/>
            </w:tcBorders>
          </w:tcPr>
          <w:p>
            <w:pPr>
              <w:spacing w:after="0" w:line="155"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74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88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960" w:type="dxa"/>
            <w:vAlign w:val="bottom"/>
            <w:gridSpan w:val="2"/>
            <w:shd w:val="clear" w:color="auto" w:fill="CCEEFF"/>
          </w:tcPr>
          <w:p>
            <w:pPr>
              <w:spacing w:after="0" w:line="169" w:lineRule="exact"/>
              <w:rPr>
                <w:sz w:val="20"/>
                <w:szCs w:val="20"/>
                <w:color w:val="auto"/>
              </w:rPr>
            </w:pPr>
            <w:r>
              <w:rPr>
                <w:rFonts w:ascii="Arial" w:cs="Arial" w:eastAsia="Arial" w:hAnsi="Arial"/>
                <w:sz w:val="12"/>
                <w:szCs w:val="12"/>
                <w:color w:val="auto"/>
              </w:rPr>
              <w:t xml:space="preserve">Internal overdue loans </w:t>
            </w:r>
            <w:r>
              <w:rPr>
                <w:rFonts w:ascii="Arial" w:cs="Arial" w:eastAsia="Arial" w:hAnsi="Arial"/>
                <w:sz w:val="19"/>
                <w:szCs w:val="19"/>
                <w:color w:val="auto"/>
                <w:vertAlign w:val="superscript"/>
              </w:rPr>
              <w:t>(2)</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2,009,109</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2,256,655</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2,310,854</w:t>
            </w:r>
          </w:p>
        </w:tc>
        <w:tc>
          <w:tcPr>
            <w:tcW w:w="100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2.4%</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15.0%</w:t>
            </w: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960" w:type="dxa"/>
            <w:vAlign w:val="bottom"/>
            <w:gridSpan w:val="2"/>
          </w:tcPr>
          <w:p>
            <w:pPr>
              <w:spacing w:after="0" w:line="149" w:lineRule="exact"/>
              <w:rPr>
                <w:sz w:val="20"/>
                <w:szCs w:val="20"/>
                <w:color w:val="auto"/>
              </w:rPr>
            </w:pPr>
            <w:r>
              <w:rPr>
                <w:rFonts w:ascii="Arial" w:cs="Arial" w:eastAsia="Arial" w:hAnsi="Arial"/>
                <w:sz w:val="14"/>
                <w:szCs w:val="14"/>
                <w:color w:val="auto"/>
              </w:rPr>
              <w:t>Refinanced loans</w:t>
            </w: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647,678</w:t>
            </w:r>
          </w:p>
        </w:tc>
        <w:tc>
          <w:tcPr>
            <w:tcW w:w="11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727,014</w:t>
            </w:r>
          </w:p>
        </w:tc>
        <w:tc>
          <w:tcPr>
            <w:tcW w:w="11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769,097</w:t>
            </w:r>
          </w:p>
        </w:tc>
        <w:tc>
          <w:tcPr>
            <w:tcW w:w="10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5.8%</w:t>
            </w:r>
          </w:p>
        </w:tc>
        <w:tc>
          <w:tcPr>
            <w:tcW w:w="220" w:type="dxa"/>
            <w:vAlign w:val="bottom"/>
          </w:tcPr>
          <w:p>
            <w:pPr>
              <w:spacing w:after="0"/>
              <w:rPr>
                <w:sz w:val="12"/>
                <w:szCs w:val="12"/>
                <w:color w:val="auto"/>
              </w:rPr>
            </w:pPr>
          </w:p>
        </w:tc>
        <w:tc>
          <w:tcPr>
            <w:tcW w:w="8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18.7%</w:t>
            </w: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96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 xml:space="preserve">Non-performing loans (NPLs) </w:t>
            </w:r>
            <w:r>
              <w:rPr>
                <w:rFonts w:ascii="Arial" w:cs="Arial" w:eastAsia="Arial" w:hAnsi="Arial"/>
                <w:sz w:val="23"/>
                <w:szCs w:val="23"/>
                <w:color w:val="auto"/>
                <w:vertAlign w:val="superscript"/>
              </w:rPr>
              <w:t>(3)</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2,656,787</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2,983,669</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3,079,951</w:t>
            </w:r>
          </w:p>
        </w:tc>
        <w:tc>
          <w:tcPr>
            <w:tcW w:w="100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3.2%</w:t>
            </w:r>
          </w:p>
        </w:tc>
        <w:tc>
          <w:tcPr>
            <w:tcW w:w="2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15.9%</w:t>
            </w: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PDL ratio over 90 days</w:t>
            </w: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960" w:type="dxa"/>
            <w:vAlign w:val="bottom"/>
            <w:gridSpan w:val="2"/>
            <w:vMerge w:val="continue"/>
          </w:tcPr>
          <w:p>
            <w:pPr>
              <w:spacing w:after="0"/>
              <w:rPr>
                <w:sz w:val="12"/>
                <w:szCs w:val="12"/>
                <w:color w:val="auto"/>
              </w:rPr>
            </w:pPr>
          </w:p>
        </w:tc>
        <w:tc>
          <w:tcPr>
            <w:tcW w:w="1060" w:type="dxa"/>
            <w:vAlign w:val="bottom"/>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1.78%</w:t>
            </w:r>
          </w:p>
        </w:tc>
        <w:tc>
          <w:tcPr>
            <w:tcW w:w="1100" w:type="dxa"/>
            <w:vAlign w:val="bottom"/>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1.88%</w:t>
            </w:r>
          </w:p>
        </w:tc>
        <w:tc>
          <w:tcPr>
            <w:tcW w:w="1100" w:type="dxa"/>
            <w:vAlign w:val="bottom"/>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1.80%</w:t>
            </w:r>
          </w:p>
        </w:tc>
        <w:tc>
          <w:tcPr>
            <w:tcW w:w="7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-8 bps</w:t>
            </w:r>
          </w:p>
        </w:tc>
        <w:tc>
          <w:tcPr>
            <w:tcW w:w="2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 bps</w:t>
            </w:r>
          </w:p>
        </w:tc>
        <w:tc>
          <w:tcPr>
            <w:tcW w:w="240" w:type="dxa"/>
            <w:vAlign w:val="bottom"/>
            <w:vMerge w:val="continue"/>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Internal overdue ratio</w:t>
            </w: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2.51%</w:t>
            </w:r>
          </w:p>
        </w:tc>
        <w:tc>
          <w:tcPr>
            <w:tcW w:w="11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2.57%</w:t>
            </w:r>
          </w:p>
        </w:tc>
        <w:tc>
          <w:tcPr>
            <w:tcW w:w="11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2.56%</w:t>
            </w:r>
          </w:p>
        </w:tc>
        <w:tc>
          <w:tcPr>
            <w:tcW w:w="122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b w:val="1"/>
                <w:bCs w:val="1"/>
                <w:color w:val="auto"/>
              </w:rPr>
              <w:t>-1 bps</w:t>
            </w:r>
          </w:p>
        </w:tc>
        <w:tc>
          <w:tcPr>
            <w:tcW w:w="80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b w:val="1"/>
                <w:bCs w:val="1"/>
                <w:color w:val="auto"/>
              </w:rPr>
              <w:t>5 bps</w:t>
            </w: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NPL ratio</w:t>
            </w:r>
          </w:p>
        </w:tc>
        <w:tc>
          <w:tcPr>
            <w:tcW w:w="10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3.33%</w:t>
            </w:r>
          </w:p>
        </w:tc>
        <w:tc>
          <w:tcPr>
            <w:tcW w:w="11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3.40%</w:t>
            </w:r>
          </w:p>
        </w:tc>
        <w:tc>
          <w:tcPr>
            <w:tcW w:w="11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3.41%</w:t>
            </w:r>
          </w:p>
        </w:tc>
        <w:tc>
          <w:tcPr>
            <w:tcW w:w="1220" w:type="dxa"/>
            <w:vAlign w:val="bottom"/>
            <w:gridSpan w:val="3"/>
          </w:tcPr>
          <w:p>
            <w:pPr>
              <w:jc w:val="right"/>
              <w:ind w:right="460"/>
              <w:spacing w:after="0" w:line="149" w:lineRule="exact"/>
              <w:rPr>
                <w:sz w:val="20"/>
                <w:szCs w:val="20"/>
                <w:color w:val="auto"/>
              </w:rPr>
            </w:pPr>
            <w:r>
              <w:rPr>
                <w:rFonts w:ascii="Arial" w:cs="Arial" w:eastAsia="Arial" w:hAnsi="Arial"/>
                <w:sz w:val="14"/>
                <w:szCs w:val="14"/>
                <w:b w:val="1"/>
                <w:bCs w:val="1"/>
                <w:color w:val="auto"/>
              </w:rPr>
              <w:t>1 bps</w:t>
            </w:r>
          </w:p>
        </w:tc>
        <w:tc>
          <w:tcPr>
            <w:tcW w:w="800" w:type="dxa"/>
            <w:vAlign w:val="bottom"/>
            <w:gridSpan w:val="2"/>
          </w:tcPr>
          <w:p>
            <w:pPr>
              <w:jc w:val="right"/>
              <w:ind w:right="168"/>
              <w:spacing w:after="0" w:line="149" w:lineRule="exact"/>
              <w:rPr>
                <w:sz w:val="20"/>
                <w:szCs w:val="20"/>
                <w:color w:val="auto"/>
              </w:rPr>
            </w:pPr>
            <w:r>
              <w:rPr>
                <w:rFonts w:ascii="Arial" w:cs="Arial" w:eastAsia="Arial" w:hAnsi="Arial"/>
                <w:sz w:val="14"/>
                <w:szCs w:val="14"/>
                <w:b w:val="1"/>
                <w:bCs w:val="1"/>
                <w:color w:val="auto"/>
              </w:rPr>
              <w:t>8 bps</w:t>
            </w: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Coverage ratio of Internal overdue loans</w:t>
            </w:r>
          </w:p>
        </w:tc>
        <w:tc>
          <w:tcPr>
            <w:tcW w:w="10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164.7%</w:t>
            </w:r>
          </w:p>
        </w:tc>
        <w:tc>
          <w:tcPr>
            <w:tcW w:w="11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162.8%</w:t>
            </w:r>
          </w:p>
        </w:tc>
        <w:tc>
          <w:tcPr>
            <w:tcW w:w="11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166.2%</w:t>
            </w:r>
          </w:p>
        </w:tc>
        <w:tc>
          <w:tcPr>
            <w:tcW w:w="122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340 bps</w:t>
            </w:r>
          </w:p>
        </w:tc>
        <w:tc>
          <w:tcPr>
            <w:tcW w:w="80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150 bps</w:t>
            </w: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2960" w:type="dxa"/>
            <w:vAlign w:val="bottom"/>
            <w:gridSpan w:val="2"/>
          </w:tcPr>
          <w:p>
            <w:pPr>
              <w:spacing w:after="0"/>
              <w:rPr>
                <w:sz w:val="20"/>
                <w:szCs w:val="20"/>
                <w:color w:val="auto"/>
              </w:rPr>
            </w:pPr>
            <w:r>
              <w:rPr>
                <w:rFonts w:ascii="Arial" w:cs="Arial" w:eastAsia="Arial" w:hAnsi="Arial"/>
                <w:sz w:val="14"/>
                <w:szCs w:val="14"/>
                <w:color w:val="auto"/>
              </w:rPr>
              <w:t>Coverage ratio of NPLs</w:t>
            </w: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124.5%</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123.2%</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124.7%</w:t>
            </w:r>
          </w:p>
        </w:tc>
        <w:tc>
          <w:tcPr>
            <w:tcW w:w="1220" w:type="dxa"/>
            <w:vAlign w:val="bottom"/>
            <w:gridSpan w:val="3"/>
          </w:tcPr>
          <w:p>
            <w:pPr>
              <w:jc w:val="right"/>
              <w:ind w:right="460"/>
              <w:spacing w:after="0"/>
              <w:rPr>
                <w:sz w:val="20"/>
                <w:szCs w:val="20"/>
                <w:color w:val="auto"/>
              </w:rPr>
            </w:pPr>
            <w:r>
              <w:rPr>
                <w:rFonts w:ascii="Arial" w:cs="Arial" w:eastAsia="Arial" w:hAnsi="Arial"/>
                <w:sz w:val="14"/>
                <w:szCs w:val="14"/>
                <w:color w:val="auto"/>
              </w:rPr>
              <w:t>150 bps</w:t>
            </w:r>
          </w:p>
        </w:tc>
        <w:tc>
          <w:tcPr>
            <w:tcW w:w="800" w:type="dxa"/>
            <w:vAlign w:val="bottom"/>
            <w:gridSpan w:val="2"/>
          </w:tcPr>
          <w:p>
            <w:pPr>
              <w:jc w:val="right"/>
              <w:ind w:right="168"/>
              <w:spacing w:after="0"/>
              <w:rPr>
                <w:sz w:val="20"/>
                <w:szCs w:val="20"/>
                <w:color w:val="auto"/>
              </w:rPr>
            </w:pPr>
            <w:r>
              <w:rPr>
                <w:rFonts w:ascii="Arial" w:cs="Arial" w:eastAsia="Arial" w:hAnsi="Arial"/>
                <w:sz w:val="14"/>
                <w:szCs w:val="14"/>
                <w:color w:val="auto"/>
              </w:rPr>
              <w:t>20 bps</w:t>
            </w: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1874520</wp:posOffset>
            </wp:positionH>
            <wp:positionV relativeFrom="paragraph">
              <wp:posOffset>-8890</wp:posOffset>
            </wp:positionV>
            <wp:extent cx="320738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07385" cy="8890"/>
                    </a:xfrm>
                    <a:prstGeom prst="rect">
                      <a:avLst/>
                    </a:prstGeom>
                    <a:noFill/>
                  </pic:spPr>
                </pic:pic>
              </a:graphicData>
            </a:graphic>
          </wp:anchor>
        </w:drawing>
      </w:r>
    </w:p>
    <w:p>
      <w:pPr>
        <w:ind w:left="260" w:hanging="252"/>
        <w:spacing w:after="0"/>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Annualized provisions for loan losses / Total loans.</w:t>
      </w:r>
    </w:p>
    <w:p>
      <w:pPr>
        <w:spacing w:after="0" w:line="7" w:lineRule="exact"/>
        <w:rPr>
          <w:rFonts w:ascii="Arial" w:cs="Arial" w:eastAsia="Arial" w:hAnsi="Arial"/>
          <w:sz w:val="18"/>
          <w:szCs w:val="18"/>
          <w:color w:val="auto"/>
        </w:rPr>
      </w:pPr>
    </w:p>
    <w:p>
      <w:pPr>
        <w:ind w:left="260" w:hanging="252"/>
        <w:spacing w:after="0"/>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overdue loans and loans under legal collection.</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Non-performing loans include internal overdue loans and refinanced loans.</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3.1 Provisions for loan losses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Provisions for loan losses </w:t>
      </w:r>
      <w:r>
        <w:rPr>
          <w:rFonts w:ascii="Arial" w:cs="Arial" w:eastAsia="Arial" w:hAnsi="Arial"/>
          <w:sz w:val="18"/>
          <w:szCs w:val="18"/>
          <w:color w:val="auto"/>
        </w:rPr>
        <w:t>increased +13.1% QoQ as a result of:</w:t>
      </w:r>
    </w:p>
    <w:p>
      <w:pPr>
        <w:spacing w:after="0" w:line="229" w:lineRule="exact"/>
        <w:rPr>
          <w:sz w:val="20"/>
          <w:szCs w:val="20"/>
          <w:color w:val="auto"/>
        </w:rPr>
      </w:pPr>
    </w:p>
    <w:p>
      <w:pPr>
        <w:jc w:val="both"/>
        <w:ind w:left="760" w:hanging="509"/>
        <w:spacing w:after="0" w:line="286" w:lineRule="auto"/>
        <w:tabs>
          <w:tab w:leader="none" w:pos="7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An increase in the level of provisions for the Credit Card segment, which was primarily due to maturities in client balances purchased during the campaign to capture balance transfer over the last 18 months, whose objective was to expand the portfolio while improving its risk profile. The SME-Pyme, consumer and mortgage segments also reported increases, although less significant, in their provisions levels.</w:t>
      </w:r>
    </w:p>
    <w:p>
      <w:pPr>
        <w:spacing w:after="0" w:line="165" w:lineRule="exact"/>
        <w:rPr>
          <w:rFonts w:ascii="Arial" w:cs="Arial" w:eastAsia="Arial" w:hAnsi="Arial"/>
          <w:sz w:val="17"/>
          <w:szCs w:val="17"/>
          <w:color w:val="auto"/>
        </w:rPr>
      </w:pPr>
    </w:p>
    <w:p>
      <w:pPr>
        <w:ind w:left="760" w:right="20" w:hanging="509"/>
        <w:spacing w:after="0" w:line="277" w:lineRule="auto"/>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QoQ increase of provisions in Wholesale Banking, was mainly attributable to an isolated case in Corporate banking, which experienced a deterioration in its debt capacity, associated with the Gas and Hydrocarbon sector;</w:t>
      </w:r>
    </w:p>
    <w:p>
      <w:pPr>
        <w:spacing w:after="0" w:line="170" w:lineRule="exact"/>
        <w:rPr>
          <w:rFonts w:ascii="Arial" w:cs="Arial" w:eastAsia="Arial" w:hAnsi="Arial"/>
          <w:sz w:val="18"/>
          <w:szCs w:val="18"/>
          <w:color w:val="auto"/>
        </w:rPr>
      </w:pPr>
    </w:p>
    <w:p>
      <w:pPr>
        <w:ind w:left="760" w:hanging="509"/>
        <w:spacing w:after="0" w:line="277" w:lineRule="auto"/>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aforementioned was offset by an improvement in the risk quality of new vintages in the SME-Pyme and Mibanco portfolios, which reflected the efforts of the adjustments implemented in business models.</w:t>
      </w:r>
    </w:p>
    <w:p>
      <w:pPr>
        <w:spacing w:after="0" w:line="170"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 xml:space="preserve">Growth in provisions for loan losses also reflects a slight increase QoQ and YoY in the </w:t>
      </w:r>
      <w:r>
        <w:rPr>
          <w:rFonts w:ascii="Arial" w:cs="Arial" w:eastAsia="Arial" w:hAnsi="Arial"/>
          <w:sz w:val="17"/>
          <w:szCs w:val="17"/>
          <w:b w:val="1"/>
          <w:bCs w:val="1"/>
          <w:color w:val="auto"/>
        </w:rPr>
        <w:t>cost of risk</w:t>
      </w:r>
      <w:r>
        <w:rPr>
          <w:rFonts w:ascii="Arial" w:cs="Arial" w:eastAsia="Arial" w:hAnsi="Arial"/>
          <w:sz w:val="28"/>
          <w:szCs w:val="28"/>
          <w:b w:val="1"/>
          <w:bCs w:val="1"/>
          <w:color w:val="auto"/>
          <w:vertAlign w:val="superscript"/>
        </w:rPr>
        <w:t>3</w:t>
      </w:r>
      <w:r>
        <w:rPr>
          <w:rFonts w:ascii="Arial" w:cs="Arial" w:eastAsia="Arial" w:hAnsi="Arial"/>
          <w:sz w:val="17"/>
          <w:szCs w:val="17"/>
          <w:color w:val="auto"/>
        </w:rPr>
        <w:t>. Nevertheless, in accumulated terms the cost of risk was situated at 2.08%, which translated into a drop of -7 bps with regard to the figure posted in 2014 (2.15%). This was due to improvements that were made throughout the year to optimize the portfolio’s quality, which were bolstered by solid loan growth in quarter-end balances (+13.1% YoY).</w:t>
      </w:r>
    </w:p>
    <w:p>
      <w:pPr>
        <w:spacing w:after="0" w:line="200"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b w:val="1"/>
          <w:bCs w:val="1"/>
          <w:color w:val="auto"/>
        </w:rPr>
        <w:t>ratio of provisions for loan losses over net interest income (NII)</w:t>
      </w:r>
      <w:r>
        <w:rPr>
          <w:rFonts w:ascii="Arial" w:cs="Arial" w:eastAsia="Arial" w:hAnsi="Arial"/>
          <w:sz w:val="17"/>
          <w:szCs w:val="17"/>
          <w:color w:val="auto"/>
        </w:rPr>
        <w:t xml:space="preserve"> reported a considerable increase QoQ as a result of higher growth in provisions vs. increase in NII. The latter was associated to higher interest expenses, as explained in section 4: Net Interest Income. In the YoY analysis, this indicator fell -11 bps in accumulated terms and registered a more significant drop (-157 bps) given that NII grew more than provisions.</w:t>
      </w:r>
    </w:p>
    <w:p>
      <w:pPr>
        <w:spacing w:after="0" w:line="15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Allowance for Loan Losses</w:t>
      </w:r>
      <w:r>
        <w:rPr>
          <w:rFonts w:ascii="Arial" w:cs="Arial" w:eastAsia="Arial" w:hAnsi="Arial"/>
          <w:sz w:val="18"/>
          <w:szCs w:val="18"/>
          <w:color w:val="auto"/>
        </w:rPr>
        <w:t xml:space="preserve"> increased QoQ as a result of higher provisions registered by BCP this quarter and to a lesser extent, by Mibanco. In regard to write-offs there was an increased only of +0.8% QoQ.</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Coverage for the Internal Overdue Portfolio </w:t>
      </w:r>
      <w:r>
        <w:rPr>
          <w:rFonts w:ascii="Arial" w:cs="Arial" w:eastAsia="Arial" w:hAnsi="Arial"/>
          <w:sz w:val="18"/>
          <w:szCs w:val="18"/>
          <w:color w:val="auto"/>
        </w:rPr>
        <w:t>increased significantly QoQ and YoY due to the fact that Allowance for Loan Losses posted a larger increase</w:t>
      </w:r>
      <w:r>
        <w:rPr>
          <w:rFonts w:ascii="Arial" w:cs="Arial" w:eastAsia="Arial" w:hAnsi="Arial"/>
          <w:sz w:val="18"/>
          <w:szCs w:val="18"/>
          <w:b w:val="1"/>
          <w:bCs w:val="1"/>
          <w:color w:val="auto"/>
        </w:rPr>
        <w:t xml:space="preserve"> </w:t>
      </w:r>
      <w:r>
        <w:rPr>
          <w:rFonts w:ascii="Arial" w:cs="Arial" w:eastAsia="Arial" w:hAnsi="Arial"/>
          <w:sz w:val="18"/>
          <w:szCs w:val="18"/>
          <w:color w:val="auto"/>
        </w:rPr>
        <w:t>vs. growth in Internal Overdue Loans.</w:t>
      </w:r>
    </w:p>
    <w:p>
      <w:pPr>
        <w:spacing w:after="0" w:line="16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Coverage for the NPL portfolio </w:t>
      </w:r>
      <w:r>
        <w:rPr>
          <w:rFonts w:ascii="Arial" w:cs="Arial" w:eastAsia="Arial" w:hAnsi="Arial"/>
          <w:sz w:val="18"/>
          <w:szCs w:val="18"/>
          <w:color w:val="auto"/>
        </w:rPr>
        <w:t>ratio improved QoQ and YoY given that growth in allowance for loan losses outpaced the increase posted by the NPL</w:t>
      </w:r>
      <w:r>
        <w:rPr>
          <w:rFonts w:ascii="Arial" w:cs="Arial" w:eastAsia="Arial" w:hAnsi="Arial"/>
          <w:sz w:val="18"/>
          <w:szCs w:val="18"/>
          <w:b w:val="1"/>
          <w:bCs w:val="1"/>
          <w:color w:val="auto"/>
        </w:rPr>
        <w:t xml:space="preserve"> </w:t>
      </w:r>
      <w:r>
        <w:rPr>
          <w:rFonts w:ascii="Arial" w:cs="Arial" w:eastAsia="Arial" w:hAnsi="Arial"/>
          <w:sz w:val="18"/>
          <w:szCs w:val="18"/>
          <w:color w:val="auto"/>
        </w:rPr>
        <w:t>portfolio. The latter was attributable to the refinancing campaigns that took place in the second half of 2014 in the SME-Pyme, Credit Card, Consumer and SME-Business segments.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Portfolio quality &amp; Cost of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154940</wp:posOffset>
            </wp:positionV>
            <wp:extent cx="5746115" cy="14751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46115" cy="1475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Cost of risk = Annualized provisions for loan losses / Total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80975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58" w:lineRule="exact"/>
        <w:rPr>
          <w:sz w:val="20"/>
          <w:szCs w:val="20"/>
          <w:color w:val="auto"/>
        </w:rPr>
      </w:pPr>
    </w:p>
    <w:p>
      <w:pPr>
        <w:ind w:left="120" w:hanging="112"/>
        <w:spacing w:after="0"/>
        <w:tabs>
          <w:tab w:leader="none" w:pos="120" w:val="left"/>
        </w:tabs>
        <w:numPr>
          <w:ilvl w:val="0"/>
          <w:numId w:val="25"/>
        </w:numPr>
        <w:rPr>
          <w:rFonts w:ascii="Arial" w:cs="Arial" w:eastAsia="Arial" w:hAnsi="Arial"/>
          <w:sz w:val="30"/>
          <w:szCs w:val="30"/>
          <w:color w:val="auto"/>
          <w:vertAlign w:val="superscript"/>
        </w:rPr>
      </w:pPr>
      <w:r>
        <w:rPr>
          <w:rFonts w:ascii="Arial" w:cs="Arial" w:eastAsia="Arial" w:hAnsi="Arial"/>
          <w:sz w:val="18"/>
          <w:szCs w:val="18"/>
          <w:color w:val="auto"/>
        </w:rPr>
        <w:t>Annualized provisions for loan losses / Total loans.</w:t>
      </w: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3.2 Portfolio Quality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 to analyzing the evolution of traditional delinquency ratios (Internal overdue ratio and NPL ratios), it is important to keep in mind that these ratios continue to be distorted by the existence of real estate collateral, which characterizes the SME-Pyme, SME-Business and Mortgage segments. This means that a significant proportion of loans that are more than 150 days past due cannot be written-off even though they are fully provisioned because a legal process must be followed to liquidate the collateral, which takes 4 years on average.</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It is important to note that the aforementioned ratios also incorporate a seasonal effect that characterizes all second semesters (2H). In 2H, there is a significant increase in loans due to campaigns at year-end while in 1H growth decelerates given the cancellation of all loans granted in 2H of the previous year.</w:t>
      </w:r>
    </w:p>
    <w:p>
      <w:pPr>
        <w:spacing w:after="0" w:line="177" w:lineRule="exact"/>
        <w:rPr>
          <w:sz w:val="20"/>
          <w:szCs w:val="20"/>
          <w:color w:val="auto"/>
        </w:rPr>
      </w:pPr>
    </w:p>
    <w:p>
      <w:pPr>
        <w:jc w:val="both"/>
        <w:ind w:right="20"/>
        <w:spacing w:after="0" w:line="347" w:lineRule="auto"/>
        <w:rPr>
          <w:sz w:val="20"/>
          <w:szCs w:val="20"/>
          <w:color w:val="auto"/>
        </w:rPr>
      </w:pPr>
      <w:r>
        <w:rPr>
          <w:rFonts w:ascii="Arial" w:cs="Arial" w:eastAsia="Arial" w:hAnsi="Arial"/>
          <w:sz w:val="16"/>
          <w:szCs w:val="16"/>
          <w:color w:val="auto"/>
        </w:rPr>
        <w:t xml:space="preserve">In this context, the </w:t>
      </w:r>
      <w:r>
        <w:rPr>
          <w:rFonts w:ascii="Arial" w:cs="Arial" w:eastAsia="Arial" w:hAnsi="Arial"/>
          <w:sz w:val="16"/>
          <w:szCs w:val="16"/>
          <w:b w:val="1"/>
          <w:bCs w:val="1"/>
          <w:color w:val="auto"/>
        </w:rPr>
        <w:t>Internal Overdue Ratio</w:t>
      </w:r>
      <w:r>
        <w:rPr>
          <w:rFonts w:ascii="Arial" w:cs="Arial" w:eastAsia="Arial" w:hAnsi="Arial"/>
          <w:sz w:val="16"/>
          <w:szCs w:val="16"/>
          <w:color w:val="auto"/>
        </w:rPr>
        <w:t xml:space="preserve"> posted an improvement of -1 bps QoQ and situated at 2.56% in 4Q15. This was due to the fact that the increase in total loans (+2.8% QoQ) outweighed growth in the internal overdue portfolio (+2.4% QoQ). The evolution of the Internal Overdue Loans was due to:</w:t>
      </w:r>
    </w:p>
    <w:p>
      <w:pPr>
        <w:spacing w:after="0" w:line="120" w:lineRule="exact"/>
        <w:rPr>
          <w:sz w:val="20"/>
          <w:szCs w:val="20"/>
          <w:color w:val="auto"/>
        </w:rPr>
      </w:pPr>
    </w:p>
    <w:p>
      <w:pPr>
        <w:jc w:val="both"/>
        <w:ind w:left="660" w:hanging="328"/>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Mibanco: since the integration of Mibanco and Edyficar, we began efforts to clean up the loan portfolio. As such, in 4Q15, we continued to see a contraction in the QoQ evolution of the Internal Overdue Portfolio at Mibanco, which was in line with improvements in risk quality and with the increase in write-offs registered last quarter, and to a lesser extent, in 4Q15.</w:t>
      </w:r>
    </w:p>
    <w:p>
      <w:pPr>
        <w:spacing w:after="0" w:line="181" w:lineRule="exact"/>
        <w:rPr>
          <w:sz w:val="20"/>
          <w:szCs w:val="20"/>
          <w:color w:val="auto"/>
        </w:rPr>
      </w:pPr>
    </w:p>
    <w:p>
      <w:pPr>
        <w:jc w:val="both"/>
        <w:ind w:left="620" w:hanging="301"/>
        <w:spacing w:after="0" w:line="279" w:lineRule="auto"/>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BCP: The Internal Overdue Portfolio in the SME-Pyme segment contracted, which was attributable to on-going refinancing campaigns. Nevertheless, the efforts made in the SME-Pyme portfolio were offset by the increase registered in the Internal Overdue Portfolios for the Credit Card, SME-Business, Consumer and Mortgage segments. In the case of Credit Cards, this was due to the maturity of loan vintages captured throughout the year. On SME-Business, the deterioration corresponded to specific and isolated clients (no specific industry).</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NPL portfolio (which includes refinanced loans) increased +3.2% QoQ primarily due to growth in the Internal Overdue Portfolio and to a lesser extent in the Refinanced Portfolio. This, coupled with a slight increase in loans (+2.8% QoQ), led to a </w:t>
      </w:r>
      <w:r>
        <w:rPr>
          <w:rFonts w:ascii="Arial" w:cs="Arial" w:eastAsia="Arial" w:hAnsi="Arial"/>
          <w:sz w:val="18"/>
          <w:szCs w:val="18"/>
          <w:b w:val="1"/>
          <w:bCs w:val="1"/>
          <w:color w:val="auto"/>
        </w:rPr>
        <w:t>NPL ratio</w:t>
      </w:r>
      <w:r>
        <w:rPr>
          <w:rFonts w:ascii="Arial" w:cs="Arial" w:eastAsia="Arial" w:hAnsi="Arial"/>
          <w:sz w:val="18"/>
          <w:szCs w:val="18"/>
          <w:color w:val="auto"/>
        </w:rPr>
        <w:t xml:space="preserve"> of 3.41% (+1 bps QoQ) and an increase of +8 bps YoY, which reflects the fact that the pace of growth picked up as of the second half of 2014.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graph shows the evolution of the Internal Overdue Ratio by business and product line:</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6" w:name="page27"/>
    <w:bookmarkEnd w:id="26"/>
    <w:p>
      <w:pPr>
        <w:ind w:left="3200"/>
        <w:spacing w:after="0"/>
        <w:rPr>
          <w:sz w:val="20"/>
          <w:szCs w:val="20"/>
          <w:color w:val="auto"/>
        </w:rPr>
      </w:pPr>
      <w:r>
        <w:rPr>
          <w:rFonts w:ascii="Arial" w:cs="Arial" w:eastAsia="Arial" w:hAnsi="Arial"/>
          <w:sz w:val="18"/>
          <w:szCs w:val="18"/>
          <w:b w:val="1"/>
          <w:bCs w:val="1"/>
          <w:color w:val="auto"/>
        </w:rPr>
        <w:t>Internal overdue ratio by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154940</wp:posOffset>
            </wp:positionV>
            <wp:extent cx="5746115" cy="4613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46115" cy="4613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t>3.2.1 Delinquency ratios by business</w:t>
      </w:r>
    </w:p>
    <w:p>
      <w:pPr>
        <w:spacing w:after="0" w:line="221"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Wholesale Banking – Portfolio quality and Cost of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154940</wp:posOffset>
            </wp:positionV>
            <wp:extent cx="5746115" cy="20154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46115" cy="201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left="500" w:hanging="492"/>
        <w:spacing w:after="0" w:line="289" w:lineRule="auto"/>
        <w:tabs>
          <w:tab w:leader="none" w:pos="500" w:val="left"/>
        </w:tabs>
        <w:numPr>
          <w:ilvl w:val="0"/>
          <w:numId w:val="28"/>
        </w:numPr>
        <w:rPr>
          <w:rFonts w:ascii="Arial" w:cs="Arial" w:eastAsia="Arial" w:hAnsi="Arial"/>
          <w:sz w:val="17"/>
          <w:szCs w:val="17"/>
          <w:color w:val="auto"/>
        </w:rPr>
      </w:pPr>
      <w:r>
        <w:rPr>
          <w:rFonts w:ascii="Arial" w:cs="Arial" w:eastAsia="Arial" w:hAnsi="Arial"/>
          <w:sz w:val="17"/>
          <w:szCs w:val="17"/>
          <w:b w:val="1"/>
          <w:bCs w:val="1"/>
          <w:color w:val="auto"/>
        </w:rPr>
        <w:t xml:space="preserve">Wholesale Banking’s </w:t>
      </w:r>
      <w:r>
        <w:rPr>
          <w:rFonts w:ascii="Arial" w:cs="Arial" w:eastAsia="Arial" w:hAnsi="Arial"/>
          <w:sz w:val="17"/>
          <w:szCs w:val="17"/>
          <w:color w:val="auto"/>
        </w:rPr>
        <w:t>delinquency ratio increased +5 bps QoQ to situate at 0.32% due to a deterioration in the payment capacity of a few clients. The</w:t>
      </w:r>
      <w:r>
        <w:rPr>
          <w:rFonts w:ascii="Arial" w:cs="Arial" w:eastAsia="Arial" w:hAnsi="Arial"/>
          <w:sz w:val="17"/>
          <w:szCs w:val="17"/>
          <w:b w:val="1"/>
          <w:bCs w:val="1"/>
          <w:color w:val="auto"/>
        </w:rPr>
        <w:t xml:space="preserve"> </w:t>
      </w:r>
      <w:r>
        <w:rPr>
          <w:rFonts w:ascii="Arial" w:cs="Arial" w:eastAsia="Arial" w:hAnsi="Arial"/>
          <w:sz w:val="17"/>
          <w:szCs w:val="17"/>
          <w:color w:val="auto"/>
        </w:rPr>
        <w:t>NPL ratio increased +8 bps QoQ, which was primarily attributable to a specific client that refinanced its debt (from short to medium term) but shows no signs of deterioration. In the annual analysis, the delinquency ratios remained stable, oscillating between +/- 10 bps.</w:t>
      </w:r>
    </w:p>
    <w:p>
      <w:pPr>
        <w:spacing w:after="0" w:line="162" w:lineRule="exact"/>
        <w:rPr>
          <w:rFonts w:ascii="Arial" w:cs="Arial" w:eastAsia="Arial" w:hAnsi="Arial"/>
          <w:sz w:val="17"/>
          <w:szCs w:val="17"/>
          <w:color w:val="auto"/>
        </w:rPr>
      </w:pPr>
    </w:p>
    <w:p>
      <w:pPr>
        <w:ind w:left="520"/>
        <w:spacing w:after="0" w:line="277" w:lineRule="auto"/>
        <w:rPr>
          <w:rFonts w:ascii="Arial" w:cs="Arial" w:eastAsia="Arial" w:hAnsi="Arial"/>
          <w:sz w:val="17"/>
          <w:szCs w:val="17"/>
          <w:color w:val="auto"/>
        </w:rPr>
      </w:pPr>
      <w:r>
        <w:rPr>
          <w:rFonts w:ascii="Arial" w:cs="Arial" w:eastAsia="Arial" w:hAnsi="Arial"/>
          <w:sz w:val="18"/>
          <w:szCs w:val="18"/>
          <w:color w:val="auto"/>
        </w:rPr>
        <w:t>The cost of risk was situated at 0.62%, which represented an increase of +41 bps with regard to 3Q15. This was mainly attributable to one client whose debt capacity deteriorated due to the drop in international oil prices.</w:t>
      </w:r>
    </w:p>
    <w:p>
      <w:pPr>
        <w:spacing w:after="0" w:line="170" w:lineRule="exact"/>
        <w:rPr>
          <w:rFonts w:ascii="Arial" w:cs="Arial" w:eastAsia="Arial" w:hAnsi="Arial"/>
          <w:sz w:val="17"/>
          <w:szCs w:val="17"/>
          <w:color w:val="auto"/>
        </w:rPr>
      </w:pPr>
    </w:p>
    <w:p>
      <w:pPr>
        <w:jc w:val="both"/>
        <w:ind w:left="520"/>
        <w:spacing w:after="0" w:line="264" w:lineRule="auto"/>
        <w:rPr>
          <w:rFonts w:ascii="Arial" w:cs="Arial" w:eastAsia="Arial" w:hAnsi="Arial"/>
          <w:sz w:val="17"/>
          <w:szCs w:val="17"/>
          <w:color w:val="auto"/>
        </w:rPr>
      </w:pPr>
      <w:r>
        <w:rPr>
          <w:rFonts w:ascii="Arial" w:cs="Arial" w:eastAsia="Arial" w:hAnsi="Arial"/>
          <w:sz w:val="18"/>
          <w:szCs w:val="18"/>
          <w:color w:val="auto"/>
        </w:rPr>
        <w:t>It is important to note that in 4Q15, large amortizations of loans were made as discussed in section “1.Interest Earning Assets.” The aforementioned had a significant impact on the denominator of the reported quality indicators because in the calculation, we used period-end balances, which only rose 0.9% QoQ.</w:t>
      </w:r>
    </w:p>
    <w:p>
      <w:pPr>
        <w:spacing w:after="0" w:line="17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BCP Bolivia – Portfolio quality and Cost of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154940</wp:posOffset>
            </wp:positionV>
            <wp:extent cx="5746115" cy="20669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46115" cy="206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ind w:left="500" w:hanging="492"/>
        <w:spacing w:after="0" w:line="261"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 xml:space="preserve">BCP Bolivia </w:t>
      </w:r>
      <w:r>
        <w:rPr>
          <w:rFonts w:ascii="Arial" w:cs="Arial" w:eastAsia="Arial" w:hAnsi="Arial"/>
          <w:sz w:val="18"/>
          <w:szCs w:val="18"/>
          <w:color w:val="auto"/>
        </w:rPr>
        <w:t>reported an improvement in its Internal Overdue Loan Ratio and in its NPL at the end of 4Q15. Both fell 5 bps QoQ, which was due to</w:t>
      </w:r>
      <w:r>
        <w:rPr>
          <w:rFonts w:ascii="Arial" w:cs="Arial" w:eastAsia="Arial" w:hAnsi="Arial"/>
          <w:sz w:val="18"/>
          <w:szCs w:val="18"/>
          <w:b w:val="1"/>
          <w:bCs w:val="1"/>
          <w:color w:val="auto"/>
        </w:rPr>
        <w:t xml:space="preserve"> </w:t>
      </w:r>
      <w:r>
        <w:rPr>
          <w:rFonts w:ascii="Arial" w:cs="Arial" w:eastAsia="Arial" w:hAnsi="Arial"/>
          <w:sz w:val="18"/>
          <w:szCs w:val="18"/>
          <w:color w:val="auto"/>
        </w:rPr>
        <w:t>an increase in lending activity and to a deceleration in the Internal Overdue Portfolio. However in the YoY analysis, the ratio registered an increase due to difficulties in 1Q15, which were controlled in subsequent quarters. This allowed us to reduce the gap YoY. It is important to note, that the NPL ratio was below the Bolivian financial system’s average at the end of December 2015 (2.6%).</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8" w:name="page29"/>
    <w:bookmarkEnd w:id="28"/>
    <w:p>
      <w:pPr>
        <w:ind w:left="520" w:right="20"/>
        <w:spacing w:after="0" w:line="277" w:lineRule="auto"/>
        <w:rPr>
          <w:sz w:val="20"/>
          <w:szCs w:val="20"/>
          <w:color w:val="auto"/>
        </w:rPr>
      </w:pPr>
      <w:r>
        <w:rPr>
          <w:rFonts w:ascii="Arial" w:cs="Arial" w:eastAsia="Arial" w:hAnsi="Arial"/>
          <w:sz w:val="18"/>
          <w:szCs w:val="18"/>
          <w:color w:val="auto"/>
        </w:rPr>
        <w:t>The cost of risk decreased -31 bps QoQ and -35 bps YoY which was attributable to an improvement in portfolio quality, which led to lower provisions, mainly in Retail Banking.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When analyzing the evolution of delinquency by line and product within Retail Banking, it is important to consider longer time horizons.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SME-Business – Portfolio quality and Cost of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154940</wp:posOffset>
            </wp:positionV>
            <wp:extent cx="5746115" cy="2040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46115" cy="2040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left="500" w:hanging="492"/>
        <w:spacing w:after="0" w:line="261" w:lineRule="auto"/>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When analyzing the </w:t>
      </w:r>
      <w:r>
        <w:rPr>
          <w:rFonts w:ascii="Arial" w:cs="Arial" w:eastAsia="Arial" w:hAnsi="Arial"/>
          <w:sz w:val="18"/>
          <w:szCs w:val="18"/>
          <w:b w:val="1"/>
          <w:bCs w:val="1"/>
          <w:color w:val="auto"/>
        </w:rPr>
        <w:t>SME-Business</w:t>
      </w:r>
      <w:r>
        <w:rPr>
          <w:rFonts w:ascii="Arial" w:cs="Arial" w:eastAsia="Arial" w:hAnsi="Arial"/>
          <w:sz w:val="18"/>
          <w:szCs w:val="18"/>
          <w:color w:val="auto"/>
        </w:rPr>
        <w:t xml:space="preserve"> segment, it is important to note that the delinquency ratios registered an increase QoQ due to growth in the Internal overdue portfolio, which was attributable to two punctual cases and higher refinanced loans. Additionally, both ratios were affected by the deceleration QoQ in period-end balances vs. the growth reported in 3Q15. In this scenario, the internal overdue ratio and the NPL ratio rose +48 bps and +5 bps QoQ, respectively.</w:t>
      </w:r>
    </w:p>
    <w:p>
      <w:pPr>
        <w:spacing w:after="0" w:line="184" w:lineRule="exact"/>
        <w:rPr>
          <w:rFonts w:ascii="Arial" w:cs="Arial" w:eastAsia="Arial" w:hAnsi="Arial"/>
          <w:sz w:val="18"/>
          <w:szCs w:val="18"/>
          <w:color w:val="auto"/>
        </w:rPr>
      </w:pPr>
    </w:p>
    <w:p>
      <w:pPr>
        <w:jc w:val="both"/>
        <w:ind w:left="520"/>
        <w:spacing w:after="0" w:line="264" w:lineRule="auto"/>
        <w:rPr>
          <w:rFonts w:ascii="Arial" w:cs="Arial" w:eastAsia="Arial" w:hAnsi="Arial"/>
          <w:sz w:val="18"/>
          <w:szCs w:val="18"/>
          <w:color w:val="auto"/>
        </w:rPr>
      </w:pPr>
      <w:r>
        <w:rPr>
          <w:rFonts w:ascii="Arial" w:cs="Arial" w:eastAsia="Arial" w:hAnsi="Arial"/>
          <w:sz w:val="18"/>
          <w:szCs w:val="18"/>
          <w:color w:val="auto"/>
        </w:rPr>
        <w:t>In terms of the two cases mentioned above, the principal case was attributable to a client whose payment capacity was affected by poor sales performance on projects that were not related to its core business. Combined, these cases account for 78% of the increase in the Internal overdue portfolio.</w:t>
      </w:r>
    </w:p>
    <w:p>
      <w:pPr>
        <w:spacing w:after="0" w:line="181" w:lineRule="exact"/>
        <w:rPr>
          <w:rFonts w:ascii="Arial" w:cs="Arial" w:eastAsia="Arial" w:hAnsi="Arial"/>
          <w:sz w:val="18"/>
          <w:szCs w:val="18"/>
          <w:color w:val="auto"/>
        </w:rPr>
      </w:pPr>
    </w:p>
    <w:p>
      <w:pPr>
        <w:ind w:left="520"/>
        <w:spacing w:after="0" w:line="277" w:lineRule="auto"/>
        <w:rPr>
          <w:rFonts w:ascii="Arial" w:cs="Arial" w:eastAsia="Arial" w:hAnsi="Arial"/>
          <w:sz w:val="18"/>
          <w:szCs w:val="18"/>
          <w:color w:val="auto"/>
        </w:rPr>
      </w:pPr>
      <w:r>
        <w:rPr>
          <w:rFonts w:ascii="Arial" w:cs="Arial" w:eastAsia="Arial" w:hAnsi="Arial"/>
          <w:sz w:val="18"/>
          <w:szCs w:val="18"/>
          <w:color w:val="auto"/>
        </w:rPr>
        <w:t>Nevertheless, it is important to note that these clients have a high level of coverage through guarantees (property). Our average coverage level in this segment is situated at 70% whereas our closest competitor’s average level is approximately 57%.</w:t>
      </w:r>
    </w:p>
    <w:p>
      <w:pPr>
        <w:spacing w:after="0" w:line="170" w:lineRule="exact"/>
        <w:rPr>
          <w:rFonts w:ascii="Arial" w:cs="Arial" w:eastAsia="Arial" w:hAnsi="Arial"/>
          <w:sz w:val="18"/>
          <w:szCs w:val="18"/>
          <w:color w:val="auto"/>
        </w:rPr>
      </w:pPr>
    </w:p>
    <w:p>
      <w:pPr>
        <w:ind w:left="520" w:right="20"/>
        <w:spacing w:after="0" w:line="308" w:lineRule="auto"/>
        <w:rPr>
          <w:rFonts w:ascii="Arial" w:cs="Arial" w:eastAsia="Arial" w:hAnsi="Arial"/>
          <w:sz w:val="18"/>
          <w:szCs w:val="18"/>
          <w:color w:val="auto"/>
        </w:rPr>
      </w:pPr>
      <w:r>
        <w:rPr>
          <w:rFonts w:ascii="Arial" w:cs="Arial" w:eastAsia="Arial" w:hAnsi="Arial"/>
          <w:sz w:val="17"/>
          <w:szCs w:val="17"/>
          <w:color w:val="auto"/>
        </w:rPr>
        <w:t>The cost of risk fell 44 bps QoQ, to situate at 1.55%. The latter was due to a higher provisions level posted in 3Q15. However, it is important to note that this segment has a low cost of risk given that the nature of its business and model are similar to that of Wholesale Banking.</w:t>
      </w: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9" w:name="page30"/>
    <w:bookmarkEnd w:id="29"/>
    <w:p>
      <w:pPr>
        <w:ind w:left="4120"/>
        <w:spacing w:after="0"/>
        <w:rPr>
          <w:sz w:val="20"/>
          <w:szCs w:val="20"/>
          <w:color w:val="auto"/>
        </w:rPr>
      </w:pPr>
      <w:r>
        <w:rPr>
          <w:rFonts w:ascii="Arial" w:cs="Arial" w:eastAsia="Arial" w:hAnsi="Arial"/>
          <w:sz w:val="18"/>
          <w:szCs w:val="18"/>
          <w:b w:val="1"/>
          <w:bCs w:val="1"/>
          <w:color w:val="auto"/>
        </w:rPr>
        <w:t>SME - Pyme – Portfolio quality and Cost of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154940</wp:posOffset>
            </wp:positionV>
            <wp:extent cx="5746115" cy="19037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46115" cy="1903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60" w:hanging="328"/>
        <w:spacing w:after="0"/>
        <w:tabs>
          <w:tab w:leader="none" w:pos="6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Figures differ from previously reported due to adjustments during the data processing that have been incorporated in this report.</w:t>
      </w:r>
    </w:p>
    <w:p>
      <w:pPr>
        <w:spacing w:after="0" w:line="221" w:lineRule="exact"/>
        <w:rPr>
          <w:rFonts w:ascii="Arial" w:cs="Arial" w:eastAsia="Arial" w:hAnsi="Arial"/>
          <w:sz w:val="18"/>
          <w:szCs w:val="18"/>
          <w:color w:val="auto"/>
        </w:rPr>
      </w:pPr>
    </w:p>
    <w:p>
      <w:pPr>
        <w:jc w:val="both"/>
        <w:ind w:left="500" w:hanging="492"/>
        <w:spacing w:after="0" w:line="281" w:lineRule="auto"/>
        <w:tabs>
          <w:tab w:leader="none" w:pos="5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 xml:space="preserve">When analyzing the </w:t>
      </w:r>
      <w:r>
        <w:rPr>
          <w:rFonts w:ascii="Arial" w:cs="Arial" w:eastAsia="Arial" w:hAnsi="Arial"/>
          <w:sz w:val="17"/>
          <w:szCs w:val="17"/>
          <w:b w:val="1"/>
          <w:bCs w:val="1"/>
          <w:color w:val="auto"/>
        </w:rPr>
        <w:t>SME-Pyme</w:t>
      </w:r>
      <w:r>
        <w:rPr>
          <w:rFonts w:ascii="Arial" w:cs="Arial" w:eastAsia="Arial" w:hAnsi="Arial"/>
          <w:sz w:val="17"/>
          <w:szCs w:val="17"/>
          <w:color w:val="auto"/>
        </w:rPr>
        <w:t xml:space="preserve"> segment’s early delinquency indicator, it is important to remember that this ratio does not include loans that have been delinquent less than 60 days (volatile loans but whose recovery level is very high) and those that exceed 150 days (loans that are covered with provisions but cannot be charged off due to the existence of real guarantees- property). Since the second half of 2014, early delinquency has followed a downward YoY trend every quarter, which is attributable to the adjustments made in the business model.</w:t>
      </w:r>
    </w:p>
    <w:p>
      <w:pPr>
        <w:spacing w:after="0" w:line="168" w:lineRule="exact"/>
        <w:rPr>
          <w:rFonts w:ascii="Arial" w:cs="Arial" w:eastAsia="Arial" w:hAnsi="Arial"/>
          <w:sz w:val="17"/>
          <w:szCs w:val="17"/>
          <w:color w:val="auto"/>
        </w:rPr>
      </w:pPr>
    </w:p>
    <w:p>
      <w:pPr>
        <w:jc w:val="both"/>
        <w:ind w:left="520"/>
        <w:spacing w:after="0" w:line="264" w:lineRule="auto"/>
        <w:rPr>
          <w:rFonts w:ascii="Arial" w:cs="Arial" w:eastAsia="Arial" w:hAnsi="Arial"/>
          <w:sz w:val="17"/>
          <w:szCs w:val="17"/>
          <w:color w:val="auto"/>
        </w:rPr>
      </w:pPr>
      <w:r>
        <w:rPr>
          <w:rFonts w:ascii="Arial" w:cs="Arial" w:eastAsia="Arial" w:hAnsi="Arial"/>
          <w:sz w:val="18"/>
          <w:szCs w:val="18"/>
          <w:color w:val="auto"/>
        </w:rPr>
        <w:t>The cost of risk fell -22 bps QoQ and -1bps YoY, due to an improvement in the quality of risk portfolio of post-adjustment vintages. The latter represents the lowest level achieved in the last two years reported. The accumulated analysis also reveals a decrease of -94 bps, going from 7.02% in 2014 to 6.08% in 2015.</w:t>
      </w:r>
    </w:p>
    <w:p>
      <w:pPr>
        <w:spacing w:after="0" w:line="181" w:lineRule="exact"/>
        <w:rPr>
          <w:rFonts w:ascii="Arial" w:cs="Arial" w:eastAsia="Arial" w:hAnsi="Arial"/>
          <w:sz w:val="17"/>
          <w:szCs w:val="17"/>
          <w:color w:val="auto"/>
        </w:rPr>
      </w:pPr>
    </w:p>
    <w:p>
      <w:pPr>
        <w:ind w:left="520"/>
        <w:spacing w:after="0" w:line="277" w:lineRule="auto"/>
        <w:rPr>
          <w:rFonts w:ascii="Arial" w:cs="Arial" w:eastAsia="Arial" w:hAnsi="Arial"/>
          <w:sz w:val="17"/>
          <w:szCs w:val="17"/>
          <w:color w:val="auto"/>
        </w:rPr>
      </w:pPr>
      <w:r>
        <w:rPr>
          <w:rFonts w:ascii="Arial" w:cs="Arial" w:eastAsia="Arial" w:hAnsi="Arial"/>
          <w:sz w:val="18"/>
          <w:szCs w:val="18"/>
          <w:color w:val="auto"/>
        </w:rPr>
        <w:t>In regard to Internal overdue loans ratio and NPL ratios, both reported an improvement QoQ (-81 bps and -82 bps, respectively) due to slower growth Internal overdue portfolio and to the higher dynamism in loan portfolio that characterizes every 2H.</w:t>
      </w:r>
    </w:p>
    <w:p>
      <w:pPr>
        <w:spacing w:after="0" w:line="166"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Mortgage – Portfolio quality and Cost of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154940</wp:posOffset>
            </wp:positionV>
            <wp:extent cx="5746115" cy="17322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46115" cy="1732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660" w:hanging="328"/>
        <w:spacing w:after="0"/>
        <w:tabs>
          <w:tab w:leader="none" w:pos="6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Figures differ from previously reported due to adjustments during the data processing that have been incorporated in this report.</w:t>
      </w:r>
    </w:p>
    <w:p>
      <w:pPr>
        <w:spacing w:after="0" w:line="221" w:lineRule="exact"/>
        <w:rPr>
          <w:rFonts w:ascii="Arial" w:cs="Arial" w:eastAsia="Arial" w:hAnsi="Arial"/>
          <w:sz w:val="18"/>
          <w:szCs w:val="18"/>
          <w:color w:val="auto"/>
        </w:rPr>
      </w:pPr>
    </w:p>
    <w:p>
      <w:pPr>
        <w:jc w:val="both"/>
        <w:ind w:left="500" w:hanging="492"/>
        <w:spacing w:after="0" w:line="261"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 xml:space="preserve">Mortage loans </w:t>
      </w:r>
      <w:r>
        <w:rPr>
          <w:rFonts w:ascii="Arial" w:cs="Arial" w:eastAsia="Arial" w:hAnsi="Arial"/>
          <w:sz w:val="18"/>
          <w:szCs w:val="18"/>
          <w:color w:val="auto"/>
        </w:rPr>
        <w:t>are backed by real-state collateral whose foreclosure takes on average between 3 to 4 years. As such, it is important to analyze the</w:t>
      </w:r>
      <w:r>
        <w:rPr>
          <w:rFonts w:ascii="Arial" w:cs="Arial" w:eastAsia="Arial" w:hAnsi="Arial"/>
          <w:sz w:val="18"/>
          <w:szCs w:val="18"/>
          <w:b w:val="1"/>
          <w:bCs w:val="1"/>
          <w:color w:val="auto"/>
        </w:rPr>
        <w:t xml:space="preserve"> </w:t>
      </w:r>
      <w:r>
        <w:rPr>
          <w:rFonts w:ascii="Arial" w:cs="Arial" w:eastAsia="Arial" w:hAnsi="Arial"/>
          <w:sz w:val="18"/>
          <w:szCs w:val="18"/>
          <w:color w:val="auto"/>
        </w:rPr>
        <w:t>evolution of early delinquency, which maintains the same level as that seen last quarter: around 0.8% (+/- 10 bps). This remains within the limits of the appetite for risk that the organization has set for this segment. Nevertheless, YoY there was a slight deterioration due to the portfolio’s maturity cycle (between 3 and 4 years) of Mivivienda’s portfolio.</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0" w:name="page31"/>
    <w:bookmarkEnd w:id="30"/>
    <w:p>
      <w:pPr>
        <w:jc w:val="both"/>
        <w:ind w:left="520"/>
        <w:spacing w:after="0" w:line="272" w:lineRule="auto"/>
        <w:rPr>
          <w:sz w:val="20"/>
          <w:szCs w:val="20"/>
          <w:color w:val="auto"/>
        </w:rPr>
      </w:pPr>
      <w:r>
        <w:rPr>
          <w:rFonts w:ascii="Arial" w:cs="Arial" w:eastAsia="Arial" w:hAnsi="Arial"/>
          <w:sz w:val="16"/>
          <w:szCs w:val="16"/>
          <w:color w:val="auto"/>
        </w:rPr>
        <w:t>The cost of risk in this segment increased +35 bps to situate at 0.96% at the end of 4Q15. This increase was due to the following factors: i) the maturity cycle of the Mivivienda portfolio</w:t>
      </w:r>
      <w:r>
        <w:rPr>
          <w:rFonts w:ascii="Arial" w:cs="Arial" w:eastAsia="Arial" w:hAnsi="Arial"/>
          <w:sz w:val="26"/>
          <w:szCs w:val="26"/>
          <w:color w:val="auto"/>
          <w:vertAlign w:val="superscript"/>
        </w:rPr>
        <w:t>4</w:t>
      </w:r>
      <w:r>
        <w:rPr>
          <w:rFonts w:ascii="Arial" w:cs="Arial" w:eastAsia="Arial" w:hAnsi="Arial"/>
          <w:sz w:val="16"/>
          <w:szCs w:val="16"/>
          <w:color w:val="auto"/>
        </w:rPr>
        <w:t>, which continues to account for approximately 15% of total mortgage loans; ii) an operating error occurred in the registry of provisions for the Mivivienda program, which will be reversed next quarter; as such, the adjusted cost of risk should be situated at 0.73% (23 bps less than that reported in 4Q15); iii) a slight deterioration was registered in vintages of FC loans in the traditional mortgage product line, which were issued just before the Sol depreciated against the US Dollar and iv) the bank identified deterioration in some clients’ capacity to make payments to other financial entities; this information is obtained through external sources that are available in the Peruvian financial system. This explains the increase in the Internal overdue loans and NPL portfolios of +18 bps QoQ and +19 bps QoQ, respectively.</w:t>
      </w:r>
    </w:p>
    <w:p>
      <w:pPr>
        <w:spacing w:after="0" w:line="179" w:lineRule="exact"/>
        <w:rPr>
          <w:sz w:val="20"/>
          <w:szCs w:val="20"/>
          <w:color w:val="auto"/>
        </w:rPr>
      </w:pPr>
    </w:p>
    <w:p>
      <w:pPr>
        <w:jc w:val="both"/>
        <w:ind w:left="520"/>
        <w:spacing w:after="0" w:line="264" w:lineRule="auto"/>
        <w:rPr>
          <w:sz w:val="20"/>
          <w:szCs w:val="20"/>
          <w:color w:val="auto"/>
        </w:rPr>
      </w:pPr>
      <w:r>
        <w:rPr>
          <w:rFonts w:ascii="Arial" w:cs="Arial" w:eastAsia="Arial" w:hAnsi="Arial"/>
          <w:sz w:val="18"/>
          <w:szCs w:val="18"/>
          <w:color w:val="auto"/>
        </w:rPr>
        <w:t>It is important to mention that the Mortgage segment is divided into two products: Traditional Mortgage at BCP and Mivivienda. Both products conduct constant follow-up on their Internal overdue portfolios and pay particular attention to cases that are subject to judicial processes with the objective is to improve the recovery strategy.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Consumer – Portfolio quality and Cost of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154940</wp:posOffset>
            </wp:positionV>
            <wp:extent cx="5746115" cy="17665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46115" cy="1766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(1) Figures differ from previously reported due to adjustments during the data processing that have been incorporated in this report.</w:t>
      </w:r>
    </w:p>
    <w:p>
      <w:pPr>
        <w:spacing w:after="0" w:line="221" w:lineRule="exact"/>
        <w:rPr>
          <w:sz w:val="20"/>
          <w:szCs w:val="20"/>
          <w:color w:val="auto"/>
        </w:rPr>
      </w:pPr>
    </w:p>
    <w:p>
      <w:pPr>
        <w:jc w:val="both"/>
        <w:ind w:left="500" w:hanging="492"/>
        <w:spacing w:after="0" w:line="289" w:lineRule="auto"/>
        <w:tabs>
          <w:tab w:leader="none" w:pos="5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 xml:space="preserve">In the </w:t>
      </w:r>
      <w:r>
        <w:rPr>
          <w:rFonts w:ascii="Arial" w:cs="Arial" w:eastAsia="Arial" w:hAnsi="Arial"/>
          <w:sz w:val="17"/>
          <w:szCs w:val="17"/>
          <w:b w:val="1"/>
          <w:bCs w:val="1"/>
          <w:color w:val="auto"/>
        </w:rPr>
        <w:t>Consumer</w:t>
      </w:r>
      <w:r>
        <w:rPr>
          <w:rFonts w:ascii="Arial" w:cs="Arial" w:eastAsia="Arial" w:hAnsi="Arial"/>
          <w:sz w:val="17"/>
          <w:szCs w:val="17"/>
          <w:color w:val="auto"/>
        </w:rPr>
        <w:t xml:space="preserve"> portfolio, the early delinquency indicator increased slightly +12 bps QoQ and situated at 2.17%. This was due to the maturity cycle of the portfolio QoQ and to slight growth in the total portfolio (+0.9% QoQ in period-end balances). After reducing consistently in the 3 first quarters of 2015, on a year over year analysis (to eliminate seasonality) the early delinquency ratio increased +13 bps YoY.</w:t>
      </w:r>
    </w:p>
    <w:p>
      <w:pPr>
        <w:spacing w:after="0" w:line="162" w:lineRule="exact"/>
        <w:rPr>
          <w:rFonts w:ascii="Arial" w:cs="Arial" w:eastAsia="Arial" w:hAnsi="Arial"/>
          <w:sz w:val="17"/>
          <w:szCs w:val="17"/>
          <w:color w:val="auto"/>
        </w:rPr>
      </w:pPr>
    </w:p>
    <w:p>
      <w:pPr>
        <w:ind w:left="520"/>
        <w:spacing w:after="0"/>
        <w:rPr>
          <w:rFonts w:ascii="Arial" w:cs="Arial" w:eastAsia="Arial" w:hAnsi="Arial"/>
          <w:sz w:val="17"/>
          <w:szCs w:val="17"/>
          <w:color w:val="auto"/>
        </w:rPr>
      </w:pPr>
      <w:r>
        <w:rPr>
          <w:rFonts w:ascii="Arial" w:cs="Arial" w:eastAsia="Arial" w:hAnsi="Arial"/>
          <w:sz w:val="16"/>
          <w:szCs w:val="16"/>
          <w:color w:val="auto"/>
        </w:rPr>
        <w:t>The cost of risk rose slightly QoQ by +20 bps. Nevertheless, on the analysis for 2014 (6.00%) vs. 2015 (5.76%) reveals a relevant decrease of -24 bps.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180975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96" w:lineRule="exact"/>
        <w:rPr>
          <w:sz w:val="20"/>
          <w:szCs w:val="20"/>
          <w:color w:val="auto"/>
        </w:rPr>
      </w:pPr>
    </w:p>
    <w:p>
      <w:pPr>
        <w:ind w:right="60" w:firstLine="8"/>
        <w:spacing w:after="0" w:line="194" w:lineRule="auto"/>
        <w:tabs>
          <w:tab w:leader="none" w:pos="120" w:val="left"/>
        </w:tabs>
        <w:numPr>
          <w:ilvl w:val="0"/>
          <w:numId w:val="36"/>
        </w:numPr>
        <w:rPr>
          <w:rFonts w:ascii="Arial" w:cs="Arial" w:eastAsia="Arial" w:hAnsi="Arial"/>
          <w:sz w:val="30"/>
          <w:szCs w:val="30"/>
          <w:color w:val="auto"/>
          <w:vertAlign w:val="superscript"/>
        </w:rPr>
      </w:pPr>
      <w:r>
        <w:rPr>
          <w:rFonts w:ascii="Arial" w:cs="Arial" w:eastAsia="Arial" w:hAnsi="Arial"/>
          <w:sz w:val="18"/>
          <w:szCs w:val="18"/>
          <w:color w:val="auto"/>
        </w:rPr>
        <w:t>The MiVivienda program handles mortgage loans backed by the Peruvian governmetn. In 2014, a new Mivivienda loan was launched with better conditions to improve compliance levels.</w:t>
      </w: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22"/>
          <w:szCs w:val="22"/>
          <w:b w:val="1"/>
          <w:bCs w:val="1"/>
          <w:color w:val="auto"/>
        </w:rPr>
        <w:t>Credit Card – Portfolio quality and Cost of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165735</wp:posOffset>
            </wp:positionV>
            <wp:extent cx="5746115" cy="18351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46115" cy="1835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(1) Figures differ from previously reported due to adjustments during the data processing that have been incorporated in this report.</w:t>
      </w:r>
    </w:p>
    <w:p>
      <w:pPr>
        <w:spacing w:after="0" w:line="221" w:lineRule="exact"/>
        <w:rPr>
          <w:sz w:val="20"/>
          <w:szCs w:val="20"/>
          <w:color w:val="auto"/>
        </w:rPr>
      </w:pPr>
    </w:p>
    <w:p>
      <w:pPr>
        <w:jc w:val="both"/>
        <w:ind w:left="500" w:hanging="492"/>
        <w:spacing w:after="0" w:line="289" w:lineRule="auto"/>
        <w:tabs>
          <w:tab w:leader="none" w:pos="5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 xml:space="preserve">The </w:t>
      </w:r>
      <w:r>
        <w:rPr>
          <w:rFonts w:ascii="Arial" w:cs="Arial" w:eastAsia="Arial" w:hAnsi="Arial"/>
          <w:sz w:val="17"/>
          <w:szCs w:val="17"/>
          <w:b w:val="1"/>
          <w:bCs w:val="1"/>
          <w:color w:val="auto"/>
        </w:rPr>
        <w:t>Credit Card</w:t>
      </w:r>
      <w:r>
        <w:rPr>
          <w:rFonts w:ascii="Arial" w:cs="Arial" w:eastAsia="Arial" w:hAnsi="Arial"/>
          <w:sz w:val="17"/>
          <w:szCs w:val="17"/>
          <w:color w:val="auto"/>
        </w:rPr>
        <w:t xml:space="preserve"> portfolio posted by the first time in the year a slight growth YoY in early delinquency and NPL ratio. However it is important to note that this segment’s appetite for risk is within the ranges established by the organization. The deterioration correspond mainly due to the maturity cycle of the portfolio originated at the beginning of the year and which registered low levels of delinquency than expected.</w:t>
      </w:r>
    </w:p>
    <w:p>
      <w:pPr>
        <w:spacing w:after="0" w:line="162" w:lineRule="exact"/>
        <w:rPr>
          <w:rFonts w:ascii="Arial" w:cs="Arial" w:eastAsia="Arial" w:hAnsi="Arial"/>
          <w:sz w:val="17"/>
          <w:szCs w:val="17"/>
          <w:color w:val="auto"/>
        </w:rPr>
      </w:pPr>
    </w:p>
    <w:p>
      <w:pPr>
        <w:jc w:val="both"/>
        <w:ind w:left="520"/>
        <w:spacing w:after="0" w:line="312" w:lineRule="auto"/>
        <w:rPr>
          <w:rFonts w:ascii="Arial" w:cs="Arial" w:eastAsia="Arial" w:hAnsi="Arial"/>
          <w:sz w:val="17"/>
          <w:szCs w:val="17"/>
          <w:color w:val="auto"/>
        </w:rPr>
      </w:pPr>
      <w:r>
        <w:rPr>
          <w:rFonts w:ascii="Arial" w:cs="Arial" w:eastAsia="Arial" w:hAnsi="Arial"/>
          <w:sz w:val="16"/>
          <w:szCs w:val="16"/>
          <w:color w:val="auto"/>
        </w:rPr>
        <w:t>In the QoQ analysis of the cost of risk, it is important to note that provisions grew due to higher and atypical charge-offs registered in 3Q15, and in line with the deterioration of some clients with other financial entities in 4Q15 (information about client performance is readily available to the Peruvian financial system through external sources). In annual terms, the cost of risk improved significantly, going from 7.59% in 2014 to 7.37% in 2015.</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Mibanco – Portfolio quality and Cost of risk</w:t>
      </w:r>
      <w:r>
        <w:rPr>
          <w:rFonts w:ascii="Arial" w:cs="Arial" w:eastAsia="Arial" w:hAnsi="Arial"/>
          <w:sz w:val="30"/>
          <w:szCs w:val="30"/>
          <w:b w:val="1"/>
          <w:bCs w:val="1"/>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90170</wp:posOffset>
            </wp:positionV>
            <wp:extent cx="5746115" cy="20326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46115" cy="2032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left="500" w:hanging="492"/>
        <w:spacing w:after="0" w:line="261" w:lineRule="auto"/>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 xml:space="preserve">Mibanco’s </w:t>
      </w:r>
      <w:r>
        <w:rPr>
          <w:rFonts w:ascii="Arial" w:cs="Arial" w:eastAsia="Arial" w:hAnsi="Arial"/>
          <w:sz w:val="18"/>
          <w:szCs w:val="18"/>
          <w:color w:val="auto"/>
        </w:rPr>
        <w:t>Internal overdue ratio fell -66 bps QoQ, this was mainly attributable to a contraction in the internal overdue portfolio, which in turn is a</w:t>
      </w:r>
      <w:r>
        <w:rPr>
          <w:rFonts w:ascii="Arial" w:cs="Arial" w:eastAsia="Arial" w:hAnsi="Arial"/>
          <w:sz w:val="18"/>
          <w:szCs w:val="18"/>
          <w:b w:val="1"/>
          <w:bCs w:val="1"/>
          <w:color w:val="auto"/>
        </w:rPr>
        <w:t xml:space="preserve"> </w:t>
      </w:r>
      <w:r>
        <w:rPr>
          <w:rFonts w:ascii="Arial" w:cs="Arial" w:eastAsia="Arial" w:hAnsi="Arial"/>
          <w:sz w:val="18"/>
          <w:szCs w:val="18"/>
          <w:color w:val="auto"/>
        </w:rPr>
        <w:t>result of several efforts made over the last year to clean up this portfolio. In 4Q15 - but to a lesser extent than in 3Q15- Mibanco made efforts to align the portfolio with the charge-off policy and complete the clean-up process. Also the higher dynamism QoQ in Mibanco loans allow to reduced -58 bps in the NPL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80975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25" w:lineRule="exact"/>
        <w:rPr>
          <w:sz w:val="20"/>
          <w:szCs w:val="20"/>
          <w:color w:val="auto"/>
        </w:rPr>
      </w:pPr>
    </w:p>
    <w:p>
      <w:pPr>
        <w:ind w:left="120" w:hanging="112"/>
        <w:spacing w:after="0"/>
        <w:tabs>
          <w:tab w:leader="none" w:pos="120" w:val="left"/>
        </w:tabs>
        <w:numPr>
          <w:ilvl w:val="0"/>
          <w:numId w:val="39"/>
        </w:numPr>
        <w:rPr>
          <w:rFonts w:ascii="Arial" w:cs="Arial" w:eastAsia="Arial" w:hAnsi="Arial"/>
          <w:sz w:val="30"/>
          <w:szCs w:val="30"/>
          <w:color w:val="auto"/>
          <w:vertAlign w:val="superscript"/>
        </w:rPr>
      </w:pPr>
      <w:r>
        <w:rPr>
          <w:rFonts w:ascii="Arial" w:cs="Arial" w:eastAsia="Arial" w:hAnsi="Arial"/>
          <w:sz w:val="18"/>
          <w:szCs w:val="18"/>
          <w:color w:val="auto"/>
        </w:rPr>
        <w:t>Mibancos’ cost of risk is calculated starting on 2Q14 since net provisions were consolidated on BAP’s results at the beginning of this period.</w:t>
      </w: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38" w:right="239" w:bottom="1440" w:gutter="0" w:footer="0" w:header="0"/>
        </w:sectPr>
      </w:pPr>
    </w:p>
    <w:bookmarkStart w:id="32" w:name="page33"/>
    <w:bookmarkEnd w:id="32"/>
    <w:p>
      <w:pPr>
        <w:ind w:left="520"/>
        <w:spacing w:after="0" w:line="308" w:lineRule="auto"/>
        <w:rPr>
          <w:sz w:val="20"/>
          <w:szCs w:val="20"/>
          <w:color w:val="auto"/>
        </w:rPr>
      </w:pPr>
      <w:r>
        <w:rPr>
          <w:rFonts w:ascii="Arial" w:cs="Arial" w:eastAsia="Arial" w:hAnsi="Arial"/>
          <w:sz w:val="17"/>
          <w:szCs w:val="17"/>
          <w:color w:val="auto"/>
        </w:rPr>
        <w:t>The cost of risk increased +34 bps due to the high level of charge-offs last quarter, which led to an atypical result for the cost of risk. In the YoY analysis, Mibanco continues to post improvement and show stability, which is reflected in the -134 bps decline YoY in the cost of risk.</w:t>
      </w:r>
    </w:p>
    <w:p>
      <w:pPr>
        <w:spacing w:after="0" w:line="143" w:lineRule="exact"/>
        <w:rPr>
          <w:sz w:val="20"/>
          <w:szCs w:val="20"/>
          <w:color w:val="auto"/>
        </w:rPr>
      </w:pPr>
    </w:p>
    <w:p>
      <w:pPr>
        <w:ind w:left="500" w:hanging="492"/>
        <w:spacing w:after="0"/>
        <w:tabs>
          <w:tab w:leader="none" w:pos="50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Net Interest Income (NII)</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The good pace of growth of Credicorp’s NII in 4Q15 as well as the reduction in BCRP instruments use as a funding source allowed an increase of +6bps in NIM. Nevertheless, during 2015 there is a reduction of -8bps in NIM due to the increase of funding cost and of IEA, the last due to the increase in use of BCRP instruments in relation to 2014.</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80" w:type="dxa"/>
            <w:vAlign w:val="bottom"/>
            <w:gridSpan w:val="3"/>
          </w:tcPr>
          <w:p>
            <w:pPr>
              <w:spacing w:after="0"/>
              <w:rPr>
                <w:sz w:val="20"/>
                <w:szCs w:val="20"/>
                <w:color w:val="auto"/>
              </w:rPr>
            </w:pPr>
            <w:r>
              <w:rPr>
                <w:rFonts w:ascii="Arial" w:cs="Arial" w:eastAsia="Arial" w:hAnsi="Arial"/>
                <w:sz w:val="14"/>
                <w:szCs w:val="14"/>
                <w:b w:val="1"/>
                <w:bCs w:val="1"/>
                <w:color w:val="auto"/>
              </w:rPr>
              <w:t>Net interest income</w:t>
            </w: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Quarter</w:t>
            </w: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3"/>
          </w:tcPr>
          <w:p>
            <w:pPr>
              <w:ind w:left="700"/>
              <w:spacing w:after="0"/>
              <w:rPr>
                <w:sz w:val="20"/>
                <w:szCs w:val="20"/>
                <w:color w:val="auto"/>
              </w:rPr>
            </w:pPr>
            <w:r>
              <w:rPr>
                <w:rFonts w:ascii="Arial" w:cs="Arial" w:eastAsia="Arial" w:hAnsi="Arial"/>
                <w:sz w:val="14"/>
                <w:szCs w:val="14"/>
                <w:b w:val="1"/>
                <w:bCs w:val="1"/>
                <w:color w:val="auto"/>
              </w:rPr>
              <w:t>% change</w:t>
            </w: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3"/>
          </w:tcPr>
          <w:p>
            <w:pPr>
              <w:ind w:left="900"/>
              <w:spacing w:after="0"/>
              <w:rPr>
                <w:sz w:val="20"/>
                <w:szCs w:val="20"/>
                <w:color w:val="auto"/>
              </w:rPr>
            </w:pPr>
            <w:r>
              <w:rPr>
                <w:rFonts w:ascii="Arial" w:cs="Arial" w:eastAsia="Arial" w:hAnsi="Arial"/>
                <w:sz w:val="14"/>
                <w:szCs w:val="14"/>
                <w:b w:val="1"/>
                <w:bCs w:val="1"/>
                <w:color w:val="auto"/>
              </w:rPr>
              <w:t>Year</w:t>
            </w: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2280" w:type="dxa"/>
            <w:vAlign w:val="bottom"/>
            <w:gridSpan w:val="3"/>
          </w:tcPr>
          <w:p>
            <w:pPr>
              <w:spacing w:after="0"/>
              <w:rPr>
                <w:sz w:val="20"/>
                <w:szCs w:val="20"/>
                <w:color w:val="auto"/>
              </w:rPr>
            </w:pPr>
            <w:r>
              <w:rPr>
                <w:rFonts w:ascii="Arial" w:cs="Arial" w:eastAsia="Arial" w:hAnsi="Arial"/>
                <w:sz w:val="14"/>
                <w:szCs w:val="14"/>
                <w:color w:val="auto"/>
              </w:rPr>
              <w:t>S/. 000</w:t>
            </w:r>
          </w:p>
        </w:tc>
        <w:tc>
          <w:tcPr>
            <w:tcW w:w="11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4Q14</w:t>
            </w:r>
          </w:p>
        </w:tc>
        <w:tc>
          <w:tcPr>
            <w:tcW w:w="11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3Q15</w:t>
            </w:r>
          </w:p>
        </w:tc>
        <w:tc>
          <w:tcPr>
            <w:tcW w:w="11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4Q15</w:t>
            </w:r>
          </w:p>
        </w:tc>
        <w:tc>
          <w:tcPr>
            <w:tcW w:w="1380" w:type="dxa"/>
            <w:vAlign w:val="bottom"/>
            <w:gridSpan w:val="3"/>
          </w:tcPr>
          <w:p>
            <w:pPr>
              <w:ind w:left="300"/>
              <w:spacing w:after="0"/>
              <w:rPr>
                <w:sz w:val="20"/>
                <w:szCs w:val="20"/>
                <w:color w:val="auto"/>
              </w:rPr>
            </w:pPr>
            <w:r>
              <w:rPr>
                <w:rFonts w:ascii="Arial" w:cs="Arial" w:eastAsia="Arial" w:hAnsi="Arial"/>
                <w:sz w:val="14"/>
                <w:szCs w:val="14"/>
                <w:b w:val="1"/>
                <w:bCs w:val="1"/>
                <w:color w:val="auto"/>
              </w:rPr>
              <w:t>QoQ</w:t>
            </w:r>
          </w:p>
        </w:tc>
        <w:tc>
          <w:tcPr>
            <w:tcW w:w="900" w:type="dxa"/>
            <w:vAlign w:val="bottom"/>
            <w:gridSpan w:val="2"/>
          </w:tcPr>
          <w:p>
            <w:pPr>
              <w:jc w:val="right"/>
              <w:ind w:right="488"/>
              <w:spacing w:after="0"/>
              <w:rPr>
                <w:sz w:val="20"/>
                <w:szCs w:val="20"/>
                <w:color w:val="auto"/>
              </w:rPr>
            </w:pPr>
            <w:r>
              <w:rPr>
                <w:rFonts w:ascii="Arial" w:cs="Arial" w:eastAsia="Arial" w:hAnsi="Arial"/>
                <w:sz w:val="14"/>
                <w:szCs w:val="14"/>
                <w:b w:val="1"/>
                <w:bCs w:val="1"/>
                <w:color w:val="auto"/>
              </w:rPr>
              <w:t>YoY</w:t>
            </w:r>
          </w:p>
        </w:tc>
        <w:tc>
          <w:tcPr>
            <w:tcW w:w="900" w:type="dxa"/>
            <w:vAlign w:val="bottom"/>
          </w:tcPr>
          <w:p>
            <w:pPr>
              <w:jc w:val="right"/>
              <w:ind w:right="228"/>
              <w:spacing w:after="0"/>
              <w:rPr>
                <w:sz w:val="20"/>
                <w:szCs w:val="20"/>
                <w:color w:val="auto"/>
              </w:rPr>
            </w:pPr>
            <w:r>
              <w:rPr>
                <w:rFonts w:ascii="Arial" w:cs="Arial" w:eastAsia="Arial" w:hAnsi="Arial"/>
                <w:sz w:val="14"/>
                <w:szCs w:val="14"/>
                <w:b w:val="1"/>
                <w:bCs w:val="1"/>
                <w:color w:val="auto"/>
              </w:rPr>
              <w:t>2014</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228"/>
              <w:spacing w:after="0"/>
              <w:rPr>
                <w:sz w:val="20"/>
                <w:szCs w:val="20"/>
                <w:color w:val="auto"/>
              </w:rPr>
            </w:pPr>
            <w:r>
              <w:rPr>
                <w:rFonts w:ascii="Arial" w:cs="Arial" w:eastAsia="Arial" w:hAnsi="Arial"/>
                <w:sz w:val="14"/>
                <w:szCs w:val="14"/>
                <w:b w:val="1"/>
                <w:bCs w:val="1"/>
                <w:color w:val="auto"/>
              </w:rPr>
              <w:t>2015</w:t>
            </w:r>
          </w:p>
        </w:tc>
        <w:tc>
          <w:tcPr>
            <w:tcW w:w="260" w:type="dxa"/>
            <w:vAlign w:val="bottom"/>
          </w:tcPr>
          <w:p>
            <w:pPr>
              <w:spacing w:after="0"/>
              <w:rPr>
                <w:sz w:val="14"/>
                <w:szCs w:val="14"/>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b w:val="1"/>
                <w:bCs w:val="1"/>
                <w:color w:val="auto"/>
              </w:rPr>
              <w:t>2015 / 2014</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1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Interest income</w:t>
            </w:r>
          </w:p>
        </w:tc>
        <w:tc>
          <w:tcPr>
            <w:tcW w:w="120" w:type="dxa"/>
            <w:vAlign w:val="bottom"/>
            <w:vMerge w:val="continue"/>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2,282,651</w:t>
            </w:r>
          </w:p>
        </w:tc>
        <w:tc>
          <w:tcPr>
            <w:tcW w:w="260" w:type="dxa"/>
            <w:vAlign w:val="bottom"/>
            <w:vMerge w:val="continue"/>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2,517,964</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2,670,243</w:t>
            </w: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8"/>
              <w:spacing w:after="0" w:line="142" w:lineRule="exact"/>
              <w:rPr>
                <w:sz w:val="20"/>
                <w:szCs w:val="20"/>
                <w:color w:val="auto"/>
              </w:rPr>
            </w:pPr>
            <w:r>
              <w:rPr>
                <w:rFonts w:ascii="Arial" w:cs="Arial" w:eastAsia="Arial" w:hAnsi="Arial"/>
                <w:sz w:val="14"/>
                <w:szCs w:val="14"/>
                <w:b w:val="1"/>
                <w:bCs w:val="1"/>
                <w:color w:val="auto"/>
              </w:rPr>
              <w:t>6.0%</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8"/>
              <w:spacing w:after="0" w:line="142" w:lineRule="exact"/>
              <w:rPr>
                <w:sz w:val="20"/>
                <w:szCs w:val="20"/>
                <w:color w:val="auto"/>
              </w:rPr>
            </w:pPr>
            <w:r>
              <w:rPr>
                <w:rFonts w:ascii="Arial" w:cs="Arial" w:eastAsia="Arial" w:hAnsi="Arial"/>
                <w:sz w:val="14"/>
                <w:szCs w:val="14"/>
                <w:b w:val="1"/>
                <w:bCs w:val="1"/>
                <w:color w:val="auto"/>
              </w:rPr>
              <w:t>17.0%</w:t>
            </w: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8,578,665</w:t>
            </w:r>
          </w:p>
        </w:tc>
        <w:tc>
          <w:tcPr>
            <w:tcW w:w="26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10,022,944</w:t>
            </w:r>
          </w:p>
        </w:tc>
        <w:tc>
          <w:tcPr>
            <w:tcW w:w="260" w:type="dxa"/>
            <w:vAlign w:val="bottom"/>
            <w:vMerge w:val="continue"/>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Interest on loans</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2,064,935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2,187,431</w:t>
            </w: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2,318,175</w:t>
            </w:r>
          </w:p>
        </w:tc>
        <w:tc>
          <w:tcPr>
            <w:tcW w:w="260" w:type="dxa"/>
            <w:vAlign w:val="bottom"/>
          </w:tcPr>
          <w:p>
            <w:pPr>
              <w:spacing w:after="0"/>
              <w:rPr>
                <w:sz w:val="12"/>
                <w:szCs w:val="12"/>
                <w:color w:val="auto"/>
              </w:rPr>
            </w:pPr>
          </w:p>
        </w:tc>
        <w:tc>
          <w:tcPr>
            <w:tcW w:w="11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6.0%</w:t>
            </w:r>
          </w:p>
        </w:tc>
        <w:tc>
          <w:tcPr>
            <w:tcW w:w="240" w:type="dxa"/>
            <w:vAlign w:val="bottom"/>
          </w:tcPr>
          <w:p>
            <w:pPr>
              <w:spacing w:after="0"/>
              <w:rPr>
                <w:sz w:val="12"/>
                <w:szCs w:val="12"/>
                <w:color w:val="auto"/>
              </w:rPr>
            </w:pPr>
          </w:p>
        </w:tc>
        <w:tc>
          <w:tcPr>
            <w:tcW w:w="9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12.3%</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7,667,485</w:t>
            </w:r>
          </w:p>
        </w:tc>
        <w:tc>
          <w:tcPr>
            <w:tcW w:w="100" w:type="dxa"/>
            <w:vAlign w:val="bottom"/>
          </w:tcPr>
          <w:p>
            <w:pPr>
              <w:spacing w:after="0"/>
              <w:rPr>
                <w:sz w:val="12"/>
                <w:szCs w:val="12"/>
                <w:color w:val="auto"/>
              </w:rPr>
            </w:pP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8,706,372</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60" w:type="dxa"/>
            <w:vAlign w:val="bottom"/>
            <w:gridSpan w:val="2"/>
            <w:shd w:val="clear" w:color="auto" w:fill="CCEEFF"/>
          </w:tcPr>
          <w:p>
            <w:pPr>
              <w:ind w:left="160"/>
              <w:spacing w:after="0" w:line="130" w:lineRule="exact"/>
              <w:rPr>
                <w:sz w:val="20"/>
                <w:szCs w:val="20"/>
                <w:color w:val="auto"/>
              </w:rPr>
            </w:pPr>
            <w:r>
              <w:rPr>
                <w:rFonts w:ascii="Arial" w:cs="Arial" w:eastAsia="Arial" w:hAnsi="Arial"/>
                <w:sz w:val="14"/>
                <w:szCs w:val="14"/>
                <w:color w:val="auto"/>
              </w:rPr>
              <w:t>Interest and dividends on</w:t>
            </w:r>
          </w:p>
        </w:tc>
        <w:tc>
          <w:tcPr>
            <w:tcW w:w="9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investments</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3,512</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2,507</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4,201</w:t>
            </w:r>
          </w:p>
        </w:tc>
        <w:tc>
          <w:tcPr>
            <w:tcW w:w="11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67.6%</w:t>
            </w:r>
          </w:p>
        </w:tc>
        <w:tc>
          <w:tcPr>
            <w:tcW w:w="2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19.6%</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60,145</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55,594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Interest on deposits with banks</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10,318</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6,613</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7,560</w:t>
            </w:r>
          </w:p>
        </w:tc>
        <w:tc>
          <w:tcPr>
            <w:tcW w:w="11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14.3%</w:t>
            </w:r>
          </w:p>
        </w:tc>
        <w:tc>
          <w:tcPr>
            <w:tcW w:w="240" w:type="dxa"/>
            <w:vAlign w:val="bottom"/>
          </w:tcPr>
          <w:p>
            <w:pPr>
              <w:spacing w:after="0"/>
              <w:rPr>
                <w:sz w:val="12"/>
                <w:szCs w:val="12"/>
                <w:color w:val="auto"/>
              </w:rPr>
            </w:pPr>
          </w:p>
        </w:tc>
        <w:tc>
          <w:tcPr>
            <w:tcW w:w="9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-26.7%</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52,243</w:t>
            </w:r>
          </w:p>
        </w:tc>
        <w:tc>
          <w:tcPr>
            <w:tcW w:w="100" w:type="dxa"/>
            <w:vAlign w:val="bottom"/>
          </w:tcPr>
          <w:p>
            <w:pPr>
              <w:spacing w:after="0"/>
              <w:rPr>
                <w:sz w:val="12"/>
                <w:szCs w:val="12"/>
                <w:color w:val="auto"/>
              </w:rPr>
            </w:pP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32,818</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Interest on trading securities</w:t>
            </w:r>
          </w:p>
        </w:tc>
        <w:tc>
          <w:tcPr>
            <w:tcW w:w="11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194,771</w:t>
            </w:r>
          </w:p>
        </w:tc>
        <w:tc>
          <w:tcPr>
            <w:tcW w:w="11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227,819</w:t>
            </w:r>
          </w:p>
        </w:tc>
        <w:tc>
          <w:tcPr>
            <w:tcW w:w="11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252,266</w:t>
            </w:r>
          </w:p>
        </w:tc>
        <w:tc>
          <w:tcPr>
            <w:tcW w:w="11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10.7%</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29.5%</w:t>
            </w:r>
          </w:p>
        </w:tc>
        <w:tc>
          <w:tcPr>
            <w:tcW w:w="11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761,146</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921,902</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Other interest income</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9,115</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93,594</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88,041</w:t>
            </w:r>
          </w:p>
        </w:tc>
        <w:tc>
          <w:tcPr>
            <w:tcW w:w="11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-5.9%</w:t>
            </w:r>
          </w:p>
        </w:tc>
        <w:tc>
          <w:tcPr>
            <w:tcW w:w="240" w:type="dxa"/>
            <w:vAlign w:val="bottom"/>
          </w:tcPr>
          <w:p>
            <w:pPr>
              <w:spacing w:after="0"/>
              <w:rPr>
                <w:sz w:val="12"/>
                <w:szCs w:val="12"/>
                <w:color w:val="auto"/>
              </w:rPr>
            </w:pPr>
          </w:p>
        </w:tc>
        <w:tc>
          <w:tcPr>
            <w:tcW w:w="90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N/A</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37,645</w:t>
            </w:r>
          </w:p>
        </w:tc>
        <w:tc>
          <w:tcPr>
            <w:tcW w:w="100" w:type="dxa"/>
            <w:vAlign w:val="bottom"/>
          </w:tcPr>
          <w:p>
            <w:pPr>
              <w:spacing w:after="0"/>
              <w:rPr>
                <w:sz w:val="12"/>
                <w:szCs w:val="12"/>
                <w:color w:val="auto"/>
              </w:rPr>
            </w:pP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306,258</w:t>
            </w:r>
          </w:p>
        </w:tc>
        <w:tc>
          <w:tcPr>
            <w:tcW w:w="106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Interest expense</w:t>
            </w:r>
          </w:p>
        </w:tc>
        <w:tc>
          <w:tcPr>
            <w:tcW w:w="11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rPr>
              <w:t>571,253</w:t>
            </w:r>
          </w:p>
        </w:tc>
        <w:tc>
          <w:tcPr>
            <w:tcW w:w="11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rPr>
              <w:t>651,071</w:t>
            </w:r>
          </w:p>
        </w:tc>
        <w:tc>
          <w:tcPr>
            <w:tcW w:w="11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rPr>
              <w:t>694,803</w:t>
            </w:r>
          </w:p>
        </w:tc>
        <w:tc>
          <w:tcPr>
            <w:tcW w:w="114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b w:val="1"/>
                <w:bCs w:val="1"/>
                <w:color w:val="auto"/>
              </w:rPr>
              <w:t>6.7%</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b w:val="1"/>
                <w:bCs w:val="1"/>
                <w:color w:val="auto"/>
              </w:rPr>
              <w:t>21.6%</w:t>
            </w:r>
          </w:p>
        </w:tc>
        <w:tc>
          <w:tcPr>
            <w:tcW w:w="11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rPr>
              <w:t>2,168,859</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2,558,049</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Interest on deposits</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228,594</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206,799</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234,773</w:t>
            </w:r>
          </w:p>
        </w:tc>
        <w:tc>
          <w:tcPr>
            <w:tcW w:w="11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13.5%</w:t>
            </w:r>
          </w:p>
        </w:tc>
        <w:tc>
          <w:tcPr>
            <w:tcW w:w="240" w:type="dxa"/>
            <w:vAlign w:val="bottom"/>
          </w:tcPr>
          <w:p>
            <w:pPr>
              <w:spacing w:after="0"/>
              <w:rPr>
                <w:sz w:val="12"/>
                <w:szCs w:val="12"/>
                <w:color w:val="auto"/>
              </w:rPr>
            </w:pPr>
          </w:p>
        </w:tc>
        <w:tc>
          <w:tcPr>
            <w:tcW w:w="9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2.7%</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831,474</w:t>
            </w:r>
          </w:p>
        </w:tc>
        <w:tc>
          <w:tcPr>
            <w:tcW w:w="100" w:type="dxa"/>
            <w:vAlign w:val="bottom"/>
          </w:tcPr>
          <w:p>
            <w:pPr>
              <w:spacing w:after="0"/>
              <w:rPr>
                <w:sz w:val="12"/>
                <w:szCs w:val="12"/>
                <w:color w:val="auto"/>
              </w:rPr>
            </w:pP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859,797</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Interest on borrowed funds</w:t>
            </w:r>
          </w:p>
        </w:tc>
        <w:tc>
          <w:tcPr>
            <w:tcW w:w="11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122,316</w:t>
            </w:r>
          </w:p>
        </w:tc>
        <w:tc>
          <w:tcPr>
            <w:tcW w:w="11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204,734</w:t>
            </w:r>
          </w:p>
        </w:tc>
        <w:tc>
          <w:tcPr>
            <w:tcW w:w="11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210,465</w:t>
            </w:r>
          </w:p>
        </w:tc>
        <w:tc>
          <w:tcPr>
            <w:tcW w:w="11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2.8%</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72.1%</w:t>
            </w:r>
          </w:p>
        </w:tc>
        <w:tc>
          <w:tcPr>
            <w:tcW w:w="11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428,698</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758,396</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76.9%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60" w:type="dxa"/>
            <w:vAlign w:val="bottom"/>
            <w:gridSpan w:val="2"/>
          </w:tcPr>
          <w:p>
            <w:pPr>
              <w:ind w:left="160"/>
              <w:spacing w:after="0" w:line="130" w:lineRule="exact"/>
              <w:rPr>
                <w:sz w:val="20"/>
                <w:szCs w:val="20"/>
                <w:color w:val="auto"/>
              </w:rPr>
            </w:pPr>
            <w:r>
              <w:rPr>
                <w:rFonts w:ascii="Arial" w:cs="Arial" w:eastAsia="Arial" w:hAnsi="Arial"/>
                <w:sz w:val="14"/>
                <w:szCs w:val="14"/>
                <w:color w:val="auto"/>
              </w:rPr>
              <w:t>Interest on bonds and</w:t>
            </w: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60" w:type="dxa"/>
            <w:vAlign w:val="bottom"/>
            <w:gridSpan w:val="2"/>
          </w:tcPr>
          <w:p>
            <w:pPr>
              <w:ind w:left="160"/>
              <w:spacing w:after="0"/>
              <w:rPr>
                <w:sz w:val="20"/>
                <w:szCs w:val="20"/>
                <w:color w:val="auto"/>
              </w:rPr>
            </w:pPr>
            <w:r>
              <w:rPr>
                <w:rFonts w:ascii="Arial" w:cs="Arial" w:eastAsia="Arial" w:hAnsi="Arial"/>
                <w:sz w:val="14"/>
                <w:szCs w:val="14"/>
                <w:color w:val="auto"/>
              </w:rPr>
              <w:t>subordinated notes</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184,723</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192,879</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202,416</w:t>
            </w:r>
          </w:p>
        </w:tc>
        <w:tc>
          <w:tcPr>
            <w:tcW w:w="1140" w:type="dxa"/>
            <w:vAlign w:val="bottom"/>
            <w:gridSpan w:val="2"/>
          </w:tcPr>
          <w:p>
            <w:pPr>
              <w:jc w:val="right"/>
              <w:ind w:right="68"/>
              <w:spacing w:after="0"/>
              <w:rPr>
                <w:sz w:val="20"/>
                <w:szCs w:val="20"/>
                <w:color w:val="auto"/>
              </w:rPr>
            </w:pPr>
            <w:r>
              <w:rPr>
                <w:rFonts w:ascii="Arial" w:cs="Arial" w:eastAsia="Arial" w:hAnsi="Arial"/>
                <w:sz w:val="14"/>
                <w:szCs w:val="14"/>
                <w:color w:val="auto"/>
              </w:rPr>
              <w:t>4.9%</w:t>
            </w:r>
          </w:p>
        </w:tc>
        <w:tc>
          <w:tcPr>
            <w:tcW w:w="240" w:type="dxa"/>
            <w:vAlign w:val="bottom"/>
          </w:tcPr>
          <w:p>
            <w:pPr>
              <w:spacing w:after="0"/>
              <w:rPr>
                <w:sz w:val="14"/>
                <w:szCs w:val="14"/>
                <w:color w:val="auto"/>
              </w:rPr>
            </w:pPr>
          </w:p>
        </w:tc>
        <w:tc>
          <w:tcPr>
            <w:tcW w:w="900" w:type="dxa"/>
            <w:vAlign w:val="bottom"/>
            <w:gridSpan w:val="2"/>
          </w:tcPr>
          <w:p>
            <w:pPr>
              <w:jc w:val="right"/>
              <w:ind w:right="68"/>
              <w:spacing w:after="0"/>
              <w:rPr>
                <w:sz w:val="20"/>
                <w:szCs w:val="20"/>
                <w:color w:val="auto"/>
              </w:rPr>
            </w:pPr>
            <w:r>
              <w:rPr>
                <w:rFonts w:ascii="Arial" w:cs="Arial" w:eastAsia="Arial" w:hAnsi="Arial"/>
                <w:sz w:val="14"/>
                <w:szCs w:val="14"/>
                <w:color w:val="auto"/>
              </w:rPr>
              <w:t>9.6%</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713,146</w:t>
            </w:r>
          </w:p>
        </w:tc>
        <w:tc>
          <w:tcPr>
            <w:tcW w:w="10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753,174</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Other interest expense</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35,619</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46,659</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47,149</w:t>
            </w:r>
          </w:p>
        </w:tc>
        <w:tc>
          <w:tcPr>
            <w:tcW w:w="11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1.0%</w:t>
            </w:r>
          </w:p>
        </w:tc>
        <w:tc>
          <w:tcPr>
            <w:tcW w:w="2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32.4%</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195,541</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186,682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60" w:type="dxa"/>
            <w:vAlign w:val="bottom"/>
            <w:tcBorders>
              <w:bottom w:val="single" w:sz="8" w:color="CCEEFF"/>
            </w:tcBorders>
            <w:gridSpan w:val="2"/>
          </w:tcPr>
          <w:p>
            <w:pPr>
              <w:spacing w:after="0" w:line="142" w:lineRule="exact"/>
              <w:rPr>
                <w:sz w:val="20"/>
                <w:szCs w:val="20"/>
                <w:color w:val="auto"/>
              </w:rPr>
            </w:pPr>
            <w:r>
              <w:rPr>
                <w:rFonts w:ascii="Arial" w:cs="Arial" w:eastAsia="Arial" w:hAnsi="Arial"/>
                <w:sz w:val="14"/>
                <w:szCs w:val="14"/>
                <w:b w:val="1"/>
                <w:bCs w:val="1"/>
                <w:color w:val="auto"/>
              </w:rPr>
              <w:t>Net interest income</w:t>
            </w: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1,711,398</w:t>
            </w:r>
          </w:p>
        </w:tc>
        <w:tc>
          <w:tcPr>
            <w:tcW w:w="26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1,866,893</w:t>
            </w:r>
          </w:p>
        </w:tc>
        <w:tc>
          <w:tcPr>
            <w:tcW w:w="26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1,975,440</w:t>
            </w:r>
          </w:p>
        </w:tc>
        <w:tc>
          <w:tcPr>
            <w:tcW w:w="26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5.8</w:t>
            </w:r>
          </w:p>
        </w:tc>
        <w:tc>
          <w:tcPr>
            <w:tcW w:w="260" w:type="dxa"/>
            <w:vAlign w:val="bottom"/>
            <w:tcBorders>
              <w:bottom w:val="single" w:sz="8" w:color="CCEEFF"/>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2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15.4</w:t>
            </w:r>
          </w:p>
        </w:tc>
        <w:tc>
          <w:tcPr>
            <w:tcW w:w="260" w:type="dxa"/>
            <w:vAlign w:val="bottom"/>
            <w:tcBorders>
              <w:bottom w:val="single" w:sz="8" w:color="CCEEFF"/>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6,409,805</w:t>
            </w:r>
          </w:p>
        </w:tc>
        <w:tc>
          <w:tcPr>
            <w:tcW w:w="2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7,464,895</w:t>
            </w:r>
          </w:p>
        </w:tc>
        <w:tc>
          <w:tcPr>
            <w:tcW w:w="26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16.5</w:t>
            </w:r>
          </w:p>
        </w:tc>
        <w:tc>
          <w:tcPr>
            <w:tcW w:w="140" w:type="dxa"/>
            <w:vAlign w:val="bottom"/>
            <w:tcBorders>
              <w:bottom w:val="single" w:sz="8" w:color="CCEEFF"/>
            </w:tcBorders>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260" w:type="dxa"/>
            <w:vAlign w:val="bottom"/>
            <w:gridSpan w:val="2"/>
          </w:tcPr>
          <w:p>
            <w:pPr>
              <w:spacing w:after="0"/>
              <w:rPr>
                <w:sz w:val="20"/>
                <w:szCs w:val="20"/>
                <w:color w:val="auto"/>
              </w:rPr>
            </w:pPr>
            <w:r>
              <w:rPr>
                <w:rFonts w:ascii="Arial" w:cs="Arial" w:eastAsia="Arial" w:hAnsi="Arial"/>
                <w:sz w:val="14"/>
                <w:szCs w:val="14"/>
                <w:color w:val="auto"/>
              </w:rPr>
              <w:t>Average interest earning assets</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121,039,763</w:t>
            </w:r>
          </w:p>
        </w:tc>
        <w:tc>
          <w:tcPr>
            <w:tcW w:w="900" w:type="dxa"/>
            <w:vAlign w:val="bottom"/>
          </w:tcPr>
          <w:p>
            <w:pPr>
              <w:jc w:val="right"/>
              <w:spacing w:after="0"/>
              <w:rPr>
                <w:sz w:val="20"/>
                <w:szCs w:val="20"/>
                <w:color w:val="auto"/>
              </w:rPr>
            </w:pPr>
            <w:r>
              <w:rPr>
                <w:rFonts w:ascii="Arial" w:cs="Arial" w:eastAsia="Arial" w:hAnsi="Arial"/>
                <w:sz w:val="14"/>
                <w:szCs w:val="14"/>
                <w:color w:val="auto"/>
              </w:rPr>
              <w:t>135,942,787</w:t>
            </w:r>
          </w:p>
        </w:tc>
        <w:tc>
          <w:tcPr>
            <w:tcW w:w="26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142,411,827</w:t>
            </w:r>
          </w:p>
        </w:tc>
        <w:tc>
          <w:tcPr>
            <w:tcW w:w="1140" w:type="dxa"/>
            <w:vAlign w:val="bottom"/>
            <w:gridSpan w:val="2"/>
          </w:tcPr>
          <w:p>
            <w:pPr>
              <w:jc w:val="right"/>
              <w:ind w:right="68"/>
              <w:spacing w:after="0"/>
              <w:rPr>
                <w:sz w:val="20"/>
                <w:szCs w:val="20"/>
                <w:color w:val="auto"/>
              </w:rPr>
            </w:pPr>
            <w:r>
              <w:rPr>
                <w:rFonts w:ascii="Arial" w:cs="Arial" w:eastAsia="Arial" w:hAnsi="Arial"/>
                <w:sz w:val="14"/>
                <w:szCs w:val="14"/>
                <w:color w:val="auto"/>
              </w:rPr>
              <w:t>4.8%</w:t>
            </w:r>
          </w:p>
        </w:tc>
        <w:tc>
          <w:tcPr>
            <w:tcW w:w="240" w:type="dxa"/>
            <w:vAlign w:val="bottom"/>
          </w:tcPr>
          <w:p>
            <w:pPr>
              <w:spacing w:after="0"/>
              <w:rPr>
                <w:sz w:val="14"/>
                <w:szCs w:val="14"/>
                <w:color w:val="auto"/>
              </w:rPr>
            </w:pPr>
          </w:p>
        </w:tc>
        <w:tc>
          <w:tcPr>
            <w:tcW w:w="900" w:type="dxa"/>
            <w:vAlign w:val="bottom"/>
            <w:gridSpan w:val="2"/>
          </w:tcPr>
          <w:p>
            <w:pPr>
              <w:jc w:val="right"/>
              <w:ind w:right="68"/>
              <w:spacing w:after="0"/>
              <w:rPr>
                <w:sz w:val="20"/>
                <w:szCs w:val="20"/>
                <w:color w:val="auto"/>
              </w:rPr>
            </w:pPr>
            <w:r>
              <w:rPr>
                <w:rFonts w:ascii="Arial" w:cs="Arial" w:eastAsia="Arial" w:hAnsi="Arial"/>
                <w:sz w:val="14"/>
                <w:szCs w:val="14"/>
                <w:color w:val="auto"/>
              </w:rPr>
              <w:t>17.7%</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112,941,615</w:t>
            </w:r>
          </w:p>
        </w:tc>
        <w:tc>
          <w:tcPr>
            <w:tcW w:w="10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133,218,341</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gridSpan w:val="2"/>
            <w:vMerge w:val="restart"/>
            <w:shd w:val="clear" w:color="auto" w:fill="CCEEFF"/>
          </w:tcPr>
          <w:p>
            <w:pPr>
              <w:spacing w:after="0" w:line="189" w:lineRule="exact"/>
              <w:rPr>
                <w:sz w:val="20"/>
                <w:szCs w:val="20"/>
                <w:color w:val="auto"/>
              </w:rPr>
            </w:pPr>
            <w:r>
              <w:rPr>
                <w:rFonts w:ascii="Arial" w:cs="Arial" w:eastAsia="Arial" w:hAnsi="Arial"/>
                <w:sz w:val="13"/>
                <w:szCs w:val="13"/>
                <w:b w:val="1"/>
                <w:bCs w:val="1"/>
                <w:color w:val="auto"/>
              </w:rPr>
              <w:t xml:space="preserve">Net interest margin </w:t>
            </w:r>
            <w:r>
              <w:rPr>
                <w:rFonts w:ascii="Arial" w:cs="Arial" w:eastAsia="Arial" w:hAnsi="Arial"/>
                <w:sz w:val="21"/>
                <w:szCs w:val="21"/>
                <w:b w:val="1"/>
                <w:bCs w:val="1"/>
                <w:color w:val="auto"/>
                <w:vertAlign w:val="superscript"/>
              </w:rPr>
              <w:t>(1)</w:t>
            </w: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2260" w:type="dxa"/>
            <w:vAlign w:val="bottom"/>
            <w:gridSpan w:val="2"/>
            <w:vMerge w:val="continue"/>
            <w:shd w:val="clear" w:color="auto" w:fill="CCEEFF"/>
          </w:tcPr>
          <w:p>
            <w:pPr>
              <w:spacing w:after="0"/>
              <w:rPr>
                <w:sz w:val="14"/>
                <w:szCs w:val="14"/>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5.66%</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5.49%</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5.55%</w:t>
            </w:r>
          </w:p>
        </w:tc>
        <w:tc>
          <w:tcPr>
            <w:tcW w:w="1380" w:type="dxa"/>
            <w:vAlign w:val="bottom"/>
            <w:gridSpan w:val="3"/>
            <w:shd w:val="clear" w:color="auto" w:fill="CCEEFF"/>
          </w:tcPr>
          <w:p>
            <w:pPr>
              <w:jc w:val="right"/>
              <w:ind w:right="500"/>
              <w:spacing w:after="0"/>
              <w:rPr>
                <w:sz w:val="20"/>
                <w:szCs w:val="20"/>
                <w:color w:val="auto"/>
              </w:rPr>
            </w:pPr>
            <w:r>
              <w:rPr>
                <w:rFonts w:ascii="Arial" w:cs="Arial" w:eastAsia="Arial" w:hAnsi="Arial"/>
                <w:sz w:val="14"/>
                <w:szCs w:val="14"/>
                <w:b w:val="1"/>
                <w:bCs w:val="1"/>
                <w:color w:val="auto"/>
              </w:rPr>
              <w:t>+6 bps</w:t>
            </w:r>
          </w:p>
        </w:tc>
        <w:tc>
          <w:tcPr>
            <w:tcW w:w="90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-11 bps</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5.68%</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5.60%</w:t>
            </w:r>
          </w:p>
        </w:tc>
        <w:tc>
          <w:tcPr>
            <w:tcW w:w="106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-8 bps</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60" w:type="dxa"/>
            <w:vAlign w:val="bottom"/>
            <w:gridSpan w:val="2"/>
          </w:tcPr>
          <w:p>
            <w:pPr>
              <w:spacing w:after="0" w:line="136" w:lineRule="exact"/>
              <w:rPr>
                <w:sz w:val="20"/>
                <w:szCs w:val="20"/>
                <w:color w:val="auto"/>
              </w:rPr>
            </w:pPr>
            <w:r>
              <w:rPr>
                <w:rFonts w:ascii="Arial" w:cs="Arial" w:eastAsia="Arial" w:hAnsi="Arial"/>
                <w:sz w:val="14"/>
                <w:szCs w:val="14"/>
                <w:b w:val="1"/>
                <w:bCs w:val="1"/>
                <w:color w:val="auto"/>
              </w:rPr>
              <w:t>Net interest margin after</w:t>
            </w: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8"/>
        </w:trPr>
        <w:tc>
          <w:tcPr>
            <w:tcW w:w="2280" w:type="dxa"/>
            <w:vAlign w:val="bottom"/>
            <w:gridSpan w:val="3"/>
          </w:tcPr>
          <w:p>
            <w:pPr>
              <w:spacing w:after="0" w:line="257" w:lineRule="exact"/>
              <w:rPr>
                <w:sz w:val="20"/>
                <w:szCs w:val="20"/>
                <w:color w:val="auto"/>
              </w:rPr>
            </w:pPr>
            <w:r>
              <w:rPr>
                <w:rFonts w:ascii="Arial" w:cs="Arial" w:eastAsia="Arial" w:hAnsi="Arial"/>
                <w:sz w:val="14"/>
                <w:szCs w:val="14"/>
                <w:b w:val="1"/>
                <w:bCs w:val="1"/>
                <w:color w:val="auto"/>
              </w:rPr>
              <w:t xml:space="preserve">provisions </w:t>
            </w:r>
            <w:r>
              <w:rPr>
                <w:rFonts w:ascii="Arial" w:cs="Arial" w:eastAsia="Arial" w:hAnsi="Arial"/>
                <w:sz w:val="23"/>
                <w:szCs w:val="23"/>
                <w:b w:val="1"/>
                <w:bCs w:val="1"/>
                <w:color w:val="auto"/>
                <w:vertAlign w:val="superscript"/>
              </w:rPr>
              <w:t>(2)</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4.21%</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4.19%</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4.14%</w:t>
            </w:r>
          </w:p>
        </w:tc>
        <w:tc>
          <w:tcPr>
            <w:tcW w:w="138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-5 bps</w:t>
            </w:r>
          </w:p>
        </w:tc>
        <w:tc>
          <w:tcPr>
            <w:tcW w:w="90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-7 bps</w:t>
            </w:r>
          </w:p>
        </w:tc>
        <w:tc>
          <w:tcPr>
            <w:tcW w:w="11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4.16%</w:t>
            </w:r>
          </w:p>
        </w:tc>
        <w:tc>
          <w:tcPr>
            <w:tcW w:w="100" w:type="dxa"/>
            <w:vAlign w:val="bottom"/>
          </w:tcPr>
          <w:p>
            <w:pPr>
              <w:spacing w:after="0"/>
              <w:rPr>
                <w:sz w:val="22"/>
                <w:szCs w:val="22"/>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4.19%</w:t>
            </w:r>
          </w:p>
        </w:tc>
        <w:tc>
          <w:tcPr>
            <w:tcW w:w="106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+3 bps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1445895</wp:posOffset>
            </wp:positionH>
            <wp:positionV relativeFrom="paragraph">
              <wp:posOffset>-8890</wp:posOffset>
            </wp:positionV>
            <wp:extent cx="571119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11190" cy="8890"/>
                    </a:xfrm>
                    <a:prstGeom prst="rect">
                      <a:avLst/>
                    </a:prstGeom>
                    <a:noFill/>
                  </pic:spPr>
                </pic:pic>
              </a:graphicData>
            </a:graphic>
          </wp:anchor>
        </w:drawing>
      </w:r>
    </w:p>
    <w:p>
      <w:pPr>
        <w:ind w:left="260" w:hanging="252"/>
        <w:spacing w:after="0"/>
        <w:tabs>
          <w:tab w:leader="none" w:pos="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Annualized.</w:t>
      </w:r>
    </w:p>
    <w:p>
      <w:pPr>
        <w:spacing w:after="0" w:line="7" w:lineRule="exact"/>
        <w:rPr>
          <w:rFonts w:ascii="Arial" w:cs="Arial" w:eastAsia="Arial" w:hAnsi="Arial"/>
          <w:sz w:val="18"/>
          <w:szCs w:val="18"/>
          <w:color w:val="auto"/>
        </w:rPr>
      </w:pPr>
    </w:p>
    <w:p>
      <w:pPr>
        <w:ind w:left="260" w:hanging="252"/>
        <w:spacing w:after="0"/>
        <w:tabs>
          <w:tab w:leader="none" w:pos="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3Q15's figure differs from previously reported; consider the data on this report.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4.1 Interest Income</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Interest income increased +6.0% QoQ. This was primarily due to higher income on </w:t>
      </w:r>
      <w:r>
        <w:rPr>
          <w:rFonts w:ascii="Arial" w:cs="Arial" w:eastAsia="Arial" w:hAnsi="Arial"/>
          <w:sz w:val="18"/>
          <w:szCs w:val="18"/>
          <w:b w:val="1"/>
          <w:bCs w:val="1"/>
          <w:color w:val="auto"/>
        </w:rPr>
        <w:t>Interest on Loans</w:t>
      </w:r>
      <w:r>
        <w:rPr>
          <w:rFonts w:ascii="Arial" w:cs="Arial" w:eastAsia="Arial" w:hAnsi="Arial"/>
          <w:sz w:val="18"/>
          <w:szCs w:val="18"/>
          <w:color w:val="auto"/>
        </w:rPr>
        <w:t xml:space="preserve"> (+6.0% QoQ), mainly in BCP Stand-alone, followed by an increase in income from </w:t>
      </w:r>
      <w:r>
        <w:rPr>
          <w:rFonts w:ascii="Arial" w:cs="Arial" w:eastAsia="Arial" w:hAnsi="Arial"/>
          <w:sz w:val="18"/>
          <w:szCs w:val="18"/>
          <w:b w:val="1"/>
          <w:bCs w:val="1"/>
          <w:color w:val="auto"/>
        </w:rPr>
        <w:t>Interest on Trading Securities</w:t>
      </w:r>
      <w:r>
        <w:rPr>
          <w:rFonts w:ascii="Arial" w:cs="Arial" w:eastAsia="Arial" w:hAnsi="Arial"/>
          <w:sz w:val="18"/>
          <w:szCs w:val="18"/>
          <w:color w:val="auto"/>
        </w:rPr>
        <w:t xml:space="preserve"> (+10.7% QoQ).</w:t>
      </w:r>
    </w:p>
    <w:p>
      <w:pPr>
        <w:spacing w:after="0" w:line="16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Growth in income from </w:t>
      </w:r>
      <w:r>
        <w:rPr>
          <w:rFonts w:ascii="Arial" w:cs="Arial" w:eastAsia="Arial" w:hAnsi="Arial"/>
          <w:sz w:val="18"/>
          <w:szCs w:val="18"/>
          <w:b w:val="1"/>
          <w:bCs w:val="1"/>
          <w:color w:val="auto"/>
        </w:rPr>
        <w:t>Interest on Loans</w:t>
      </w:r>
      <w:r>
        <w:rPr>
          <w:rFonts w:ascii="Arial" w:cs="Arial" w:eastAsia="Arial" w:hAnsi="Arial"/>
          <w:sz w:val="18"/>
          <w:szCs w:val="18"/>
          <w:color w:val="auto"/>
        </w:rPr>
        <w:t xml:space="preserve"> was attributable to the +4.8% expansion QoQ in total loans measured in average daily balances, which was associated with expansion in BCP </w:t>
      </w:r>
      <w:r>
        <w:rPr>
          <w:rFonts w:ascii="Arial" w:cs="Arial" w:eastAsia="Arial" w:hAnsi="Arial"/>
          <w:sz w:val="18"/>
          <w:szCs w:val="18"/>
          <w:b w:val="1"/>
          <w:bCs w:val="1"/>
          <w:color w:val="auto"/>
        </w:rPr>
        <w:t>Stand-alone’s</w:t>
      </w:r>
      <w:r>
        <w:rPr>
          <w:rFonts w:ascii="Arial" w:cs="Arial" w:eastAsia="Arial" w:hAnsi="Arial"/>
          <w:sz w:val="18"/>
          <w:szCs w:val="18"/>
          <w:color w:val="auto"/>
        </w:rPr>
        <w:t xml:space="preserve"> portfolio. Expansion in the latter was due primarily to growth in Corporate Banking (+5.2% QoQ) and Middle Market (+3.7% QoQ), which was attributable to more financing for working capital and medium-term loans, primarily in LC. It is important to note that income from loans at </w:t>
      </w:r>
      <w:r>
        <w:rPr>
          <w:rFonts w:ascii="Arial" w:cs="Arial" w:eastAsia="Arial" w:hAnsi="Arial"/>
          <w:sz w:val="18"/>
          <w:szCs w:val="18"/>
          <w:b w:val="1"/>
          <w:bCs w:val="1"/>
          <w:color w:val="auto"/>
        </w:rPr>
        <w:t>BCP Bolivia</w:t>
      </w:r>
      <w:r>
        <w:rPr>
          <w:rFonts w:ascii="Arial" w:cs="Arial" w:eastAsia="Arial" w:hAnsi="Arial"/>
          <w:sz w:val="18"/>
          <w:szCs w:val="18"/>
          <w:color w:val="auto"/>
        </w:rPr>
        <w:t xml:space="preserve"> increased due to +10.6% growth in its portfolio as measured in average daily balances. This was attributable to growth in its Retail Banking portfolio, as discussed in the section: Credicorp Loan Portfolio.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In the YoY analysis, interest income grew +17.0%, mainly at BCP Stand-alone, due to:</w:t>
      </w:r>
    </w:p>
    <w:p>
      <w:pPr>
        <w:spacing w:after="0" w:line="225" w:lineRule="exact"/>
        <w:rPr>
          <w:sz w:val="20"/>
          <w:szCs w:val="20"/>
          <w:color w:val="auto"/>
        </w:rPr>
      </w:pPr>
    </w:p>
    <w:p>
      <w:pPr>
        <w:ind w:left="660" w:hanging="652"/>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Higher interest income on loans (+12.3%) due to +16.8% growth YoY in average daily loan balances at Credicorp, which was attributable to expansion in Wholesale Banking loans (+19.7%) and in the mortgage segment (+11.1%);</w:t>
      </w:r>
    </w:p>
    <w:p>
      <w:pPr>
        <w:spacing w:after="0" w:line="17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increase in Other interest Income which was associated with more investment in exchange swaps with BCRP, which are used mainly by BCP. This was aligned with BCRP’s monetary policy to reduce the excessive volatility that may affect the exchange rate; and</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Higher income from interest on securities (+29.5%).</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3" w:name="page34"/>
    <w:bookmarkEnd w:id="33"/>
    <w:p>
      <w:pPr>
        <w:jc w:val="both"/>
        <w:spacing w:after="0" w:line="347" w:lineRule="auto"/>
        <w:rPr>
          <w:sz w:val="20"/>
          <w:szCs w:val="20"/>
          <w:color w:val="auto"/>
        </w:rPr>
      </w:pPr>
      <w:r>
        <w:rPr>
          <w:rFonts w:ascii="Arial" w:cs="Arial" w:eastAsia="Arial" w:hAnsi="Arial"/>
          <w:sz w:val="16"/>
          <w:szCs w:val="16"/>
          <w:color w:val="auto"/>
        </w:rPr>
        <w:t xml:space="preserve">The aforementioned offset the -26.7% YoY drop in income for </w:t>
      </w:r>
      <w:r>
        <w:rPr>
          <w:rFonts w:ascii="Arial" w:cs="Arial" w:eastAsia="Arial" w:hAnsi="Arial"/>
          <w:sz w:val="16"/>
          <w:szCs w:val="16"/>
          <w:b w:val="1"/>
          <w:bCs w:val="1"/>
          <w:color w:val="auto"/>
        </w:rPr>
        <w:t>Interest on Deposits with Banks</w:t>
      </w:r>
      <w:r>
        <w:rPr>
          <w:rFonts w:ascii="Arial" w:cs="Arial" w:eastAsia="Arial" w:hAnsi="Arial"/>
          <w:sz w:val="16"/>
          <w:szCs w:val="16"/>
          <w:color w:val="auto"/>
        </w:rPr>
        <w:t>. This was associated with a decrease in the deposit level in Nuevos Soles in BCRP, which was attributable to a reduction in legal reserve requirements (LC December 2014: 9.5% vs. LC December 2015: 6.5%).</w:t>
      </w:r>
    </w:p>
    <w:p>
      <w:pPr>
        <w:spacing w:after="0" w:line="1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accumulated terms, growth of +16.8% in interest income was mainly the result of higher interest income on loans (+13.5%), which represented 72% of the increase. The remaining 28% was due to growth in other income and income for interest on trading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4.2 Interest Expenses</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Interest expenses increased +6.7% QoQ, primarily at BCP Stand-alone and Mibanco. This was due mainly to higher expenses for </w:t>
      </w:r>
      <w:r>
        <w:rPr>
          <w:rFonts w:ascii="Arial" w:cs="Arial" w:eastAsia="Arial" w:hAnsi="Arial"/>
          <w:sz w:val="18"/>
          <w:szCs w:val="18"/>
          <w:b w:val="1"/>
          <w:bCs w:val="1"/>
          <w:color w:val="auto"/>
        </w:rPr>
        <w:t>Interest on Deposits</w:t>
      </w:r>
      <w:r>
        <w:rPr>
          <w:rFonts w:ascii="Arial" w:cs="Arial" w:eastAsia="Arial" w:hAnsi="Arial"/>
          <w:sz w:val="18"/>
          <w:szCs w:val="18"/>
          <w:color w:val="auto"/>
        </w:rPr>
        <w:t xml:space="preserve"> (+13.5% QoQ), which was in turn attributable to growth in deposits. It is important to note that although the increase in period-end balances was due primarily to savings deposits and to non-interest bearing deposits, time deposits expanded in terms of average daily balances due to a number of deposits in Private Banking in BCP Stand-alone, which entered at the end of September and remained in the portfolio until December. In the case of Mibanco, time deposits expanded due to placement campaigns rolled out at year-end.</w:t>
      </w:r>
    </w:p>
    <w:p>
      <w:pPr>
        <w:spacing w:after="0" w:line="184" w:lineRule="exact"/>
        <w:rPr>
          <w:sz w:val="20"/>
          <w:szCs w:val="20"/>
          <w:color w:val="auto"/>
        </w:rPr>
      </w:pPr>
    </w:p>
    <w:p>
      <w:pPr>
        <w:jc w:val="both"/>
        <w:spacing w:after="0" w:line="313" w:lineRule="auto"/>
        <w:rPr>
          <w:sz w:val="20"/>
          <w:szCs w:val="20"/>
          <w:color w:val="auto"/>
        </w:rPr>
      </w:pPr>
      <w:r>
        <w:rPr>
          <w:rFonts w:ascii="Arial" w:cs="Arial" w:eastAsia="Arial" w:hAnsi="Arial"/>
          <w:sz w:val="17"/>
          <w:szCs w:val="17"/>
          <w:color w:val="auto"/>
        </w:rPr>
        <w:t xml:space="preserve">Interest expense on </w:t>
      </w:r>
      <w:r>
        <w:rPr>
          <w:rFonts w:ascii="Arial" w:cs="Arial" w:eastAsia="Arial" w:hAnsi="Arial"/>
          <w:sz w:val="17"/>
          <w:szCs w:val="17"/>
          <w:b w:val="1"/>
          <w:bCs w:val="1"/>
          <w:color w:val="auto"/>
        </w:rPr>
        <w:t>bonds and subordinated notes</w:t>
      </w:r>
      <w:r>
        <w:rPr>
          <w:rFonts w:ascii="Arial" w:cs="Arial" w:eastAsia="Arial" w:hAnsi="Arial"/>
          <w:sz w:val="17"/>
          <w:szCs w:val="17"/>
          <w:color w:val="auto"/>
        </w:rPr>
        <w:t xml:space="preserve"> increased +4.9% QoQ, which was attributable to the appreciation of the US Dollar (+5.87% QoQ) given that the majority of these instruments are denominated in Dollars and provisions for interest on bonds are set aside in this currency.</w:t>
      </w:r>
    </w:p>
    <w:p>
      <w:pPr>
        <w:spacing w:after="0" w:line="13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In the YoY analysis interest expenses increased +21.6%, which was primarily due to higher expenses for </w:t>
      </w:r>
      <w:r>
        <w:rPr>
          <w:rFonts w:ascii="Arial" w:cs="Arial" w:eastAsia="Arial" w:hAnsi="Arial"/>
          <w:sz w:val="18"/>
          <w:szCs w:val="18"/>
          <w:b w:val="1"/>
          <w:bCs w:val="1"/>
          <w:color w:val="auto"/>
        </w:rPr>
        <w:t>Interest on Loans</w:t>
      </w:r>
      <w:r>
        <w:rPr>
          <w:rFonts w:ascii="Arial" w:cs="Arial" w:eastAsia="Arial" w:hAnsi="Arial"/>
          <w:sz w:val="18"/>
          <w:szCs w:val="18"/>
          <w:color w:val="auto"/>
        </w:rPr>
        <w:t xml:space="preserve"> (+72.1% YoY) due to the use of BCRP Instruments in 2015, mainly at BCP and Mibanco. Higher interest expenses on bonds and subordinated notes (+9.6%), due to an appreciation in the US Dollar, also contributed to expansion in interest expenses during this period.</w:t>
      </w:r>
    </w:p>
    <w:p>
      <w:pPr>
        <w:spacing w:after="0" w:line="1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accumulated terms, interest expenses grew +17.9% in 2015 with regard to the figure posted in 2014. This was due primarily to (i) higher interest expenses for loans (+76.9%), which was attributable to BCRP Instruments, primarily at BCP and Mibanco, and; (ii) higher interest expenses for bonds and subordinated notes (+5.6%) due to the US Dollar’s appreciation.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4.3 Net Interest Margin (NIM)</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Credicorp’s NIM vs. Adjusted NIM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142875</wp:posOffset>
            </wp:positionV>
            <wp:extent cx="6500495" cy="23495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500495" cy="2349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*Adjusted NIM = (Net interest margin)*4 / [Average (Interest earning assets – Restricted-deposits related to BCRP instruments)]</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4" w:name="page35"/>
    <w:bookmarkEnd w:id="34"/>
    <w:p>
      <w:pPr>
        <w:jc w:val="both"/>
        <w:spacing w:after="0" w:line="258" w:lineRule="auto"/>
        <w:rPr>
          <w:sz w:val="20"/>
          <w:szCs w:val="20"/>
          <w:color w:val="auto"/>
        </w:rPr>
      </w:pPr>
      <w:r>
        <w:rPr>
          <w:rFonts w:ascii="Arial" w:cs="Arial" w:eastAsia="Arial" w:hAnsi="Arial"/>
          <w:sz w:val="18"/>
          <w:szCs w:val="18"/>
          <w:color w:val="auto"/>
        </w:rPr>
        <w:t xml:space="preserve">In the QoQ analysis, </w:t>
      </w:r>
      <w:r>
        <w:rPr>
          <w:rFonts w:ascii="Arial" w:cs="Arial" w:eastAsia="Arial" w:hAnsi="Arial"/>
          <w:sz w:val="18"/>
          <w:szCs w:val="18"/>
          <w:b w:val="1"/>
          <w:bCs w:val="1"/>
          <w:color w:val="auto"/>
        </w:rPr>
        <w:t>NIM</w:t>
      </w:r>
      <w:r>
        <w:rPr>
          <w:rFonts w:ascii="Arial" w:cs="Arial" w:eastAsia="Arial" w:hAnsi="Arial"/>
          <w:sz w:val="18"/>
          <w:szCs w:val="18"/>
          <w:color w:val="auto"/>
        </w:rPr>
        <w:t xml:space="preserve"> increased +6 bps QoQ and situated at 5.55%, which topped the 5.49% reported in 3Q15. This result was attributable to the fact that growth in NII outpaced expansion in IEAs. The </w:t>
      </w:r>
      <w:r>
        <w:rPr>
          <w:rFonts w:ascii="Arial" w:cs="Arial" w:eastAsia="Arial" w:hAnsi="Arial"/>
          <w:sz w:val="18"/>
          <w:szCs w:val="18"/>
          <w:b w:val="1"/>
          <w:bCs w:val="1"/>
          <w:color w:val="auto"/>
        </w:rPr>
        <w:t>adjusted NIM</w:t>
      </w:r>
      <w:r>
        <w:rPr>
          <w:rFonts w:ascii="Arial" w:cs="Arial" w:eastAsia="Arial" w:hAnsi="Arial"/>
          <w:sz w:val="18"/>
          <w:szCs w:val="18"/>
          <w:color w:val="auto"/>
        </w:rPr>
        <w:t xml:space="preserve"> grew +5bps, 1 bps less than NIM growth due to i) a decrease in the balance of BCRP instruments following maturities and ii) a decrease in the supply of said instruments due to higher levels of liquidity in Soles. The </w:t>
      </w:r>
      <w:r>
        <w:rPr>
          <w:rFonts w:ascii="Arial" w:cs="Arial" w:eastAsia="Arial" w:hAnsi="Arial"/>
          <w:sz w:val="18"/>
          <w:szCs w:val="18"/>
          <w:b w:val="1"/>
          <w:bCs w:val="1"/>
          <w:color w:val="auto"/>
        </w:rPr>
        <w:t>NIM on loans</w:t>
      </w:r>
      <w:r>
        <w:rPr>
          <w:rFonts w:ascii="Arial" w:cs="Arial" w:eastAsia="Arial" w:hAnsi="Arial"/>
          <w:sz w:val="18"/>
          <w:szCs w:val="18"/>
          <w:color w:val="auto"/>
        </w:rPr>
        <w:t xml:space="preserve"> increased +16 bps, which was attributable to higher growth in the loan margin in 4Q15 in comparison to average loan growth. Nevertheless, </w:t>
      </w:r>
      <w:r>
        <w:rPr>
          <w:rFonts w:ascii="Arial" w:cs="Arial" w:eastAsia="Arial" w:hAnsi="Arial"/>
          <w:sz w:val="18"/>
          <w:szCs w:val="18"/>
          <w:b w:val="1"/>
          <w:bCs w:val="1"/>
          <w:color w:val="auto"/>
        </w:rPr>
        <w:t>NIM after provisions</w:t>
      </w:r>
      <w:r>
        <w:rPr>
          <w:rFonts w:ascii="Arial" w:cs="Arial" w:eastAsia="Arial" w:hAnsi="Arial"/>
          <w:sz w:val="18"/>
          <w:szCs w:val="18"/>
          <w:color w:val="auto"/>
        </w:rPr>
        <w:t xml:space="preserve"> reported a decrease of -5 bps QoQ, which reflects a slight increase in Credicorp’s cost of risk.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the YoY analysis, </w:t>
      </w:r>
      <w:r>
        <w:rPr>
          <w:rFonts w:ascii="Arial" w:cs="Arial" w:eastAsia="Arial" w:hAnsi="Arial"/>
          <w:sz w:val="18"/>
          <w:szCs w:val="18"/>
          <w:b w:val="1"/>
          <w:bCs w:val="1"/>
          <w:color w:val="auto"/>
        </w:rPr>
        <w:t>NIM</w:t>
      </w:r>
      <w:r>
        <w:rPr>
          <w:rFonts w:ascii="Arial" w:cs="Arial" w:eastAsia="Arial" w:hAnsi="Arial"/>
          <w:sz w:val="18"/>
          <w:szCs w:val="18"/>
          <w:color w:val="auto"/>
        </w:rPr>
        <w:t xml:space="preserve"> fell -11bps YoY and was situated at 5.55% at the end of 4Q15. The aforementioned was due to:</w:t>
      </w:r>
    </w:p>
    <w:p>
      <w:pPr>
        <w:spacing w:after="0" w:line="229" w:lineRule="exact"/>
        <w:rPr>
          <w:sz w:val="20"/>
          <w:szCs w:val="20"/>
          <w:color w:val="auto"/>
        </w:rPr>
      </w:pPr>
    </w:p>
    <w:p>
      <w:pPr>
        <w:ind w:left="760" w:hanging="509"/>
        <w:spacing w:after="0"/>
        <w:tabs>
          <w:tab w:leader="none" w:pos="7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More use of BCRP instruments, which require restricted deposits that “inflated” IEAs;</w:t>
      </w:r>
    </w:p>
    <w:p>
      <w:pPr>
        <w:spacing w:after="0" w:line="225" w:lineRule="exact"/>
        <w:rPr>
          <w:rFonts w:ascii="Arial" w:cs="Arial" w:eastAsia="Arial" w:hAnsi="Arial"/>
          <w:sz w:val="18"/>
          <w:szCs w:val="18"/>
          <w:color w:val="auto"/>
        </w:rPr>
      </w:pPr>
    </w:p>
    <w:p>
      <w:pPr>
        <w:ind w:left="760" w:hanging="509"/>
        <w:spacing w:after="0"/>
        <w:tabs>
          <w:tab w:leader="none" w:pos="7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Higher loan expansion in lower margin segments such as Wholesale Banking and Mortgage; and</w:t>
      </w:r>
    </w:p>
    <w:p>
      <w:pPr>
        <w:spacing w:after="0" w:line="225" w:lineRule="exact"/>
        <w:rPr>
          <w:rFonts w:ascii="Arial" w:cs="Arial" w:eastAsia="Arial" w:hAnsi="Arial"/>
          <w:sz w:val="18"/>
          <w:szCs w:val="18"/>
          <w:color w:val="auto"/>
        </w:rPr>
      </w:pPr>
    </w:p>
    <w:p>
      <w:pPr>
        <w:ind w:left="760" w:hanging="509"/>
        <w:spacing w:after="0"/>
        <w:tabs>
          <w:tab w:leader="none" w:pos="7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slight increase in the funding cost.</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xml:space="preserve">It is important to mention that the first element had a material effect on the reduction in NIM YoY. In this context, although NIM fell -11 bps YoY, the </w:t>
      </w:r>
      <w:r>
        <w:rPr>
          <w:rFonts w:ascii="Arial" w:cs="Arial" w:eastAsia="Arial" w:hAnsi="Arial"/>
          <w:sz w:val="16"/>
          <w:szCs w:val="16"/>
          <w:b w:val="1"/>
          <w:bCs w:val="1"/>
          <w:color w:val="auto"/>
        </w:rPr>
        <w:t xml:space="preserve">adjusted NIM, </w:t>
      </w:r>
      <w:r>
        <w:rPr>
          <w:rFonts w:ascii="Arial" w:cs="Arial" w:eastAsia="Arial" w:hAnsi="Arial"/>
          <w:sz w:val="16"/>
          <w:szCs w:val="16"/>
          <w:color w:val="auto"/>
        </w:rPr>
        <w:t>which eliminates the restricted deposits required for repo transactions with BCRP from the total of interest earning assets, grew +21 bps YoY.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Credicorp’s NIM</w:t>
      </w:r>
      <w:r>
        <w:rPr>
          <w:rFonts w:ascii="Arial" w:cs="Arial" w:eastAsia="Arial" w:hAnsi="Arial"/>
          <w:sz w:val="30"/>
          <w:szCs w:val="30"/>
          <w:b w:val="1"/>
          <w:bCs w:val="1"/>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90170</wp:posOffset>
            </wp:positionV>
            <wp:extent cx="5746115" cy="10636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46115" cy="1063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NIM on loans </w:t>
      </w:r>
      <w:r>
        <w:rPr>
          <w:rFonts w:ascii="Arial" w:cs="Arial" w:eastAsia="Arial" w:hAnsi="Arial"/>
          <w:sz w:val="18"/>
          <w:szCs w:val="18"/>
          <w:color w:val="auto"/>
        </w:rPr>
        <w:t>dropped -27 bps YoY due to higher growth in average loans vs expansion in the margin. This was due to the fact that the loan mix was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changed in 2015 to favor less profitable segments. </w:t>
      </w:r>
      <w:r>
        <w:rPr>
          <w:rFonts w:ascii="Arial" w:cs="Arial" w:eastAsia="Arial" w:hAnsi="Arial"/>
          <w:sz w:val="18"/>
          <w:szCs w:val="18"/>
          <w:b w:val="1"/>
          <w:bCs w:val="1"/>
          <w:color w:val="auto"/>
        </w:rPr>
        <w:t>NIM after provisions</w:t>
      </w:r>
      <w:r>
        <w:rPr>
          <w:rFonts w:ascii="Arial" w:cs="Arial" w:eastAsia="Arial" w:hAnsi="Arial"/>
          <w:sz w:val="18"/>
          <w:szCs w:val="18"/>
          <w:color w:val="auto"/>
        </w:rPr>
        <w:t xml:space="preserve"> reported a drop of -7 bps YoY due to lower growth in NII after provisions, which was attributable to a higher cost of risk.</w:t>
      </w:r>
    </w:p>
    <w:p>
      <w:pPr>
        <w:spacing w:after="0" w:line="176"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 xml:space="preserve">In accumulated terms, </w:t>
      </w:r>
      <w:r>
        <w:rPr>
          <w:rFonts w:ascii="Arial" w:cs="Arial" w:eastAsia="Arial" w:hAnsi="Arial"/>
          <w:sz w:val="17"/>
          <w:szCs w:val="17"/>
          <w:b w:val="1"/>
          <w:bCs w:val="1"/>
          <w:color w:val="auto"/>
        </w:rPr>
        <w:t>NIM</w:t>
      </w:r>
      <w:r>
        <w:rPr>
          <w:rFonts w:ascii="Arial" w:cs="Arial" w:eastAsia="Arial" w:hAnsi="Arial"/>
          <w:sz w:val="17"/>
          <w:szCs w:val="17"/>
          <w:color w:val="auto"/>
        </w:rPr>
        <w:t xml:space="preserve"> fell -8 bps in 2015 in comparison to the figure posted in 2014. This was due to more use of BCRP instruments, which require restricted deposits that “inflate” IEAs. In this context, </w:t>
      </w:r>
      <w:r>
        <w:rPr>
          <w:rFonts w:ascii="Arial" w:cs="Arial" w:eastAsia="Arial" w:hAnsi="Arial"/>
          <w:sz w:val="17"/>
          <w:szCs w:val="17"/>
          <w:b w:val="1"/>
          <w:bCs w:val="1"/>
          <w:color w:val="auto"/>
        </w:rPr>
        <w:t>the Adjusted NIM</w:t>
      </w:r>
      <w:r>
        <w:rPr>
          <w:rFonts w:ascii="Arial" w:cs="Arial" w:eastAsia="Arial" w:hAnsi="Arial"/>
          <w:sz w:val="17"/>
          <w:szCs w:val="17"/>
          <w:color w:val="auto"/>
        </w:rPr>
        <w:t xml:space="preserve"> grew +14 bps. The </w:t>
      </w:r>
      <w:r>
        <w:rPr>
          <w:rFonts w:ascii="Arial" w:cs="Arial" w:eastAsia="Arial" w:hAnsi="Arial"/>
          <w:sz w:val="17"/>
          <w:szCs w:val="17"/>
          <w:b w:val="1"/>
          <w:bCs w:val="1"/>
          <w:color w:val="auto"/>
        </w:rPr>
        <w:t>NIM on loans</w:t>
      </w:r>
      <w:r>
        <w:rPr>
          <w:rFonts w:ascii="Arial" w:cs="Arial" w:eastAsia="Arial" w:hAnsi="Arial"/>
          <w:sz w:val="17"/>
          <w:szCs w:val="17"/>
          <w:color w:val="auto"/>
        </w:rPr>
        <w:t xml:space="preserve"> fell -41 bps in 2015 vs 2014. This was due mainly to higher loan growth in segments with lower margins, such as Wholesale Banking (both Corporate and Middle Market). Nevertheless, </w:t>
      </w:r>
      <w:r>
        <w:rPr>
          <w:rFonts w:ascii="Arial" w:cs="Arial" w:eastAsia="Arial" w:hAnsi="Arial"/>
          <w:sz w:val="17"/>
          <w:szCs w:val="17"/>
          <w:b w:val="1"/>
          <w:bCs w:val="1"/>
          <w:color w:val="auto"/>
        </w:rPr>
        <w:t>NIM after</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provisions </w:t>
      </w:r>
      <w:r>
        <w:rPr>
          <w:rFonts w:ascii="Arial" w:cs="Arial" w:eastAsia="Arial" w:hAnsi="Arial"/>
          <w:sz w:val="17"/>
          <w:szCs w:val="17"/>
          <w:color w:val="auto"/>
        </w:rPr>
        <w:t>increased 3bps, which reflects the improvement posted in Credicorp’s cost of risk in accumulated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180975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10" w:lineRule="exact"/>
        <w:rPr>
          <w:sz w:val="20"/>
          <w:szCs w:val="20"/>
          <w:color w:val="auto"/>
        </w:rPr>
      </w:pPr>
    </w:p>
    <w:p>
      <w:pPr>
        <w:ind w:left="120" w:hanging="112"/>
        <w:spacing w:after="0"/>
        <w:tabs>
          <w:tab w:leader="none" w:pos="120" w:val="left"/>
        </w:tabs>
        <w:numPr>
          <w:ilvl w:val="0"/>
          <w:numId w:val="44"/>
        </w:numPr>
        <w:rPr>
          <w:rFonts w:ascii="Arial" w:cs="Arial" w:eastAsia="Arial" w:hAnsi="Arial"/>
          <w:sz w:val="30"/>
          <w:szCs w:val="30"/>
          <w:color w:val="auto"/>
          <w:vertAlign w:val="superscript"/>
        </w:rPr>
      </w:pPr>
      <w:r>
        <w:rPr>
          <w:rFonts w:ascii="Arial" w:cs="Arial" w:eastAsia="Arial" w:hAnsi="Arial"/>
          <w:sz w:val="18"/>
          <w:szCs w:val="18"/>
          <w:color w:val="auto"/>
        </w:rPr>
        <w:t>NIM on loans is calculated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0</wp:posOffset>
            </wp:positionV>
            <wp:extent cx="4356735" cy="2057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356735" cy="205740"/>
                    </a:xfrm>
                    <a:prstGeom prst="rect">
                      <a:avLst/>
                    </a:prstGeom>
                    <a:noFill/>
                  </pic:spPr>
                </pic:pic>
              </a:graphicData>
            </a:graphic>
          </wp:anchor>
        </w:drawing>
      </w:r>
    </w:p>
    <w:p>
      <w:pPr>
        <w:spacing w:after="0" w:line="3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share of loans within total earning assets is calculated by dividing the average of the beginning and closing balances of total loans for the reporting period, by the average of the beginning and closing balances of the interest earning assets for the reporting period.</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It is also important to analyze NIM by subsidiary. The table below contains the interest margins for each of Credicorp’s main subsidiaries:</w:t>
      </w:r>
    </w:p>
    <w:p>
      <w:pPr>
        <w:spacing w:after="0" w:line="151" w:lineRule="exact"/>
        <w:rPr>
          <w:sz w:val="20"/>
          <w:szCs w:val="20"/>
          <w:color w:val="auto"/>
        </w:rPr>
      </w:pPr>
    </w:p>
    <w:tbl>
      <w:tblPr>
        <w:tblLayout w:type="fixed"/>
        <w:tblInd w:w="300" w:type="dxa"/>
        <w:tblCellMar>
          <w:top w:w="0" w:type="dxa"/>
          <w:left w:w="0" w:type="dxa"/>
          <w:bottom w:w="0" w:type="dxa"/>
          <w:right w:w="0" w:type="dxa"/>
        </w:tblCellMar>
      </w:tblPr>
      <w:tr>
        <w:trPr>
          <w:trHeight w:val="345"/>
        </w:trPr>
        <w:tc>
          <w:tcPr>
            <w:tcW w:w="3580" w:type="dxa"/>
            <w:vAlign w:val="bottom"/>
          </w:tcPr>
          <w:p>
            <w:pPr>
              <w:spacing w:after="0"/>
              <w:rPr>
                <w:sz w:val="20"/>
                <w:szCs w:val="20"/>
                <w:color w:val="auto"/>
              </w:rPr>
            </w:pPr>
            <w:r>
              <w:rPr>
                <w:rFonts w:ascii="Arial" w:cs="Arial" w:eastAsia="Arial" w:hAnsi="Arial"/>
                <w:sz w:val="18"/>
                <w:szCs w:val="18"/>
                <w:b w:val="1"/>
                <w:bCs w:val="1"/>
                <w:color w:val="auto"/>
              </w:rPr>
              <w:t>NIM Breakdown</w:t>
            </w:r>
          </w:p>
        </w:tc>
        <w:tc>
          <w:tcPr>
            <w:tcW w:w="1620" w:type="dxa"/>
            <w:vAlign w:val="bottom"/>
            <w:gridSpan w:val="3"/>
          </w:tcPr>
          <w:p>
            <w:pPr>
              <w:jc w:val="right"/>
              <w:ind w:right="280"/>
              <w:spacing w:after="0"/>
              <w:rPr>
                <w:sz w:val="20"/>
                <w:szCs w:val="20"/>
                <w:color w:val="auto"/>
              </w:rPr>
            </w:pPr>
            <w:r>
              <w:rPr>
                <w:rFonts w:ascii="Arial" w:cs="Arial" w:eastAsia="Arial" w:hAnsi="Arial"/>
                <w:sz w:val="18"/>
                <w:szCs w:val="18"/>
                <w:color w:val="auto"/>
                <w:w w:val="94"/>
              </w:rPr>
              <w:t>BCP Stand-alone</w:t>
            </w: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Mibanco</w:t>
            </w:r>
          </w:p>
        </w:tc>
        <w:tc>
          <w:tcPr>
            <w:tcW w:w="1440" w:type="dxa"/>
            <w:vAlign w:val="bottom"/>
            <w:gridSpan w:val="2"/>
          </w:tcPr>
          <w:p>
            <w:pPr>
              <w:jc w:val="right"/>
              <w:ind w:right="400"/>
              <w:spacing w:after="0"/>
              <w:rPr>
                <w:sz w:val="20"/>
                <w:szCs w:val="20"/>
                <w:color w:val="auto"/>
              </w:rPr>
            </w:pPr>
            <w:r>
              <w:rPr>
                <w:rFonts w:ascii="Arial" w:cs="Arial" w:eastAsia="Arial" w:hAnsi="Arial"/>
                <w:sz w:val="18"/>
                <w:szCs w:val="18"/>
                <w:color w:val="auto"/>
              </w:rPr>
              <w:t>BCP Bolivia</w:t>
            </w:r>
          </w:p>
        </w:tc>
        <w:tc>
          <w:tcPr>
            <w:tcW w:w="1420" w:type="dxa"/>
            <w:vAlign w:val="bottom"/>
            <w:gridSpan w:val="2"/>
          </w:tcPr>
          <w:p>
            <w:pPr>
              <w:jc w:val="right"/>
              <w:ind w:right="680"/>
              <w:spacing w:after="0"/>
              <w:rPr>
                <w:sz w:val="20"/>
                <w:szCs w:val="20"/>
                <w:color w:val="auto"/>
              </w:rPr>
            </w:pPr>
            <w:r>
              <w:rPr>
                <w:rFonts w:ascii="Arial" w:cs="Arial" w:eastAsia="Arial" w:hAnsi="Arial"/>
                <w:sz w:val="18"/>
                <w:szCs w:val="18"/>
                <w:color w:val="auto"/>
              </w:rPr>
              <w:t>ASB</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4"/>
              </w:rPr>
              <w:t>Credicorp</w:t>
            </w:r>
            <w:r>
              <w:rPr>
                <w:rFonts w:ascii="Arial" w:cs="Arial" w:eastAsia="Arial" w:hAnsi="Arial"/>
                <w:sz w:val="30"/>
                <w:szCs w:val="30"/>
                <w:b w:val="1"/>
                <w:bCs w:val="1"/>
                <w:color w:val="auto"/>
                <w:w w:val="94"/>
                <w:vertAlign w:val="superscript"/>
              </w:rPr>
              <w:t>(1)</w:t>
            </w:r>
          </w:p>
        </w:tc>
        <w:tc>
          <w:tcPr>
            <w:tcW w:w="0" w:type="dxa"/>
            <w:vAlign w:val="bottom"/>
          </w:tcPr>
          <w:p>
            <w:pPr>
              <w:spacing w:after="0"/>
              <w:rPr>
                <w:sz w:val="1"/>
                <w:szCs w:val="1"/>
                <w:color w:val="auto"/>
              </w:rPr>
            </w:pPr>
          </w:p>
        </w:tc>
      </w:tr>
      <w:tr>
        <w:trPr>
          <w:trHeight w:val="20"/>
        </w:trPr>
        <w:tc>
          <w:tcPr>
            <w:tcW w:w="35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NIM for 4Q14</w:t>
            </w:r>
          </w:p>
        </w:tc>
        <w:tc>
          <w:tcPr>
            <w:tcW w:w="100" w:type="dxa"/>
            <w:vAlign w:val="bottom"/>
            <w:vMerge w:val="continue"/>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4.96%</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14.16%</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4.66%</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2.25%</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5.66%</w:t>
            </w:r>
          </w:p>
        </w:tc>
        <w:tc>
          <w:tcPr>
            <w:tcW w:w="0" w:type="dxa"/>
            <w:vAlign w:val="bottom"/>
          </w:tcPr>
          <w:p>
            <w:pPr>
              <w:spacing w:after="0"/>
              <w:rPr>
                <w:sz w:val="1"/>
                <w:szCs w:val="1"/>
                <w:color w:val="auto"/>
              </w:rPr>
            </w:pPr>
          </w:p>
        </w:tc>
      </w:tr>
      <w:tr>
        <w:trPr>
          <w:trHeight w:val="257"/>
        </w:trPr>
        <w:tc>
          <w:tcPr>
            <w:tcW w:w="3580" w:type="dxa"/>
            <w:vAlign w:val="bottom"/>
          </w:tcPr>
          <w:p>
            <w:pPr>
              <w:spacing w:after="0" w:line="256" w:lineRule="exact"/>
              <w:rPr>
                <w:sz w:val="20"/>
                <w:szCs w:val="20"/>
                <w:color w:val="auto"/>
              </w:rPr>
            </w:pPr>
            <w:r>
              <w:rPr>
                <w:rFonts w:ascii="Arial" w:cs="Arial" w:eastAsia="Arial" w:hAnsi="Arial"/>
                <w:sz w:val="18"/>
                <w:szCs w:val="18"/>
                <w:b w:val="1"/>
                <w:bCs w:val="1"/>
                <w:color w:val="auto"/>
              </w:rPr>
              <w:t xml:space="preserve">NIM for 3Q15 </w:t>
            </w:r>
            <w:r>
              <w:rPr>
                <w:rFonts w:ascii="Arial" w:cs="Arial" w:eastAsia="Arial" w:hAnsi="Arial"/>
                <w:sz w:val="29"/>
                <w:szCs w:val="29"/>
                <w:b w:val="1"/>
                <w:bCs w:val="1"/>
                <w:color w:val="auto"/>
                <w:vertAlign w:val="superscript"/>
              </w:rPr>
              <w:t>(2)</w:t>
            </w:r>
          </w:p>
        </w:tc>
        <w:tc>
          <w:tcPr>
            <w:tcW w:w="1620" w:type="dxa"/>
            <w:vAlign w:val="bottom"/>
            <w:gridSpan w:val="3"/>
          </w:tcPr>
          <w:p>
            <w:pPr>
              <w:jc w:val="right"/>
              <w:ind w:right="140"/>
              <w:spacing w:after="0"/>
              <w:rPr>
                <w:sz w:val="20"/>
                <w:szCs w:val="20"/>
                <w:color w:val="auto"/>
              </w:rPr>
            </w:pPr>
            <w:r>
              <w:rPr>
                <w:rFonts w:ascii="Arial" w:cs="Arial" w:eastAsia="Arial" w:hAnsi="Arial"/>
                <w:sz w:val="18"/>
                <w:szCs w:val="18"/>
                <w:color w:val="auto"/>
              </w:rPr>
              <w:t>4.75%</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14.44%</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4.02%</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2.01%</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5.49%</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NIM for 4Q15</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4.85%</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14.43%</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4.15%</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2.15%</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5.55%</w:t>
            </w:r>
          </w:p>
        </w:tc>
        <w:tc>
          <w:tcPr>
            <w:tcW w:w="0" w:type="dxa"/>
            <w:vAlign w:val="bottom"/>
          </w:tcPr>
          <w:p>
            <w:pPr>
              <w:spacing w:after="0"/>
              <w:rPr>
                <w:sz w:val="1"/>
                <w:szCs w:val="1"/>
                <w:color w:val="auto"/>
              </w:rPr>
            </w:pPr>
          </w:p>
        </w:tc>
      </w:tr>
      <w:tr>
        <w:trPr>
          <w:trHeight w:val="20"/>
        </w:trPr>
        <w:tc>
          <w:tcPr>
            <w:tcW w:w="3580" w:type="dxa"/>
            <w:vAlign w:val="bottom"/>
            <w:vMerge w:val="restart"/>
          </w:tcPr>
          <w:p>
            <w:pPr>
              <w:spacing w:after="0"/>
              <w:rPr>
                <w:sz w:val="20"/>
                <w:szCs w:val="20"/>
                <w:color w:val="auto"/>
              </w:rPr>
            </w:pPr>
            <w:r>
              <w:rPr>
                <w:rFonts w:ascii="Arial" w:cs="Arial" w:eastAsia="Arial" w:hAnsi="Arial"/>
                <w:sz w:val="18"/>
                <w:szCs w:val="18"/>
                <w:b w:val="1"/>
                <w:bCs w:val="1"/>
                <w:color w:val="auto"/>
              </w:rPr>
              <w:t>NIM for 2014</w:t>
            </w:r>
          </w:p>
        </w:tc>
        <w:tc>
          <w:tcPr>
            <w:tcW w:w="100" w:type="dxa"/>
            <w:vAlign w:val="bottom"/>
            <w:vMerge w:val="restart"/>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8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4.96%</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11.86%</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4.59%</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2.18%</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5.68%</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NIM for 2015</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4.93%</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14.22%</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4.13%</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2.11%</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5.60%</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20"/>
        <w:spacing w:after="0"/>
        <w:rPr>
          <w:sz w:val="20"/>
          <w:szCs w:val="20"/>
          <w:color w:val="auto"/>
        </w:rPr>
      </w:pPr>
      <w:r>
        <w:rPr>
          <w:rFonts w:ascii="Arial" w:cs="Arial" w:eastAsia="Arial" w:hAnsi="Arial"/>
          <w:sz w:val="18"/>
          <w:szCs w:val="18"/>
          <w:color w:val="auto"/>
        </w:rPr>
        <w:t>NIM: Annualized Net interest income / Average period end and period beginning interest earning assets.</w:t>
      </w:r>
    </w:p>
    <w:p>
      <w:pPr>
        <w:spacing w:after="0" w:line="9" w:lineRule="exact"/>
        <w:rPr>
          <w:sz w:val="20"/>
          <w:szCs w:val="20"/>
          <w:color w:val="auto"/>
        </w:rPr>
      </w:pPr>
    </w:p>
    <w:p>
      <w:pPr>
        <w:ind w:left="780" w:hanging="262"/>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Credicorp also includes Credicorp Capital, Prima, Grupo Crédito and Eliminations for consolidation purposes.</w:t>
      </w:r>
    </w:p>
    <w:p>
      <w:pPr>
        <w:spacing w:after="0" w:line="9" w:lineRule="exact"/>
        <w:rPr>
          <w:rFonts w:ascii="Arial" w:cs="Arial" w:eastAsia="Arial" w:hAnsi="Arial"/>
          <w:sz w:val="18"/>
          <w:szCs w:val="18"/>
          <w:color w:val="auto"/>
        </w:rPr>
      </w:pPr>
    </w:p>
    <w:p>
      <w:pPr>
        <w:ind w:left="780" w:hanging="262"/>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Figures differ from the ones reported last quarter. Please consider this report´s figures.</w:t>
      </w: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The evolution of global NIM by subsidiary shows that </w:t>
      </w:r>
      <w:r>
        <w:rPr>
          <w:rFonts w:ascii="Arial" w:cs="Arial" w:eastAsia="Arial" w:hAnsi="Arial"/>
          <w:sz w:val="18"/>
          <w:szCs w:val="18"/>
          <w:b w:val="1"/>
          <w:bCs w:val="1"/>
          <w:color w:val="auto"/>
        </w:rPr>
        <w:t>BCP Stand-alone</w:t>
      </w:r>
      <w:r>
        <w:rPr>
          <w:rFonts w:ascii="Arial" w:cs="Arial" w:eastAsia="Arial" w:hAnsi="Arial"/>
          <w:sz w:val="18"/>
          <w:szCs w:val="18"/>
          <w:color w:val="auto"/>
        </w:rPr>
        <w:t xml:space="preserve"> explained the main variations in NIM at Credicorp since it represents approximately 70% of this organization’s net interest income. In this context, the reduction in Credicorp’s NIM in YoY and accumulated terms, which was -11 bps and -3 bps, respectively, was in line with the drop in NIM for BCP Stand-alone. The latter was due to more use of BCRP Instruments in 2015 and to higher growth in loans in lower margin segments, as indicated above.</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Mibanco’s </w:t>
      </w:r>
      <w:r>
        <w:rPr>
          <w:rFonts w:ascii="Arial" w:cs="Arial" w:eastAsia="Arial" w:hAnsi="Arial"/>
          <w:sz w:val="18"/>
          <w:szCs w:val="18"/>
          <w:color w:val="auto"/>
        </w:rPr>
        <w:t>NIM fell -1bp QoQ due to an increase in financial expenses, which were associated with campaigns to capture time deposits. YoY, NIM grew</w:t>
      </w:r>
      <w:r>
        <w:rPr>
          <w:rFonts w:ascii="Arial" w:cs="Arial" w:eastAsia="Arial" w:hAnsi="Arial"/>
          <w:sz w:val="18"/>
          <w:szCs w:val="18"/>
          <w:b w:val="1"/>
          <w:bCs w:val="1"/>
          <w:color w:val="auto"/>
        </w:rPr>
        <w:t xml:space="preserve"> </w:t>
      </w:r>
      <w:r>
        <w:rPr>
          <w:rFonts w:ascii="Arial" w:cs="Arial" w:eastAsia="Arial" w:hAnsi="Arial"/>
          <w:sz w:val="18"/>
          <w:szCs w:val="18"/>
          <w:color w:val="auto"/>
        </w:rPr>
        <w:t>+27bps due to loan expansion measured in average daily balances (+4.3% YoY). In accumulated terms, NIM increased +236 bps. This was due to the fact that Mibanco was acquired at the end of 1Q14, which is why no results, and only the assets acquired, were reported.</w:t>
      </w:r>
    </w:p>
    <w:p>
      <w:pPr>
        <w:spacing w:after="0" w:line="176" w:lineRule="exact"/>
        <w:rPr>
          <w:sz w:val="20"/>
          <w:szCs w:val="20"/>
          <w:color w:val="auto"/>
        </w:rPr>
      </w:pPr>
    </w:p>
    <w:p>
      <w:pPr>
        <w:ind w:left="500" w:hanging="492"/>
        <w:spacing w:after="0"/>
        <w:tabs>
          <w:tab w:leader="none" w:pos="50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Non-Financial Income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Non-Financial income grew +3.5% QoQ. This was due primarily to the increase in fee income, net gain on foreign exchange transactions, and a non-recurring income at Edyficar (Other non-financial income). The aforementioned offset the loss on sales of securities and the loss from subsidiaries, which was mainly linked to non-recurring expenses at Grupo Pacifico (S/.10 million). In YoY and annual accumulated terms, non-financial income reported an increase of +9.5% and +8.7%, respectively due to higher gains on foreign exchange transactions and an increase in fee income, which is the main source of non-financial income.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20" w:type="dxa"/>
            <w:vAlign w:val="bottom"/>
            <w:gridSpan w:val="2"/>
          </w:tcPr>
          <w:p>
            <w:pPr>
              <w:spacing w:after="0"/>
              <w:rPr>
                <w:sz w:val="20"/>
                <w:szCs w:val="20"/>
                <w:color w:val="auto"/>
              </w:rPr>
            </w:pPr>
            <w:r>
              <w:rPr>
                <w:rFonts w:ascii="Arial" w:cs="Arial" w:eastAsia="Arial" w:hAnsi="Arial"/>
                <w:sz w:val="14"/>
                <w:szCs w:val="14"/>
                <w:b w:val="1"/>
                <w:bCs w:val="1"/>
                <w:color w:val="auto"/>
              </w:rPr>
              <w:t>Non-financial income</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Quarter</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3"/>
          </w:tcPr>
          <w:p>
            <w:pPr>
              <w:ind w:left="720"/>
              <w:spacing w:after="0"/>
              <w:rPr>
                <w:sz w:val="20"/>
                <w:szCs w:val="20"/>
                <w:color w:val="auto"/>
              </w:rPr>
            </w:pPr>
            <w:r>
              <w:rPr>
                <w:rFonts w:ascii="Arial" w:cs="Arial" w:eastAsia="Arial" w:hAnsi="Arial"/>
                <w:sz w:val="14"/>
                <w:szCs w:val="14"/>
                <w:b w:val="1"/>
                <w:bCs w:val="1"/>
                <w:color w:val="auto"/>
              </w:rPr>
              <w:t>% change</w:t>
            </w: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3"/>
          </w:tcPr>
          <w:p>
            <w:pPr>
              <w:ind w:left="880"/>
              <w:spacing w:after="0"/>
              <w:rPr>
                <w:sz w:val="20"/>
                <w:szCs w:val="20"/>
                <w:color w:val="auto"/>
              </w:rPr>
            </w:pPr>
            <w:r>
              <w:rPr>
                <w:rFonts w:ascii="Arial" w:cs="Arial" w:eastAsia="Arial" w:hAnsi="Arial"/>
                <w:sz w:val="14"/>
                <w:szCs w:val="14"/>
                <w:b w:val="1"/>
                <w:bCs w:val="1"/>
                <w:color w:val="auto"/>
              </w:rPr>
              <w:t>Year</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 change</w:t>
            </w:r>
          </w:p>
        </w:tc>
      </w:tr>
      <w:tr>
        <w:trPr>
          <w:trHeight w:val="171"/>
        </w:trPr>
        <w:tc>
          <w:tcPr>
            <w:tcW w:w="23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S/.000</w:t>
            </w: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4Q14</w:t>
            </w:r>
          </w:p>
        </w:tc>
        <w:tc>
          <w:tcPr>
            <w:tcW w:w="2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3Q15</w:t>
            </w:r>
          </w:p>
        </w:tc>
        <w:tc>
          <w:tcPr>
            <w:tcW w:w="2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4Q15</w:t>
            </w:r>
          </w:p>
        </w:tc>
        <w:tc>
          <w:tcPr>
            <w:tcW w:w="2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QoQ</w:t>
            </w:r>
          </w:p>
        </w:tc>
        <w:tc>
          <w:tcPr>
            <w:tcW w:w="26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YoY</w:t>
            </w:r>
          </w:p>
        </w:tc>
        <w:tc>
          <w:tcPr>
            <w:tcW w:w="26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2015 / 2014</w:t>
            </w:r>
          </w:p>
        </w:tc>
        <w:tc>
          <w:tcPr>
            <w:tcW w:w="140" w:type="dxa"/>
            <w:vAlign w:val="bottom"/>
            <w:tcBorders>
              <w:bottom w:val="single" w:sz="8" w:color="CCEEFF"/>
            </w:tcBorders>
          </w:tcPr>
          <w:p>
            <w:pPr>
              <w:spacing w:after="0"/>
              <w:rPr>
                <w:sz w:val="14"/>
                <w:szCs w:val="14"/>
                <w:color w:val="auto"/>
              </w:rPr>
            </w:pPr>
          </w:p>
        </w:tc>
      </w:tr>
      <w:tr>
        <w:trPr>
          <w:trHeight w:val="142"/>
        </w:trPr>
        <w:tc>
          <w:tcPr>
            <w:tcW w:w="23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Fee income, net</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685,363</w:t>
            </w: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650,195</w:t>
            </w: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687,164</w:t>
            </w: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5.7%</w:t>
            </w:r>
          </w:p>
        </w:tc>
        <w:tc>
          <w:tcPr>
            <w:tcW w:w="2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0.3%</w:t>
            </w: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2,521,829</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2,644,191</w:t>
            </w: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4.9%</w:t>
            </w:r>
          </w:p>
        </w:tc>
      </w:tr>
      <w:tr>
        <w:trPr>
          <w:trHeight w:val="130"/>
        </w:trPr>
        <w:tc>
          <w:tcPr>
            <w:tcW w:w="2420" w:type="dxa"/>
            <w:vAlign w:val="bottom"/>
            <w:gridSpan w:val="2"/>
          </w:tcPr>
          <w:p>
            <w:pPr>
              <w:spacing w:after="0" w:line="130" w:lineRule="exact"/>
              <w:rPr>
                <w:sz w:val="20"/>
                <w:szCs w:val="20"/>
                <w:color w:val="auto"/>
              </w:rPr>
            </w:pPr>
            <w:r>
              <w:rPr>
                <w:rFonts w:ascii="Arial" w:cs="Arial" w:eastAsia="Arial" w:hAnsi="Arial"/>
                <w:sz w:val="14"/>
                <w:szCs w:val="14"/>
                <w:color w:val="auto"/>
              </w:rPr>
              <w:t>Net gain on foreign exchange</w:t>
            </w: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67"/>
        </w:trPr>
        <w:tc>
          <w:tcPr>
            <w:tcW w:w="2420" w:type="dxa"/>
            <w:vAlign w:val="bottom"/>
            <w:gridSpan w:val="2"/>
          </w:tcPr>
          <w:p>
            <w:pPr>
              <w:spacing w:after="0"/>
              <w:rPr>
                <w:sz w:val="20"/>
                <w:szCs w:val="20"/>
                <w:color w:val="auto"/>
              </w:rPr>
            </w:pPr>
            <w:r>
              <w:rPr>
                <w:rFonts w:ascii="Arial" w:cs="Arial" w:eastAsia="Arial" w:hAnsi="Arial"/>
                <w:sz w:val="14"/>
                <w:szCs w:val="14"/>
                <w:color w:val="auto"/>
              </w:rPr>
              <w:t>transactions</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187,945</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197,902</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207,165</w:t>
            </w:r>
          </w:p>
        </w:tc>
        <w:tc>
          <w:tcPr>
            <w:tcW w:w="1160" w:type="dxa"/>
            <w:vAlign w:val="bottom"/>
            <w:gridSpan w:val="2"/>
          </w:tcPr>
          <w:p>
            <w:pPr>
              <w:jc w:val="right"/>
              <w:ind w:right="68"/>
              <w:spacing w:after="0"/>
              <w:rPr>
                <w:sz w:val="20"/>
                <w:szCs w:val="20"/>
                <w:color w:val="auto"/>
              </w:rPr>
            </w:pPr>
            <w:r>
              <w:rPr>
                <w:rFonts w:ascii="Arial" w:cs="Arial" w:eastAsia="Arial" w:hAnsi="Arial"/>
                <w:sz w:val="14"/>
                <w:szCs w:val="14"/>
                <w:color w:val="auto"/>
              </w:rPr>
              <w:t>4.7%</w:t>
            </w:r>
          </w:p>
        </w:tc>
        <w:tc>
          <w:tcPr>
            <w:tcW w:w="260" w:type="dxa"/>
            <w:vAlign w:val="bottom"/>
          </w:tcPr>
          <w:p>
            <w:pPr>
              <w:spacing w:after="0"/>
              <w:rPr>
                <w:sz w:val="14"/>
                <w:szCs w:val="14"/>
                <w:color w:val="auto"/>
              </w:rPr>
            </w:pPr>
          </w:p>
        </w:tc>
        <w:tc>
          <w:tcPr>
            <w:tcW w:w="900" w:type="dxa"/>
            <w:vAlign w:val="bottom"/>
            <w:gridSpan w:val="2"/>
          </w:tcPr>
          <w:p>
            <w:pPr>
              <w:jc w:val="right"/>
              <w:ind w:right="68"/>
              <w:spacing w:after="0"/>
              <w:rPr>
                <w:sz w:val="20"/>
                <w:szCs w:val="20"/>
                <w:color w:val="auto"/>
              </w:rPr>
            </w:pPr>
            <w:r>
              <w:rPr>
                <w:rFonts w:ascii="Arial" w:cs="Arial" w:eastAsia="Arial" w:hAnsi="Arial"/>
                <w:sz w:val="14"/>
                <w:szCs w:val="14"/>
                <w:color w:val="auto"/>
              </w:rPr>
              <w:t>10.2%</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625,069</w:t>
            </w:r>
          </w:p>
        </w:tc>
        <w:tc>
          <w:tcPr>
            <w:tcW w:w="18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773,798</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23.8%</w:t>
            </w:r>
          </w:p>
        </w:tc>
      </w:tr>
      <w:tr>
        <w:trPr>
          <w:trHeight w:val="149"/>
        </w:trPr>
        <w:tc>
          <w:tcPr>
            <w:tcW w:w="2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gain on sales of securities</w:t>
            </w:r>
          </w:p>
        </w:tc>
        <w:tc>
          <w:tcPr>
            <w:tcW w:w="11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(38,271)</w:t>
            </w: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29,200</w:t>
            </w: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(16,816)</w:t>
            </w:r>
          </w:p>
        </w:tc>
        <w:tc>
          <w:tcPr>
            <w:tcW w:w="116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-157.6%</w:t>
            </w:r>
          </w:p>
        </w:tc>
        <w:tc>
          <w:tcPr>
            <w:tcW w:w="2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56.1%</w:t>
            </w: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212,943</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58,012</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-72.8%</w:t>
            </w:r>
          </w:p>
        </w:tc>
      </w:tr>
      <w:tr>
        <w:trPr>
          <w:trHeight w:val="189"/>
        </w:trPr>
        <w:tc>
          <w:tcPr>
            <w:tcW w:w="2420" w:type="dxa"/>
            <w:vAlign w:val="bottom"/>
            <w:gridSpan w:val="2"/>
          </w:tcPr>
          <w:p>
            <w:pPr>
              <w:spacing w:after="0" w:line="189" w:lineRule="exact"/>
              <w:rPr>
                <w:sz w:val="20"/>
                <w:szCs w:val="20"/>
                <w:color w:val="auto"/>
              </w:rPr>
            </w:pPr>
            <w:r>
              <w:rPr>
                <w:rFonts w:ascii="Arial" w:cs="Arial" w:eastAsia="Arial" w:hAnsi="Arial"/>
                <w:sz w:val="13"/>
                <w:szCs w:val="13"/>
                <w:color w:val="auto"/>
              </w:rPr>
              <w:t>Net gain from subsidiaries</w:t>
            </w:r>
            <w:r>
              <w:rPr>
                <w:rFonts w:ascii="Arial" w:cs="Arial" w:eastAsia="Arial" w:hAnsi="Arial"/>
                <w:sz w:val="21"/>
                <w:szCs w:val="21"/>
                <w:color w:val="auto"/>
                <w:vertAlign w:val="superscript"/>
              </w:rPr>
              <w:t>(1)</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3,172</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(2,853)</w:t>
            </w:r>
          </w:p>
        </w:tc>
        <w:tc>
          <w:tcPr>
            <w:tcW w:w="1420" w:type="dxa"/>
            <w:vAlign w:val="bottom"/>
            <w:gridSpan w:val="3"/>
          </w:tcPr>
          <w:p>
            <w:pPr>
              <w:ind w:left="660"/>
              <w:spacing w:after="0"/>
              <w:rPr>
                <w:sz w:val="20"/>
                <w:szCs w:val="20"/>
                <w:color w:val="auto"/>
              </w:rPr>
            </w:pPr>
            <w:r>
              <w:rPr>
                <w:rFonts w:ascii="Arial" w:cs="Arial" w:eastAsia="Arial" w:hAnsi="Arial"/>
                <w:sz w:val="14"/>
                <w:szCs w:val="14"/>
                <w:color w:val="auto"/>
              </w:rPr>
              <w:t>N/A</w:t>
            </w:r>
          </w:p>
        </w:tc>
        <w:tc>
          <w:tcPr>
            <w:tcW w:w="900" w:type="dxa"/>
            <w:vAlign w:val="bottom"/>
            <w:gridSpan w:val="2"/>
          </w:tcPr>
          <w:p>
            <w:pPr>
              <w:jc w:val="right"/>
              <w:ind w:right="188"/>
              <w:spacing w:after="0"/>
              <w:rPr>
                <w:sz w:val="20"/>
                <w:szCs w:val="20"/>
                <w:color w:val="auto"/>
              </w:rPr>
            </w:pPr>
            <w:r>
              <w:rPr>
                <w:rFonts w:ascii="Arial" w:cs="Arial" w:eastAsia="Arial" w:hAnsi="Arial"/>
                <w:sz w:val="14"/>
                <w:szCs w:val="14"/>
                <w:color w:val="auto"/>
              </w:rPr>
              <w:t>N/A</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146,910</w:t>
            </w:r>
          </w:p>
        </w:tc>
        <w:tc>
          <w:tcPr>
            <w:tcW w:w="1060" w:type="dxa"/>
            <w:vAlign w:val="bottom"/>
            <w:gridSpan w:val="2"/>
          </w:tcPr>
          <w:p>
            <w:pPr>
              <w:jc w:val="right"/>
              <w:ind w:right="68"/>
              <w:spacing w:after="0"/>
              <w:rPr>
                <w:sz w:val="20"/>
                <w:szCs w:val="20"/>
                <w:color w:val="auto"/>
              </w:rPr>
            </w:pPr>
            <w:r>
              <w:rPr>
                <w:rFonts w:ascii="Arial" w:cs="Arial" w:eastAsia="Arial" w:hAnsi="Arial"/>
                <w:sz w:val="14"/>
                <w:szCs w:val="14"/>
                <w:color w:val="auto"/>
              </w:rPr>
              <w:t>N/A</w:t>
            </w:r>
          </w:p>
        </w:tc>
      </w:tr>
      <w:tr>
        <w:trPr>
          <w:trHeight w:val="162"/>
        </w:trPr>
        <w:tc>
          <w:tcPr>
            <w:tcW w:w="2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income</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30,883</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35,612</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73,894</w:t>
            </w:r>
          </w:p>
        </w:tc>
        <w:tc>
          <w:tcPr>
            <w:tcW w:w="116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107.5%</w:t>
            </w:r>
          </w:p>
        </w:tc>
        <w:tc>
          <w:tcPr>
            <w:tcW w:w="2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139.3%</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145,368</w:t>
            </w: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188,882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29.9%</w:t>
            </w:r>
          </w:p>
        </w:tc>
      </w:tr>
      <w:tr>
        <w:trPr>
          <w:trHeight w:val="157"/>
        </w:trPr>
        <w:tc>
          <w:tcPr>
            <w:tcW w:w="2420" w:type="dxa"/>
            <w:vAlign w:val="bottom"/>
            <w:gridSpan w:val="2"/>
          </w:tcPr>
          <w:p>
            <w:pPr>
              <w:spacing w:after="0" w:line="157" w:lineRule="exact"/>
              <w:rPr>
                <w:sz w:val="20"/>
                <w:szCs w:val="20"/>
                <w:color w:val="auto"/>
              </w:rPr>
            </w:pPr>
            <w:r>
              <w:rPr>
                <w:rFonts w:ascii="Arial" w:cs="Arial" w:eastAsia="Arial" w:hAnsi="Arial"/>
                <w:sz w:val="14"/>
                <w:szCs w:val="14"/>
                <w:b w:val="1"/>
                <w:bCs w:val="1"/>
                <w:color w:val="auto"/>
              </w:rPr>
              <w:t>Total non financial income</w:t>
            </w:r>
          </w:p>
        </w:tc>
        <w:tc>
          <w:tcPr>
            <w:tcW w:w="92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865,920</w:t>
            </w:r>
          </w:p>
        </w:tc>
        <w:tc>
          <w:tcPr>
            <w:tcW w:w="220" w:type="dxa"/>
            <w:vAlign w:val="bottom"/>
          </w:tcPr>
          <w:p>
            <w:pPr>
              <w:spacing w:after="0"/>
              <w:rPr>
                <w:sz w:val="13"/>
                <w:szCs w:val="13"/>
                <w:color w:val="auto"/>
              </w:rPr>
            </w:pPr>
          </w:p>
        </w:tc>
        <w:tc>
          <w:tcPr>
            <w:tcW w:w="90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916,081</w:t>
            </w:r>
          </w:p>
        </w:tc>
        <w:tc>
          <w:tcPr>
            <w:tcW w:w="220" w:type="dxa"/>
            <w:vAlign w:val="bottom"/>
          </w:tcPr>
          <w:p>
            <w:pPr>
              <w:spacing w:after="0"/>
              <w:rPr>
                <w:sz w:val="13"/>
                <w:szCs w:val="13"/>
                <w:color w:val="auto"/>
              </w:rPr>
            </w:pPr>
          </w:p>
        </w:tc>
        <w:tc>
          <w:tcPr>
            <w:tcW w:w="90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948,554</w:t>
            </w:r>
          </w:p>
        </w:tc>
        <w:tc>
          <w:tcPr>
            <w:tcW w:w="220" w:type="dxa"/>
            <w:vAlign w:val="bottom"/>
          </w:tcPr>
          <w:p>
            <w:pPr>
              <w:spacing w:after="0"/>
              <w:rPr>
                <w:sz w:val="13"/>
                <w:szCs w:val="13"/>
                <w:color w:val="auto"/>
              </w:rPr>
            </w:pPr>
          </w:p>
        </w:tc>
        <w:tc>
          <w:tcPr>
            <w:tcW w:w="90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3.5</w:t>
            </w:r>
          </w:p>
        </w:tc>
        <w:tc>
          <w:tcPr>
            <w:tcW w:w="260" w:type="dxa"/>
            <w:vAlign w:val="bottom"/>
          </w:tcPr>
          <w:p>
            <w:pPr>
              <w:jc w:val="right"/>
              <w:ind w:right="28"/>
              <w:spacing w:after="0" w:line="157"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9.5</w:t>
            </w:r>
          </w:p>
        </w:tc>
        <w:tc>
          <w:tcPr>
            <w:tcW w:w="260" w:type="dxa"/>
            <w:vAlign w:val="bottom"/>
          </w:tcPr>
          <w:p>
            <w:pPr>
              <w:jc w:val="right"/>
              <w:ind w:right="28"/>
              <w:spacing w:after="0" w:line="157" w:lineRule="exact"/>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3,505,209</w:t>
            </w:r>
          </w:p>
        </w:tc>
        <w:tc>
          <w:tcPr>
            <w:tcW w:w="2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3,811,793</w:t>
            </w:r>
          </w:p>
        </w:tc>
        <w:tc>
          <w:tcPr>
            <w:tcW w:w="200" w:type="dxa"/>
            <w:vAlign w:val="bottom"/>
          </w:tcPr>
          <w:p>
            <w:pPr>
              <w:spacing w:after="0"/>
              <w:rPr>
                <w:sz w:val="13"/>
                <w:szCs w:val="13"/>
                <w:color w:val="auto"/>
              </w:rPr>
            </w:pPr>
          </w:p>
        </w:tc>
        <w:tc>
          <w:tcPr>
            <w:tcW w:w="92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8.7</w:t>
            </w:r>
          </w:p>
        </w:tc>
        <w:tc>
          <w:tcPr>
            <w:tcW w:w="140" w:type="dxa"/>
            <w:vAlign w:val="bottom"/>
          </w:tcPr>
          <w:p>
            <w:pPr>
              <w:jc w:val="right"/>
              <w:spacing w:after="0" w:line="157" w:lineRule="exact"/>
              <w:rPr>
                <w:sz w:val="20"/>
                <w:szCs w:val="20"/>
                <w:color w:val="auto"/>
              </w:rPr>
            </w:pPr>
            <w:r>
              <w:rPr>
                <w:rFonts w:ascii="Arial" w:cs="Arial" w:eastAsia="Arial" w:hAnsi="Arial"/>
                <w:sz w:val="14"/>
                <w:szCs w:val="14"/>
                <w:b w:val="1"/>
                <w:bCs w:val="1"/>
                <w:color w:val="auto"/>
                <w:w w:val="96"/>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1539875</wp:posOffset>
            </wp:positionH>
            <wp:positionV relativeFrom="paragraph">
              <wp:posOffset>-8890</wp:posOffset>
            </wp:positionV>
            <wp:extent cx="561721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1721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(1) Mainly includes the JV between Grupo Pacífico and Banmédica.</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 income</w:t>
      </w:r>
      <w:r>
        <w:rPr>
          <w:rFonts w:ascii="Arial" w:cs="Arial" w:eastAsia="Arial" w:hAnsi="Arial"/>
          <w:sz w:val="18"/>
          <w:szCs w:val="18"/>
          <w:color w:val="auto"/>
        </w:rPr>
        <w:t>, which is the main source of non-financial income (72% of the total), registered growth of +5.7% QoQ. This was due primarily to:</w:t>
      </w:r>
    </w:p>
    <w:p>
      <w:pPr>
        <w:spacing w:after="0" w:line="229" w:lineRule="exact"/>
        <w:rPr>
          <w:sz w:val="20"/>
          <w:szCs w:val="20"/>
          <w:color w:val="auto"/>
        </w:rPr>
      </w:pPr>
    </w:p>
    <w:p>
      <w:pPr>
        <w:ind w:left="500" w:hanging="492"/>
        <w:spacing w:after="0"/>
        <w:tabs>
          <w:tab w:leader="none" w:pos="5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Higher fee income at BCP Stand-alone, which was attributable to an increase in the transactions volume, as explained latter on the report;</w:t>
      </w:r>
    </w:p>
    <w:p>
      <w:pPr>
        <w:spacing w:after="0" w:line="236" w:lineRule="exact"/>
        <w:rPr>
          <w:rFonts w:ascii="Arial" w:cs="Arial" w:eastAsia="Arial" w:hAnsi="Arial"/>
          <w:sz w:val="17"/>
          <w:szCs w:val="17"/>
          <w:color w:val="auto"/>
        </w:rPr>
      </w:pPr>
    </w:p>
    <w:p>
      <w:pPr>
        <w:ind w:left="500" w:hanging="492"/>
        <w:spacing w:after="0" w:line="277" w:lineRule="auto"/>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 increase in Credicorp Capital’s fee income, which was due to higher income from the Corporate Finance business, mainly from the Colombian market; and</w:t>
      </w:r>
    </w:p>
    <w:p>
      <w:pPr>
        <w:spacing w:after="0" w:line="170"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Lower eliminations QoQ given that Grupo Pacifico paid fewer fees to BCP and Mibanco associated with the bancassurance business. The aforementioned was attributable to lower loan growth in 4Q15 than in the previous quarter given that in 3Q15, year-end campaigns were launched and the bancassurance business grew.</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6" w:name="page37"/>
    <w:bookmarkEnd w:id="36"/>
    <w:p>
      <w:pPr>
        <w:spacing w:after="0" w:line="277" w:lineRule="auto"/>
        <w:rPr>
          <w:sz w:val="20"/>
          <w:szCs w:val="20"/>
          <w:color w:val="auto"/>
        </w:rPr>
      </w:pPr>
      <w:r>
        <w:rPr>
          <w:rFonts w:ascii="Arial" w:cs="Arial" w:eastAsia="Arial" w:hAnsi="Arial"/>
          <w:sz w:val="18"/>
          <w:szCs w:val="18"/>
          <w:color w:val="auto"/>
        </w:rPr>
        <w:t>The graph below shows the contribution of each of Credicorp’s subsidiaries to Credicorp’s fee income growth in 4Q15. It also shows that banking business fees grew QoQ:</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Fee income evolution QoQ, by subsidiary (S/.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154940</wp:posOffset>
            </wp:positionV>
            <wp:extent cx="5582920" cy="19208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582920" cy="1920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Others include Grupo Pacifico and eliminations for consolidation purposes.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banking business’ fee income increased +2.1% QoQ and +7.5% YoY, due primarily to BCP (main source of this type of income). The table below shows the evolution of the main components of fee income in the banking business: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Composition of the fee income in the banking business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20" w:type="dxa"/>
            <w:vAlign w:val="bottom"/>
            <w:gridSpan w:val="2"/>
          </w:tcPr>
          <w:p>
            <w:pPr>
              <w:spacing w:after="0"/>
              <w:rPr>
                <w:sz w:val="20"/>
                <w:szCs w:val="20"/>
                <w:color w:val="auto"/>
              </w:rPr>
            </w:pPr>
            <w:r>
              <w:rPr>
                <w:rFonts w:ascii="Arial" w:cs="Arial" w:eastAsia="Arial" w:hAnsi="Arial"/>
                <w:sz w:val="18"/>
                <w:szCs w:val="18"/>
                <w:b w:val="1"/>
                <w:bCs w:val="1"/>
                <w:color w:val="auto"/>
              </w:rPr>
              <w:t>Fee Income</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Quarter</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3"/>
          </w:tcPr>
          <w:p>
            <w:pPr>
              <w:ind w:left="680"/>
              <w:spacing w:after="0"/>
              <w:rPr>
                <w:sz w:val="20"/>
                <w:szCs w:val="20"/>
                <w:color w:val="auto"/>
              </w:rPr>
            </w:pPr>
            <w:r>
              <w:rPr>
                <w:rFonts w:ascii="Arial" w:cs="Arial" w:eastAsia="Arial" w:hAnsi="Arial"/>
                <w:sz w:val="18"/>
                <w:szCs w:val="18"/>
                <w:b w:val="1"/>
                <w:bCs w:val="1"/>
                <w:color w:val="auto"/>
                <w:w w:val="90"/>
              </w:rPr>
              <w:t>% change</w:t>
            </w: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3"/>
          </w:tcPr>
          <w:p>
            <w:pPr>
              <w:ind w:left="840"/>
              <w:spacing w:after="0"/>
              <w:rPr>
                <w:sz w:val="20"/>
                <w:szCs w:val="20"/>
                <w:color w:val="auto"/>
              </w:rPr>
            </w:pPr>
            <w:r>
              <w:rPr>
                <w:rFonts w:ascii="Arial" w:cs="Arial" w:eastAsia="Arial" w:hAnsi="Arial"/>
                <w:sz w:val="18"/>
                <w:szCs w:val="18"/>
                <w:b w:val="1"/>
                <w:bCs w:val="1"/>
                <w:color w:val="auto"/>
              </w:rPr>
              <w:t>Year</w:t>
            </w: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w w:val="97"/>
              </w:rPr>
              <w:t>% change</w:t>
            </w:r>
          </w:p>
        </w:tc>
      </w:tr>
      <w:tr>
        <w:trPr>
          <w:trHeight w:val="234"/>
        </w:trPr>
        <w:tc>
          <w:tcPr>
            <w:tcW w:w="2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000</w:t>
            </w:r>
          </w:p>
        </w:tc>
        <w:tc>
          <w:tcPr>
            <w:tcW w:w="12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4Q14</w:t>
            </w:r>
          </w:p>
        </w:tc>
        <w:tc>
          <w:tcPr>
            <w:tcW w:w="22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3Q15</w:t>
            </w:r>
          </w:p>
        </w:tc>
        <w:tc>
          <w:tcPr>
            <w:tcW w:w="22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4Q15</w:t>
            </w:r>
          </w:p>
        </w:tc>
        <w:tc>
          <w:tcPr>
            <w:tcW w:w="22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6"/>
              </w:rPr>
              <w:t>YoY</w:t>
            </w:r>
          </w:p>
        </w:tc>
        <w:tc>
          <w:tcPr>
            <w:tcW w:w="30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2014</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2015 / 2014</w:t>
            </w:r>
          </w:p>
        </w:tc>
        <w:tc>
          <w:tcPr>
            <w:tcW w:w="180" w:type="dxa"/>
            <w:vAlign w:val="bottom"/>
            <w:tcBorders>
              <w:bottom w:val="single" w:sz="8" w:color="CCEEFF"/>
            </w:tcBorders>
          </w:tcPr>
          <w:p>
            <w:pPr>
              <w:spacing w:after="0"/>
              <w:rPr>
                <w:sz w:val="20"/>
                <w:szCs w:val="20"/>
                <w:color w:val="auto"/>
              </w:rPr>
            </w:pPr>
          </w:p>
        </w:tc>
      </w:tr>
      <w:tr>
        <w:trPr>
          <w:trHeight w:val="250"/>
        </w:trPr>
        <w:tc>
          <w:tcPr>
            <w:tcW w:w="2200" w:type="dxa"/>
            <w:vAlign w:val="bottom"/>
            <w:shd w:val="clear" w:color="auto" w:fill="CCEEFF"/>
          </w:tcPr>
          <w:p>
            <w:pPr>
              <w:spacing w:after="0" w:line="251" w:lineRule="exact"/>
              <w:rPr>
                <w:sz w:val="20"/>
                <w:szCs w:val="20"/>
                <w:color w:val="auto"/>
              </w:rPr>
            </w:pPr>
            <w:r>
              <w:rPr>
                <w:rFonts w:ascii="Arial" w:cs="Arial" w:eastAsia="Arial" w:hAnsi="Arial"/>
                <w:sz w:val="18"/>
                <w:szCs w:val="18"/>
                <w:color w:val="auto"/>
                <w:w w:val="99"/>
              </w:rPr>
              <w:t xml:space="preserve">Miscellaneous accounts </w:t>
            </w:r>
            <w:r>
              <w:rPr>
                <w:rFonts w:ascii="Arial" w:cs="Arial" w:eastAsia="Arial" w:hAnsi="Arial"/>
                <w:sz w:val="29"/>
                <w:szCs w:val="29"/>
                <w:color w:val="auto"/>
                <w:w w:val="99"/>
                <w:vertAlign w:val="superscript"/>
              </w:rPr>
              <w:t>(1)</w:t>
            </w: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145,561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168,041</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170,579</w:t>
            </w:r>
          </w:p>
        </w:tc>
        <w:tc>
          <w:tcPr>
            <w:tcW w:w="12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17.2%</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555,567</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637,379</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257"/>
        </w:trPr>
        <w:tc>
          <w:tcPr>
            <w:tcW w:w="232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Credit cards </w:t>
            </w:r>
            <w:r>
              <w:rPr>
                <w:rFonts w:ascii="Arial" w:cs="Arial" w:eastAsia="Arial" w:hAnsi="Arial"/>
                <w:sz w:val="29"/>
                <w:szCs w:val="29"/>
                <w:color w:val="auto"/>
                <w:vertAlign w:val="superscript"/>
              </w:rPr>
              <w:t>(2)</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60,528</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64,744</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63,331</w:t>
            </w:r>
          </w:p>
        </w:tc>
        <w:tc>
          <w:tcPr>
            <w:tcW w:w="1200" w:type="dxa"/>
            <w:vAlign w:val="bottom"/>
            <w:gridSpan w:val="2"/>
          </w:tcPr>
          <w:p>
            <w:pPr>
              <w:jc w:val="right"/>
              <w:ind w:right="50"/>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22"/>
                <w:szCs w:val="22"/>
                <w:color w:val="auto"/>
              </w:rPr>
            </w:pPr>
          </w:p>
        </w:tc>
        <w:tc>
          <w:tcPr>
            <w:tcW w:w="940" w:type="dxa"/>
            <w:vAlign w:val="bottom"/>
            <w:gridSpan w:val="2"/>
          </w:tcPr>
          <w:p>
            <w:pPr>
              <w:jc w:val="right"/>
              <w:ind w:right="50"/>
              <w:spacing w:after="0"/>
              <w:rPr>
                <w:sz w:val="20"/>
                <w:szCs w:val="20"/>
                <w:color w:val="auto"/>
              </w:rPr>
            </w:pPr>
            <w:r>
              <w:rPr>
                <w:rFonts w:ascii="Arial" w:cs="Arial" w:eastAsia="Arial" w:hAnsi="Arial"/>
                <w:sz w:val="18"/>
                <w:szCs w:val="18"/>
                <w:color w:val="auto"/>
              </w:rPr>
              <w:t>4.6%</w:t>
            </w:r>
          </w:p>
        </w:tc>
        <w:tc>
          <w:tcPr>
            <w:tcW w:w="900" w:type="dxa"/>
            <w:vAlign w:val="bottom"/>
          </w:tcPr>
          <w:p>
            <w:pPr>
              <w:jc w:val="right"/>
              <w:spacing w:after="0"/>
              <w:rPr>
                <w:sz w:val="20"/>
                <w:szCs w:val="20"/>
                <w:color w:val="auto"/>
              </w:rPr>
            </w:pPr>
            <w:r>
              <w:rPr>
                <w:rFonts w:ascii="Arial" w:cs="Arial" w:eastAsia="Arial" w:hAnsi="Arial"/>
                <w:sz w:val="18"/>
                <w:szCs w:val="18"/>
                <w:color w:val="auto"/>
              </w:rPr>
              <w:t>248,459</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254,998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Drafts and transfers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30,742</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35,877</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37,600</w:t>
            </w:r>
          </w:p>
        </w:tc>
        <w:tc>
          <w:tcPr>
            <w:tcW w:w="12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4.8%</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22.3%</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111,750</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135,432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w:t>
            </w:r>
          </w:p>
        </w:tc>
      </w:tr>
      <w:tr>
        <w:trPr>
          <w:trHeight w:val="257"/>
        </w:trPr>
        <w:tc>
          <w:tcPr>
            <w:tcW w:w="232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Personal loans </w:t>
            </w:r>
            <w:r>
              <w:rPr>
                <w:rFonts w:ascii="Arial" w:cs="Arial" w:eastAsia="Arial" w:hAnsi="Arial"/>
                <w:sz w:val="29"/>
                <w:szCs w:val="29"/>
                <w:color w:val="auto"/>
                <w:vertAlign w:val="superscript"/>
              </w:rPr>
              <w:t>(2)</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23,912</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24,674</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24,399</w:t>
            </w:r>
          </w:p>
        </w:tc>
        <w:tc>
          <w:tcPr>
            <w:tcW w:w="1200" w:type="dxa"/>
            <w:vAlign w:val="bottom"/>
            <w:gridSpan w:val="2"/>
          </w:tcPr>
          <w:p>
            <w:pPr>
              <w:jc w:val="right"/>
              <w:ind w:right="50"/>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22"/>
                <w:szCs w:val="22"/>
                <w:color w:val="auto"/>
              </w:rPr>
            </w:pPr>
          </w:p>
        </w:tc>
        <w:tc>
          <w:tcPr>
            <w:tcW w:w="940" w:type="dxa"/>
            <w:vAlign w:val="bottom"/>
            <w:gridSpan w:val="2"/>
          </w:tcPr>
          <w:p>
            <w:pPr>
              <w:jc w:val="right"/>
              <w:ind w:right="50"/>
              <w:spacing w:after="0"/>
              <w:rPr>
                <w:sz w:val="20"/>
                <w:szCs w:val="20"/>
                <w:color w:val="auto"/>
              </w:rPr>
            </w:pPr>
            <w:r>
              <w:rPr>
                <w:rFonts w:ascii="Arial" w:cs="Arial" w:eastAsia="Arial" w:hAnsi="Arial"/>
                <w:sz w:val="18"/>
                <w:szCs w:val="18"/>
                <w:color w:val="auto"/>
              </w:rPr>
              <w:t>2.0%</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79,595</w:t>
            </w:r>
          </w:p>
        </w:tc>
        <w:tc>
          <w:tcPr>
            <w:tcW w:w="1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100,218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25.9%</w:t>
            </w:r>
          </w:p>
        </w:tc>
      </w:tr>
      <w:tr>
        <w:trPr>
          <w:trHeight w:val="257"/>
        </w:trPr>
        <w:tc>
          <w:tcPr>
            <w:tcW w:w="23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SME loans </w:t>
            </w:r>
            <w:r>
              <w:rPr>
                <w:rFonts w:ascii="Arial" w:cs="Arial" w:eastAsia="Arial" w:hAnsi="Arial"/>
                <w:sz w:val="29"/>
                <w:szCs w:val="29"/>
                <w:color w:val="auto"/>
                <w:vertAlign w:val="superscript"/>
              </w:rPr>
              <w:t>(2)</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19,786</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16,000</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16,076</w:t>
            </w:r>
          </w:p>
        </w:tc>
        <w:tc>
          <w:tcPr>
            <w:tcW w:w="12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0.5%</w:t>
            </w:r>
          </w:p>
        </w:tc>
        <w:tc>
          <w:tcPr>
            <w:tcW w:w="2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-18.8%</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71,550</w:t>
            </w:r>
          </w:p>
        </w:tc>
        <w:tc>
          <w:tcPr>
            <w:tcW w:w="1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69,803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57"/>
        </w:trPr>
        <w:tc>
          <w:tcPr>
            <w:tcW w:w="232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Insurance </w:t>
            </w:r>
            <w:r>
              <w:rPr>
                <w:rFonts w:ascii="Arial" w:cs="Arial" w:eastAsia="Arial" w:hAnsi="Arial"/>
                <w:sz w:val="29"/>
                <w:szCs w:val="29"/>
                <w:color w:val="auto"/>
                <w:vertAlign w:val="superscript"/>
              </w:rPr>
              <w:t>(2)</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18,500</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19,016</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19,639</w:t>
            </w:r>
          </w:p>
        </w:tc>
        <w:tc>
          <w:tcPr>
            <w:tcW w:w="1200" w:type="dxa"/>
            <w:vAlign w:val="bottom"/>
            <w:gridSpan w:val="2"/>
          </w:tcPr>
          <w:p>
            <w:pPr>
              <w:jc w:val="right"/>
              <w:ind w:right="50"/>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22"/>
                <w:szCs w:val="22"/>
                <w:color w:val="auto"/>
              </w:rPr>
            </w:pPr>
          </w:p>
        </w:tc>
        <w:tc>
          <w:tcPr>
            <w:tcW w:w="940" w:type="dxa"/>
            <w:vAlign w:val="bottom"/>
            <w:gridSpan w:val="2"/>
          </w:tcPr>
          <w:p>
            <w:pPr>
              <w:jc w:val="right"/>
              <w:ind w:right="50"/>
              <w:spacing w:after="0"/>
              <w:rPr>
                <w:sz w:val="20"/>
                <w:szCs w:val="20"/>
                <w:color w:val="auto"/>
              </w:rPr>
            </w:pPr>
            <w:r>
              <w:rPr>
                <w:rFonts w:ascii="Arial" w:cs="Arial" w:eastAsia="Arial" w:hAnsi="Arial"/>
                <w:sz w:val="18"/>
                <w:szCs w:val="18"/>
                <w:color w:val="auto"/>
              </w:rPr>
              <w:t>6.2%</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63,258</w:t>
            </w:r>
          </w:p>
        </w:tc>
        <w:tc>
          <w:tcPr>
            <w:tcW w:w="1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74,271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17.4%</w:t>
            </w:r>
          </w:p>
        </w:tc>
      </w:tr>
      <w:tr>
        <w:trPr>
          <w:trHeight w:val="257"/>
        </w:trPr>
        <w:tc>
          <w:tcPr>
            <w:tcW w:w="23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Mortgage loans </w:t>
            </w:r>
            <w:r>
              <w:rPr>
                <w:rFonts w:ascii="Arial" w:cs="Arial" w:eastAsia="Arial" w:hAnsi="Arial"/>
                <w:sz w:val="29"/>
                <w:szCs w:val="29"/>
                <w:color w:val="auto"/>
                <w:vertAlign w:val="superscript"/>
              </w:rPr>
              <w:t>(2)</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12,324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11,685</w:t>
            </w:r>
          </w:p>
        </w:tc>
        <w:tc>
          <w:tcPr>
            <w:tcW w:w="2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12,692</w:t>
            </w:r>
          </w:p>
        </w:tc>
        <w:tc>
          <w:tcPr>
            <w:tcW w:w="12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8.6%</w:t>
            </w:r>
          </w:p>
        </w:tc>
        <w:tc>
          <w:tcPr>
            <w:tcW w:w="2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3.0%</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43,645</w:t>
            </w:r>
          </w:p>
        </w:tc>
        <w:tc>
          <w:tcPr>
            <w:tcW w:w="1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46,531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57"/>
        </w:trPr>
        <w:tc>
          <w:tcPr>
            <w:tcW w:w="232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Off-balance sheet </w:t>
            </w:r>
            <w:r>
              <w:rPr>
                <w:rFonts w:ascii="Arial" w:cs="Arial" w:eastAsia="Arial" w:hAnsi="Arial"/>
                <w:sz w:val="29"/>
                <w:szCs w:val="29"/>
                <w:color w:val="auto"/>
                <w:vertAlign w:val="superscript"/>
              </w:rPr>
              <w:t>(3)</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34,503</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38,504</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41,163</w:t>
            </w:r>
          </w:p>
        </w:tc>
        <w:tc>
          <w:tcPr>
            <w:tcW w:w="1200" w:type="dxa"/>
            <w:vAlign w:val="bottom"/>
            <w:gridSpan w:val="2"/>
          </w:tcPr>
          <w:p>
            <w:pPr>
              <w:jc w:val="right"/>
              <w:ind w:right="50"/>
              <w:spacing w:after="0"/>
              <w:rPr>
                <w:sz w:val="20"/>
                <w:szCs w:val="20"/>
                <w:color w:val="auto"/>
              </w:rPr>
            </w:pPr>
            <w:r>
              <w:rPr>
                <w:rFonts w:ascii="Arial" w:cs="Arial" w:eastAsia="Arial" w:hAnsi="Arial"/>
                <w:sz w:val="18"/>
                <w:szCs w:val="18"/>
                <w:color w:val="auto"/>
              </w:rPr>
              <w:t>6.9%</w:t>
            </w:r>
          </w:p>
        </w:tc>
        <w:tc>
          <w:tcPr>
            <w:tcW w:w="260" w:type="dxa"/>
            <w:vAlign w:val="bottom"/>
          </w:tcPr>
          <w:p>
            <w:pPr>
              <w:spacing w:after="0"/>
              <w:rPr>
                <w:sz w:val="22"/>
                <w:szCs w:val="22"/>
                <w:color w:val="auto"/>
              </w:rPr>
            </w:pPr>
          </w:p>
        </w:tc>
        <w:tc>
          <w:tcPr>
            <w:tcW w:w="940" w:type="dxa"/>
            <w:vAlign w:val="bottom"/>
            <w:gridSpan w:val="2"/>
          </w:tcPr>
          <w:p>
            <w:pPr>
              <w:jc w:val="right"/>
              <w:ind w:right="50"/>
              <w:spacing w:after="0"/>
              <w:rPr>
                <w:sz w:val="20"/>
                <w:szCs w:val="20"/>
                <w:color w:val="auto"/>
              </w:rPr>
            </w:pPr>
            <w:r>
              <w:rPr>
                <w:rFonts w:ascii="Arial" w:cs="Arial" w:eastAsia="Arial" w:hAnsi="Arial"/>
                <w:sz w:val="18"/>
                <w:szCs w:val="18"/>
                <w:color w:val="auto"/>
              </w:rPr>
              <w:t>19.3%</w:t>
            </w:r>
          </w:p>
        </w:tc>
        <w:tc>
          <w:tcPr>
            <w:tcW w:w="900" w:type="dxa"/>
            <w:vAlign w:val="bottom"/>
          </w:tcPr>
          <w:p>
            <w:pPr>
              <w:jc w:val="right"/>
              <w:spacing w:after="0"/>
              <w:rPr>
                <w:sz w:val="20"/>
                <w:szCs w:val="20"/>
                <w:color w:val="auto"/>
              </w:rPr>
            </w:pPr>
            <w:r>
              <w:rPr>
                <w:rFonts w:ascii="Arial" w:cs="Arial" w:eastAsia="Arial" w:hAnsi="Arial"/>
                <w:sz w:val="18"/>
                <w:szCs w:val="18"/>
                <w:color w:val="auto"/>
              </w:rPr>
              <w:t>147,060</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157,736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7.3%</w:t>
            </w:r>
          </w:p>
        </w:tc>
      </w:tr>
      <w:tr>
        <w:trPr>
          <w:trHeight w:val="257"/>
        </w:trPr>
        <w:tc>
          <w:tcPr>
            <w:tcW w:w="23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w w:val="98"/>
              </w:rPr>
              <w:t xml:space="preserve">Payments and collections </w:t>
            </w:r>
            <w:r>
              <w:rPr>
                <w:rFonts w:ascii="Arial" w:cs="Arial" w:eastAsia="Arial" w:hAnsi="Arial"/>
                <w:sz w:val="29"/>
                <w:szCs w:val="29"/>
                <w:color w:val="auto"/>
                <w:w w:val="98"/>
                <w:vertAlign w:val="superscript"/>
              </w:rPr>
              <w:t>(3)</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89,500</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93,355</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95,960</w:t>
            </w:r>
          </w:p>
        </w:tc>
        <w:tc>
          <w:tcPr>
            <w:tcW w:w="12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2.8%</w:t>
            </w:r>
          </w:p>
        </w:tc>
        <w:tc>
          <w:tcPr>
            <w:tcW w:w="2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7.2%</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313,973</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367,438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w:t>
            </w:r>
          </w:p>
        </w:tc>
      </w:tr>
      <w:tr>
        <w:trPr>
          <w:trHeight w:val="257"/>
        </w:trPr>
        <w:tc>
          <w:tcPr>
            <w:tcW w:w="232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Commercial loans </w:t>
            </w:r>
            <w:r>
              <w:rPr>
                <w:rFonts w:ascii="Arial" w:cs="Arial" w:eastAsia="Arial" w:hAnsi="Arial"/>
                <w:sz w:val="29"/>
                <w:szCs w:val="29"/>
                <w:color w:val="auto"/>
                <w:vertAlign w:val="superscript"/>
              </w:rPr>
              <w:t>(3)</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11,978</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16,245</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18,240</w:t>
            </w:r>
          </w:p>
        </w:tc>
        <w:tc>
          <w:tcPr>
            <w:tcW w:w="1200" w:type="dxa"/>
            <w:vAlign w:val="bottom"/>
            <w:gridSpan w:val="2"/>
          </w:tcPr>
          <w:p>
            <w:pPr>
              <w:jc w:val="right"/>
              <w:ind w:right="50"/>
              <w:spacing w:after="0"/>
              <w:rPr>
                <w:sz w:val="20"/>
                <w:szCs w:val="20"/>
                <w:color w:val="auto"/>
              </w:rPr>
            </w:pPr>
            <w:r>
              <w:rPr>
                <w:rFonts w:ascii="Arial" w:cs="Arial" w:eastAsia="Arial" w:hAnsi="Arial"/>
                <w:sz w:val="18"/>
                <w:szCs w:val="18"/>
                <w:color w:val="auto"/>
              </w:rPr>
              <w:t>12.3%</w:t>
            </w:r>
          </w:p>
        </w:tc>
        <w:tc>
          <w:tcPr>
            <w:tcW w:w="260" w:type="dxa"/>
            <w:vAlign w:val="bottom"/>
          </w:tcPr>
          <w:p>
            <w:pPr>
              <w:spacing w:after="0"/>
              <w:rPr>
                <w:sz w:val="22"/>
                <w:szCs w:val="22"/>
                <w:color w:val="auto"/>
              </w:rPr>
            </w:pPr>
          </w:p>
        </w:tc>
        <w:tc>
          <w:tcPr>
            <w:tcW w:w="940" w:type="dxa"/>
            <w:vAlign w:val="bottom"/>
            <w:gridSpan w:val="2"/>
          </w:tcPr>
          <w:p>
            <w:pPr>
              <w:jc w:val="right"/>
              <w:ind w:right="50"/>
              <w:spacing w:after="0"/>
              <w:rPr>
                <w:sz w:val="20"/>
                <w:szCs w:val="20"/>
                <w:color w:val="auto"/>
              </w:rPr>
            </w:pPr>
            <w:r>
              <w:rPr>
                <w:rFonts w:ascii="Arial" w:cs="Arial" w:eastAsia="Arial" w:hAnsi="Arial"/>
                <w:sz w:val="18"/>
                <w:szCs w:val="18"/>
                <w:color w:val="auto"/>
              </w:rPr>
              <w:t>52.3%</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50,776</w:t>
            </w:r>
          </w:p>
        </w:tc>
        <w:tc>
          <w:tcPr>
            <w:tcW w:w="1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67,660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33.3%</w:t>
            </w:r>
          </w:p>
        </w:tc>
      </w:tr>
      <w:tr>
        <w:trPr>
          <w:trHeight w:val="257"/>
        </w:trPr>
        <w:tc>
          <w:tcPr>
            <w:tcW w:w="23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Foreign trade </w:t>
            </w:r>
            <w:r>
              <w:rPr>
                <w:rFonts w:ascii="Arial" w:cs="Arial" w:eastAsia="Arial" w:hAnsi="Arial"/>
                <w:sz w:val="29"/>
                <w:szCs w:val="29"/>
                <w:color w:val="auto"/>
                <w:vertAlign w:val="superscript"/>
              </w:rPr>
              <w:t>(3)</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10,248</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10,942</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11,396</w:t>
            </w:r>
          </w:p>
        </w:tc>
        <w:tc>
          <w:tcPr>
            <w:tcW w:w="12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4.2%</w:t>
            </w:r>
          </w:p>
        </w:tc>
        <w:tc>
          <w:tcPr>
            <w:tcW w:w="2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11.2%</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39,747</w:t>
            </w:r>
          </w:p>
        </w:tc>
        <w:tc>
          <w:tcPr>
            <w:tcW w:w="1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43,350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2320" w:type="dxa"/>
            <w:vAlign w:val="bottom"/>
            <w:gridSpan w:val="2"/>
          </w:tcPr>
          <w:p>
            <w:pPr>
              <w:spacing w:after="0"/>
              <w:rPr>
                <w:sz w:val="20"/>
                <w:szCs w:val="20"/>
                <w:color w:val="auto"/>
              </w:rPr>
            </w:pPr>
            <w:r>
              <w:rPr>
                <w:rFonts w:ascii="Arial" w:cs="Arial" w:eastAsia="Arial" w:hAnsi="Arial"/>
                <w:sz w:val="18"/>
                <w:szCs w:val="18"/>
                <w:color w:val="auto"/>
              </w:rPr>
              <w:t>Corporate finance</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19,676</w:t>
            </w:r>
          </w:p>
        </w:tc>
        <w:tc>
          <w:tcPr>
            <w:tcW w:w="900" w:type="dxa"/>
            <w:vAlign w:val="bottom"/>
          </w:tcPr>
          <w:p>
            <w:pPr>
              <w:jc w:val="right"/>
              <w:spacing w:after="0"/>
              <w:rPr>
                <w:sz w:val="20"/>
                <w:szCs w:val="20"/>
                <w:color w:val="auto"/>
              </w:rPr>
            </w:pPr>
            <w:r>
              <w:rPr>
                <w:rFonts w:ascii="Arial" w:cs="Arial" w:eastAsia="Arial" w:hAnsi="Arial"/>
                <w:sz w:val="18"/>
                <w:szCs w:val="18"/>
                <w:color w:val="auto"/>
              </w:rPr>
              <w:t>11,312</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9,145</w:t>
            </w:r>
          </w:p>
        </w:tc>
        <w:tc>
          <w:tcPr>
            <w:tcW w:w="1200" w:type="dxa"/>
            <w:vAlign w:val="bottom"/>
            <w:gridSpan w:val="2"/>
          </w:tcPr>
          <w:p>
            <w:pPr>
              <w:jc w:val="right"/>
              <w:ind w:right="50"/>
              <w:spacing w:after="0"/>
              <w:rPr>
                <w:sz w:val="20"/>
                <w:szCs w:val="20"/>
                <w:color w:val="auto"/>
              </w:rPr>
            </w:pPr>
            <w:r>
              <w:rPr>
                <w:rFonts w:ascii="Arial" w:cs="Arial" w:eastAsia="Arial" w:hAnsi="Arial"/>
                <w:sz w:val="18"/>
                <w:szCs w:val="18"/>
                <w:color w:val="auto"/>
              </w:rPr>
              <w:t>-19.2%</w:t>
            </w:r>
          </w:p>
        </w:tc>
        <w:tc>
          <w:tcPr>
            <w:tcW w:w="260" w:type="dxa"/>
            <w:vAlign w:val="bottom"/>
          </w:tcPr>
          <w:p>
            <w:pPr>
              <w:spacing w:after="0"/>
              <w:rPr>
                <w:sz w:val="18"/>
                <w:szCs w:val="18"/>
                <w:color w:val="auto"/>
              </w:rPr>
            </w:pPr>
          </w:p>
        </w:tc>
        <w:tc>
          <w:tcPr>
            <w:tcW w:w="940" w:type="dxa"/>
            <w:vAlign w:val="bottom"/>
            <w:gridSpan w:val="2"/>
          </w:tcPr>
          <w:p>
            <w:pPr>
              <w:jc w:val="right"/>
              <w:ind w:right="50"/>
              <w:spacing w:after="0"/>
              <w:rPr>
                <w:sz w:val="20"/>
                <w:szCs w:val="20"/>
                <w:color w:val="auto"/>
              </w:rPr>
            </w:pPr>
            <w:r>
              <w:rPr>
                <w:rFonts w:ascii="Arial" w:cs="Arial" w:eastAsia="Arial" w:hAnsi="Arial"/>
                <w:sz w:val="18"/>
                <w:szCs w:val="18"/>
                <w:color w:val="auto"/>
              </w:rPr>
              <w:t>-53.5%</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77,013</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40,883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-46.9%</w:t>
            </w:r>
          </w:p>
        </w:tc>
      </w:tr>
      <w:tr>
        <w:trPr>
          <w:trHeight w:val="216"/>
        </w:trPr>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ASB</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5,854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5,761</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6,515</w:t>
            </w:r>
          </w:p>
        </w:tc>
        <w:tc>
          <w:tcPr>
            <w:tcW w:w="12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13.1%</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11.3%</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21,934</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26,098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w:t>
            </w:r>
          </w:p>
        </w:tc>
      </w:tr>
      <w:tr>
        <w:trPr>
          <w:trHeight w:val="270"/>
        </w:trPr>
        <w:tc>
          <w:tcPr>
            <w:tcW w:w="2320" w:type="dxa"/>
            <w:vAlign w:val="bottom"/>
            <w:gridSpan w:val="2"/>
          </w:tcPr>
          <w:p>
            <w:pPr>
              <w:spacing w:after="0" w:line="269" w:lineRule="exact"/>
              <w:rPr>
                <w:sz w:val="20"/>
                <w:szCs w:val="20"/>
                <w:color w:val="auto"/>
              </w:rPr>
            </w:pPr>
            <w:r>
              <w:rPr>
                <w:rFonts w:ascii="Arial" w:cs="Arial" w:eastAsia="Arial" w:hAnsi="Arial"/>
                <w:sz w:val="18"/>
                <w:szCs w:val="18"/>
                <w:color w:val="auto"/>
              </w:rPr>
              <w:t xml:space="preserve">Others </w:t>
            </w:r>
            <w:r>
              <w:rPr>
                <w:rFonts w:ascii="Arial" w:cs="Arial" w:eastAsia="Arial" w:hAnsi="Arial"/>
                <w:sz w:val="30"/>
                <w:szCs w:val="30"/>
                <w:color w:val="auto"/>
                <w:vertAlign w:val="superscript"/>
              </w:rPr>
              <w:t>(4)</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46,009</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40,742</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41,894</w:t>
            </w:r>
          </w:p>
        </w:tc>
        <w:tc>
          <w:tcPr>
            <w:tcW w:w="1200" w:type="dxa"/>
            <w:vAlign w:val="bottom"/>
            <w:gridSpan w:val="2"/>
          </w:tcPr>
          <w:p>
            <w:pPr>
              <w:jc w:val="right"/>
              <w:ind w:right="50"/>
              <w:spacing w:after="0"/>
              <w:rPr>
                <w:sz w:val="20"/>
                <w:szCs w:val="20"/>
                <w:color w:val="auto"/>
              </w:rPr>
            </w:pPr>
            <w:r>
              <w:rPr>
                <w:rFonts w:ascii="Arial" w:cs="Arial" w:eastAsia="Arial" w:hAnsi="Arial"/>
                <w:sz w:val="18"/>
                <w:szCs w:val="18"/>
                <w:color w:val="auto"/>
              </w:rPr>
              <w:t>2.8%</w:t>
            </w:r>
          </w:p>
        </w:tc>
        <w:tc>
          <w:tcPr>
            <w:tcW w:w="260" w:type="dxa"/>
            <w:vAlign w:val="bottom"/>
          </w:tcPr>
          <w:p>
            <w:pPr>
              <w:spacing w:after="0"/>
              <w:rPr>
                <w:sz w:val="23"/>
                <w:szCs w:val="23"/>
                <w:color w:val="auto"/>
              </w:rPr>
            </w:pPr>
          </w:p>
        </w:tc>
        <w:tc>
          <w:tcPr>
            <w:tcW w:w="940" w:type="dxa"/>
            <w:vAlign w:val="bottom"/>
            <w:gridSpan w:val="2"/>
          </w:tcPr>
          <w:p>
            <w:pPr>
              <w:jc w:val="right"/>
              <w:ind w:right="50"/>
              <w:spacing w:after="0"/>
              <w:rPr>
                <w:sz w:val="20"/>
                <w:szCs w:val="20"/>
                <w:color w:val="auto"/>
              </w:rPr>
            </w:pPr>
            <w:r>
              <w:rPr>
                <w:rFonts w:ascii="Arial" w:cs="Arial" w:eastAsia="Arial" w:hAnsi="Arial"/>
                <w:sz w:val="18"/>
                <w:szCs w:val="18"/>
                <w:color w:val="auto"/>
              </w:rPr>
              <w:t>-8.9%</w:t>
            </w:r>
          </w:p>
        </w:tc>
        <w:tc>
          <w:tcPr>
            <w:tcW w:w="900" w:type="dxa"/>
            <w:vAlign w:val="bottom"/>
          </w:tcPr>
          <w:p>
            <w:pPr>
              <w:jc w:val="right"/>
              <w:spacing w:after="0"/>
              <w:rPr>
                <w:sz w:val="20"/>
                <w:szCs w:val="20"/>
                <w:color w:val="auto"/>
              </w:rPr>
            </w:pPr>
            <w:r>
              <w:rPr>
                <w:rFonts w:ascii="Arial" w:cs="Arial" w:eastAsia="Arial" w:hAnsi="Arial"/>
                <w:sz w:val="18"/>
                <w:szCs w:val="18"/>
                <w:color w:val="auto"/>
              </w:rPr>
              <w:t>155,408</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160,482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3.3%</w:t>
            </w:r>
          </w:p>
        </w:tc>
      </w:tr>
      <w:tr>
        <w:trPr>
          <w:trHeight w:val="210"/>
        </w:trPr>
        <w:tc>
          <w:tcPr>
            <w:tcW w:w="23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fee income</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529,120</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556,899</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568,630</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30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w:t>
            </w:r>
          </w:p>
        </w:tc>
        <w:tc>
          <w:tcPr>
            <w:tcW w:w="30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1,979,734</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2,182,279</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10.2</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r>
    </w:tbl>
    <w:p>
      <w:pPr>
        <w:ind w:left="260" w:hanging="252"/>
        <w:spacing w:after="0"/>
        <w:tabs>
          <w:tab w:leader="none" w:pos="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Saving accounts, current accounts, debit card and master account.</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Mainly Retail banking fees.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Mainly Wholesale banking fees.</w:t>
      </w:r>
    </w:p>
    <w:p>
      <w:pPr>
        <w:spacing w:after="0" w:line="9" w:lineRule="exact"/>
        <w:rPr>
          <w:rFonts w:ascii="Arial" w:cs="Arial" w:eastAsia="Arial" w:hAnsi="Arial"/>
          <w:sz w:val="18"/>
          <w:szCs w:val="18"/>
          <w:color w:val="auto"/>
        </w:rPr>
      </w:pPr>
    </w:p>
    <w:p>
      <w:pPr>
        <w:ind w:right="3480" w:firstLine="8"/>
        <w:spacing w:after="0" w:line="261" w:lineRule="auto"/>
        <w:tabs>
          <w:tab w:leader="none" w:pos="2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Includes fees from BCP Bolivia, Edyficar, network usage and other services to third parties, among others. In the table, the evolution of fee income QoQ in the banking business indicates:</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7" w:name="page38"/>
    <w:bookmarkEnd w:id="37"/>
    <w:p>
      <w:pPr>
        <w:ind w:left="500" w:hanging="492"/>
        <w:spacing w:after="0" w:line="277" w:lineRule="auto"/>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Fee income for off-balance sheet loans (+6.9% QoQ), which was attributable to a higher volume of unused loans and approved loans but not disbursed, financial products and guarantee and standby letters issued at the end of 4Q15;</w:t>
      </w:r>
    </w:p>
    <w:p>
      <w:pPr>
        <w:spacing w:after="0" w:line="170" w:lineRule="exact"/>
        <w:rPr>
          <w:rFonts w:ascii="Arial" w:cs="Arial" w:eastAsia="Arial" w:hAnsi="Arial"/>
          <w:sz w:val="18"/>
          <w:szCs w:val="18"/>
          <w:color w:val="auto"/>
        </w:rPr>
      </w:pPr>
    </w:p>
    <w:p>
      <w:pPr>
        <w:ind w:left="500" w:hanging="492"/>
        <w:spacing w:after="0"/>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higher level of fees for payments and collections (+2.8% QoQ); and</w:t>
      </w:r>
    </w:p>
    <w:p>
      <w:pPr>
        <w:spacing w:after="0" w:line="225"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Growth of income from miscellaneous accounts (+1.5% QoQ), which was due to an increase in transactions involving savings accounts, current accounts and debit cards.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aforementioned offset the decrease in fee income in corporate finance and mutual funds, and credit cards.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YoY terms, fee income was stable due to growth in bancassurance. This led to an increase in fee income at BCP and Mibanco, which was eliminated in the consolidated statement given that they were generated by Grupo Pacifico. In annual accumulated terms, fee income at Credicorp reported a moderate increase of +4.9%. If we analyze growth in the banking business in YoY and annual accumulated terms, we see expansion in miscellaneous income. This was attributable to an increase in the volume of transactions and to a lesser extent, to drafts and transfers, and off-balance sheet.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Growth in </w:t>
      </w:r>
      <w:r>
        <w:rPr>
          <w:rFonts w:ascii="Arial" w:cs="Arial" w:eastAsia="Arial" w:hAnsi="Arial"/>
          <w:sz w:val="18"/>
          <w:szCs w:val="18"/>
          <w:b w:val="1"/>
          <w:bCs w:val="1"/>
          <w:color w:val="auto"/>
        </w:rPr>
        <w:t>Other non-financial income</w:t>
      </w:r>
      <w:r>
        <w:rPr>
          <w:rFonts w:ascii="Arial" w:cs="Arial" w:eastAsia="Arial" w:hAnsi="Arial"/>
          <w:sz w:val="18"/>
          <w:szCs w:val="18"/>
          <w:color w:val="auto"/>
        </w:rPr>
        <w:t xml:space="preserve"> was mainly a result of an increase in non-recurring income at Edyficar.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Net gains on foreign exchange transactions </w:t>
      </w:r>
      <w:r>
        <w:rPr>
          <w:rFonts w:ascii="Arial" w:cs="Arial" w:eastAsia="Arial" w:hAnsi="Arial"/>
          <w:sz w:val="17"/>
          <w:szCs w:val="17"/>
          <w:color w:val="auto"/>
        </w:rPr>
        <w:t>grew +4.6% QoQ. This was attributable primarily to transactions at BCP, which increased mainly due to</w:t>
      </w:r>
      <w:r>
        <w:rPr>
          <w:rFonts w:ascii="Arial" w:cs="Arial" w:eastAsia="Arial" w:hAnsi="Arial"/>
          <w:sz w:val="17"/>
          <w:szCs w:val="17"/>
          <w:b w:val="1"/>
          <w:bCs w:val="1"/>
          <w:color w:val="auto"/>
        </w:rPr>
        <w:t xml:space="preserve"> </w:t>
      </w:r>
      <w:r>
        <w:rPr>
          <w:rFonts w:ascii="Arial" w:cs="Arial" w:eastAsia="Arial" w:hAnsi="Arial"/>
          <w:sz w:val="17"/>
          <w:szCs w:val="17"/>
          <w:color w:val="auto"/>
        </w:rPr>
        <w:t>exchange rate volatility in 4Q15 given that the US Dollar appreciated 5.87% against the Sol (the highest level since 2015). Credicorp Capital, reported gains on foreign exchange transactions as a result of positions taken and arbitrage transactions to take advantage of higher volatility of different currencies against the US Dollar. Nevertheless, realized gains fell below 3Q15’s figures. The YoY and annual accumulated analyses show growth of +10.2% and +23.8%, respectively, which was also attributable to an increase in exchange rate volatility (+14.23% in 2015 and +6.83% in 2014).</w:t>
      </w:r>
    </w:p>
    <w:p>
      <w:pPr>
        <w:spacing w:after="0" w:line="16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Net gain from subsidiaries, </w:t>
      </w:r>
      <w:r>
        <w:rPr>
          <w:rFonts w:ascii="Arial" w:cs="Arial" w:eastAsia="Arial" w:hAnsi="Arial"/>
          <w:sz w:val="18"/>
          <w:szCs w:val="18"/>
          <w:color w:val="auto"/>
        </w:rPr>
        <w:t>which comes from the joint venture between Grupo Pacifico and Banmedica for the health businesses, is composed of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elements:</w:t>
      </w:r>
    </w:p>
    <w:p>
      <w:pPr>
        <w:spacing w:after="0" w:line="166" w:lineRule="exact"/>
        <w:rPr>
          <w:sz w:val="20"/>
          <w:szCs w:val="20"/>
          <w:color w:val="auto"/>
        </w:rPr>
      </w:pPr>
    </w:p>
    <w:p>
      <w:pPr>
        <w:ind w:left="500" w:hanging="492"/>
        <w:spacing w:after="0" w:line="277" w:lineRule="auto"/>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contribution of 50% of the net income generated by the corporate health insurance and medical services businesses, which are managed by Banmedica, totaled S/.8.5 million, posting significant growth of +29.4% QoQ;</w:t>
      </w:r>
    </w:p>
    <w:p>
      <w:pPr>
        <w:spacing w:after="0" w:line="170"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deduction of 50% of the net income generated in the private health insurance business, which Grupo Pacifico manages, totaled S/.1.1 million in 4Q15. This represented a 67% decline QoQ that was due to higher claims this quarter associated with Oncological products, which generate higher costs and a much larger number of cases abroad.</w:t>
      </w:r>
    </w:p>
    <w:p>
      <w:pPr>
        <w:spacing w:after="0" w:line="181"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Non-recurring expense of S/. 10.3 million related to an adjustment in the revaluation of the health business at Grupo Pacifico and Banmedica, which was conducted in 1Q15.</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Net gains on sales of securities </w:t>
      </w:r>
      <w:r>
        <w:rPr>
          <w:rFonts w:ascii="Arial" w:cs="Arial" w:eastAsia="Arial" w:hAnsi="Arial"/>
          <w:sz w:val="18"/>
          <w:szCs w:val="18"/>
          <w:color w:val="auto"/>
        </w:rPr>
        <w:t>registered a loss in 4Q15 attributable to losses stemming from the devaluation of investment portfolios at ASB and Grupo</w:t>
      </w:r>
      <w:r>
        <w:rPr>
          <w:rFonts w:ascii="Arial" w:cs="Arial" w:eastAsia="Arial" w:hAnsi="Arial"/>
          <w:sz w:val="18"/>
          <w:szCs w:val="18"/>
          <w:b w:val="1"/>
          <w:bCs w:val="1"/>
          <w:color w:val="auto"/>
        </w:rPr>
        <w:t xml:space="preserve"> </w:t>
      </w:r>
      <w:r>
        <w:rPr>
          <w:rFonts w:ascii="Arial" w:cs="Arial" w:eastAsia="Arial" w:hAnsi="Arial"/>
          <w:sz w:val="18"/>
          <w:szCs w:val="18"/>
          <w:color w:val="auto"/>
        </w:rPr>
        <w:t>Pacifico. The aforementioned mitigated gains on sales of securities reported by: BCP Stand-alone, which was attributable to an increase in the market value of sovereign bonds in Latin America, in particular Colombia.</w:t>
      </w:r>
    </w:p>
    <w:p>
      <w:pPr>
        <w:spacing w:after="0" w:line="3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8" w:name="page39"/>
    <w:bookmarkEnd w:id="38"/>
    <w:p>
      <w:pPr>
        <w:ind w:left="500" w:hanging="492"/>
        <w:spacing w:after="0"/>
        <w:tabs>
          <w:tab w:leader="none" w:pos="50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Insurance underwriting result</w:t>
      </w:r>
    </w:p>
    <w:p>
      <w:pPr>
        <w:spacing w:after="0" w:line="233" w:lineRule="exact"/>
        <w:rPr>
          <w:sz w:val="20"/>
          <w:szCs w:val="20"/>
          <w:color w:val="auto"/>
        </w:rPr>
      </w:pPr>
    </w:p>
    <w:p>
      <w:pPr>
        <w:jc w:val="both"/>
        <w:spacing w:after="0"/>
        <w:rPr>
          <w:sz w:val="20"/>
          <w:szCs w:val="20"/>
          <w:color w:val="auto"/>
        </w:rPr>
      </w:pPr>
      <w:r>
        <w:rPr>
          <w:rFonts w:ascii="Arial" w:cs="Arial" w:eastAsia="Arial" w:hAnsi="Arial"/>
          <w:sz w:val="16"/>
          <w:szCs w:val="16"/>
          <w:i w:val="1"/>
          <w:iCs w:val="1"/>
          <w:color w:val="auto"/>
        </w:rPr>
        <w:t xml:space="preserve">The </w:t>
      </w:r>
      <w:r>
        <w:rPr>
          <w:rFonts w:ascii="Arial" w:cs="Arial" w:eastAsia="Arial" w:hAnsi="Arial"/>
          <w:sz w:val="16"/>
          <w:szCs w:val="16"/>
          <w:b w:val="1"/>
          <w:bCs w:val="1"/>
          <w:i w:val="1"/>
          <w:iCs w:val="1"/>
          <w:color w:val="auto"/>
        </w:rPr>
        <w:t>insurance underwriting result</w:t>
      </w:r>
      <w:r>
        <w:rPr>
          <w:rFonts w:ascii="Arial" w:cs="Arial" w:eastAsia="Arial" w:hAnsi="Arial"/>
          <w:sz w:val="16"/>
          <w:szCs w:val="16"/>
          <w:i w:val="1"/>
          <w:iCs w:val="1"/>
          <w:color w:val="auto"/>
        </w:rPr>
        <w:t xml:space="preserve"> increased +7.3% QoQ. This was due primarily to a drop in the acquisition cost in property and casualty insurance</w:t>
      </w:r>
      <w:r>
        <w:rPr>
          <w:rFonts w:ascii="Arial" w:cs="Arial" w:eastAsia="Arial" w:hAnsi="Arial"/>
          <w:sz w:val="26"/>
          <w:szCs w:val="26"/>
          <w:i w:val="1"/>
          <w:iCs w:val="1"/>
          <w:color w:val="auto"/>
          <w:vertAlign w:val="superscript"/>
        </w:rPr>
        <w:t>7</w:t>
      </w:r>
      <w:r>
        <w:rPr>
          <w:rFonts w:ascii="Arial" w:cs="Arial" w:eastAsia="Arial" w:hAnsi="Arial"/>
          <w:sz w:val="16"/>
          <w:szCs w:val="16"/>
          <w:i w:val="1"/>
          <w:iCs w:val="1"/>
          <w:color w:val="auto"/>
        </w:rPr>
        <w:t>, and to a lesser extent in Life Insurance, as well as to a higher increase in net premiums in life insurance. The aforementioned mitigated an increase in property</w:t>
      </w:r>
    </w:p>
    <w:p>
      <w:pPr>
        <w:jc w:val="both"/>
        <w:spacing w:after="0" w:line="217" w:lineRule="auto"/>
        <w:rPr>
          <w:sz w:val="20"/>
          <w:szCs w:val="20"/>
          <w:color w:val="auto"/>
        </w:rPr>
      </w:pPr>
      <w:r>
        <w:rPr>
          <w:rFonts w:ascii="Arial" w:cs="Arial" w:eastAsia="Arial" w:hAnsi="Arial"/>
          <w:sz w:val="18"/>
          <w:szCs w:val="18"/>
          <w:i w:val="1"/>
          <w:iCs w:val="1"/>
          <w:color w:val="auto"/>
        </w:rPr>
        <w:t>and casualty claims. In the YoY analysis, it is important to remember that the results incorporate the period-end effect of the joint venture with Banmédica</w:t>
      </w:r>
      <w:r>
        <w:rPr>
          <w:rFonts w:ascii="Arial" w:cs="Arial" w:eastAsia="Arial" w:hAnsi="Arial"/>
          <w:sz w:val="30"/>
          <w:szCs w:val="30"/>
          <w:i w:val="1"/>
          <w:iCs w:val="1"/>
          <w:color w:val="auto"/>
          <w:vertAlign w:val="superscript"/>
        </w:rPr>
        <w:t>8</w:t>
      </w:r>
      <w:r>
        <w:rPr>
          <w:rFonts w:ascii="Arial" w:cs="Arial" w:eastAsia="Arial" w:hAnsi="Arial"/>
          <w:sz w:val="18"/>
          <w:szCs w:val="18"/>
          <w:i w:val="1"/>
          <w:iCs w:val="1"/>
          <w:color w:val="auto"/>
        </w:rPr>
        <w:t>; nevertheless, the underwriting result increased 29.2%. This was due primarily to a decrease in the claims level in 4Q15 and to a drop in the acquisition cost, which attenuated the decline in the net earned premium.</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20" w:type="dxa"/>
            <w:vAlign w:val="bottom"/>
            <w:gridSpan w:val="2"/>
          </w:tcPr>
          <w:p>
            <w:pPr>
              <w:spacing w:after="0"/>
              <w:rPr>
                <w:sz w:val="20"/>
                <w:szCs w:val="20"/>
                <w:color w:val="auto"/>
              </w:rPr>
            </w:pPr>
            <w:r>
              <w:rPr>
                <w:rFonts w:ascii="Arial" w:cs="Arial" w:eastAsia="Arial" w:hAnsi="Arial"/>
                <w:sz w:val="18"/>
                <w:szCs w:val="18"/>
                <w:b w:val="1"/>
                <w:bCs w:val="1"/>
                <w:color w:val="auto"/>
                <w:w w:val="94"/>
              </w:rPr>
              <w:t>Insurance underwriting result</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Quarter</w:t>
            </w: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3"/>
          </w:tcPr>
          <w:p>
            <w:pPr>
              <w:ind w:left="660"/>
              <w:spacing w:after="0"/>
              <w:rPr>
                <w:sz w:val="20"/>
                <w:szCs w:val="20"/>
                <w:color w:val="auto"/>
              </w:rPr>
            </w:pPr>
            <w:r>
              <w:rPr>
                <w:rFonts w:ascii="Arial" w:cs="Arial" w:eastAsia="Arial" w:hAnsi="Arial"/>
                <w:sz w:val="18"/>
                <w:szCs w:val="18"/>
                <w:b w:val="1"/>
                <w:bCs w:val="1"/>
                <w:color w:val="auto"/>
                <w:w w:val="90"/>
              </w:rPr>
              <w:t>% change</w:t>
            </w: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3"/>
          </w:tcPr>
          <w:p>
            <w:pPr>
              <w:ind w:left="840"/>
              <w:spacing w:after="0"/>
              <w:rPr>
                <w:sz w:val="20"/>
                <w:szCs w:val="20"/>
                <w:color w:val="auto"/>
              </w:rPr>
            </w:pPr>
            <w:r>
              <w:rPr>
                <w:rFonts w:ascii="Arial" w:cs="Arial" w:eastAsia="Arial" w:hAnsi="Arial"/>
                <w:sz w:val="18"/>
                <w:szCs w:val="18"/>
                <w:b w:val="1"/>
                <w:bCs w:val="1"/>
                <w:color w:val="auto"/>
                <w:w w:val="92"/>
              </w:rPr>
              <w:t>Year</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 change</w:t>
            </w:r>
          </w:p>
        </w:tc>
      </w:tr>
      <w:tr>
        <w:trPr>
          <w:trHeight w:val="234"/>
        </w:trPr>
        <w:tc>
          <w:tcPr>
            <w:tcW w:w="2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S/.000</w:t>
            </w:r>
          </w:p>
        </w:tc>
        <w:tc>
          <w:tcPr>
            <w:tcW w:w="8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4Q14</w:t>
            </w:r>
          </w:p>
        </w:tc>
        <w:tc>
          <w:tcPr>
            <w:tcW w:w="22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3Q15</w:t>
            </w:r>
          </w:p>
        </w:tc>
        <w:tc>
          <w:tcPr>
            <w:tcW w:w="22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4Q15</w:t>
            </w:r>
          </w:p>
        </w:tc>
        <w:tc>
          <w:tcPr>
            <w:tcW w:w="22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YoY</w:t>
            </w:r>
          </w:p>
        </w:tc>
        <w:tc>
          <w:tcPr>
            <w:tcW w:w="30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2014</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2015 / 2014</w:t>
            </w:r>
          </w:p>
        </w:tc>
        <w:tc>
          <w:tcPr>
            <w:tcW w:w="180" w:type="dxa"/>
            <w:vAlign w:val="bottom"/>
            <w:tcBorders>
              <w:bottom w:val="single" w:sz="8" w:color="CCEEFF"/>
            </w:tcBorders>
          </w:tcPr>
          <w:p>
            <w:pPr>
              <w:spacing w:after="0"/>
              <w:rPr>
                <w:sz w:val="20"/>
                <w:szCs w:val="20"/>
                <w:color w:val="auto"/>
              </w:rPr>
            </w:pPr>
          </w:p>
        </w:tc>
      </w:tr>
      <w:tr>
        <w:trPr>
          <w:trHeight w:val="210"/>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Net earned premiums</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569,851</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432,777</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436,161</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2,188,239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1,700,478</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-22.3%</w:t>
            </w: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rPr>
              <w:t>Net claims</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(375,056)</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(265,648)</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(278,354)</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4.8%</w:t>
            </w:r>
          </w:p>
        </w:tc>
        <w:tc>
          <w:tcPr>
            <w:tcW w:w="2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-25.8%</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(1,426,733)</w:t>
            </w: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(1,031,659)</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-27.7%</w:t>
            </w:r>
          </w:p>
        </w:tc>
      </w:tr>
      <w:tr>
        <w:trPr>
          <w:trHeight w:val="270"/>
        </w:trPr>
        <w:tc>
          <w:tcPr>
            <w:tcW w:w="2420" w:type="dxa"/>
            <w:vAlign w:val="bottom"/>
            <w:gridSpan w:val="2"/>
            <w:shd w:val="clear" w:color="auto" w:fill="CCEEFF"/>
          </w:tcPr>
          <w:p>
            <w:pPr>
              <w:spacing w:after="0" w:line="269" w:lineRule="exact"/>
              <w:rPr>
                <w:sz w:val="20"/>
                <w:szCs w:val="20"/>
                <w:color w:val="auto"/>
              </w:rPr>
            </w:pPr>
            <w:r>
              <w:rPr>
                <w:rFonts w:ascii="Arial" w:cs="Arial" w:eastAsia="Arial" w:hAnsi="Arial"/>
                <w:sz w:val="18"/>
                <w:szCs w:val="18"/>
                <w:color w:val="auto"/>
              </w:rPr>
              <w:t xml:space="preserve">Acquisition cost </w:t>
            </w:r>
            <w:r>
              <w:rPr>
                <w:rFonts w:ascii="Arial" w:cs="Arial" w:eastAsia="Arial" w:hAnsi="Arial"/>
                <w:sz w:val="30"/>
                <w:szCs w:val="30"/>
                <w:color w:val="auto"/>
                <w:vertAlign w:val="superscript"/>
              </w:rPr>
              <w:t>(1)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(90,802)</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(41,884)</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(23,415)</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-44.1%</w:t>
            </w:r>
          </w:p>
        </w:tc>
        <w:tc>
          <w:tcPr>
            <w:tcW w:w="26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-74.2%</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(338,608)</w:t>
            </w:r>
          </w:p>
        </w:tc>
        <w:tc>
          <w:tcPr>
            <w:tcW w:w="1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(192,584)</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-43.1%</w:t>
            </w:r>
          </w:p>
        </w:tc>
      </w:tr>
      <w:tr>
        <w:trPr>
          <w:trHeight w:val="178"/>
        </w:trPr>
        <w:tc>
          <w:tcPr>
            <w:tcW w:w="2420" w:type="dxa"/>
            <w:vAlign w:val="bottom"/>
            <w:gridSpan w:val="2"/>
          </w:tcPr>
          <w:p>
            <w:pPr>
              <w:spacing w:after="0" w:line="178" w:lineRule="exact"/>
              <w:rPr>
                <w:sz w:val="20"/>
                <w:szCs w:val="20"/>
                <w:color w:val="auto"/>
              </w:rPr>
            </w:pPr>
            <w:r>
              <w:rPr>
                <w:rFonts w:ascii="Arial" w:cs="Arial" w:eastAsia="Arial" w:hAnsi="Arial"/>
                <w:sz w:val="18"/>
                <w:szCs w:val="18"/>
                <w:b w:val="1"/>
                <w:bCs w:val="1"/>
                <w:color w:val="auto"/>
                <w:w w:val="97"/>
              </w:rPr>
              <w:t>Total insurance underwriting</w:t>
            </w:r>
          </w:p>
        </w:tc>
        <w:tc>
          <w:tcPr>
            <w:tcW w:w="8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248"/>
        </w:trPr>
        <w:tc>
          <w:tcPr>
            <w:tcW w:w="2420" w:type="dxa"/>
            <w:vAlign w:val="bottom"/>
            <w:gridSpan w:val="2"/>
          </w:tcPr>
          <w:p>
            <w:pPr>
              <w:spacing w:after="0"/>
              <w:rPr>
                <w:sz w:val="20"/>
                <w:szCs w:val="20"/>
                <w:color w:val="auto"/>
              </w:rPr>
            </w:pPr>
            <w:r>
              <w:rPr>
                <w:rFonts w:ascii="Arial" w:cs="Arial" w:eastAsia="Arial" w:hAnsi="Arial"/>
                <w:sz w:val="18"/>
                <w:szCs w:val="18"/>
                <w:b w:val="1"/>
                <w:bCs w:val="1"/>
                <w:color w:val="auto"/>
              </w:rPr>
              <w:t>result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103,992</w:t>
            </w:r>
          </w:p>
        </w:tc>
        <w:tc>
          <w:tcPr>
            <w:tcW w:w="2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125,245</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134,392</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7.3%</w:t>
            </w:r>
          </w:p>
        </w:tc>
        <w:tc>
          <w:tcPr>
            <w:tcW w:w="26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29.2%</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422,898</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476,235</w:t>
            </w: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12.6%</w:t>
            </w:r>
          </w:p>
        </w:tc>
      </w:tr>
    </w:tbl>
    <w:p>
      <w:pPr>
        <w:spacing w:after="0"/>
        <w:rPr>
          <w:sz w:val="20"/>
          <w:szCs w:val="20"/>
          <w:color w:val="auto"/>
        </w:rPr>
      </w:pPr>
      <w:r>
        <w:rPr>
          <w:rFonts w:ascii="Arial" w:cs="Arial" w:eastAsia="Arial" w:hAnsi="Arial"/>
          <w:sz w:val="18"/>
          <w:szCs w:val="18"/>
          <w:color w:val="auto"/>
        </w:rPr>
        <w:t>(1) Includes net fees and underwriting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1539875</wp:posOffset>
            </wp:positionH>
            <wp:positionV relativeFrom="paragraph">
              <wp:posOffset>-130810</wp:posOffset>
            </wp:positionV>
            <wp:extent cx="559117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591175" cy="8890"/>
                    </a:xfrm>
                    <a:prstGeom prst="rect">
                      <a:avLst/>
                    </a:prstGeom>
                    <a:noFill/>
                  </pic:spPr>
                </pic:pic>
              </a:graphicData>
            </a:graphic>
          </wp:anchor>
        </w:drawing>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underwriting result by business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142875</wp:posOffset>
            </wp:positionV>
            <wp:extent cx="3293110" cy="16122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293110" cy="1612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1) Includes medical assistance for dependents and medical services.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6.1 Net earned premiums</w:t>
      </w:r>
    </w:p>
    <w:p>
      <w:pPr>
        <w:sectPr>
          <w:pgSz w:w="11900" w:h="16838" w:orient="portrait"/>
          <w:cols w:equalWidth="0" w:num="1">
            <w:col w:w="11420"/>
          </w:cols>
          <w:pgMar w:left="240" w:top="904" w:right="239" w:bottom="1440" w:gutter="0" w:footer="0" w:header="0"/>
        </w:sectPr>
      </w:pPr>
    </w:p>
    <w:p>
      <w:pPr>
        <w:spacing w:after="0" w:line="225" w:lineRule="exact"/>
        <w:rPr>
          <w:sz w:val="20"/>
          <w:szCs w:val="20"/>
          <w:color w:val="auto"/>
        </w:rPr>
      </w:pPr>
    </w:p>
    <w:p>
      <w:pPr>
        <w:jc w:val="center"/>
        <w:ind w:right="820"/>
        <w:spacing w:after="0"/>
        <w:rPr>
          <w:sz w:val="20"/>
          <w:szCs w:val="20"/>
          <w:color w:val="auto"/>
        </w:rPr>
      </w:pPr>
      <w:r>
        <w:rPr>
          <w:rFonts w:ascii="Arial" w:cs="Arial" w:eastAsia="Arial" w:hAnsi="Arial"/>
          <w:sz w:val="16"/>
          <w:szCs w:val="16"/>
          <w:b w:val="1"/>
          <w:bCs w:val="1"/>
          <w:color w:val="auto"/>
        </w:rPr>
        <w:t>Written premiums by business</w:t>
      </w:r>
    </w:p>
    <w:p>
      <w:pPr>
        <w:spacing w:after="0" w:line="50" w:lineRule="exact"/>
        <w:rPr>
          <w:sz w:val="20"/>
          <w:szCs w:val="20"/>
          <w:color w:val="auto"/>
        </w:rPr>
      </w:pPr>
    </w:p>
    <w:p>
      <w:pPr>
        <w:jc w:val="center"/>
        <w:ind w:right="820"/>
        <w:spacing w:after="0"/>
        <w:rPr>
          <w:sz w:val="20"/>
          <w:szCs w:val="20"/>
          <w:color w:val="auto"/>
        </w:rPr>
      </w:pPr>
      <w:r>
        <w:rPr>
          <w:rFonts w:ascii="Arial" w:cs="Arial" w:eastAsia="Arial" w:hAnsi="Arial"/>
          <w:sz w:val="18"/>
          <w:szCs w:val="18"/>
          <w:color w:val="auto"/>
        </w:rPr>
        <w:t>(S/. millons)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1560"/>
        <w:spacing w:after="0"/>
        <w:rPr>
          <w:sz w:val="20"/>
          <w:szCs w:val="20"/>
          <w:color w:val="auto"/>
        </w:rPr>
      </w:pPr>
      <w:r>
        <w:rPr>
          <w:rFonts w:ascii="Arial" w:cs="Arial" w:eastAsia="Arial" w:hAnsi="Arial"/>
          <w:sz w:val="15"/>
          <w:szCs w:val="15"/>
          <w:b w:val="1"/>
          <w:bCs w:val="1"/>
          <w:color w:val="auto"/>
        </w:rPr>
        <w:t>Net earned premiums by business</w:t>
      </w:r>
    </w:p>
    <w:p>
      <w:pPr>
        <w:spacing w:after="0" w:line="62" w:lineRule="exact"/>
        <w:rPr>
          <w:sz w:val="20"/>
          <w:szCs w:val="20"/>
          <w:color w:val="auto"/>
        </w:rPr>
      </w:pPr>
    </w:p>
    <w:p>
      <w:pPr>
        <w:jc w:val="center"/>
        <w:ind w:right="1560"/>
        <w:spacing w:after="0"/>
        <w:rPr>
          <w:sz w:val="20"/>
          <w:szCs w:val="20"/>
          <w:color w:val="auto"/>
        </w:rPr>
      </w:pPr>
      <w:r>
        <w:rPr>
          <w:rFonts w:ascii="Arial" w:cs="Arial" w:eastAsia="Arial" w:hAnsi="Arial"/>
          <w:sz w:val="18"/>
          <w:szCs w:val="18"/>
          <w:color w:val="auto"/>
        </w:rPr>
        <w:t>(S/. millons)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-568960</wp:posOffset>
            </wp:positionH>
            <wp:positionV relativeFrom="paragraph">
              <wp:posOffset>142875</wp:posOffset>
            </wp:positionV>
            <wp:extent cx="2752725" cy="13462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752725" cy="13462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560" w:space="720"/>
            <w:col w:w="4140"/>
          </w:cols>
          <w:pgMar w:left="240" w:top="904"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(1) Includes medical assistance for dependents and medical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180975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81" w:lineRule="exact"/>
        <w:rPr>
          <w:sz w:val="20"/>
          <w:szCs w:val="20"/>
          <w:color w:val="auto"/>
        </w:rPr>
      </w:pPr>
    </w:p>
    <w:p>
      <w:pPr>
        <w:ind w:right="20" w:firstLine="8"/>
        <w:spacing w:after="0" w:line="207" w:lineRule="auto"/>
        <w:tabs>
          <w:tab w:leader="none" w:pos="121" w:val="left"/>
        </w:tabs>
        <w:numPr>
          <w:ilvl w:val="0"/>
          <w:numId w:val="52"/>
        </w:numPr>
        <w:rPr>
          <w:rFonts w:ascii="Arial" w:cs="Arial" w:eastAsia="Arial" w:hAnsi="Arial"/>
          <w:sz w:val="28"/>
          <w:szCs w:val="28"/>
          <w:color w:val="auto"/>
          <w:vertAlign w:val="superscript"/>
        </w:rPr>
      </w:pPr>
      <w:r>
        <w:rPr>
          <w:rFonts w:ascii="Arial" w:cs="Arial" w:eastAsia="Arial" w:hAnsi="Arial"/>
          <w:sz w:val="17"/>
          <w:szCs w:val="17"/>
          <w:color w:val="auto"/>
        </w:rPr>
        <w:t>Property and casualty insurance includes the car insurance line, private health insurance and P &amp; C. Private health insurance corresponds to health insurance that is managed by Grupo Paficico and for which Banmedica receives 50% of the net earnings as stipulated in the joint venture agreement.</w:t>
      </w:r>
    </w:p>
    <w:p>
      <w:pPr>
        <w:spacing w:after="0" w:line="26" w:lineRule="exact"/>
        <w:rPr>
          <w:sz w:val="20"/>
          <w:szCs w:val="20"/>
          <w:color w:val="auto"/>
        </w:rPr>
      </w:pPr>
    </w:p>
    <w:p>
      <w:pPr>
        <w:jc w:val="both"/>
        <w:ind w:firstLine="8"/>
        <w:spacing w:after="0" w:line="209" w:lineRule="auto"/>
        <w:tabs>
          <w:tab w:leader="none" w:pos="143" w:val="left"/>
        </w:tabs>
        <w:numPr>
          <w:ilvl w:val="0"/>
          <w:numId w:val="53"/>
        </w:numPr>
        <w:rPr>
          <w:rFonts w:ascii="Arial" w:cs="Arial" w:eastAsia="Arial" w:hAnsi="Arial"/>
          <w:sz w:val="30"/>
          <w:szCs w:val="30"/>
          <w:color w:val="auto"/>
          <w:vertAlign w:val="superscript"/>
        </w:rPr>
      </w:pPr>
      <w:r>
        <w:rPr>
          <w:rFonts w:ascii="Arial" w:cs="Arial" w:eastAsia="Arial" w:hAnsi="Arial"/>
          <w:sz w:val="18"/>
          <w:szCs w:val="18"/>
          <w:color w:val="auto"/>
        </w:rPr>
        <w:t>The joint venture agreement with Banmedica stipulates that the corporate health insurance business and medical services (network of clinics, medical centers and laboratories) must be reported as an investment in subsidiaries. Both businesses are managed by Banmedica and Grupo Pacifico receives 50% of net earnings.</w:t>
      </w: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39" w:name="page40"/>
    <w:bookmarkEnd w:id="39"/>
    <w:p>
      <w:pPr>
        <w:jc w:val="both"/>
        <w:spacing w:after="0" w:line="314" w:lineRule="auto"/>
        <w:rPr>
          <w:sz w:val="20"/>
          <w:szCs w:val="20"/>
          <w:color w:val="auto"/>
        </w:rPr>
      </w:pPr>
      <w:r>
        <w:rPr>
          <w:rFonts w:ascii="Arial" w:cs="Arial" w:eastAsia="Arial" w:hAnsi="Arial"/>
          <w:sz w:val="16"/>
          <w:szCs w:val="16"/>
          <w:b w:val="1"/>
          <w:bCs w:val="1"/>
          <w:color w:val="auto"/>
        </w:rPr>
        <w:t xml:space="preserve">Written premiums </w:t>
      </w:r>
      <w:r>
        <w:rPr>
          <w:rFonts w:ascii="Arial" w:cs="Arial" w:eastAsia="Arial" w:hAnsi="Arial"/>
          <w:sz w:val="16"/>
          <w:szCs w:val="16"/>
          <w:color w:val="auto"/>
        </w:rPr>
        <w:t>increased 0.2% QoQ in line with the higher level of production in the property and casualty business. The car insurance line posted the</w:t>
      </w:r>
      <w:r>
        <w:rPr>
          <w:rFonts w:ascii="Arial" w:cs="Arial" w:eastAsia="Arial" w:hAnsi="Arial"/>
          <w:sz w:val="16"/>
          <w:szCs w:val="16"/>
          <w:b w:val="1"/>
          <w:bCs w:val="1"/>
          <w:color w:val="auto"/>
        </w:rPr>
        <w:t xml:space="preserve"> </w:t>
      </w:r>
      <w:r>
        <w:rPr>
          <w:rFonts w:ascii="Arial" w:cs="Arial" w:eastAsia="Arial" w:hAnsi="Arial"/>
          <w:sz w:val="16"/>
          <w:szCs w:val="16"/>
          <w:color w:val="auto"/>
        </w:rPr>
        <w:t>higher income from corporate accounts, followed by traditional property and casualty insurance, where fire insurance was the best performer. In regard to the business of life insurance business decrease QoQ. This was primarily due to the annuities line and to a decrease in sales of retirement policies.</w:t>
      </w:r>
    </w:p>
    <w:p>
      <w:pPr>
        <w:spacing w:after="0" w:line="142"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Net earned premiums </w:t>
      </w:r>
      <w:r>
        <w:rPr>
          <w:rFonts w:ascii="Arial" w:cs="Arial" w:eastAsia="Arial" w:hAnsi="Arial"/>
          <w:sz w:val="16"/>
          <w:szCs w:val="16"/>
          <w:color w:val="auto"/>
        </w:rPr>
        <w:t>increased +0.8% QoQ mainly due to i) the increase in life insurance business, where the annuities line posted good results due to low</w:t>
      </w:r>
      <w:r>
        <w:rPr>
          <w:rFonts w:ascii="Arial" w:cs="Arial" w:eastAsia="Arial" w:hAnsi="Arial"/>
          <w:sz w:val="16"/>
          <w:szCs w:val="16"/>
          <w:b w:val="1"/>
          <w:bCs w:val="1"/>
          <w:color w:val="auto"/>
        </w:rPr>
        <w:t xml:space="preserve"> </w:t>
      </w:r>
      <w:r>
        <w:rPr>
          <w:rFonts w:ascii="Arial" w:cs="Arial" w:eastAsia="Arial" w:hAnsi="Arial"/>
          <w:sz w:val="16"/>
          <w:szCs w:val="16"/>
          <w:color w:val="auto"/>
        </w:rPr>
        <w:t>reserve ratio, ii) the disability and survivorship business due to higher written premiums, iii) credit life performed well, which was attributable to higher premiums in Mibanco’s channel; and iv) individual life reported higher premium renewals. In regard to Property and casualty insurance, it posted a decline due to higher reserves for car insurance and traditional property &amp; casualty, which was in line to the higher premium production during the last quarter.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6.2 Net claims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Net claims by business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142875</wp:posOffset>
            </wp:positionV>
            <wp:extent cx="3121660" cy="15436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121660" cy="1543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(1) Includes medical assistance for dependents and medical services.</w:t>
      </w: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Net claims </w:t>
      </w:r>
      <w:r>
        <w:rPr>
          <w:rFonts w:ascii="Arial" w:cs="Arial" w:eastAsia="Arial" w:hAnsi="Arial"/>
          <w:sz w:val="18"/>
          <w:szCs w:val="18"/>
          <w:color w:val="auto"/>
        </w:rPr>
        <w:t>increased +4.8% QoQ due to higher claims for property and casualty insurance due to higher average cost of oncological products and an a higher</w:t>
      </w:r>
      <w:r>
        <w:rPr>
          <w:rFonts w:ascii="Arial" w:cs="Arial" w:eastAsia="Arial" w:hAnsi="Arial"/>
          <w:sz w:val="18"/>
          <w:szCs w:val="18"/>
          <w:b w:val="1"/>
          <w:bCs w:val="1"/>
          <w:color w:val="auto"/>
        </w:rPr>
        <w:t xml:space="preserve"> </w:t>
      </w:r>
      <w:r>
        <w:rPr>
          <w:rFonts w:ascii="Arial" w:cs="Arial" w:eastAsia="Arial" w:hAnsi="Arial"/>
          <w:sz w:val="18"/>
          <w:szCs w:val="18"/>
          <w:color w:val="auto"/>
        </w:rPr>
        <w:t>frequency in all risk protection products in the car lines. Also, it is explained by the elimination of operations between affiliated due to the recovery of a claim. The net claims in life insurance fell QoQ, primarily in Disability and survivorship (SISCO) by release of loss reserves, individual life (due to a decrease in cases) and credit life as a result of claims recovery with BCP.</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6.3 Acquisition cost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Acquisition cost by Business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2003425</wp:posOffset>
            </wp:positionH>
            <wp:positionV relativeFrom="paragraph">
              <wp:posOffset>142875</wp:posOffset>
            </wp:positionV>
            <wp:extent cx="3224530" cy="15347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224530" cy="1534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(1) Includes medical assistance for dependents and medical services.</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0" w:name="page41"/>
    <w:bookmarkEnd w:id="40"/>
    <w:p>
      <w:pPr>
        <w:jc w:val="both"/>
        <w:spacing w:after="0" w:line="277"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b w:val="1"/>
          <w:bCs w:val="1"/>
          <w:color w:val="auto"/>
        </w:rPr>
        <w:t>acquisition cost</w:t>
      </w:r>
      <w:r>
        <w:rPr>
          <w:rFonts w:ascii="Arial" w:cs="Arial" w:eastAsia="Arial" w:hAnsi="Arial"/>
          <w:sz w:val="17"/>
          <w:szCs w:val="17"/>
          <w:color w:val="auto"/>
        </w:rPr>
        <w:t xml:space="preserve"> fell -44.1% QoQ due to an increase in underwriting income and a decrease in underwriting expenses, which offset the increase in net fees. The increase in the underwriting income was primarily due to profit sharing for reinsurance in the property and casualty businesses (traditional property and casualty) and to life insurance. The change QoQ in the underwriting expense and net fees was due to regularization processes that eliminate transactions between affiliates. If we exclude this effect, underwriting expenses increase mainly in life insurance as a result of higher incentives to sales forces, and lower net fees due to higher fees ceded particularly in property and casualty business.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20" w:type="dxa"/>
            <w:vAlign w:val="bottom"/>
            <w:gridSpan w:val="2"/>
          </w:tcPr>
          <w:p>
            <w:pPr>
              <w:spacing w:after="0"/>
              <w:rPr>
                <w:sz w:val="20"/>
                <w:szCs w:val="20"/>
                <w:color w:val="auto"/>
              </w:rPr>
            </w:pPr>
            <w:r>
              <w:rPr>
                <w:rFonts w:ascii="Arial" w:cs="Arial" w:eastAsia="Arial" w:hAnsi="Arial"/>
                <w:sz w:val="18"/>
                <w:szCs w:val="18"/>
                <w:b w:val="1"/>
                <w:bCs w:val="1"/>
                <w:color w:val="auto"/>
              </w:rPr>
              <w:t>Acquisition cost</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Quarter</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3"/>
          </w:tcPr>
          <w:p>
            <w:pPr>
              <w:ind w:left="680"/>
              <w:spacing w:after="0"/>
              <w:rPr>
                <w:sz w:val="20"/>
                <w:szCs w:val="20"/>
                <w:color w:val="auto"/>
              </w:rPr>
            </w:pPr>
            <w:r>
              <w:rPr>
                <w:rFonts w:ascii="Arial" w:cs="Arial" w:eastAsia="Arial" w:hAnsi="Arial"/>
                <w:sz w:val="18"/>
                <w:szCs w:val="18"/>
                <w:b w:val="1"/>
                <w:bCs w:val="1"/>
                <w:color w:val="auto"/>
                <w:w w:val="90"/>
              </w:rPr>
              <w:t>% change</w:t>
            </w: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3"/>
          </w:tcPr>
          <w:p>
            <w:pPr>
              <w:ind w:left="840"/>
              <w:spacing w:after="0"/>
              <w:rPr>
                <w:sz w:val="20"/>
                <w:szCs w:val="20"/>
                <w:color w:val="auto"/>
              </w:rPr>
            </w:pPr>
            <w:r>
              <w:rPr>
                <w:rFonts w:ascii="Arial" w:cs="Arial" w:eastAsia="Arial" w:hAnsi="Arial"/>
                <w:sz w:val="18"/>
                <w:szCs w:val="18"/>
                <w:b w:val="1"/>
                <w:bCs w:val="1"/>
                <w:color w:val="auto"/>
              </w:rPr>
              <w:t>Year</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w w:val="97"/>
              </w:rPr>
              <w:t>% change</w:t>
            </w:r>
          </w:p>
        </w:tc>
      </w:tr>
      <w:tr>
        <w:trPr>
          <w:trHeight w:val="234"/>
        </w:trPr>
        <w:tc>
          <w:tcPr>
            <w:tcW w:w="2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S/.000</w:t>
            </w:r>
          </w:p>
        </w:tc>
        <w:tc>
          <w:tcPr>
            <w:tcW w:w="12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4Q14</w:t>
            </w:r>
          </w:p>
        </w:tc>
        <w:tc>
          <w:tcPr>
            <w:tcW w:w="22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3Q15</w:t>
            </w:r>
          </w:p>
        </w:tc>
        <w:tc>
          <w:tcPr>
            <w:tcW w:w="22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4Q15</w:t>
            </w:r>
          </w:p>
        </w:tc>
        <w:tc>
          <w:tcPr>
            <w:tcW w:w="22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6"/>
              </w:rPr>
              <w:t>YoY</w:t>
            </w:r>
          </w:p>
        </w:tc>
        <w:tc>
          <w:tcPr>
            <w:tcW w:w="30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2014</w:t>
            </w:r>
          </w:p>
        </w:tc>
        <w:tc>
          <w:tcPr>
            <w:tcW w:w="2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2015 / 2014</w:t>
            </w:r>
          </w:p>
        </w:tc>
        <w:tc>
          <w:tcPr>
            <w:tcW w:w="160" w:type="dxa"/>
            <w:vAlign w:val="bottom"/>
            <w:tcBorders>
              <w:bottom w:val="single" w:sz="8" w:color="CCEEFF"/>
            </w:tcBorders>
          </w:tcPr>
          <w:p>
            <w:pPr>
              <w:spacing w:after="0"/>
              <w:rPr>
                <w:sz w:val="20"/>
                <w:szCs w:val="20"/>
                <w:color w:val="auto"/>
              </w:rPr>
            </w:pPr>
          </w:p>
        </w:tc>
      </w:tr>
      <w:tr>
        <w:trPr>
          <w:trHeight w:val="210"/>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Net fees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(70,204)</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(27,353)</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(38,679)</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41.4%</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-44.9%</w:t>
            </w:r>
          </w:p>
        </w:tc>
        <w:tc>
          <w:tcPr>
            <w:tcW w:w="90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0"/>
              </w:rPr>
              <w:t>(262,692)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(167,826)</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-36.1%</w:t>
            </w:r>
          </w:p>
        </w:tc>
      </w:tr>
      <w:tr>
        <w:trPr>
          <w:trHeight w:val="216"/>
        </w:trPr>
        <w:tc>
          <w:tcPr>
            <w:tcW w:w="2320" w:type="dxa"/>
            <w:vAlign w:val="bottom"/>
            <w:gridSpan w:val="2"/>
          </w:tcPr>
          <w:p>
            <w:pPr>
              <w:spacing w:after="0"/>
              <w:rPr>
                <w:sz w:val="20"/>
                <w:szCs w:val="20"/>
                <w:color w:val="auto"/>
              </w:rPr>
            </w:pPr>
            <w:r>
              <w:rPr>
                <w:rFonts w:ascii="Arial" w:cs="Arial" w:eastAsia="Arial" w:hAnsi="Arial"/>
                <w:sz w:val="18"/>
                <w:szCs w:val="18"/>
                <w:color w:val="auto"/>
              </w:rPr>
              <w:t>Underwriting expenses</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(40,680)</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(26,196)</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(20,112)</w:t>
            </w:r>
          </w:p>
        </w:tc>
        <w:tc>
          <w:tcPr>
            <w:tcW w:w="1200" w:type="dxa"/>
            <w:vAlign w:val="bottom"/>
            <w:gridSpan w:val="2"/>
          </w:tcPr>
          <w:p>
            <w:pPr>
              <w:jc w:val="right"/>
              <w:ind w:right="50"/>
              <w:spacing w:after="0"/>
              <w:rPr>
                <w:sz w:val="20"/>
                <w:szCs w:val="20"/>
                <w:color w:val="auto"/>
              </w:rPr>
            </w:pPr>
            <w:r>
              <w:rPr>
                <w:rFonts w:ascii="Arial" w:cs="Arial" w:eastAsia="Arial" w:hAnsi="Arial"/>
                <w:sz w:val="18"/>
                <w:szCs w:val="18"/>
                <w:color w:val="auto"/>
              </w:rPr>
              <w:t>-23.2%</w:t>
            </w:r>
          </w:p>
        </w:tc>
        <w:tc>
          <w:tcPr>
            <w:tcW w:w="260" w:type="dxa"/>
            <w:vAlign w:val="bottom"/>
          </w:tcPr>
          <w:p>
            <w:pPr>
              <w:spacing w:after="0"/>
              <w:rPr>
                <w:sz w:val="18"/>
                <w:szCs w:val="18"/>
                <w:color w:val="auto"/>
              </w:rPr>
            </w:pPr>
          </w:p>
        </w:tc>
        <w:tc>
          <w:tcPr>
            <w:tcW w:w="940" w:type="dxa"/>
            <w:vAlign w:val="bottom"/>
            <w:gridSpan w:val="2"/>
          </w:tcPr>
          <w:p>
            <w:pPr>
              <w:jc w:val="right"/>
              <w:ind w:right="50"/>
              <w:spacing w:after="0"/>
              <w:rPr>
                <w:sz w:val="20"/>
                <w:szCs w:val="20"/>
                <w:color w:val="auto"/>
              </w:rPr>
            </w:pPr>
            <w:r>
              <w:rPr>
                <w:rFonts w:ascii="Arial" w:cs="Arial" w:eastAsia="Arial" w:hAnsi="Arial"/>
                <w:sz w:val="18"/>
                <w:szCs w:val="18"/>
                <w:color w:val="auto"/>
              </w:rPr>
              <w:t>-50.6%</w:t>
            </w:r>
          </w:p>
        </w:tc>
        <w:tc>
          <w:tcPr>
            <w:tcW w:w="1120" w:type="dxa"/>
            <w:vAlign w:val="bottom"/>
            <w:gridSpan w:val="2"/>
          </w:tcPr>
          <w:p>
            <w:pPr>
              <w:ind w:left="260"/>
              <w:spacing w:after="0"/>
              <w:rPr>
                <w:sz w:val="20"/>
                <w:szCs w:val="20"/>
                <w:color w:val="auto"/>
              </w:rPr>
            </w:pPr>
            <w:r>
              <w:rPr>
                <w:rFonts w:ascii="Arial" w:cs="Arial" w:eastAsia="Arial" w:hAnsi="Arial"/>
                <w:sz w:val="18"/>
                <w:szCs w:val="18"/>
                <w:color w:val="auto"/>
              </w:rPr>
              <w:t>(128,405)</w:t>
            </w:r>
          </w:p>
        </w:tc>
        <w:tc>
          <w:tcPr>
            <w:tcW w:w="18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(95,857)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-25.3%</w:t>
            </w:r>
          </w:p>
        </w:tc>
      </w:tr>
      <w:tr>
        <w:trPr>
          <w:trHeight w:val="230"/>
        </w:trPr>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Underwriting income</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20,081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11,665</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35,375</w:t>
            </w:r>
          </w:p>
        </w:tc>
        <w:tc>
          <w:tcPr>
            <w:tcW w:w="12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203%</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76.2%</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52,488</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71,098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35.5%</w:t>
            </w:r>
          </w:p>
        </w:tc>
      </w:tr>
      <w:tr>
        <w:trPr>
          <w:trHeight w:val="210"/>
        </w:trPr>
        <w:tc>
          <w:tcPr>
            <w:tcW w:w="2320" w:type="dxa"/>
            <w:vAlign w:val="bottom"/>
            <w:gridSpan w:val="2"/>
          </w:tcPr>
          <w:p>
            <w:pPr>
              <w:spacing w:after="0"/>
              <w:rPr>
                <w:sz w:val="20"/>
                <w:szCs w:val="20"/>
                <w:color w:val="auto"/>
              </w:rPr>
            </w:pPr>
            <w:r>
              <w:rPr>
                <w:rFonts w:ascii="Arial" w:cs="Arial" w:eastAsia="Arial" w:hAnsi="Arial"/>
                <w:sz w:val="18"/>
                <w:szCs w:val="18"/>
                <w:b w:val="1"/>
                <w:bCs w:val="1"/>
                <w:color w:val="auto"/>
              </w:rPr>
              <w:t>Acquisition cost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(90,802</w:t>
            </w:r>
          </w:p>
        </w:tc>
        <w:tc>
          <w:tcPr>
            <w:tcW w:w="220" w:type="dxa"/>
            <w:vAlign w:val="bottom"/>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(41,884</w:t>
            </w:r>
          </w:p>
        </w:tc>
        <w:tc>
          <w:tcPr>
            <w:tcW w:w="220" w:type="dxa"/>
            <w:vAlign w:val="bottom"/>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(23,415</w:t>
            </w:r>
          </w:p>
        </w:tc>
        <w:tc>
          <w:tcPr>
            <w:tcW w:w="220" w:type="dxa"/>
            <w:vAlign w:val="bottom"/>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-44.1</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2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-74.2</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tcPr>
          <w:p>
            <w:pPr>
              <w:ind w:left="260"/>
              <w:spacing w:after="0"/>
              <w:rPr>
                <w:sz w:val="20"/>
                <w:szCs w:val="20"/>
                <w:color w:val="auto"/>
              </w:rPr>
            </w:pPr>
            <w:r>
              <w:rPr>
                <w:rFonts w:ascii="Arial" w:cs="Arial" w:eastAsia="Arial" w:hAnsi="Arial"/>
                <w:sz w:val="18"/>
                <w:szCs w:val="18"/>
                <w:b w:val="1"/>
                <w:bCs w:val="1"/>
                <w:color w:val="auto"/>
                <w:w w:val="87"/>
              </w:rPr>
              <w:t>(338,608</w:t>
            </w:r>
          </w:p>
        </w:tc>
        <w:tc>
          <w:tcPr>
            <w:tcW w:w="220" w:type="dxa"/>
            <w:vAlign w:val="bottom"/>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(192,584</w:t>
            </w:r>
          </w:p>
        </w:tc>
        <w:tc>
          <w:tcPr>
            <w:tcW w:w="220" w:type="dxa"/>
            <w:vAlign w:val="bottom"/>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-43.1</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87"/>
              </w:rPr>
              <w:t>%</w:t>
            </w:r>
          </w:p>
        </w:tc>
      </w:tr>
      <w:tr>
        <w:trPr>
          <w:trHeight w:val="20"/>
        </w:trPr>
        <w:tc>
          <w:tcPr>
            <w:tcW w:w="2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ind w:left="500" w:hanging="492"/>
        <w:spacing w:after="0"/>
        <w:tabs>
          <w:tab w:leader="none" w:pos="50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expenses and efficiency</w:t>
      </w:r>
    </w:p>
    <w:p>
      <w:pPr>
        <w:spacing w:after="0" w:line="233" w:lineRule="exact"/>
        <w:rPr>
          <w:sz w:val="20"/>
          <w:szCs w:val="20"/>
          <w:color w:val="auto"/>
        </w:rPr>
      </w:pPr>
    </w:p>
    <w:p>
      <w:pPr>
        <w:spacing w:after="0" w:line="210" w:lineRule="auto"/>
        <w:rPr>
          <w:sz w:val="20"/>
          <w:szCs w:val="20"/>
          <w:color w:val="auto"/>
        </w:rPr>
      </w:pPr>
      <w:r>
        <w:rPr>
          <w:rFonts w:ascii="Arial" w:cs="Arial" w:eastAsia="Arial" w:hAnsi="Arial"/>
          <w:sz w:val="18"/>
          <w:szCs w:val="18"/>
          <w:i w:val="1"/>
          <w:iCs w:val="1"/>
          <w:color w:val="auto"/>
        </w:rPr>
        <w:t>The efficiency ratio</w:t>
      </w:r>
      <w:r>
        <w:rPr>
          <w:rFonts w:ascii="Arial" w:cs="Arial" w:eastAsia="Arial" w:hAnsi="Arial"/>
          <w:sz w:val="30"/>
          <w:szCs w:val="30"/>
          <w:i w:val="1"/>
          <w:iCs w:val="1"/>
          <w:color w:val="auto"/>
          <w:vertAlign w:val="superscript"/>
        </w:rPr>
        <w:t>9</w:t>
      </w:r>
      <w:r>
        <w:rPr>
          <w:rFonts w:ascii="Arial" w:cs="Arial" w:eastAsia="Arial" w:hAnsi="Arial"/>
          <w:sz w:val="18"/>
          <w:szCs w:val="18"/>
          <w:i w:val="1"/>
          <w:iCs w:val="1"/>
          <w:color w:val="auto"/>
        </w:rPr>
        <w:t xml:space="preserve"> increased QoQ due mainly to seasonality </w:t>
      </w:r>
      <w:r>
        <w:rPr>
          <w:rFonts w:ascii="Arial" w:cs="Arial" w:eastAsia="Arial" w:hAnsi="Arial"/>
          <w:sz w:val="18"/>
          <w:szCs w:val="18"/>
          <w:color w:val="auto"/>
        </w:rPr>
        <w:t>that characterizes 4Qs of each year</w:t>
      </w:r>
      <w:r>
        <w:rPr>
          <w:rFonts w:ascii="Arial" w:cs="Arial" w:eastAsia="Arial" w:hAnsi="Arial"/>
          <w:sz w:val="18"/>
          <w:szCs w:val="18"/>
          <w:i w:val="1"/>
          <w:iCs w:val="1"/>
          <w:color w:val="auto"/>
        </w:rPr>
        <w:t>. Nevertheless, the efficiency program showed positive results, reflected in a reduction of the efficiency ratio of -180 bps YoY and -200 pbs in accumulated terms.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Operating expenses</w:t>
            </w: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Quarter</w:t>
            </w: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3"/>
          </w:tcPr>
          <w:p>
            <w:pPr>
              <w:ind w:left="720"/>
              <w:spacing w:after="0"/>
              <w:rPr>
                <w:sz w:val="20"/>
                <w:szCs w:val="20"/>
                <w:color w:val="auto"/>
              </w:rPr>
            </w:pPr>
            <w:r>
              <w:rPr>
                <w:rFonts w:ascii="Arial" w:cs="Arial" w:eastAsia="Arial" w:hAnsi="Arial"/>
                <w:sz w:val="14"/>
                <w:szCs w:val="14"/>
                <w:b w:val="1"/>
                <w:bCs w:val="1"/>
                <w:color w:val="auto"/>
              </w:rPr>
              <w:t>% change</w:t>
            </w: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3"/>
          </w:tcPr>
          <w:p>
            <w:pPr>
              <w:ind w:left="900"/>
              <w:spacing w:after="0"/>
              <w:rPr>
                <w:sz w:val="20"/>
                <w:szCs w:val="20"/>
                <w:color w:val="auto"/>
              </w:rPr>
            </w:pPr>
            <w:r>
              <w:rPr>
                <w:rFonts w:ascii="Arial" w:cs="Arial" w:eastAsia="Arial" w:hAnsi="Arial"/>
                <w:sz w:val="14"/>
                <w:szCs w:val="14"/>
                <w:b w:val="1"/>
                <w:bCs w:val="1"/>
                <w:color w:val="auto"/>
              </w:rPr>
              <w:t>Year</w:t>
            </w: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22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000</w:t>
            </w:r>
          </w:p>
        </w:tc>
        <w:tc>
          <w:tcPr>
            <w:tcW w:w="10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4Q14</w:t>
            </w:r>
          </w:p>
        </w:tc>
        <w:tc>
          <w:tcPr>
            <w:tcW w:w="26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3Q15</w:t>
            </w:r>
          </w:p>
        </w:tc>
        <w:tc>
          <w:tcPr>
            <w:tcW w:w="26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4Q15</w:t>
            </w:r>
          </w:p>
        </w:tc>
        <w:tc>
          <w:tcPr>
            <w:tcW w:w="24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QoQ</w:t>
            </w:r>
          </w:p>
        </w:tc>
        <w:tc>
          <w:tcPr>
            <w:tcW w:w="2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YoY</w:t>
            </w:r>
          </w:p>
        </w:tc>
        <w:tc>
          <w:tcPr>
            <w:tcW w:w="26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2015 / 2014</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Salaries and employees benefits</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680,338</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703,985</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740,924</w:t>
            </w:r>
          </w:p>
        </w:tc>
        <w:tc>
          <w:tcPr>
            <w:tcW w:w="2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5.2%</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8.9%</w:t>
            </w: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2,659,122</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2,878,318</w:t>
            </w:r>
          </w:p>
        </w:tc>
        <w:tc>
          <w:tcPr>
            <w:tcW w:w="2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30"/>
        </w:trPr>
        <w:tc>
          <w:tcPr>
            <w:tcW w:w="2300" w:type="dxa"/>
            <w:vAlign w:val="bottom"/>
            <w:gridSpan w:val="2"/>
          </w:tcPr>
          <w:p>
            <w:pPr>
              <w:spacing w:after="0" w:line="130" w:lineRule="exact"/>
              <w:rPr>
                <w:sz w:val="20"/>
                <w:szCs w:val="20"/>
                <w:color w:val="auto"/>
              </w:rPr>
            </w:pPr>
            <w:r>
              <w:rPr>
                <w:rFonts w:ascii="Arial" w:cs="Arial" w:eastAsia="Arial" w:hAnsi="Arial"/>
                <w:sz w:val="14"/>
                <w:szCs w:val="14"/>
                <w:color w:val="auto"/>
              </w:rPr>
              <w:t>Administrative, general and tax</w:t>
            </w: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00" w:type="dxa"/>
            <w:vAlign w:val="bottom"/>
            <w:gridSpan w:val="2"/>
          </w:tcPr>
          <w:p>
            <w:pPr>
              <w:spacing w:after="0"/>
              <w:rPr>
                <w:sz w:val="20"/>
                <w:szCs w:val="20"/>
                <w:color w:val="auto"/>
              </w:rPr>
            </w:pPr>
            <w:r>
              <w:rPr>
                <w:rFonts w:ascii="Arial" w:cs="Arial" w:eastAsia="Arial" w:hAnsi="Arial"/>
                <w:sz w:val="14"/>
                <w:szCs w:val="14"/>
                <w:color w:val="auto"/>
              </w:rPr>
              <w:t>expenses</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566,463</w:t>
            </w: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496,163</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586,487</w:t>
            </w:r>
          </w:p>
        </w:tc>
        <w:tc>
          <w:tcPr>
            <w:tcW w:w="1160" w:type="dxa"/>
            <w:vAlign w:val="bottom"/>
            <w:gridSpan w:val="2"/>
          </w:tcPr>
          <w:p>
            <w:pPr>
              <w:jc w:val="right"/>
              <w:ind w:right="68"/>
              <w:spacing w:after="0"/>
              <w:rPr>
                <w:sz w:val="20"/>
                <w:szCs w:val="20"/>
                <w:color w:val="auto"/>
              </w:rPr>
            </w:pPr>
            <w:r>
              <w:rPr>
                <w:rFonts w:ascii="Arial" w:cs="Arial" w:eastAsia="Arial" w:hAnsi="Arial"/>
                <w:sz w:val="14"/>
                <w:szCs w:val="14"/>
                <w:color w:val="auto"/>
              </w:rPr>
              <w:t>18.2%</w:t>
            </w:r>
          </w:p>
        </w:tc>
        <w:tc>
          <w:tcPr>
            <w:tcW w:w="240" w:type="dxa"/>
            <w:vAlign w:val="bottom"/>
          </w:tcPr>
          <w:p>
            <w:pPr>
              <w:spacing w:after="0"/>
              <w:rPr>
                <w:sz w:val="14"/>
                <w:szCs w:val="14"/>
                <w:color w:val="auto"/>
              </w:rPr>
            </w:pPr>
          </w:p>
        </w:tc>
        <w:tc>
          <w:tcPr>
            <w:tcW w:w="900" w:type="dxa"/>
            <w:vAlign w:val="bottom"/>
            <w:gridSpan w:val="2"/>
          </w:tcPr>
          <w:p>
            <w:pPr>
              <w:jc w:val="right"/>
              <w:ind w:right="68"/>
              <w:spacing w:after="0"/>
              <w:rPr>
                <w:sz w:val="20"/>
                <w:szCs w:val="20"/>
                <w:color w:val="auto"/>
              </w:rPr>
            </w:pPr>
            <w:r>
              <w:rPr>
                <w:rFonts w:ascii="Arial" w:cs="Arial" w:eastAsia="Arial" w:hAnsi="Arial"/>
                <w:sz w:val="14"/>
                <w:szCs w:val="14"/>
                <w:color w:val="auto"/>
              </w:rPr>
              <w:t>3.5%</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1,930,483</w:t>
            </w:r>
          </w:p>
        </w:tc>
        <w:tc>
          <w:tcPr>
            <w:tcW w:w="14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1,995,802</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9"/>
        </w:trPr>
        <w:tc>
          <w:tcPr>
            <w:tcW w:w="2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Depreciation and amortizacion</w:t>
            </w:r>
          </w:p>
        </w:tc>
        <w:tc>
          <w:tcPr>
            <w:tcW w:w="11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129,616</w:t>
            </w:r>
          </w:p>
        </w:tc>
        <w:tc>
          <w:tcPr>
            <w:tcW w:w="11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111,966</w:t>
            </w:r>
          </w:p>
        </w:tc>
        <w:tc>
          <w:tcPr>
            <w:tcW w:w="11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115,944</w:t>
            </w:r>
          </w:p>
        </w:tc>
        <w:tc>
          <w:tcPr>
            <w:tcW w:w="116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3.6%</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-10.5%</w:t>
            </w:r>
          </w:p>
        </w:tc>
        <w:tc>
          <w:tcPr>
            <w:tcW w:w="11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433,787</w:t>
            </w: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447,002</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62"/>
        </w:trPr>
        <w:tc>
          <w:tcPr>
            <w:tcW w:w="2300" w:type="dxa"/>
            <w:vAlign w:val="bottom"/>
            <w:gridSpan w:val="2"/>
          </w:tcPr>
          <w:p>
            <w:pPr>
              <w:spacing w:after="0"/>
              <w:rPr>
                <w:sz w:val="20"/>
                <w:szCs w:val="20"/>
                <w:color w:val="auto"/>
              </w:rPr>
            </w:pPr>
            <w:r>
              <w:rPr>
                <w:rFonts w:ascii="Arial" w:cs="Arial" w:eastAsia="Arial" w:hAnsi="Arial"/>
                <w:sz w:val="14"/>
                <w:szCs w:val="14"/>
                <w:color w:val="auto"/>
              </w:rPr>
              <w:t>Other expenses</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148,227</w:t>
            </w: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25,688</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114,788</w:t>
            </w:r>
          </w:p>
        </w:tc>
        <w:tc>
          <w:tcPr>
            <w:tcW w:w="1160" w:type="dxa"/>
            <w:vAlign w:val="bottom"/>
            <w:gridSpan w:val="2"/>
          </w:tcPr>
          <w:p>
            <w:pPr>
              <w:jc w:val="right"/>
              <w:ind w:right="68"/>
              <w:spacing w:after="0"/>
              <w:rPr>
                <w:sz w:val="20"/>
                <w:szCs w:val="20"/>
                <w:color w:val="auto"/>
              </w:rPr>
            </w:pPr>
            <w:r>
              <w:rPr>
                <w:rFonts w:ascii="Arial" w:cs="Arial" w:eastAsia="Arial" w:hAnsi="Arial"/>
                <w:sz w:val="14"/>
                <w:szCs w:val="14"/>
                <w:color w:val="auto"/>
              </w:rPr>
              <w:t>346.9%</w:t>
            </w:r>
          </w:p>
        </w:tc>
        <w:tc>
          <w:tcPr>
            <w:tcW w:w="240" w:type="dxa"/>
            <w:vAlign w:val="bottom"/>
          </w:tcPr>
          <w:p>
            <w:pPr>
              <w:spacing w:after="0"/>
              <w:rPr>
                <w:sz w:val="14"/>
                <w:szCs w:val="14"/>
                <w:color w:val="auto"/>
              </w:rPr>
            </w:pPr>
          </w:p>
        </w:tc>
        <w:tc>
          <w:tcPr>
            <w:tcW w:w="900" w:type="dxa"/>
            <w:vAlign w:val="bottom"/>
            <w:gridSpan w:val="2"/>
          </w:tcPr>
          <w:p>
            <w:pPr>
              <w:jc w:val="right"/>
              <w:ind w:right="68"/>
              <w:spacing w:after="0"/>
              <w:rPr>
                <w:sz w:val="20"/>
                <w:szCs w:val="20"/>
                <w:color w:val="auto"/>
              </w:rPr>
            </w:pPr>
            <w:r>
              <w:rPr>
                <w:rFonts w:ascii="Arial" w:cs="Arial" w:eastAsia="Arial" w:hAnsi="Arial"/>
                <w:sz w:val="14"/>
                <w:szCs w:val="14"/>
                <w:color w:val="auto"/>
              </w:rPr>
              <w:t>-22.6%</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307,796</w:t>
            </w:r>
          </w:p>
        </w:tc>
        <w:tc>
          <w:tcPr>
            <w:tcW w:w="14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236,871</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-23.0%</w:t>
            </w:r>
          </w:p>
        </w:tc>
        <w:tc>
          <w:tcPr>
            <w:tcW w:w="0" w:type="dxa"/>
            <w:vAlign w:val="bottom"/>
          </w:tcPr>
          <w:p>
            <w:pPr>
              <w:spacing w:after="0"/>
              <w:rPr>
                <w:sz w:val="1"/>
                <w:szCs w:val="1"/>
                <w:color w:val="auto"/>
              </w:rPr>
            </w:pPr>
          </w:p>
        </w:tc>
      </w:tr>
      <w:tr>
        <w:trPr>
          <w:trHeight w:val="142"/>
        </w:trPr>
        <w:tc>
          <w:tcPr>
            <w:tcW w:w="230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expenses</w:t>
            </w: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1,524,644</w:t>
            </w:r>
          </w:p>
        </w:tc>
        <w:tc>
          <w:tcPr>
            <w:tcW w:w="26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1,337,802</w:t>
            </w:r>
          </w:p>
        </w:tc>
        <w:tc>
          <w:tcPr>
            <w:tcW w:w="26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1,558,143</w:t>
            </w:r>
          </w:p>
        </w:tc>
        <w:tc>
          <w:tcPr>
            <w:tcW w:w="24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16.5</w:t>
            </w:r>
          </w:p>
        </w:tc>
        <w:tc>
          <w:tcPr>
            <w:tcW w:w="260" w:type="dxa"/>
            <w:vAlign w:val="bottom"/>
            <w:tcBorders>
              <w:top w:val="single" w:sz="8" w:color="CCEEFF"/>
            </w:tcBorders>
            <w:shd w:val="clear" w:color="auto" w:fill="CCEEFF"/>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240" w:type="dxa"/>
            <w:vAlign w:val="bottom"/>
            <w:tcBorders>
              <w:top w:val="single" w:sz="8" w:color="auto"/>
              <w:bottom w:val="single" w:sz="8" w:color="auto"/>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2.2</w:t>
            </w:r>
          </w:p>
        </w:tc>
        <w:tc>
          <w:tcPr>
            <w:tcW w:w="260" w:type="dxa"/>
            <w:vAlign w:val="bottom"/>
            <w:tcBorders>
              <w:top w:val="single" w:sz="8" w:color="CCEEFF"/>
            </w:tcBorders>
            <w:shd w:val="clear" w:color="auto" w:fill="CCEEFF"/>
          </w:tcPr>
          <w:p>
            <w:pPr>
              <w:jc w:val="right"/>
              <w:ind w:right="28"/>
              <w:spacing w:after="0" w:line="142" w:lineRule="exact"/>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5,331,187</w:t>
            </w:r>
          </w:p>
        </w:tc>
        <w:tc>
          <w:tcPr>
            <w:tcW w:w="2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5,557,993</w:t>
            </w:r>
          </w:p>
        </w:tc>
        <w:tc>
          <w:tcPr>
            <w:tcW w:w="26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4.3</w:t>
            </w:r>
          </w:p>
        </w:tc>
        <w:tc>
          <w:tcPr>
            <w:tcW w:w="14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69"/>
        </w:trPr>
        <w:tc>
          <w:tcPr>
            <w:tcW w:w="2300" w:type="dxa"/>
            <w:vAlign w:val="bottom"/>
            <w:gridSpan w:val="2"/>
          </w:tcPr>
          <w:p>
            <w:pPr>
              <w:spacing w:after="0" w:line="169" w:lineRule="exact"/>
              <w:rPr>
                <w:sz w:val="20"/>
                <w:szCs w:val="20"/>
                <w:color w:val="auto"/>
              </w:rPr>
            </w:pPr>
            <w:r>
              <w:rPr>
                <w:rFonts w:ascii="Arial" w:cs="Arial" w:eastAsia="Arial" w:hAnsi="Arial"/>
                <w:sz w:val="12"/>
                <w:szCs w:val="12"/>
                <w:color w:val="auto"/>
              </w:rPr>
              <w:t xml:space="preserve">Operating income </w:t>
            </w:r>
            <w:r>
              <w:rPr>
                <w:rFonts w:ascii="Arial" w:cs="Arial" w:eastAsia="Arial" w:hAnsi="Arial"/>
                <w:sz w:val="19"/>
                <w:szCs w:val="19"/>
                <w:color w:val="auto"/>
                <w:vertAlign w:val="superscript"/>
              </w:rPr>
              <w:t>(1)</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3,178,023</w:t>
            </w:r>
          </w:p>
        </w:tc>
        <w:tc>
          <w:tcPr>
            <w:tcW w:w="880" w:type="dxa"/>
            <w:vAlign w:val="bottom"/>
          </w:tcPr>
          <w:p>
            <w:pPr>
              <w:jc w:val="right"/>
              <w:spacing w:after="0"/>
              <w:rPr>
                <w:sz w:val="20"/>
                <w:szCs w:val="20"/>
                <w:color w:val="auto"/>
              </w:rPr>
            </w:pPr>
            <w:r>
              <w:rPr>
                <w:rFonts w:ascii="Arial" w:cs="Arial" w:eastAsia="Arial" w:hAnsi="Arial"/>
                <w:sz w:val="14"/>
                <w:szCs w:val="14"/>
                <w:color w:val="auto"/>
              </w:rPr>
              <w:t>3,150,939</w:t>
            </w:r>
          </w:p>
        </w:tc>
        <w:tc>
          <w:tcPr>
            <w:tcW w:w="26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3,303,077</w:t>
            </w:r>
          </w:p>
        </w:tc>
        <w:tc>
          <w:tcPr>
            <w:tcW w:w="1160" w:type="dxa"/>
            <w:vAlign w:val="bottom"/>
            <w:gridSpan w:val="2"/>
          </w:tcPr>
          <w:p>
            <w:pPr>
              <w:jc w:val="right"/>
              <w:ind w:right="68"/>
              <w:spacing w:after="0"/>
              <w:rPr>
                <w:sz w:val="20"/>
                <w:szCs w:val="20"/>
                <w:color w:val="auto"/>
              </w:rPr>
            </w:pPr>
            <w:r>
              <w:rPr>
                <w:rFonts w:ascii="Arial" w:cs="Arial" w:eastAsia="Arial" w:hAnsi="Arial"/>
                <w:sz w:val="14"/>
                <w:szCs w:val="14"/>
                <w:color w:val="auto"/>
              </w:rPr>
              <w:t>4.8%</w:t>
            </w:r>
          </w:p>
        </w:tc>
        <w:tc>
          <w:tcPr>
            <w:tcW w:w="240" w:type="dxa"/>
            <w:vAlign w:val="bottom"/>
          </w:tcPr>
          <w:p>
            <w:pPr>
              <w:spacing w:after="0"/>
              <w:rPr>
                <w:sz w:val="14"/>
                <w:szCs w:val="14"/>
                <w:color w:val="auto"/>
              </w:rPr>
            </w:pPr>
          </w:p>
        </w:tc>
        <w:tc>
          <w:tcPr>
            <w:tcW w:w="900" w:type="dxa"/>
            <w:vAlign w:val="bottom"/>
            <w:gridSpan w:val="2"/>
          </w:tcPr>
          <w:p>
            <w:pPr>
              <w:jc w:val="right"/>
              <w:ind w:right="68"/>
              <w:spacing w:after="0"/>
              <w:rPr>
                <w:sz w:val="20"/>
                <w:szCs w:val="20"/>
                <w:color w:val="auto"/>
              </w:rPr>
            </w:pPr>
            <w:r>
              <w:rPr>
                <w:rFonts w:ascii="Arial" w:cs="Arial" w:eastAsia="Arial" w:hAnsi="Arial"/>
                <w:sz w:val="14"/>
                <w:szCs w:val="14"/>
                <w:color w:val="auto"/>
              </w:rPr>
              <w:t>3.9%</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11,843,175</w:t>
            </w:r>
          </w:p>
        </w:tc>
        <w:tc>
          <w:tcPr>
            <w:tcW w:w="14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12,730,272</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203"/>
        </w:trPr>
        <w:tc>
          <w:tcPr>
            <w:tcW w:w="230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 xml:space="preserve">Operating expenses </w:t>
            </w:r>
            <w:r>
              <w:rPr>
                <w:rFonts w:ascii="Arial" w:cs="Arial" w:eastAsia="Arial" w:hAnsi="Arial"/>
                <w:sz w:val="23"/>
                <w:szCs w:val="23"/>
                <w:color w:val="auto"/>
                <w:vertAlign w:val="superscript"/>
              </w:rPr>
              <w:t>(2)</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1,467,219</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1,353,998</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1,466,770</w:t>
            </w:r>
          </w:p>
        </w:tc>
        <w:tc>
          <w:tcPr>
            <w:tcW w:w="2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8.3%</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-0.03%</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5,362,000</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5,513,706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20"/>
        </w:trPr>
        <w:tc>
          <w:tcPr>
            <w:tcW w:w="2300" w:type="dxa"/>
            <w:vAlign w:val="bottom"/>
            <w:gridSpan w:val="2"/>
            <w:vMerge w:val="restart"/>
          </w:tcPr>
          <w:p>
            <w:pPr>
              <w:spacing w:after="0" w:line="202" w:lineRule="exact"/>
              <w:rPr>
                <w:sz w:val="20"/>
                <w:szCs w:val="20"/>
                <w:color w:val="auto"/>
              </w:rPr>
            </w:pPr>
            <w:r>
              <w:rPr>
                <w:rFonts w:ascii="Arial" w:cs="Arial" w:eastAsia="Arial" w:hAnsi="Arial"/>
                <w:sz w:val="14"/>
                <w:szCs w:val="14"/>
                <w:b w:val="1"/>
                <w:bCs w:val="1"/>
                <w:color w:val="auto"/>
              </w:rPr>
              <w:t xml:space="preserve">Reported efficiency ratio </w:t>
            </w:r>
            <w:r>
              <w:rPr>
                <w:rFonts w:ascii="Arial" w:cs="Arial" w:eastAsia="Arial" w:hAnsi="Arial"/>
                <w:sz w:val="23"/>
                <w:szCs w:val="23"/>
                <w:b w:val="1"/>
                <w:bCs w:val="1"/>
                <w:color w:val="auto"/>
                <w:vertAlign w:val="superscript"/>
              </w:rPr>
              <w:t>(3)</w:t>
            </w: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300" w:type="dxa"/>
            <w:vAlign w:val="bottom"/>
            <w:gridSpan w:val="2"/>
            <w:vMerge w:val="continue"/>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46.2%</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43.0%</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44.4%</w:t>
            </w:r>
          </w:p>
        </w:tc>
        <w:tc>
          <w:tcPr>
            <w:tcW w:w="140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+140 bps</w:t>
            </w:r>
          </w:p>
        </w:tc>
        <w:tc>
          <w:tcPr>
            <w:tcW w:w="90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-180 bps</w:t>
            </w:r>
          </w:p>
        </w:tc>
        <w:tc>
          <w:tcPr>
            <w:tcW w:w="11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45.3%</w:t>
            </w:r>
          </w:p>
        </w:tc>
        <w:tc>
          <w:tcPr>
            <w:tcW w:w="140" w:type="dxa"/>
            <w:vAlign w:val="bottom"/>
          </w:tcPr>
          <w:p>
            <w:pPr>
              <w:spacing w:after="0"/>
              <w:rPr>
                <w:sz w:val="15"/>
                <w:szCs w:val="15"/>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43.3%</w:t>
            </w:r>
          </w:p>
        </w:tc>
        <w:tc>
          <w:tcPr>
            <w:tcW w:w="106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-200 bps</w:t>
            </w:r>
          </w:p>
        </w:tc>
        <w:tc>
          <w:tcPr>
            <w:tcW w:w="0" w:type="dxa"/>
            <w:vAlign w:val="bottom"/>
          </w:tcPr>
          <w:p>
            <w:pPr>
              <w:spacing w:after="0"/>
              <w:rPr>
                <w:sz w:val="1"/>
                <w:szCs w:val="1"/>
                <w:color w:val="auto"/>
              </w:rPr>
            </w:pPr>
          </w:p>
        </w:tc>
      </w:tr>
      <w:tr>
        <w:trPr>
          <w:trHeight w:val="116"/>
        </w:trPr>
        <w:tc>
          <w:tcPr>
            <w:tcW w:w="2300" w:type="dxa"/>
            <w:vAlign w:val="bottom"/>
            <w:tcBorders>
              <w:top w:val="single" w:sz="8" w:color="CCEEFF"/>
            </w:tcBorders>
            <w:gridSpan w:val="2"/>
            <w:shd w:val="clear" w:color="auto" w:fill="CCEEFF"/>
          </w:tcPr>
          <w:p>
            <w:pPr>
              <w:spacing w:after="0" w:line="116" w:lineRule="exact"/>
              <w:rPr>
                <w:sz w:val="20"/>
                <w:szCs w:val="20"/>
                <w:color w:val="auto"/>
              </w:rPr>
            </w:pPr>
            <w:r>
              <w:rPr>
                <w:rFonts w:ascii="Arial" w:cs="Arial" w:eastAsia="Arial" w:hAnsi="Arial"/>
                <w:sz w:val="13"/>
                <w:szCs w:val="13"/>
                <w:b w:val="1"/>
                <w:bCs w:val="1"/>
                <w:color w:val="auto"/>
              </w:rPr>
              <w:t>Operating expenses / Total average</w:t>
            </w:r>
          </w:p>
        </w:tc>
        <w:tc>
          <w:tcPr>
            <w:tcW w:w="90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2300" w:type="dxa"/>
            <w:vAlign w:val="bottom"/>
            <w:gridSpan w:val="2"/>
            <w:shd w:val="clear" w:color="auto" w:fill="CCEEFF"/>
          </w:tcPr>
          <w:p>
            <w:pPr>
              <w:spacing w:after="0" w:line="215" w:lineRule="exact"/>
              <w:rPr>
                <w:sz w:val="20"/>
                <w:szCs w:val="20"/>
                <w:color w:val="auto"/>
              </w:rPr>
            </w:pPr>
            <w:r>
              <w:rPr>
                <w:rFonts w:ascii="Arial" w:cs="Arial" w:eastAsia="Arial" w:hAnsi="Arial"/>
                <w:sz w:val="14"/>
                <w:szCs w:val="14"/>
                <w:b w:val="1"/>
                <w:bCs w:val="1"/>
                <w:color w:val="auto"/>
              </w:rPr>
              <w:t xml:space="preserve">assets </w:t>
            </w:r>
            <w:r>
              <w:rPr>
                <w:rFonts w:ascii="Arial" w:cs="Arial" w:eastAsia="Arial" w:hAnsi="Arial"/>
                <w:sz w:val="23"/>
                <w:szCs w:val="23"/>
                <w:b w:val="1"/>
                <w:bCs w:val="1"/>
                <w:color w:val="auto"/>
                <w:vertAlign w:val="superscript"/>
              </w:rPr>
              <w:t>(4)</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4.4%</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3.7%</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1.0%</w:t>
            </w:r>
          </w:p>
        </w:tc>
        <w:tc>
          <w:tcPr>
            <w:tcW w:w="1400" w:type="dxa"/>
            <w:vAlign w:val="bottom"/>
            <w:gridSpan w:val="3"/>
            <w:shd w:val="clear" w:color="auto" w:fill="CCEEFF"/>
          </w:tcPr>
          <w:p>
            <w:pPr>
              <w:jc w:val="right"/>
              <w:ind w:right="500"/>
              <w:spacing w:after="0"/>
              <w:rPr>
                <w:sz w:val="20"/>
                <w:szCs w:val="20"/>
                <w:color w:val="auto"/>
              </w:rPr>
            </w:pPr>
            <w:r>
              <w:rPr>
                <w:rFonts w:ascii="Arial" w:cs="Arial" w:eastAsia="Arial" w:hAnsi="Arial"/>
                <w:sz w:val="14"/>
                <w:szCs w:val="14"/>
                <w:b w:val="1"/>
                <w:bCs w:val="1"/>
                <w:color w:val="auto"/>
              </w:rPr>
              <w:t>-270 bps</w:t>
            </w:r>
          </w:p>
        </w:tc>
        <w:tc>
          <w:tcPr>
            <w:tcW w:w="90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-340 bps</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4.3%</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3.8%</w:t>
            </w:r>
          </w:p>
        </w:tc>
        <w:tc>
          <w:tcPr>
            <w:tcW w:w="106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-50 bps</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40" w:hanging="328"/>
        <w:spacing w:after="0" w:line="258"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Operating income = Net interest income + Fee income + Gain on foreign exchange transactions + Net gain from subsidiaries + Net premiums earned + Gross margin from medical services.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Operating expenses = Total operating expenses + Acquisition cost - Other operating expenses.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Operating expenses / Operating income. Figures differ from previously reported, please consider the data presented on this report.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Annualized operating currency / Average of Total Assets. Average is calculated with period-beginning and period-ending balances.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+8.3% QoQ increase of Total operating expenses is primarily the product of the following factors:</w:t>
      </w:r>
    </w:p>
    <w:p>
      <w:pPr>
        <w:spacing w:after="0" w:line="225" w:lineRule="exact"/>
        <w:rPr>
          <w:sz w:val="20"/>
          <w:szCs w:val="20"/>
          <w:color w:val="auto"/>
        </w:rPr>
      </w:pPr>
    </w:p>
    <w:p>
      <w:pPr>
        <w:ind w:left="980" w:hanging="648"/>
        <w:spacing w:after="0" w:line="258" w:lineRule="auto"/>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higher Administrative and general expenses, which were mainly associated with marketing expenses for the Programa Lanpass, Programms and systems, and Consulting services; and</w:t>
      </w:r>
    </w:p>
    <w:p>
      <w:pPr>
        <w:spacing w:after="0" w:line="1" w:lineRule="exact"/>
        <w:rPr>
          <w:rFonts w:ascii="Arial" w:cs="Arial" w:eastAsia="Arial" w:hAnsi="Arial"/>
          <w:sz w:val="18"/>
          <w:szCs w:val="18"/>
          <w:color w:val="auto"/>
        </w:rPr>
      </w:pPr>
    </w:p>
    <w:p>
      <w:pPr>
        <w:ind w:left="980" w:hanging="648"/>
        <w:spacing w:after="0"/>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an increase in Salaries and employees benefits as a result of the seasonality.</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Operating expenses increased in accumulated terms +2.8%. This was due to a higher Salaries and employee benefits, as a result of the organization’s organic growth and an increase in provisions due to additional employee profit sharing.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180975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11" w:lineRule="exact"/>
        <w:rPr>
          <w:sz w:val="20"/>
          <w:szCs w:val="20"/>
          <w:color w:val="auto"/>
        </w:rPr>
      </w:pPr>
    </w:p>
    <w:p>
      <w:pPr>
        <w:ind w:left="120" w:hanging="112"/>
        <w:spacing w:after="0"/>
        <w:tabs>
          <w:tab w:leader="none" w:pos="120" w:val="left"/>
        </w:tabs>
        <w:numPr>
          <w:ilvl w:val="0"/>
          <w:numId w:val="57"/>
        </w:numPr>
        <w:rPr>
          <w:rFonts w:ascii="Arial" w:cs="Arial" w:eastAsia="Arial" w:hAnsi="Arial"/>
          <w:sz w:val="30"/>
          <w:szCs w:val="30"/>
          <w:color w:val="auto"/>
          <w:vertAlign w:val="superscript"/>
        </w:rPr>
      </w:pPr>
      <w:r>
        <w:rPr>
          <w:rFonts w:ascii="Arial" w:cs="Arial" w:eastAsia="Arial" w:hAnsi="Arial"/>
          <w:sz w:val="18"/>
          <w:szCs w:val="18"/>
          <w:color w:val="auto"/>
        </w:rPr>
        <w:t>The efficiency ratio is calculated with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3704590" cy="2146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704590"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Credicorp’s administrative and general expenses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Administrative</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58"/>
        </w:trPr>
        <w:tc>
          <w:tcPr>
            <w:tcW w:w="1100" w:type="dxa"/>
            <w:vAlign w:val="bottom"/>
            <w:gridSpan w:val="2"/>
          </w:tcPr>
          <w:p>
            <w:pPr>
              <w:spacing w:after="0" w:line="159" w:lineRule="exact"/>
              <w:rPr>
                <w:sz w:val="20"/>
                <w:szCs w:val="20"/>
                <w:color w:val="auto"/>
              </w:rPr>
            </w:pPr>
            <w:r>
              <w:rPr>
                <w:rFonts w:ascii="Arial" w:cs="Arial" w:eastAsia="Arial" w:hAnsi="Arial"/>
                <w:sz w:val="14"/>
                <w:szCs w:val="14"/>
                <w:b w:val="1"/>
                <w:bCs w:val="1"/>
                <w:color w:val="auto"/>
              </w:rPr>
              <w:t>and general</w:t>
            </w: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93"/>
        </w:trPr>
        <w:tc>
          <w:tcPr>
            <w:tcW w:w="1100" w:type="dxa"/>
            <w:vAlign w:val="bottom"/>
            <w:gridSpan w:val="2"/>
          </w:tcPr>
          <w:p>
            <w:pPr>
              <w:spacing w:after="0" w:line="192" w:lineRule="exact"/>
              <w:rPr>
                <w:sz w:val="20"/>
                <w:szCs w:val="20"/>
                <w:color w:val="auto"/>
              </w:rPr>
            </w:pPr>
            <w:r>
              <w:rPr>
                <w:rFonts w:ascii="Arial" w:cs="Arial" w:eastAsia="Arial" w:hAnsi="Arial"/>
                <w:sz w:val="14"/>
                <w:szCs w:val="14"/>
                <w:b w:val="1"/>
                <w:bCs w:val="1"/>
                <w:color w:val="auto"/>
              </w:rPr>
              <w:t xml:space="preserve">expenses </w:t>
            </w:r>
            <w:r>
              <w:rPr>
                <w:rFonts w:ascii="Arial" w:cs="Arial" w:eastAsia="Arial" w:hAnsi="Arial"/>
                <w:sz w:val="22"/>
                <w:szCs w:val="22"/>
                <w:b w:val="1"/>
                <w:bCs w:val="1"/>
                <w:color w:val="auto"/>
                <w:vertAlign w:val="superscript"/>
              </w:rPr>
              <w:t>(1)</w:t>
            </w: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3"/>
          </w:tcPr>
          <w:p>
            <w:pPr>
              <w:ind w:left="380"/>
              <w:spacing w:after="0"/>
              <w:rPr>
                <w:sz w:val="20"/>
                <w:szCs w:val="20"/>
                <w:color w:val="auto"/>
              </w:rPr>
            </w:pPr>
            <w:r>
              <w:rPr>
                <w:rFonts w:ascii="Arial" w:cs="Arial" w:eastAsia="Arial" w:hAnsi="Arial"/>
                <w:sz w:val="14"/>
                <w:szCs w:val="14"/>
                <w:b w:val="1"/>
                <w:bCs w:val="1"/>
                <w:color w:val="auto"/>
                <w:w w:val="98"/>
              </w:rPr>
              <w:t>Quarter</w:t>
            </w: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 change</w:t>
            </w: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0" w:type="dxa"/>
            <w:vAlign w:val="bottom"/>
            <w:gridSpan w:val="2"/>
          </w:tcPr>
          <w:p>
            <w:pPr>
              <w:ind w:left="80"/>
              <w:spacing w:after="0"/>
              <w:rPr>
                <w:sz w:val="20"/>
                <w:szCs w:val="20"/>
                <w:color w:val="auto"/>
              </w:rPr>
            </w:pPr>
            <w:r>
              <w:rPr>
                <w:rFonts w:ascii="Arial" w:cs="Arial" w:eastAsia="Arial" w:hAnsi="Arial"/>
                <w:sz w:val="14"/>
                <w:szCs w:val="14"/>
                <w:b w:val="1"/>
                <w:bCs w:val="1"/>
                <w:color w:val="auto"/>
                <w:w w:val="85"/>
              </w:rPr>
              <w:t>Year</w:t>
            </w: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 change</w:t>
            </w:r>
          </w:p>
        </w:tc>
      </w:tr>
      <w:tr>
        <w:trPr>
          <w:trHeight w:val="171"/>
        </w:trPr>
        <w:tc>
          <w:tcPr>
            <w:tcW w:w="10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000</w:t>
            </w: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4Q14</w:t>
            </w:r>
          </w:p>
        </w:tc>
        <w:tc>
          <w:tcPr>
            <w:tcW w:w="2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3Q15</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4Q15</w:t>
            </w:r>
          </w:p>
        </w:tc>
        <w:tc>
          <w:tcPr>
            <w:tcW w:w="22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QoQ</w:t>
            </w:r>
          </w:p>
        </w:tc>
        <w:tc>
          <w:tcPr>
            <w:tcW w:w="26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YoY</w:t>
            </w:r>
          </w:p>
        </w:tc>
        <w:tc>
          <w:tcPr>
            <w:tcW w:w="2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2015/2014</w:t>
            </w:r>
          </w:p>
        </w:tc>
        <w:tc>
          <w:tcPr>
            <w:tcW w:w="140" w:type="dxa"/>
            <w:vAlign w:val="bottom"/>
            <w:tcBorders>
              <w:bottom w:val="single" w:sz="8" w:color="CCEEFF"/>
            </w:tcBorders>
          </w:tcPr>
          <w:p>
            <w:pPr>
              <w:spacing w:after="0"/>
              <w:rPr>
                <w:sz w:val="14"/>
                <w:szCs w:val="14"/>
                <w:color w:val="auto"/>
              </w:rPr>
            </w:pPr>
          </w:p>
        </w:tc>
      </w:tr>
      <w:tr>
        <w:trPr>
          <w:trHeight w:val="142"/>
        </w:trPr>
        <w:tc>
          <w:tcPr>
            <w:tcW w:w="10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Marketing</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80,786</w:t>
            </w: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14%</w:t>
            </w: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62,765</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13%</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79,837</w:t>
            </w: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14%</w:t>
            </w:r>
          </w:p>
        </w:tc>
        <w:tc>
          <w:tcPr>
            <w:tcW w:w="80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27.2%</w:t>
            </w:r>
          </w:p>
        </w:tc>
        <w:tc>
          <w:tcPr>
            <w:tcW w:w="80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-1.2%</w:t>
            </w: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250,512</w:t>
            </w: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251,296</w:t>
            </w: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13%</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0.3%</w:t>
            </w:r>
          </w:p>
        </w:tc>
      </w:tr>
      <w:tr>
        <w:trPr>
          <w:trHeight w:val="130"/>
        </w:trPr>
        <w:tc>
          <w:tcPr>
            <w:tcW w:w="1100" w:type="dxa"/>
            <w:vAlign w:val="bottom"/>
            <w:gridSpan w:val="2"/>
          </w:tcPr>
          <w:p>
            <w:pPr>
              <w:spacing w:after="0" w:line="130" w:lineRule="exact"/>
              <w:rPr>
                <w:sz w:val="20"/>
                <w:szCs w:val="20"/>
                <w:color w:val="auto"/>
              </w:rPr>
            </w:pPr>
            <w:r>
              <w:rPr>
                <w:rFonts w:ascii="Arial" w:cs="Arial" w:eastAsia="Arial" w:hAnsi="Arial"/>
                <w:sz w:val="14"/>
                <w:szCs w:val="14"/>
                <w:color w:val="auto"/>
              </w:rPr>
              <w:t>Taxes and</w:t>
            </w: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67"/>
        </w:trPr>
        <w:tc>
          <w:tcPr>
            <w:tcW w:w="1100" w:type="dxa"/>
            <w:vAlign w:val="bottom"/>
            <w:gridSpan w:val="2"/>
          </w:tcPr>
          <w:p>
            <w:pPr>
              <w:spacing w:after="0"/>
              <w:rPr>
                <w:sz w:val="20"/>
                <w:szCs w:val="20"/>
                <w:color w:val="auto"/>
              </w:rPr>
            </w:pPr>
            <w:r>
              <w:rPr>
                <w:rFonts w:ascii="Arial" w:cs="Arial" w:eastAsia="Arial" w:hAnsi="Arial"/>
                <w:sz w:val="14"/>
                <w:szCs w:val="14"/>
                <w:color w:val="auto"/>
              </w:rPr>
              <w:t>contributions</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56,407</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10%</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50,846</w:t>
            </w:r>
          </w:p>
        </w:tc>
        <w:tc>
          <w:tcPr>
            <w:tcW w:w="14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10%</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54,638</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9%</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7.5%</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-3.1%</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201,782</w:t>
            </w:r>
          </w:p>
        </w:tc>
        <w:tc>
          <w:tcPr>
            <w:tcW w:w="780" w:type="dxa"/>
            <w:vAlign w:val="bottom"/>
            <w:gridSpan w:val="2"/>
          </w:tcPr>
          <w:p>
            <w:pPr>
              <w:jc w:val="right"/>
              <w:ind w:right="6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212,064</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11%</w:t>
            </w:r>
          </w:p>
        </w:tc>
        <w:tc>
          <w:tcPr>
            <w:tcW w:w="820" w:type="dxa"/>
            <w:vAlign w:val="bottom"/>
            <w:gridSpan w:val="3"/>
          </w:tcPr>
          <w:p>
            <w:pPr>
              <w:jc w:val="right"/>
              <w:ind w:right="20"/>
              <w:spacing w:after="0"/>
              <w:rPr>
                <w:sz w:val="20"/>
                <w:szCs w:val="20"/>
                <w:color w:val="auto"/>
              </w:rPr>
            </w:pPr>
            <w:r>
              <w:rPr>
                <w:rFonts w:ascii="Arial" w:cs="Arial" w:eastAsia="Arial" w:hAnsi="Arial"/>
                <w:sz w:val="14"/>
                <w:szCs w:val="14"/>
                <w:color w:val="auto"/>
              </w:rPr>
              <w:t>5.1%</w:t>
            </w:r>
          </w:p>
        </w:tc>
      </w:tr>
      <w:tr>
        <w:trPr>
          <w:trHeight w:val="149"/>
        </w:trPr>
        <w:tc>
          <w:tcPr>
            <w:tcW w:w="1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Insfrastructure</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55,478</w:t>
            </w: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56,899</w:t>
            </w: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67,225</w:t>
            </w: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18.1%</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21.2%</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212,477</w:t>
            </w:r>
          </w:p>
        </w:tc>
        <w:tc>
          <w:tcPr>
            <w:tcW w:w="78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237,756</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w:t>
            </w:r>
          </w:p>
        </w:tc>
        <w:tc>
          <w:tcPr>
            <w:tcW w:w="8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11.9%</w:t>
            </w:r>
          </w:p>
        </w:tc>
      </w:tr>
      <w:tr>
        <w:trPr>
          <w:trHeight w:val="149"/>
        </w:trPr>
        <w:tc>
          <w:tcPr>
            <w:tcW w:w="1100" w:type="dxa"/>
            <w:vAlign w:val="bottom"/>
            <w:gridSpan w:val="2"/>
          </w:tcPr>
          <w:p>
            <w:pPr>
              <w:spacing w:after="0" w:line="149" w:lineRule="exact"/>
              <w:rPr>
                <w:sz w:val="20"/>
                <w:szCs w:val="20"/>
                <w:color w:val="auto"/>
              </w:rPr>
            </w:pPr>
            <w:r>
              <w:rPr>
                <w:rFonts w:ascii="Arial" w:cs="Arial" w:eastAsia="Arial" w:hAnsi="Arial"/>
                <w:sz w:val="14"/>
                <w:szCs w:val="14"/>
                <w:color w:val="auto"/>
              </w:rPr>
              <w:t>Minor expenses</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86,658</w:t>
            </w: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59,375</w:t>
            </w:r>
          </w:p>
        </w:tc>
        <w:tc>
          <w:tcPr>
            <w:tcW w:w="14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75,719</w:t>
            </w: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27.5%</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-12.6%</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287,335</w:t>
            </w:r>
          </w:p>
        </w:tc>
        <w:tc>
          <w:tcPr>
            <w:tcW w:w="78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15%</w:t>
            </w:r>
          </w:p>
        </w:tc>
        <w:tc>
          <w:tcPr>
            <w:tcW w:w="10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255,714</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w:t>
            </w:r>
          </w:p>
        </w:tc>
        <w:tc>
          <w:tcPr>
            <w:tcW w:w="8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-11.0%</w:t>
            </w:r>
          </w:p>
        </w:tc>
      </w:tr>
      <w:tr>
        <w:trPr>
          <w:trHeight w:val="130"/>
        </w:trPr>
        <w:tc>
          <w:tcPr>
            <w:tcW w:w="11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Systems</w:t>
            </w: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67"/>
        </w:trPr>
        <w:tc>
          <w:tcPr>
            <w:tcW w:w="11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outsourcing</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51,399</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53,029</w:t>
            </w:r>
          </w:p>
        </w:tc>
        <w:tc>
          <w:tcPr>
            <w:tcW w:w="1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59,106</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11.5%</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15.0%</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176,754</w:t>
            </w:r>
          </w:p>
        </w:tc>
        <w:tc>
          <w:tcPr>
            <w:tcW w:w="78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205,276</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16.1%</w:t>
            </w:r>
          </w:p>
        </w:tc>
      </w:tr>
      <w:tr>
        <w:trPr>
          <w:trHeight w:val="130"/>
        </w:trPr>
        <w:tc>
          <w:tcPr>
            <w:tcW w:w="1100" w:type="dxa"/>
            <w:vAlign w:val="bottom"/>
            <w:gridSpan w:val="2"/>
          </w:tcPr>
          <w:p>
            <w:pPr>
              <w:spacing w:after="0" w:line="130" w:lineRule="exact"/>
              <w:rPr>
                <w:sz w:val="20"/>
                <w:szCs w:val="20"/>
                <w:color w:val="auto"/>
              </w:rPr>
            </w:pPr>
            <w:r>
              <w:rPr>
                <w:rFonts w:ascii="Arial" w:cs="Arial" w:eastAsia="Arial" w:hAnsi="Arial"/>
                <w:sz w:val="14"/>
                <w:szCs w:val="14"/>
                <w:color w:val="auto"/>
              </w:rPr>
              <w:t>Programs and</w:t>
            </w: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67"/>
        </w:trPr>
        <w:tc>
          <w:tcPr>
            <w:tcW w:w="1100" w:type="dxa"/>
            <w:vAlign w:val="bottom"/>
            <w:gridSpan w:val="2"/>
          </w:tcPr>
          <w:p>
            <w:pPr>
              <w:spacing w:after="0"/>
              <w:rPr>
                <w:sz w:val="20"/>
                <w:szCs w:val="20"/>
                <w:color w:val="auto"/>
              </w:rPr>
            </w:pPr>
            <w:r>
              <w:rPr>
                <w:rFonts w:ascii="Arial" w:cs="Arial" w:eastAsia="Arial" w:hAnsi="Arial"/>
                <w:sz w:val="14"/>
                <w:szCs w:val="14"/>
                <w:color w:val="auto"/>
              </w:rPr>
              <w:t>systems</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54,246</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10%</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53,142</w:t>
            </w:r>
          </w:p>
        </w:tc>
        <w:tc>
          <w:tcPr>
            <w:tcW w:w="14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11%</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66,338</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11%</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24.8%</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22.3%</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183,849</w:t>
            </w:r>
          </w:p>
        </w:tc>
        <w:tc>
          <w:tcPr>
            <w:tcW w:w="780" w:type="dxa"/>
            <w:vAlign w:val="bottom"/>
            <w:gridSpan w:val="2"/>
          </w:tcPr>
          <w:p>
            <w:pPr>
              <w:jc w:val="right"/>
              <w:ind w:right="6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212,846</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11%</w:t>
            </w:r>
          </w:p>
        </w:tc>
        <w:tc>
          <w:tcPr>
            <w:tcW w:w="820" w:type="dxa"/>
            <w:vAlign w:val="bottom"/>
            <w:gridSpan w:val="3"/>
          </w:tcPr>
          <w:p>
            <w:pPr>
              <w:jc w:val="right"/>
              <w:ind w:right="20"/>
              <w:spacing w:after="0"/>
              <w:rPr>
                <w:sz w:val="20"/>
                <w:szCs w:val="20"/>
                <w:color w:val="auto"/>
              </w:rPr>
            </w:pPr>
            <w:r>
              <w:rPr>
                <w:rFonts w:ascii="Arial" w:cs="Arial" w:eastAsia="Arial" w:hAnsi="Arial"/>
                <w:sz w:val="14"/>
                <w:szCs w:val="14"/>
                <w:color w:val="auto"/>
              </w:rPr>
              <w:t>15.8%</w:t>
            </w:r>
          </w:p>
        </w:tc>
      </w:tr>
      <w:tr>
        <w:trPr>
          <w:trHeight w:val="149"/>
        </w:trPr>
        <w:tc>
          <w:tcPr>
            <w:tcW w:w="1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Communications</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28,799</w:t>
            </w: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30,012</w:t>
            </w: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31,050</w:t>
            </w: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3.5%</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7.8%</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104,301</w:t>
            </w:r>
          </w:p>
        </w:tc>
        <w:tc>
          <w:tcPr>
            <w:tcW w:w="78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113,264</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w:t>
            </w:r>
          </w:p>
        </w:tc>
        <w:tc>
          <w:tcPr>
            <w:tcW w:w="8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8.6%</w:t>
            </w:r>
          </w:p>
        </w:tc>
      </w:tr>
      <w:tr>
        <w:trPr>
          <w:trHeight w:val="149"/>
        </w:trPr>
        <w:tc>
          <w:tcPr>
            <w:tcW w:w="1100" w:type="dxa"/>
            <w:vAlign w:val="bottom"/>
            <w:gridSpan w:val="2"/>
          </w:tcPr>
          <w:p>
            <w:pPr>
              <w:spacing w:after="0" w:line="149" w:lineRule="exact"/>
              <w:rPr>
                <w:sz w:val="20"/>
                <w:szCs w:val="20"/>
                <w:color w:val="auto"/>
              </w:rPr>
            </w:pPr>
            <w:r>
              <w:rPr>
                <w:rFonts w:ascii="Arial" w:cs="Arial" w:eastAsia="Arial" w:hAnsi="Arial"/>
                <w:sz w:val="14"/>
                <w:szCs w:val="14"/>
                <w:color w:val="auto"/>
              </w:rPr>
              <w:t>Rent</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40,391</w:t>
            </w: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44,242</w:t>
            </w:r>
          </w:p>
        </w:tc>
        <w:tc>
          <w:tcPr>
            <w:tcW w:w="14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44,785</w:t>
            </w: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10.9%</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154,847</w:t>
            </w:r>
          </w:p>
        </w:tc>
        <w:tc>
          <w:tcPr>
            <w:tcW w:w="78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8%</w:t>
            </w:r>
          </w:p>
        </w:tc>
        <w:tc>
          <w:tcPr>
            <w:tcW w:w="10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170,277</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w:t>
            </w:r>
          </w:p>
        </w:tc>
        <w:tc>
          <w:tcPr>
            <w:tcW w:w="8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10.0%</w:t>
            </w:r>
          </w:p>
        </w:tc>
      </w:tr>
      <w:tr>
        <w:trPr>
          <w:trHeight w:val="149"/>
        </w:trPr>
        <w:tc>
          <w:tcPr>
            <w:tcW w:w="1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Consulting</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46,950</w:t>
            </w: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20,517</w:t>
            </w: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41,580</w:t>
            </w: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102.7%</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-11.4%</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127,569</w:t>
            </w:r>
          </w:p>
        </w:tc>
        <w:tc>
          <w:tcPr>
            <w:tcW w:w="78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104,863</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w:t>
            </w:r>
          </w:p>
        </w:tc>
        <w:tc>
          <w:tcPr>
            <w:tcW w:w="8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-17.8%</w:t>
            </w:r>
          </w:p>
        </w:tc>
      </w:tr>
      <w:tr>
        <w:trPr>
          <w:trHeight w:val="149"/>
        </w:trPr>
        <w:tc>
          <w:tcPr>
            <w:tcW w:w="1100" w:type="dxa"/>
            <w:vAlign w:val="bottom"/>
            <w:gridSpan w:val="2"/>
          </w:tcPr>
          <w:p>
            <w:pPr>
              <w:spacing w:after="0" w:line="149" w:lineRule="exact"/>
              <w:rPr>
                <w:sz w:val="20"/>
                <w:szCs w:val="20"/>
                <w:color w:val="auto"/>
              </w:rPr>
            </w:pPr>
            <w:r>
              <w:rPr>
                <w:rFonts w:ascii="Arial" w:cs="Arial" w:eastAsia="Arial" w:hAnsi="Arial"/>
                <w:sz w:val="14"/>
                <w:szCs w:val="14"/>
                <w:color w:val="auto"/>
              </w:rPr>
              <w:t>Channels</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52,628</w:t>
            </w: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43,493</w:t>
            </w:r>
          </w:p>
        </w:tc>
        <w:tc>
          <w:tcPr>
            <w:tcW w:w="14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47,945</w:t>
            </w: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10.2%</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-8.9%</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182,798</w:t>
            </w:r>
          </w:p>
        </w:tc>
        <w:tc>
          <w:tcPr>
            <w:tcW w:w="78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9%</w:t>
            </w:r>
          </w:p>
        </w:tc>
        <w:tc>
          <w:tcPr>
            <w:tcW w:w="10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176,506</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w:t>
            </w:r>
          </w:p>
        </w:tc>
        <w:tc>
          <w:tcPr>
            <w:tcW w:w="8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-3.4%</w:t>
            </w:r>
          </w:p>
        </w:tc>
      </w:tr>
      <w:tr>
        <w:trPr>
          <w:trHeight w:val="203"/>
        </w:trPr>
        <w:tc>
          <w:tcPr>
            <w:tcW w:w="110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Others</w:t>
            </w:r>
            <w:r>
              <w:rPr>
                <w:rFonts w:ascii="Arial" w:cs="Arial" w:eastAsia="Arial" w:hAnsi="Arial"/>
                <w:sz w:val="23"/>
                <w:szCs w:val="23"/>
                <w:color w:val="auto"/>
                <w:vertAlign w:val="superscript"/>
              </w:rPr>
              <w:t>(2)</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12,721</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21,842</w:t>
            </w:r>
          </w:p>
        </w:tc>
        <w:tc>
          <w:tcPr>
            <w:tcW w:w="1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18,264</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-16.4%</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43.6%</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48,259</w:t>
            </w:r>
          </w:p>
        </w:tc>
        <w:tc>
          <w:tcPr>
            <w:tcW w:w="78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55,939</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15.9%</w:t>
            </w:r>
          </w:p>
        </w:tc>
      </w:tr>
      <w:tr>
        <w:trPr>
          <w:trHeight w:val="106"/>
        </w:trPr>
        <w:tc>
          <w:tcPr>
            <w:tcW w:w="1100" w:type="dxa"/>
            <w:vAlign w:val="bottom"/>
            <w:gridSpan w:val="2"/>
          </w:tcPr>
          <w:p>
            <w:pPr>
              <w:spacing w:after="0" w:line="106" w:lineRule="exact"/>
              <w:rPr>
                <w:sz w:val="20"/>
                <w:szCs w:val="20"/>
                <w:color w:val="auto"/>
              </w:rPr>
            </w:pPr>
            <w:r>
              <w:rPr>
                <w:rFonts w:ascii="Arial" w:cs="Arial" w:eastAsia="Arial" w:hAnsi="Arial"/>
                <w:sz w:val="12"/>
                <w:szCs w:val="12"/>
                <w:b w:val="1"/>
                <w:bCs w:val="1"/>
                <w:color w:val="auto"/>
              </w:rPr>
              <w:t>Total</w:t>
            </w:r>
          </w:p>
        </w:tc>
        <w:tc>
          <w:tcPr>
            <w:tcW w:w="56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r>
      <w:tr>
        <w:trPr>
          <w:trHeight w:val="149"/>
        </w:trPr>
        <w:tc>
          <w:tcPr>
            <w:tcW w:w="11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administrative</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11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and general</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00"/>
        </w:trPr>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expenses</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566,463</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100%</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496,163</w:t>
            </w:r>
          </w:p>
        </w:tc>
        <w:tc>
          <w:tcPr>
            <w:tcW w:w="140" w:type="dxa"/>
            <w:vAlign w:val="bottom"/>
          </w:tcPr>
          <w:p>
            <w:pPr>
              <w:spacing w:after="0"/>
              <w:rPr>
                <w:sz w:val="17"/>
                <w:szCs w:val="17"/>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100%</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586,487</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100%</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18.2%</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3.5%</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1,930,483</w:t>
            </w:r>
          </w:p>
        </w:tc>
        <w:tc>
          <w:tcPr>
            <w:tcW w:w="220" w:type="dxa"/>
            <w:vAlign w:val="bottom"/>
          </w:tcPr>
          <w:p>
            <w:pPr>
              <w:spacing w:after="0"/>
              <w:rPr>
                <w:sz w:val="17"/>
                <w:szCs w:val="17"/>
                <w:color w:val="auto"/>
              </w:rPr>
            </w:pPr>
          </w:p>
        </w:tc>
        <w:tc>
          <w:tcPr>
            <w:tcW w:w="78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100%</w:t>
            </w:r>
          </w:p>
        </w:tc>
        <w:tc>
          <w:tcPr>
            <w:tcW w:w="10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3"/>
              </w:rPr>
              <w:t>1,995,802</w:t>
            </w:r>
          </w:p>
        </w:tc>
        <w:tc>
          <w:tcPr>
            <w:tcW w:w="7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100%</w:t>
            </w:r>
          </w:p>
        </w:tc>
        <w:tc>
          <w:tcPr>
            <w:tcW w:w="820" w:type="dxa"/>
            <w:vAlign w:val="bottom"/>
            <w:gridSpan w:val="3"/>
          </w:tcPr>
          <w:p>
            <w:pPr>
              <w:jc w:val="right"/>
              <w:spacing w:after="0"/>
              <w:rPr>
                <w:sz w:val="20"/>
                <w:szCs w:val="20"/>
                <w:color w:val="auto"/>
              </w:rPr>
            </w:pPr>
            <w:r>
              <w:rPr>
                <w:rFonts w:ascii="Arial" w:cs="Arial" w:eastAsia="Arial" w:hAnsi="Arial"/>
                <w:sz w:val="14"/>
                <w:szCs w:val="14"/>
                <w:b w:val="1"/>
                <w:bCs w:val="1"/>
                <w:color w:val="auto"/>
              </w:rPr>
              <w:t>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-8890</wp:posOffset>
            </wp:positionV>
            <wp:extent cx="645731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457315" cy="8890"/>
                    </a:xfrm>
                    <a:prstGeom prst="rect">
                      <a:avLst/>
                    </a:prstGeom>
                    <a:noFill/>
                  </pic:spPr>
                </pic:pic>
              </a:graphicData>
            </a:graphic>
          </wp:anchor>
        </w:drawing>
      </w:r>
    </w:p>
    <w:p>
      <w:pPr>
        <w:ind w:left="260" w:hanging="252"/>
        <w:spacing w:after="0"/>
        <w:tabs>
          <w:tab w:leader="none" w:pos="2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These figures differ from those presented previously; refer to the figures in this report.</w:t>
      </w:r>
    </w:p>
    <w:p>
      <w:pPr>
        <w:spacing w:after="0" w:line="7" w:lineRule="exact"/>
        <w:rPr>
          <w:rFonts w:ascii="Arial" w:cs="Arial" w:eastAsia="Arial" w:hAnsi="Arial"/>
          <w:sz w:val="18"/>
          <w:szCs w:val="18"/>
          <w:color w:val="auto"/>
        </w:rPr>
      </w:pPr>
    </w:p>
    <w:p>
      <w:pPr>
        <w:ind w:left="260" w:hanging="252"/>
        <w:spacing w:after="0"/>
        <w:tabs>
          <w:tab w:leader="none" w:pos="2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Others include ASB, BCP Bolivia, Grupo Credito and eliminations after consolidation.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 analysis of Administrative and general expenses by expense type indicates that the most noteworthy variations were due to:</w:t>
      </w:r>
    </w:p>
    <w:p>
      <w:pPr>
        <w:spacing w:after="0" w:line="225" w:lineRule="exact"/>
        <w:rPr>
          <w:sz w:val="20"/>
          <w:szCs w:val="20"/>
          <w:color w:val="auto"/>
        </w:rPr>
      </w:pPr>
    </w:p>
    <w:p>
      <w:pPr>
        <w:ind w:left="500" w:right="20" w:hanging="492"/>
        <w:spacing w:after="0" w:line="308" w:lineRule="auto"/>
        <w:tabs>
          <w:tab w:leader="none" w:pos="5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Consulting, mainly as a result of expenses at BCP Stand-alone, which registered QoQ growth in technological expenses (Innovation center), and the efficiency project. Nevertheless, YoY and annual accumulated results fell, which was in line with the operating efficiency program.</w:t>
      </w:r>
    </w:p>
    <w:p>
      <w:pPr>
        <w:spacing w:after="0" w:line="146" w:lineRule="exact"/>
        <w:rPr>
          <w:rFonts w:ascii="Arial" w:cs="Arial" w:eastAsia="Arial" w:hAnsi="Arial"/>
          <w:sz w:val="17"/>
          <w:szCs w:val="17"/>
          <w:color w:val="auto"/>
        </w:rPr>
      </w:pPr>
    </w:p>
    <w:p>
      <w:pPr>
        <w:jc w:val="both"/>
        <w:ind w:left="500" w:hanging="492"/>
        <w:spacing w:after="0" w:line="264" w:lineRule="auto"/>
        <w:tabs>
          <w:tab w:leader="none" w:pos="5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 increase in the Marketing line, which was attributable to campaigns (credit card bonuses, salary deposit accounts and Lanpass) and advertising in the second half of the year, which is the most dynamic for our businesses. Nevertheless, the YoY and annual accumulated analysis shows slightly variations of -1.2% and +0.3%, respectively, which reflects the trend toward minimizing costs.</w:t>
      </w:r>
    </w:p>
    <w:p>
      <w:pPr>
        <w:spacing w:after="0" w:line="181" w:lineRule="exact"/>
        <w:rPr>
          <w:rFonts w:ascii="Arial" w:cs="Arial" w:eastAsia="Arial" w:hAnsi="Arial"/>
          <w:sz w:val="18"/>
          <w:szCs w:val="18"/>
          <w:color w:val="auto"/>
        </w:rPr>
      </w:pPr>
    </w:p>
    <w:p>
      <w:pPr>
        <w:ind w:left="500" w:hanging="492"/>
        <w:spacing w:after="0"/>
        <w:tabs>
          <w:tab w:leader="none" w:pos="5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Higher minor expenses in the 4Q15. Was due primarily to donations. Nevertheless, these expenses fell YoY and in accumulated terms.</w:t>
      </w:r>
    </w:p>
    <w:p>
      <w:pPr>
        <w:spacing w:after="0" w:line="221"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operating expenses / average of total asset</w:t>
      </w:r>
      <w:r>
        <w:rPr>
          <w:rFonts w:ascii="Arial" w:cs="Arial" w:eastAsia="Arial" w:hAnsi="Arial"/>
          <w:sz w:val="18"/>
          <w:szCs w:val="18"/>
          <w:color w:val="auto"/>
        </w:rPr>
        <w:t xml:space="preserve"> indicator posted a decline of -270 bps QoQ and -340 bps YoY. This was mainly due to i) a larger increase in operating expenses than in total assets (+1.9% QoQ and +15% YoY).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394"/>
        </w:trPr>
        <w:tc>
          <w:tcPr>
            <w:tcW w:w="16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60" w:type="dxa"/>
            <w:vAlign w:val="bottom"/>
            <w:gridSpan w:val="7"/>
          </w:tcPr>
          <w:p>
            <w:pPr>
              <w:jc w:val="right"/>
              <w:ind w:right="240"/>
              <w:spacing w:after="0"/>
              <w:rPr>
                <w:sz w:val="20"/>
                <w:szCs w:val="20"/>
                <w:color w:val="auto"/>
              </w:rPr>
            </w:pPr>
            <w:r>
              <w:rPr>
                <w:rFonts w:ascii="Arial" w:cs="Arial" w:eastAsia="Arial" w:hAnsi="Arial"/>
                <w:sz w:val="18"/>
                <w:szCs w:val="18"/>
                <w:b w:val="1"/>
                <w:bCs w:val="1"/>
                <w:color w:val="auto"/>
                <w:w w:val="89"/>
              </w:rPr>
              <w:t>Reported efficiency ratio by subsidiary</w:t>
            </w:r>
            <w:r>
              <w:rPr>
                <w:rFonts w:ascii="Arial" w:cs="Arial" w:eastAsia="Arial" w:hAnsi="Arial"/>
                <w:sz w:val="30"/>
                <w:szCs w:val="30"/>
                <w:b w:val="1"/>
                <w:bCs w:val="1"/>
                <w:color w:val="auto"/>
                <w:w w:val="89"/>
                <w:vertAlign w:val="superscript"/>
              </w:rPr>
              <w:t>(1)</w:t>
            </w: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16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w w:val="90"/>
              </w:rPr>
              <w:t>BCP Stand-alone</w:t>
            </w:r>
          </w:p>
        </w:tc>
        <w:tc>
          <w:tcPr>
            <w:tcW w:w="240" w:type="dxa"/>
            <w:vAlign w:val="bottom"/>
          </w:tcPr>
          <w:p>
            <w:pPr>
              <w:spacing w:after="0"/>
              <w:rPr>
                <w:sz w:val="24"/>
                <w:szCs w:val="24"/>
                <w:color w:val="auto"/>
              </w:rPr>
            </w:pPr>
          </w:p>
        </w:tc>
        <w:tc>
          <w:tcPr>
            <w:tcW w:w="840" w:type="dxa"/>
            <w:vAlign w:val="bottom"/>
          </w:tcPr>
          <w:p>
            <w:pPr>
              <w:ind w:left="80"/>
              <w:spacing w:after="0"/>
              <w:rPr>
                <w:sz w:val="20"/>
                <w:szCs w:val="20"/>
                <w:color w:val="auto"/>
              </w:rPr>
            </w:pPr>
            <w:r>
              <w:rPr>
                <w:rFonts w:ascii="Arial" w:cs="Arial" w:eastAsia="Arial" w:hAnsi="Arial"/>
                <w:sz w:val="18"/>
                <w:szCs w:val="18"/>
                <w:b w:val="1"/>
                <w:bCs w:val="1"/>
                <w:color w:val="auto"/>
              </w:rPr>
              <w:t>Mibanco</w:t>
            </w:r>
          </w:p>
        </w:tc>
        <w:tc>
          <w:tcPr>
            <w:tcW w:w="260" w:type="dxa"/>
            <w:vAlign w:val="bottom"/>
          </w:tcPr>
          <w:p>
            <w:pPr>
              <w:spacing w:after="0"/>
              <w:rPr>
                <w:sz w:val="24"/>
                <w:szCs w:val="2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0"/>
              </w:rPr>
              <w:t>BCP Bolivia</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ASB</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PGA</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Prima</w:t>
            </w:r>
          </w:p>
        </w:tc>
        <w:tc>
          <w:tcPr>
            <w:tcW w:w="16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1"/>
              </w:rPr>
              <w:t>Credicorp Capital</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5"/>
              </w:rPr>
              <w:t xml:space="preserve">Credicorp </w:t>
            </w:r>
            <w:r>
              <w:rPr>
                <w:rFonts w:ascii="Arial" w:cs="Arial" w:eastAsia="Arial" w:hAnsi="Arial"/>
                <w:sz w:val="30"/>
                <w:szCs w:val="30"/>
                <w:b w:val="1"/>
                <w:bCs w:val="1"/>
                <w:color w:val="auto"/>
                <w:w w:val="85"/>
                <w:vertAlign w:val="superscript"/>
              </w:rPr>
              <w:t>(2)</w:t>
            </w:r>
          </w:p>
        </w:tc>
        <w:tc>
          <w:tcPr>
            <w:tcW w:w="0" w:type="dxa"/>
            <w:vAlign w:val="bottom"/>
          </w:tcPr>
          <w:p>
            <w:pPr>
              <w:spacing w:after="0"/>
              <w:rPr>
                <w:sz w:val="1"/>
                <w:szCs w:val="1"/>
                <w:color w:val="auto"/>
              </w:rPr>
            </w:pPr>
          </w:p>
        </w:tc>
      </w:tr>
      <w:tr>
        <w:trPr>
          <w:trHeight w:val="20"/>
        </w:trPr>
        <w:tc>
          <w:tcPr>
            <w:tcW w:w="1660" w:type="dxa"/>
            <w:vAlign w:val="bottom"/>
            <w:vMerge w:val="restart"/>
            <w:shd w:val="clear" w:color="auto" w:fill="CCEEFF"/>
          </w:tcPr>
          <w:p>
            <w:pPr>
              <w:jc w:val="center"/>
              <w:spacing w:after="0"/>
              <w:rPr>
                <w:sz w:val="20"/>
                <w:szCs w:val="20"/>
                <w:color w:val="auto"/>
              </w:rPr>
            </w:pPr>
            <w:r>
              <w:rPr>
                <w:rFonts w:ascii="Arial" w:cs="Arial" w:eastAsia="Arial" w:hAnsi="Arial"/>
                <w:sz w:val="18"/>
                <w:szCs w:val="18"/>
                <w:b w:val="1"/>
                <w:bCs w:val="1"/>
                <w:color w:val="auto"/>
                <w:w w:val="95"/>
              </w:rPr>
              <w:t>4Q14</w:t>
            </w:r>
          </w:p>
        </w:tc>
        <w:tc>
          <w:tcPr>
            <w:tcW w:w="13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60" w:type="dxa"/>
            <w:vAlign w:val="bottom"/>
            <w:vMerge w:val="continue"/>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w:t>
            </w:r>
          </w:p>
        </w:tc>
        <w:tc>
          <w:tcPr>
            <w:tcW w:w="1100" w:type="dxa"/>
            <w:vAlign w:val="bottom"/>
            <w:tcBorders>
              <w:right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60.2%</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61.5%</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39.8%</w:t>
            </w:r>
          </w:p>
        </w:tc>
        <w:tc>
          <w:tcPr>
            <w:tcW w:w="16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46.2%</w:t>
            </w:r>
          </w:p>
        </w:tc>
        <w:tc>
          <w:tcPr>
            <w:tcW w:w="0" w:type="dxa"/>
            <w:vAlign w:val="bottom"/>
          </w:tcPr>
          <w:p>
            <w:pPr>
              <w:spacing w:after="0"/>
              <w:rPr>
                <w:sz w:val="1"/>
                <w:szCs w:val="1"/>
                <w:color w:val="auto"/>
              </w:rPr>
            </w:pPr>
          </w:p>
        </w:tc>
      </w:tr>
      <w:tr>
        <w:trPr>
          <w:trHeight w:val="216"/>
        </w:trPr>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5"/>
              </w:rPr>
              <w:t>3Q15</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40.7%</w:t>
            </w: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54.0%</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63.9%</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25.7%</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25.0%</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41.6%</w:t>
            </w: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94.1%</w:t>
            </w: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rPr>
              <w:t>43.0%</w:t>
            </w:r>
          </w:p>
        </w:tc>
        <w:tc>
          <w:tcPr>
            <w:tcW w:w="0" w:type="dxa"/>
            <w:vAlign w:val="bottom"/>
          </w:tcPr>
          <w:p>
            <w:pPr>
              <w:spacing w:after="0"/>
              <w:rPr>
                <w:sz w:val="1"/>
                <w:szCs w:val="1"/>
                <w:color w:val="auto"/>
              </w:rPr>
            </w:pPr>
          </w:p>
        </w:tc>
      </w:tr>
      <w:tr>
        <w:trPr>
          <w:trHeight w:val="230"/>
        </w:trPr>
        <w:tc>
          <w:tcPr>
            <w:tcW w:w="16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5"/>
              </w:rPr>
              <w:t>4Q15</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w:t>
            </w:r>
          </w:p>
        </w:tc>
        <w:tc>
          <w:tcPr>
            <w:tcW w:w="1100" w:type="dxa"/>
            <w:vAlign w:val="bottom"/>
            <w:tcBorders>
              <w:right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56.2%</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64.6%</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43.4%</w:t>
            </w:r>
          </w:p>
        </w:tc>
        <w:tc>
          <w:tcPr>
            <w:tcW w:w="16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102.3%</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44.4%</w:t>
            </w:r>
          </w:p>
        </w:tc>
        <w:tc>
          <w:tcPr>
            <w:tcW w:w="0" w:type="dxa"/>
            <w:vAlign w:val="bottom"/>
          </w:tcPr>
          <w:p>
            <w:pPr>
              <w:spacing w:after="0"/>
              <w:rPr>
                <w:sz w:val="1"/>
                <w:szCs w:val="1"/>
                <w:color w:val="auto"/>
              </w:rPr>
            </w:pPr>
          </w:p>
        </w:tc>
      </w:tr>
      <w:tr>
        <w:trPr>
          <w:trHeight w:val="191"/>
        </w:trPr>
        <w:tc>
          <w:tcPr>
            <w:tcW w:w="16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4"/>
              </w:rPr>
              <w:t>Var. YoY</w:t>
            </w:r>
          </w:p>
        </w:tc>
        <w:tc>
          <w:tcPr>
            <w:tcW w:w="13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+290</w:t>
            </w:r>
          </w:p>
        </w:tc>
        <w:tc>
          <w:tcPr>
            <w:tcW w:w="26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+360</w:t>
            </w:r>
          </w:p>
        </w:tc>
        <w:tc>
          <w:tcPr>
            <w:tcW w:w="260" w:type="dxa"/>
            <w:vAlign w:val="bottom"/>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660" w:type="dxa"/>
            <w:vAlign w:val="bottom"/>
            <w:vMerge w:val="continue"/>
          </w:tcPr>
          <w:p>
            <w:pPr>
              <w:spacing w:after="0"/>
              <w:rPr>
                <w:sz w:val="20"/>
                <w:szCs w:val="20"/>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-150 bps</w:t>
            </w:r>
          </w:p>
        </w:tc>
        <w:tc>
          <w:tcPr>
            <w:tcW w:w="110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-400 bps</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+310 bps</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bps</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8"/>
              </w:rPr>
              <w:t>-960 bps</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bps</w:t>
            </w:r>
          </w:p>
        </w:tc>
        <w:tc>
          <w:tcPr>
            <w:tcW w:w="16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-470 bps</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-180 bps</w:t>
            </w:r>
          </w:p>
        </w:tc>
        <w:tc>
          <w:tcPr>
            <w:tcW w:w="0" w:type="dxa"/>
            <w:vAlign w:val="bottom"/>
          </w:tcPr>
          <w:p>
            <w:pPr>
              <w:spacing w:after="0"/>
              <w:rPr>
                <w:sz w:val="1"/>
                <w:szCs w:val="1"/>
                <w:color w:val="auto"/>
              </w:rPr>
            </w:pPr>
          </w:p>
        </w:tc>
      </w:tr>
      <w:tr>
        <w:trPr>
          <w:trHeight w:val="191"/>
        </w:trPr>
        <w:tc>
          <w:tcPr>
            <w:tcW w:w="1660" w:type="dxa"/>
            <w:vAlign w:val="bottom"/>
            <w:tcBorders>
              <w:top w:val="single" w:sz="8" w:color="CCEEFF"/>
            </w:tcBorders>
            <w:vMerge w:val="restart"/>
            <w:shd w:val="clear" w:color="auto" w:fill="CCEEFF"/>
          </w:tcPr>
          <w:p>
            <w:pPr>
              <w:jc w:val="center"/>
              <w:spacing w:after="0"/>
              <w:rPr>
                <w:sz w:val="20"/>
                <w:szCs w:val="20"/>
                <w:color w:val="auto"/>
              </w:rPr>
            </w:pPr>
            <w:r>
              <w:rPr>
                <w:rFonts w:ascii="Arial" w:cs="Arial" w:eastAsia="Arial" w:hAnsi="Arial"/>
                <w:sz w:val="18"/>
                <w:szCs w:val="18"/>
                <w:b w:val="1"/>
                <w:bCs w:val="1"/>
                <w:color w:val="auto"/>
                <w:w w:val="94"/>
              </w:rPr>
              <w:t>Var. QoQ</w:t>
            </w:r>
          </w:p>
        </w:tc>
        <w:tc>
          <w:tcPr>
            <w:tcW w:w="13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right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line="191" w:lineRule="exact"/>
              <w:rPr>
                <w:sz w:val="20"/>
                <w:szCs w:val="20"/>
                <w:color w:val="auto"/>
              </w:rPr>
            </w:pPr>
            <w:r>
              <w:rPr>
                <w:rFonts w:ascii="Arial" w:cs="Arial" w:eastAsia="Arial" w:hAnsi="Arial"/>
                <w:sz w:val="18"/>
                <w:szCs w:val="18"/>
                <w:b w:val="1"/>
                <w:bCs w:val="1"/>
                <w:color w:val="auto"/>
              </w:rPr>
              <w:t>+410</w:t>
            </w:r>
          </w:p>
        </w:tc>
        <w:tc>
          <w:tcPr>
            <w:tcW w:w="26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line="191" w:lineRule="exact"/>
              <w:rPr>
                <w:sz w:val="20"/>
                <w:szCs w:val="20"/>
                <w:color w:val="auto"/>
              </w:rPr>
            </w:pPr>
            <w:r>
              <w:rPr>
                <w:rFonts w:ascii="Arial" w:cs="Arial" w:eastAsia="Arial" w:hAnsi="Arial"/>
                <w:sz w:val="18"/>
                <w:szCs w:val="18"/>
                <w:b w:val="1"/>
                <w:bCs w:val="1"/>
                <w:color w:val="auto"/>
              </w:rPr>
              <w:t>+180</w:t>
            </w:r>
          </w:p>
        </w:tc>
        <w:tc>
          <w:tcPr>
            <w:tcW w:w="260" w:type="dxa"/>
            <w:vAlign w:val="bottom"/>
            <w:tcBorders>
              <w:top w:val="single" w:sz="8" w:color="CCEEFF"/>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right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660" w:type="dxa"/>
            <w:vAlign w:val="bottom"/>
            <w:vMerge w:val="continue"/>
            <w:shd w:val="clear" w:color="auto" w:fill="CCEEFF"/>
          </w:tcPr>
          <w:p>
            <w:pPr>
              <w:spacing w:after="0"/>
              <w:rPr>
                <w:sz w:val="20"/>
                <w:szCs w:val="20"/>
                <w:color w:val="auto"/>
              </w:rPr>
            </w:pP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+280 bps</w:t>
            </w:r>
          </w:p>
        </w:tc>
        <w:tc>
          <w:tcPr>
            <w:tcW w:w="1100" w:type="dxa"/>
            <w:vAlign w:val="bottom"/>
            <w:tcBorders>
              <w:right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+220 bps</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+70 bps</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bps</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8"/>
              </w:rPr>
              <w:t>-280 bps</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bps</w:t>
            </w:r>
          </w:p>
        </w:tc>
        <w:tc>
          <w:tcPr>
            <w:tcW w:w="16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+820 bps</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+140 bps</w:t>
            </w:r>
          </w:p>
        </w:tc>
        <w:tc>
          <w:tcPr>
            <w:tcW w:w="0" w:type="dxa"/>
            <w:vAlign w:val="bottom"/>
          </w:tcPr>
          <w:p>
            <w:pPr>
              <w:spacing w:after="0"/>
              <w:rPr>
                <w:sz w:val="1"/>
                <w:szCs w:val="1"/>
                <w:color w:val="auto"/>
              </w:rPr>
            </w:pPr>
          </w:p>
        </w:tc>
      </w:tr>
      <w:tr>
        <w:trPr>
          <w:trHeight w:val="210"/>
        </w:trPr>
        <w:tc>
          <w:tcPr>
            <w:tcW w:w="166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Dec. 14</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w:t>
            </w:r>
          </w:p>
        </w:tc>
        <w:tc>
          <w:tcPr>
            <w:tcW w:w="1100" w:type="dxa"/>
            <w:vAlign w:val="bottom"/>
            <w:tcBorders>
              <w:right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58.2%</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61.4%</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41.6%</w:t>
            </w:r>
          </w:p>
        </w:tc>
        <w:tc>
          <w:tcPr>
            <w:tcW w:w="16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85.1%</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45.2%</w:t>
            </w:r>
          </w:p>
        </w:tc>
        <w:tc>
          <w:tcPr>
            <w:tcW w:w="0" w:type="dxa"/>
            <w:vAlign w:val="bottom"/>
          </w:tcPr>
          <w:p>
            <w:pPr>
              <w:spacing w:after="0"/>
              <w:rPr>
                <w:sz w:val="1"/>
                <w:szCs w:val="1"/>
                <w:color w:val="auto"/>
              </w:rPr>
            </w:pPr>
          </w:p>
        </w:tc>
      </w:tr>
      <w:tr>
        <w:trPr>
          <w:trHeight w:val="230"/>
        </w:trPr>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88"/>
              </w:rPr>
              <w:t>Dec. 15</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41.5%</w:t>
            </w: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56.3%</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66.9%</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25.0%</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25.1%</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42.7%</w:t>
            </w: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102.5%</w:t>
            </w: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rPr>
              <w:t>43.3%</w:t>
            </w:r>
          </w:p>
        </w:tc>
        <w:tc>
          <w:tcPr>
            <w:tcW w:w="0" w:type="dxa"/>
            <w:vAlign w:val="bottom"/>
          </w:tcPr>
          <w:p>
            <w:pPr>
              <w:spacing w:after="0"/>
              <w:rPr>
                <w:sz w:val="1"/>
                <w:szCs w:val="1"/>
                <w:color w:val="auto"/>
              </w:rPr>
            </w:pPr>
          </w:p>
        </w:tc>
      </w:tr>
      <w:tr>
        <w:trPr>
          <w:trHeight w:val="191"/>
        </w:trPr>
        <w:tc>
          <w:tcPr>
            <w:tcW w:w="1660" w:type="dxa"/>
            <w:vAlign w:val="bottom"/>
            <w:tcBorders>
              <w:top w:val="single" w:sz="8" w:color="CCEEFF"/>
            </w:tcBorders>
            <w:vMerge w:val="restart"/>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Var. 2015 / 2014</w:t>
            </w:r>
          </w:p>
        </w:tc>
        <w:tc>
          <w:tcPr>
            <w:tcW w:w="13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right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line="191" w:lineRule="exact"/>
              <w:rPr>
                <w:sz w:val="20"/>
                <w:szCs w:val="20"/>
                <w:color w:val="auto"/>
              </w:rPr>
            </w:pPr>
            <w:r>
              <w:rPr>
                <w:rFonts w:ascii="Arial" w:cs="Arial" w:eastAsia="Arial" w:hAnsi="Arial"/>
                <w:sz w:val="18"/>
                <w:szCs w:val="18"/>
                <w:b w:val="1"/>
                <w:bCs w:val="1"/>
                <w:color w:val="auto"/>
              </w:rPr>
              <w:t>+110</w:t>
            </w:r>
          </w:p>
        </w:tc>
        <w:tc>
          <w:tcPr>
            <w:tcW w:w="26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line="191" w:lineRule="exact"/>
              <w:rPr>
                <w:sz w:val="20"/>
                <w:szCs w:val="20"/>
                <w:color w:val="auto"/>
              </w:rPr>
            </w:pPr>
            <w:r>
              <w:rPr>
                <w:rFonts w:ascii="Arial" w:cs="Arial" w:eastAsia="Arial" w:hAnsi="Arial"/>
                <w:sz w:val="18"/>
                <w:szCs w:val="18"/>
                <w:b w:val="1"/>
                <w:bCs w:val="1"/>
                <w:color w:val="auto"/>
              </w:rPr>
              <w:t>+110</w:t>
            </w:r>
          </w:p>
        </w:tc>
        <w:tc>
          <w:tcPr>
            <w:tcW w:w="260" w:type="dxa"/>
            <w:vAlign w:val="bottom"/>
            <w:tcBorders>
              <w:top w:val="single" w:sz="8" w:color="CCEEFF"/>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right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660" w:type="dxa"/>
            <w:vAlign w:val="bottom"/>
            <w:vMerge w:val="continue"/>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-270 bps</w:t>
            </w:r>
          </w:p>
        </w:tc>
        <w:tc>
          <w:tcPr>
            <w:tcW w:w="240" w:type="dxa"/>
            <w:vAlign w:val="bottom"/>
            <w:shd w:val="clear" w:color="auto" w:fill="CCEEFF"/>
          </w:tcPr>
          <w:p>
            <w:pPr>
              <w:spacing w:after="0"/>
              <w:rPr>
                <w:sz w:val="20"/>
                <w:szCs w:val="20"/>
                <w:color w:val="auto"/>
              </w:rPr>
            </w:pPr>
          </w:p>
        </w:tc>
        <w:tc>
          <w:tcPr>
            <w:tcW w:w="1100" w:type="dxa"/>
            <w:vAlign w:val="bottom"/>
            <w:tcBorders>
              <w:right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-190 bps</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+550 bps</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bps</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8"/>
              </w:rPr>
              <w:t>-780 bps</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bps</w:t>
            </w:r>
          </w:p>
        </w:tc>
        <w:tc>
          <w:tcPr>
            <w:tcW w:w="16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+1,740 bps</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-200 bps</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540" w:firstLine="8"/>
        <w:spacing w:after="0" w:line="258" w:lineRule="auto"/>
        <w:tabs>
          <w:tab w:leader="none" w:pos="2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(Operating expenses + Acquisition cost –Other expenses) / (Net interest income + Fee income + Net gain from subsidiaries + Net earned premiums +Gross margin from medical subsidiaries)</w:t>
      </w:r>
    </w:p>
    <w:p>
      <w:pPr>
        <w:spacing w:after="0" w:line="1" w:lineRule="exact"/>
        <w:rPr>
          <w:rFonts w:ascii="Arial" w:cs="Arial" w:eastAsia="Arial" w:hAnsi="Arial"/>
          <w:sz w:val="18"/>
          <w:szCs w:val="18"/>
          <w:color w:val="auto"/>
        </w:rPr>
      </w:pPr>
    </w:p>
    <w:p>
      <w:pPr>
        <w:ind w:left="260" w:hanging="252"/>
        <w:spacing w:after="0"/>
        <w:tabs>
          <w:tab w:leader="none" w:pos="2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figures at the Credicorp level differ from those that were previous reports; use the figures in this report.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rose in QoQ, YoY and accumulated terms due primarily to three factors</w:t>
      </w:r>
      <w:r>
        <w:rPr>
          <w:rFonts w:ascii="Arial" w:cs="Arial" w:eastAsia="Arial" w:hAnsi="Arial"/>
          <w:sz w:val="18"/>
          <w:szCs w:val="18"/>
          <w:i w:val="1"/>
          <w:iCs w:val="1"/>
          <w:color w:val="auto"/>
        </w:rPr>
        <w:t>:</w:t>
      </w:r>
    </w:p>
    <w:p>
      <w:pPr>
        <w:spacing w:after="0" w:line="225" w:lineRule="exact"/>
        <w:rPr>
          <w:sz w:val="20"/>
          <w:szCs w:val="20"/>
          <w:color w:val="auto"/>
        </w:rPr>
      </w:pPr>
    </w:p>
    <w:p>
      <w:pPr>
        <w:ind w:left="500" w:hanging="492"/>
        <w:spacing w:after="0"/>
        <w:tabs>
          <w:tab w:leader="none" w:pos="5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Higher income from interest on loans in line with loan growth;</w:t>
      </w:r>
    </w:p>
    <w:p>
      <w:pPr>
        <w:spacing w:after="0" w:line="200" w:lineRule="exact"/>
        <w:rPr>
          <w:sz w:val="20"/>
          <w:szCs w:val="20"/>
          <w:color w:val="auto"/>
        </w:rPr>
      </w:pPr>
    </w:p>
    <w:p>
      <w:pPr>
        <w:spacing w:after="0" w:line="241"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2" w:name="page43"/>
    <w:bookmarkEnd w:id="42"/>
    <w:p>
      <w:pPr>
        <w:ind w:left="500" w:hanging="492"/>
        <w:spacing w:after="0"/>
        <w:tabs>
          <w:tab w:leader="none" w:pos="5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Higher gains on foreign exchange transactions due to volatility in the Sol against the US Dollar (+5.87% QoQ and +14.23% 2015 vs.2014); and</w:t>
      </w:r>
    </w:p>
    <w:p>
      <w:pPr>
        <w:spacing w:after="0" w:line="34" w:lineRule="exact"/>
        <w:rPr>
          <w:rFonts w:ascii="Arial" w:cs="Arial" w:eastAsia="Arial" w:hAnsi="Arial"/>
          <w:sz w:val="17"/>
          <w:szCs w:val="17"/>
          <w:color w:val="auto"/>
        </w:rPr>
      </w:pPr>
    </w:p>
    <w:p>
      <w:pPr>
        <w:ind w:left="500" w:hanging="492"/>
        <w:spacing w:after="0"/>
        <w:tabs>
          <w:tab w:leader="none" w:pos="5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Growth in fee income as a result of an increase in the transactions volume.</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the quarterly analysis, the efficiency ratio was situated at 44.4% at the end of 4Q15, which was +140 bps above the 43% reported in 3Q15; this evolution was due to higher expenses at:</w:t>
      </w:r>
    </w:p>
    <w:p>
      <w:pPr>
        <w:spacing w:after="0" w:line="170" w:lineRule="exact"/>
        <w:rPr>
          <w:sz w:val="20"/>
          <w:szCs w:val="20"/>
          <w:color w:val="auto"/>
        </w:rPr>
      </w:pPr>
    </w:p>
    <w:p>
      <w:pPr>
        <w:ind w:left="500" w:hanging="492"/>
        <w:spacing w:after="0" w:line="274" w:lineRule="auto"/>
        <w:tabs>
          <w:tab w:leader="none" w:pos="5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BCP Stand-alone, which registered an increase of +280 bps QoQ in the efficiency ratio. This was due to higher general and administrative expenses, which was mainly related to higher expenses for marketing, programming and systems; and consultancy services; and</w:t>
      </w:r>
    </w:p>
    <w:p>
      <w:pPr>
        <w:ind w:left="500" w:hanging="492"/>
        <w:spacing w:after="0" w:line="261" w:lineRule="auto"/>
        <w:tabs>
          <w:tab w:leader="none" w:pos="5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Mibanco, due to higher expenses for salaries and employee benefits; this was attributable to an increase in personnel (+71 organic QoQ) after bonus payments were made.</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Despite the increase registered QoQ, the accumulated efficiency ratio was situated at 43.3% at the end of 2015, which was -200 bps below the 45.3% obtained in 2014, as a result of:</w:t>
      </w:r>
    </w:p>
    <w:p>
      <w:pPr>
        <w:spacing w:after="0" w:line="170" w:lineRule="exact"/>
        <w:rPr>
          <w:sz w:val="20"/>
          <w:szCs w:val="20"/>
          <w:color w:val="auto"/>
        </w:rPr>
      </w:pPr>
    </w:p>
    <w:p>
      <w:pPr>
        <w:ind w:left="500" w:hanging="492"/>
        <w:spacing w:after="0"/>
        <w:tabs>
          <w:tab w:leader="none" w:pos="5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Mibanco’s increase in Net Interest Income (50% of the total increase) due to more dynamic lending activity in the small and micro business segments;</w:t>
      </w:r>
    </w:p>
    <w:p>
      <w:pPr>
        <w:spacing w:after="0" w:line="46" w:lineRule="exact"/>
        <w:rPr>
          <w:rFonts w:ascii="Arial" w:cs="Arial" w:eastAsia="Arial" w:hAnsi="Arial"/>
          <w:sz w:val="16"/>
          <w:szCs w:val="16"/>
          <w:color w:val="auto"/>
        </w:rPr>
      </w:pPr>
    </w:p>
    <w:p>
      <w:pPr>
        <w:ind w:left="500" w:hanging="492"/>
        <w:spacing w:after="0" w:line="250" w:lineRule="auto"/>
        <w:tabs>
          <w:tab w:leader="none" w:pos="5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BCP Stand-alone, which reported solid growth in Net Interest Income (42% of the total increase), which was associated with loan evolution, led mainly by Wholesale banking; and</w:t>
      </w:r>
    </w:p>
    <w:p>
      <w:pPr>
        <w:ind w:left="500" w:hanging="492"/>
        <w:spacing w:after="0"/>
        <w:tabs>
          <w:tab w:leader="none" w:pos="5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improvements applied through the efficiency program, which demonstrate Credicorp’s commitment to its cost reduction strategy.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r>
              <w:rPr>
                <w:rFonts w:ascii="Arial" w:cs="Arial" w:eastAsia="Arial" w:hAnsi="Arial"/>
                <w:sz w:val="18"/>
                <w:szCs w:val="18"/>
                <w:b w:val="1"/>
                <w:bCs w:val="1"/>
                <w:color w:val="auto"/>
              </w:rPr>
              <w:t>8.</w:t>
            </w:r>
          </w:p>
        </w:tc>
        <w:tc>
          <w:tcPr>
            <w:tcW w:w="3560" w:type="dxa"/>
            <w:vAlign w:val="bottom"/>
            <w:gridSpan w:val="2"/>
          </w:tcPr>
          <w:p>
            <w:pPr>
              <w:ind w:left="180"/>
              <w:spacing w:after="0"/>
              <w:rPr>
                <w:sz w:val="20"/>
                <w:szCs w:val="20"/>
                <w:color w:val="auto"/>
              </w:rPr>
            </w:pPr>
            <w:r>
              <w:rPr>
                <w:rFonts w:ascii="Arial" w:cs="Arial" w:eastAsia="Arial" w:hAnsi="Arial"/>
                <w:sz w:val="18"/>
                <w:szCs w:val="18"/>
                <w:b w:val="1"/>
                <w:bCs w:val="1"/>
                <w:color w:val="auto"/>
              </w:rPr>
              <w:t>Regulatory Capital</w:t>
            </w: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32"/>
        </w:trPr>
        <w:tc>
          <w:tcPr>
            <w:tcW w:w="3880" w:type="dxa"/>
            <w:vAlign w:val="bottom"/>
            <w:gridSpan w:val="3"/>
          </w:tcPr>
          <w:p>
            <w:pPr>
              <w:spacing w:after="0"/>
              <w:rPr>
                <w:sz w:val="20"/>
                <w:szCs w:val="20"/>
                <w:color w:val="auto"/>
              </w:rPr>
            </w:pPr>
            <w:r>
              <w:rPr>
                <w:rFonts w:ascii="Arial" w:cs="Arial" w:eastAsia="Arial" w:hAnsi="Arial"/>
                <w:sz w:val="18"/>
                <w:szCs w:val="18"/>
                <w:b w:val="1"/>
                <w:bCs w:val="1"/>
                <w:color w:val="auto"/>
              </w:rPr>
              <w:t>8.1 Regulatory Capital –BAP</w:t>
            </w: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27"/>
        </w:trPr>
        <w:tc>
          <w:tcPr>
            <w:tcW w:w="3880" w:type="dxa"/>
            <w:vAlign w:val="bottom"/>
            <w:gridSpan w:val="3"/>
          </w:tcPr>
          <w:p>
            <w:pPr>
              <w:spacing w:after="0"/>
              <w:rPr>
                <w:sz w:val="20"/>
                <w:szCs w:val="20"/>
                <w:color w:val="auto"/>
              </w:rPr>
            </w:pPr>
            <w:r>
              <w:rPr>
                <w:rFonts w:ascii="Arial" w:cs="Arial" w:eastAsia="Arial" w:hAnsi="Arial"/>
                <w:sz w:val="18"/>
                <w:szCs w:val="18"/>
                <w:b w:val="1"/>
                <w:bCs w:val="1"/>
                <w:color w:val="auto"/>
                <w:w w:val="93"/>
              </w:rPr>
              <w:t>Regulatory Capital and Capital Adequacy Ratios</w:t>
            </w: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As of</w:t>
            </w: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gridSpan w:val="3"/>
          </w:tcPr>
          <w:p>
            <w:pPr>
              <w:ind w:left="800"/>
              <w:spacing w:after="0"/>
              <w:rPr>
                <w:sz w:val="20"/>
                <w:szCs w:val="20"/>
                <w:color w:val="auto"/>
              </w:rPr>
            </w:pPr>
            <w:r>
              <w:rPr>
                <w:rFonts w:ascii="Arial" w:cs="Arial" w:eastAsia="Arial" w:hAnsi="Arial"/>
                <w:sz w:val="18"/>
                <w:szCs w:val="18"/>
                <w:b w:val="1"/>
                <w:bCs w:val="1"/>
                <w:color w:val="auto"/>
                <w:w w:val="97"/>
              </w:rPr>
              <w:t>% change</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34"/>
        </w:trPr>
        <w:tc>
          <w:tcPr>
            <w:tcW w:w="3880" w:type="dxa"/>
            <w:vAlign w:val="bottom"/>
            <w:gridSpan w:val="3"/>
          </w:tcPr>
          <w:p>
            <w:pPr>
              <w:spacing w:after="0"/>
              <w:rPr>
                <w:sz w:val="20"/>
                <w:szCs w:val="20"/>
                <w:color w:val="auto"/>
              </w:rPr>
            </w:pPr>
            <w:r>
              <w:rPr>
                <w:rFonts w:ascii="Arial" w:cs="Arial" w:eastAsia="Arial" w:hAnsi="Arial"/>
                <w:sz w:val="18"/>
                <w:szCs w:val="18"/>
                <w:color w:val="auto"/>
              </w:rPr>
              <w:t>S/. 000</w:t>
            </w:r>
          </w:p>
        </w:tc>
        <w:tc>
          <w:tcPr>
            <w:tcW w:w="1240" w:type="dxa"/>
            <w:vAlign w:val="bottom"/>
            <w:gridSpan w:val="2"/>
          </w:tcPr>
          <w:p>
            <w:pPr>
              <w:ind w:left="260"/>
              <w:spacing w:after="0"/>
              <w:rPr>
                <w:sz w:val="20"/>
                <w:szCs w:val="20"/>
                <w:color w:val="auto"/>
              </w:rPr>
            </w:pPr>
            <w:r>
              <w:rPr>
                <w:rFonts w:ascii="Arial" w:cs="Arial" w:eastAsia="Arial" w:hAnsi="Arial"/>
                <w:sz w:val="18"/>
                <w:szCs w:val="18"/>
                <w:b w:val="1"/>
                <w:bCs w:val="1"/>
                <w:color w:val="auto"/>
              </w:rPr>
              <w:t>Dec 14</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Sep 15</w:t>
            </w:r>
          </w:p>
        </w:tc>
        <w:tc>
          <w:tcPr>
            <w:tcW w:w="13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De c 15</w:t>
            </w:r>
          </w:p>
        </w:tc>
        <w:tc>
          <w:tcPr>
            <w:tcW w:w="1640" w:type="dxa"/>
            <w:vAlign w:val="bottom"/>
            <w:gridSpan w:val="3"/>
          </w:tcPr>
          <w:p>
            <w:pPr>
              <w:ind w:left="340"/>
              <w:spacing w:after="0"/>
              <w:rPr>
                <w:sz w:val="20"/>
                <w:szCs w:val="20"/>
                <w:color w:val="auto"/>
              </w:rPr>
            </w:pPr>
            <w:r>
              <w:rPr>
                <w:rFonts w:ascii="Arial" w:cs="Arial" w:eastAsia="Arial" w:hAnsi="Arial"/>
                <w:sz w:val="18"/>
                <w:szCs w:val="18"/>
                <w:b w:val="1"/>
                <w:bCs w:val="1"/>
                <w:color w:val="auto"/>
              </w:rPr>
              <w:t>QoQ</w:t>
            </w:r>
          </w:p>
        </w:tc>
        <w:tc>
          <w:tcPr>
            <w:tcW w:w="940" w:type="dxa"/>
            <w:vAlign w:val="bottom"/>
            <w:gridSpan w:val="2"/>
          </w:tcPr>
          <w:p>
            <w:pPr>
              <w:ind w:left="60"/>
              <w:spacing w:after="0"/>
              <w:rPr>
                <w:sz w:val="20"/>
                <w:szCs w:val="20"/>
                <w:color w:val="auto"/>
              </w:rPr>
            </w:pPr>
            <w:r>
              <w:rPr>
                <w:rFonts w:ascii="Arial" w:cs="Arial" w:eastAsia="Arial" w:hAnsi="Arial"/>
                <w:sz w:val="18"/>
                <w:szCs w:val="18"/>
                <w:b w:val="1"/>
                <w:bCs w:val="1"/>
                <w:color w:val="auto"/>
              </w:rPr>
              <w:t>YoY</w:t>
            </w:r>
          </w:p>
        </w:tc>
      </w:tr>
      <w:tr>
        <w:trPr>
          <w:trHeight w:val="223"/>
        </w:trPr>
        <w:tc>
          <w:tcPr>
            <w:tcW w:w="37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Regulatory Capital (A)</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16,377,808</w:t>
            </w:r>
          </w:p>
        </w:tc>
        <w:tc>
          <w:tcPr>
            <w:tcW w:w="18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18,085,180</w:t>
            </w:r>
          </w:p>
        </w:tc>
        <w:tc>
          <w:tcPr>
            <w:tcW w:w="18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18,614,741</w:t>
            </w:r>
          </w:p>
        </w:tc>
        <w:tc>
          <w:tcPr>
            <w:tcW w:w="2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ind w:left="820"/>
              <w:spacing w:after="0"/>
              <w:rPr>
                <w:sz w:val="20"/>
                <w:szCs w:val="20"/>
                <w:color w:val="auto"/>
              </w:rPr>
            </w:pPr>
            <w:r>
              <w:rPr>
                <w:rFonts w:ascii="Arial" w:cs="Arial" w:eastAsia="Arial" w:hAnsi="Arial"/>
                <w:sz w:val="18"/>
                <w:szCs w:val="18"/>
                <w:b w:val="1"/>
                <w:bCs w:val="1"/>
                <w:color w:val="auto"/>
                <w:w w:val="79"/>
              </w:rPr>
              <w:t>2.9</w:t>
            </w:r>
          </w:p>
        </w:tc>
        <w:tc>
          <w:tcPr>
            <w:tcW w:w="28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ind w:left="420"/>
              <w:spacing w:after="0"/>
              <w:rPr>
                <w:sz w:val="20"/>
                <w:szCs w:val="20"/>
                <w:color w:val="auto"/>
              </w:rPr>
            </w:pPr>
            <w:r>
              <w:rPr>
                <w:rFonts w:ascii="Arial" w:cs="Arial" w:eastAsia="Arial" w:hAnsi="Arial"/>
                <w:sz w:val="18"/>
                <w:szCs w:val="18"/>
                <w:b w:val="1"/>
                <w:bCs w:val="1"/>
                <w:color w:val="auto"/>
                <w:w w:val="85"/>
              </w:rPr>
              <w:t>13.7</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237"/>
        </w:trPr>
        <w:tc>
          <w:tcPr>
            <w:tcW w:w="3880" w:type="dxa"/>
            <w:vAlign w:val="bottom"/>
            <w:gridSpan w:val="3"/>
          </w:tcPr>
          <w:p>
            <w:pPr>
              <w:spacing w:after="0" w:line="236" w:lineRule="exact"/>
              <w:rPr>
                <w:sz w:val="20"/>
                <w:szCs w:val="20"/>
                <w:color w:val="auto"/>
              </w:rPr>
            </w:pPr>
            <w:r>
              <w:rPr>
                <w:rFonts w:ascii="Arial" w:cs="Arial" w:eastAsia="Arial" w:hAnsi="Arial"/>
                <w:sz w:val="17"/>
                <w:szCs w:val="17"/>
                <w:color w:val="auto"/>
              </w:rPr>
              <w:t xml:space="preserve">Tier I </w:t>
            </w:r>
            <w:r>
              <w:rPr>
                <w:rFonts w:ascii="Arial" w:cs="Arial" w:eastAsia="Arial" w:hAnsi="Arial"/>
                <w:sz w:val="27"/>
                <w:szCs w:val="27"/>
                <w:color w:val="auto"/>
                <w:vertAlign w:val="superscript"/>
              </w:rPr>
              <w:t>(1)</w:t>
            </w:r>
          </w:p>
        </w:tc>
        <w:tc>
          <w:tcPr>
            <w:tcW w:w="1060" w:type="dxa"/>
            <w:vAlign w:val="bottom"/>
          </w:tcPr>
          <w:p>
            <w:pPr>
              <w:jc w:val="right"/>
              <w:spacing w:after="0"/>
              <w:rPr>
                <w:sz w:val="20"/>
                <w:szCs w:val="20"/>
                <w:color w:val="auto"/>
              </w:rPr>
            </w:pPr>
            <w:r>
              <w:rPr>
                <w:rFonts w:ascii="Arial" w:cs="Arial" w:eastAsia="Arial" w:hAnsi="Arial"/>
                <w:sz w:val="18"/>
                <w:szCs w:val="18"/>
                <w:color w:val="auto"/>
              </w:rPr>
              <w:t>9,637,886</w:t>
            </w:r>
          </w:p>
        </w:tc>
        <w:tc>
          <w:tcPr>
            <w:tcW w:w="18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10,697,542</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10,843,056</w:t>
            </w:r>
          </w:p>
        </w:tc>
        <w:tc>
          <w:tcPr>
            <w:tcW w:w="1320" w:type="dxa"/>
            <w:vAlign w:val="bottom"/>
            <w:gridSpan w:val="2"/>
          </w:tcPr>
          <w:p>
            <w:pPr>
              <w:ind w:left="820"/>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20"/>
                <w:szCs w:val="20"/>
                <w:color w:val="auto"/>
              </w:rPr>
            </w:pPr>
          </w:p>
        </w:tc>
        <w:tc>
          <w:tcPr>
            <w:tcW w:w="940" w:type="dxa"/>
            <w:vAlign w:val="bottom"/>
            <w:gridSpan w:val="2"/>
          </w:tcPr>
          <w:p>
            <w:pPr>
              <w:ind w:left="420"/>
              <w:spacing w:after="0"/>
              <w:rPr>
                <w:sz w:val="20"/>
                <w:szCs w:val="20"/>
                <w:color w:val="auto"/>
              </w:rPr>
            </w:pPr>
            <w:r>
              <w:rPr>
                <w:rFonts w:ascii="Arial" w:cs="Arial" w:eastAsia="Arial" w:hAnsi="Arial"/>
                <w:sz w:val="18"/>
                <w:szCs w:val="18"/>
                <w:color w:val="auto"/>
                <w:w w:val="97"/>
              </w:rPr>
              <w:t>12.5%</w:t>
            </w:r>
          </w:p>
        </w:tc>
      </w:tr>
      <w:tr>
        <w:trPr>
          <w:trHeight w:val="270"/>
        </w:trPr>
        <w:tc>
          <w:tcPr>
            <w:tcW w:w="3880" w:type="dxa"/>
            <w:vAlign w:val="bottom"/>
            <w:gridSpan w:val="3"/>
            <w:shd w:val="clear" w:color="auto" w:fill="CCEEFF"/>
          </w:tcPr>
          <w:p>
            <w:pPr>
              <w:spacing w:after="0" w:line="269" w:lineRule="exact"/>
              <w:rPr>
                <w:sz w:val="20"/>
                <w:szCs w:val="20"/>
                <w:color w:val="auto"/>
              </w:rPr>
            </w:pPr>
            <w:r>
              <w:rPr>
                <w:rFonts w:ascii="Arial" w:cs="Arial" w:eastAsia="Arial" w:hAnsi="Arial"/>
                <w:sz w:val="18"/>
                <w:szCs w:val="18"/>
                <w:color w:val="auto"/>
              </w:rPr>
              <w:t xml:space="preserve">Tier II </w:t>
            </w:r>
            <w:r>
              <w:rPr>
                <w:rFonts w:ascii="Arial" w:cs="Arial" w:eastAsia="Arial" w:hAnsi="Arial"/>
                <w:sz w:val="30"/>
                <w:szCs w:val="30"/>
                <w:color w:val="auto"/>
                <w:vertAlign w:val="superscript"/>
              </w:rPr>
              <w:t>(2)</w:t>
            </w:r>
            <w:r>
              <w:rPr>
                <w:rFonts w:ascii="Arial" w:cs="Arial" w:eastAsia="Arial" w:hAnsi="Arial"/>
                <w:sz w:val="18"/>
                <w:szCs w:val="18"/>
                <w:color w:val="auto"/>
              </w:rPr>
              <w:t xml:space="preserve"> + Tier III </w:t>
            </w:r>
            <w:r>
              <w:rPr>
                <w:rFonts w:ascii="Arial" w:cs="Arial" w:eastAsia="Arial" w:hAnsi="Arial"/>
                <w:sz w:val="30"/>
                <w:szCs w:val="30"/>
                <w:color w:val="auto"/>
                <w:vertAlign w:val="superscript"/>
              </w:rPr>
              <w:t>(3)</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6,739,922</w:t>
            </w: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7,387,638</w:t>
            </w: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7,771,685</w:t>
            </w:r>
          </w:p>
        </w:tc>
        <w:tc>
          <w:tcPr>
            <w:tcW w:w="20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5.2%</w:t>
            </w:r>
          </w:p>
        </w:tc>
        <w:tc>
          <w:tcPr>
            <w:tcW w:w="320" w:type="dxa"/>
            <w:vAlign w:val="bottom"/>
            <w:shd w:val="clear" w:color="auto" w:fill="CCEEFF"/>
          </w:tcPr>
          <w:p>
            <w:pPr>
              <w:spacing w:after="0"/>
              <w:rPr>
                <w:sz w:val="23"/>
                <w:szCs w:val="23"/>
                <w:color w:val="auto"/>
              </w:rPr>
            </w:pP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7"/>
              </w:rPr>
              <w:t>15.3%</w:t>
            </w:r>
          </w:p>
        </w:tc>
      </w:tr>
      <w:tr>
        <w:trPr>
          <w:trHeight w:val="210"/>
        </w:trPr>
        <w:tc>
          <w:tcPr>
            <w:tcW w:w="388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b w:val="1"/>
                <w:bCs w:val="1"/>
                <w:color w:val="auto"/>
              </w:rPr>
              <w:t>Total Regulatory Capital Requirements (B)</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14,160,347</w:t>
            </w:r>
          </w:p>
        </w:tc>
        <w:tc>
          <w:tcPr>
            <w:tcW w:w="180" w:type="dxa"/>
            <w:vAlign w:val="bottom"/>
            <w:tcBorders>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15,739,357</w:t>
            </w:r>
          </w:p>
        </w:tc>
        <w:tc>
          <w:tcPr>
            <w:tcW w:w="180" w:type="dxa"/>
            <w:vAlign w:val="bottom"/>
            <w:tcBorders>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16,400,831</w:t>
            </w:r>
          </w:p>
        </w:tc>
        <w:tc>
          <w:tcPr>
            <w:tcW w:w="20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8"/>
                <w:szCs w:val="18"/>
                <w:b w:val="1"/>
                <w:bCs w:val="1"/>
                <w:color w:val="auto"/>
                <w:w w:val="79"/>
              </w:rPr>
              <w:t>4.2</w:t>
            </w:r>
          </w:p>
        </w:tc>
        <w:tc>
          <w:tcPr>
            <w:tcW w:w="28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8"/>
                <w:szCs w:val="18"/>
                <w:b w:val="1"/>
                <w:bCs w:val="1"/>
                <w:color w:val="auto"/>
                <w:w w:val="85"/>
              </w:rPr>
              <w:t>15.8</w:t>
            </w: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223"/>
        </w:trPr>
        <w:tc>
          <w:tcPr>
            <w:tcW w:w="38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Regulatory Capital Ratio (A) / (B)</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1.16</w:t>
            </w:r>
          </w:p>
        </w:tc>
        <w:tc>
          <w:tcPr>
            <w:tcW w:w="18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w:t>
            </w:r>
          </w:p>
        </w:tc>
        <w:tc>
          <w:tcPr>
            <w:tcW w:w="18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r>
      <w:tr>
        <w:trPr>
          <w:trHeight w:val="265"/>
        </w:trPr>
        <w:tc>
          <w:tcPr>
            <w:tcW w:w="3880" w:type="dxa"/>
            <w:vAlign w:val="bottom"/>
            <w:gridSpan w:val="3"/>
          </w:tcPr>
          <w:p>
            <w:pPr>
              <w:spacing w:after="0" w:line="265" w:lineRule="exact"/>
              <w:rPr>
                <w:sz w:val="20"/>
                <w:szCs w:val="20"/>
                <w:color w:val="auto"/>
              </w:rPr>
            </w:pPr>
            <w:r>
              <w:rPr>
                <w:rFonts w:ascii="Arial" w:cs="Arial" w:eastAsia="Arial" w:hAnsi="Arial"/>
                <w:sz w:val="18"/>
                <w:szCs w:val="18"/>
                <w:b w:val="1"/>
                <w:bCs w:val="1"/>
                <w:color w:val="auto"/>
              </w:rPr>
              <w:t xml:space="preserve">Require d Regulatory Capital Ratio </w:t>
            </w:r>
            <w:r>
              <w:rPr>
                <w:rFonts w:ascii="Arial" w:cs="Arial" w:eastAsia="Arial" w:hAnsi="Arial"/>
                <w:sz w:val="30"/>
                <w:szCs w:val="30"/>
                <w:b w:val="1"/>
                <w:bCs w:val="1"/>
                <w:color w:val="auto"/>
                <w:vertAlign w:val="superscript"/>
              </w:rPr>
              <w:t>(4)</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1.00</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1.00</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1.00</w:t>
            </w:r>
          </w:p>
        </w:tc>
        <w:tc>
          <w:tcPr>
            <w:tcW w:w="10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-8890</wp:posOffset>
            </wp:positionV>
            <wp:extent cx="230695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ind w:right="560" w:firstLine="8"/>
        <w:spacing w:after="0" w:line="249" w:lineRule="auto"/>
        <w:tabs>
          <w:tab w:leader="none" w:pos="255" w:val="left"/>
        </w:tabs>
        <w:numPr>
          <w:ilvl w:val="0"/>
          <w:numId w:val="65"/>
        </w:numPr>
        <w:rPr>
          <w:rFonts w:ascii="Arial" w:cs="Arial" w:eastAsia="Arial" w:hAnsi="Arial"/>
          <w:sz w:val="18"/>
          <w:szCs w:val="18"/>
          <w:color w:val="auto"/>
        </w:rPr>
      </w:pPr>
      <w:r>
        <w:rPr>
          <w:rFonts w:ascii="Arial" w:cs="Arial" w:eastAsia="Arial" w:hAnsi="Arial"/>
          <w:sz w:val="18"/>
          <w:szCs w:val="18"/>
          <w:color w:val="auto"/>
        </w:rPr>
        <w:t>Tier I = capital + restricted capital reserves + Tier I minority interest - goodwill - (0.5 x investment in equity and subordinated debt of financial and insurance companies) + perpetual subordinated debt.</w:t>
      </w:r>
    </w:p>
    <w:p>
      <w:pPr>
        <w:ind w:firstLine="8"/>
        <w:spacing w:after="0" w:line="250" w:lineRule="auto"/>
        <w:tabs>
          <w:tab w:leader="none" w:pos="255" w:val="left"/>
        </w:tabs>
        <w:numPr>
          <w:ilvl w:val="0"/>
          <w:numId w:val="65"/>
        </w:numPr>
        <w:rPr>
          <w:rFonts w:ascii="Arial" w:cs="Arial" w:eastAsia="Arial" w:hAnsi="Arial"/>
          <w:sz w:val="18"/>
          <w:szCs w:val="18"/>
          <w:color w:val="auto"/>
        </w:rPr>
      </w:pPr>
      <w:r>
        <w:rPr>
          <w:rFonts w:ascii="Arial" w:cs="Arial" w:eastAsia="Arial" w:hAnsi="Arial"/>
          <w:sz w:val="18"/>
          <w:szCs w:val="18"/>
          <w:color w:val="auto"/>
        </w:rPr>
        <w:t>Tier II = subordinated debt + TierII minority interest tier + loan loss reserves - (0.5 x investment in equity and subordinated debt of financial and insurance companies).</w:t>
      </w:r>
    </w:p>
    <w:p>
      <w:pPr>
        <w:ind w:left="260" w:hanging="252"/>
        <w:spacing w:after="0"/>
        <w:tabs>
          <w:tab w:leader="none" w:pos="2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Tier III = Subordinated debt covering market risk only.</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Regulatory Capital / Total Regulatory Capital Requirements (legal minimum = 1.00).</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2015, Credicorp posted a comfortable capitalization level that is equivalent to 1.13 times the capital required by the Peruvian regulator.</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ratio slightly decreased QoQ, which was due to the fact that the increase in the regulatory capital requirement (+ 4.2% QoQ) outweighed growth in Credicorp’s total regulatory capital (+ 2.9% QoQ). The increase in the regulatory capital requirement was associated with the Financial Consolidated Group, whose capital requirements increased QoQ due to higher risk weighted assets (RWAs) for credit risk at BCP Stand-alone. This was in line with expansion in total loans (+1.8% QoQ in quarter-end balances and based on results in Peru GAAP).</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slight increase QoQ in regulatory capital is mainly due to a higher level of subordinated debt as a result of an exchange rate effect (+ 5.87% QoQ), and a higher reserves and allowance for loan losses QoQ .</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YoY analysis shows a decrease in regulatory capital ratio (1.16 in 4T14 vs. to 1.13 in 4T15) as a result of lower increase in regulatory capital (+13.7 % YoY) compared to the increase in capital requirements (+15.8% YoY) .</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3" w:name="page44"/>
    <w:bookmarkEnd w:id="43"/>
    <w:p>
      <w:pPr>
        <w:spacing w:after="0"/>
        <w:rPr>
          <w:sz w:val="20"/>
          <w:szCs w:val="20"/>
          <w:color w:val="auto"/>
        </w:rPr>
      </w:pPr>
      <w:r>
        <w:rPr>
          <w:rFonts w:ascii="Arial" w:cs="Arial" w:eastAsia="Arial" w:hAnsi="Arial"/>
          <w:sz w:val="17"/>
          <w:szCs w:val="17"/>
          <w:color w:val="auto"/>
        </w:rPr>
        <w:t>Additionally, it is important to note that the Tier 1 represents 58.2% of Credicorp’s total regulatory capital, slightly above the 58.8% level of 4Q14.</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8.2 Regulatory Capital –BCP Stand-alone based on Peru GAAP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60" w:type="dxa"/>
            <w:vAlign w:val="bottom"/>
            <w:gridSpan w:val="3"/>
          </w:tcPr>
          <w:p>
            <w:pPr>
              <w:spacing w:after="0"/>
              <w:rPr>
                <w:sz w:val="20"/>
                <w:szCs w:val="20"/>
                <w:color w:val="auto"/>
              </w:rPr>
            </w:pPr>
            <w:r>
              <w:rPr>
                <w:rFonts w:ascii="Arial" w:cs="Arial" w:eastAsia="Arial" w:hAnsi="Arial"/>
                <w:sz w:val="18"/>
                <w:szCs w:val="18"/>
                <w:b w:val="1"/>
                <w:bCs w:val="1"/>
                <w:color w:val="auto"/>
                <w:w w:val="98"/>
              </w:rPr>
              <w:t>Regulatory Capital and Capital Adequacy Ratios</w:t>
            </w: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4"/>
              </w:rPr>
              <w:t>Balance as of</w:t>
            </w: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gridSpan w:val="3"/>
          </w:tcPr>
          <w:p>
            <w:pPr>
              <w:ind w:left="980"/>
              <w:spacing w:after="0"/>
              <w:rPr>
                <w:sz w:val="20"/>
                <w:szCs w:val="20"/>
                <w:color w:val="auto"/>
              </w:rPr>
            </w:pPr>
            <w:r>
              <w:rPr>
                <w:rFonts w:ascii="Arial" w:cs="Arial" w:eastAsia="Arial" w:hAnsi="Arial"/>
                <w:sz w:val="18"/>
                <w:szCs w:val="18"/>
                <w:b w:val="1"/>
                <w:bCs w:val="1"/>
                <w:color w:val="auto"/>
                <w:w w:val="99"/>
              </w:rPr>
              <w:t>% change</w:t>
            </w: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60" w:type="dxa"/>
            <w:vAlign w:val="bottom"/>
            <w:gridSpan w:val="3"/>
          </w:tcPr>
          <w:p>
            <w:pPr>
              <w:spacing w:after="0"/>
              <w:rPr>
                <w:sz w:val="20"/>
                <w:szCs w:val="20"/>
                <w:color w:val="auto"/>
              </w:rPr>
            </w:pPr>
            <w:r>
              <w:rPr>
                <w:rFonts w:ascii="Arial" w:cs="Arial" w:eastAsia="Arial" w:hAnsi="Arial"/>
                <w:sz w:val="18"/>
                <w:szCs w:val="18"/>
                <w:color w:val="auto"/>
              </w:rPr>
              <w:t>S/. 000</w:t>
            </w:r>
          </w:p>
        </w:tc>
        <w:tc>
          <w:tcPr>
            <w:tcW w:w="148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4Q14</w:t>
            </w:r>
          </w:p>
        </w:tc>
        <w:tc>
          <w:tcPr>
            <w:tcW w:w="150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3Q15</w:t>
            </w:r>
          </w:p>
        </w:tc>
        <w:tc>
          <w:tcPr>
            <w:tcW w:w="148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4Q15</w:t>
            </w:r>
          </w:p>
        </w:tc>
        <w:tc>
          <w:tcPr>
            <w:tcW w:w="1840" w:type="dxa"/>
            <w:vAlign w:val="bottom"/>
            <w:gridSpan w:val="3"/>
          </w:tcPr>
          <w:p>
            <w:pPr>
              <w:ind w:left="420"/>
              <w:spacing w:after="0"/>
              <w:rPr>
                <w:sz w:val="20"/>
                <w:szCs w:val="20"/>
                <w:color w:val="auto"/>
              </w:rPr>
            </w:pPr>
            <w:r>
              <w:rPr>
                <w:rFonts w:ascii="Arial" w:cs="Arial" w:eastAsia="Arial" w:hAnsi="Arial"/>
                <w:sz w:val="18"/>
                <w:szCs w:val="18"/>
                <w:b w:val="1"/>
                <w:bCs w:val="1"/>
                <w:color w:val="auto"/>
              </w:rPr>
              <w:t>QoQ</w:t>
            </w:r>
          </w:p>
        </w:tc>
        <w:tc>
          <w:tcPr>
            <w:tcW w:w="10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Capital Stock</w:t>
            </w:r>
          </w:p>
        </w:tc>
        <w:tc>
          <w:tcPr>
            <w:tcW w:w="100" w:type="dxa"/>
            <w:vAlign w:val="bottom"/>
            <w:vMerge w:val="continue"/>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4,722,752</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5,854,051</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5,854,051</w:t>
            </w:r>
          </w:p>
        </w:tc>
        <w:tc>
          <w:tcPr>
            <w:tcW w:w="260" w:type="dxa"/>
            <w:vAlign w:val="bottom"/>
            <w:vMerge w:val="continue"/>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Legal and Other capital reserves</w:t>
            </w:r>
          </w:p>
        </w:tc>
        <w:tc>
          <w:tcPr>
            <w:tcW w:w="1220" w:type="dxa"/>
            <w:vAlign w:val="bottom"/>
          </w:tcPr>
          <w:p>
            <w:pPr>
              <w:jc w:val="right"/>
              <w:spacing w:after="0"/>
              <w:rPr>
                <w:sz w:val="20"/>
                <w:szCs w:val="20"/>
                <w:color w:val="auto"/>
              </w:rPr>
            </w:pPr>
            <w:r>
              <w:rPr>
                <w:rFonts w:ascii="Arial" w:cs="Arial" w:eastAsia="Arial" w:hAnsi="Arial"/>
                <w:sz w:val="18"/>
                <w:szCs w:val="18"/>
                <w:color w:val="auto"/>
              </w:rPr>
              <w:t>2,761,777</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3,157,906</w:t>
            </w:r>
          </w:p>
        </w:tc>
        <w:tc>
          <w:tcPr>
            <w:tcW w:w="280" w:type="dxa"/>
            <w:vAlign w:val="bottom"/>
          </w:tcPr>
          <w:p>
            <w:pPr>
              <w:spacing w:after="0"/>
              <w:rPr>
                <w:sz w:val="18"/>
                <w:szCs w:val="18"/>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3,157,906</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3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Accumulated earnings with capitalization agreement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600,000</w:t>
            </w:r>
          </w:p>
        </w:tc>
        <w:tc>
          <w:tcPr>
            <w:tcW w:w="184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rPr>
              <w:t>NA</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Loan loss reserves (1)</w:t>
            </w:r>
          </w:p>
        </w:tc>
        <w:tc>
          <w:tcPr>
            <w:tcW w:w="1220" w:type="dxa"/>
            <w:vAlign w:val="bottom"/>
          </w:tcPr>
          <w:p>
            <w:pPr>
              <w:jc w:val="right"/>
              <w:spacing w:after="0"/>
              <w:rPr>
                <w:sz w:val="20"/>
                <w:szCs w:val="20"/>
                <w:color w:val="auto"/>
              </w:rPr>
            </w:pPr>
            <w:r>
              <w:rPr>
                <w:rFonts w:ascii="Arial" w:cs="Arial" w:eastAsia="Arial" w:hAnsi="Arial"/>
                <w:sz w:val="18"/>
                <w:szCs w:val="18"/>
                <w:color w:val="auto"/>
              </w:rPr>
              <w:t>1,007,150</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1,105,826</w:t>
            </w:r>
          </w:p>
        </w:tc>
        <w:tc>
          <w:tcPr>
            <w:tcW w:w="280" w:type="dxa"/>
            <w:vAlign w:val="bottom"/>
          </w:tcPr>
          <w:p>
            <w:pPr>
              <w:spacing w:after="0"/>
              <w:rPr>
                <w:sz w:val="18"/>
                <w:szCs w:val="18"/>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1,146,571</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3.7%</w:t>
            </w:r>
          </w:p>
        </w:tc>
        <w:tc>
          <w:tcPr>
            <w:tcW w:w="3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Perpetual subordinated debt</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746,500</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805,500</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852,750</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Subordinated Debt</w:t>
            </w:r>
          </w:p>
        </w:tc>
        <w:tc>
          <w:tcPr>
            <w:tcW w:w="1220" w:type="dxa"/>
            <w:vAlign w:val="bottom"/>
          </w:tcPr>
          <w:p>
            <w:pPr>
              <w:jc w:val="right"/>
              <w:spacing w:after="0"/>
              <w:rPr>
                <w:sz w:val="20"/>
                <w:szCs w:val="20"/>
                <w:color w:val="auto"/>
              </w:rPr>
            </w:pPr>
            <w:r>
              <w:rPr>
                <w:rFonts w:ascii="Arial" w:cs="Arial" w:eastAsia="Arial" w:hAnsi="Arial"/>
                <w:sz w:val="18"/>
                <w:szCs w:val="18"/>
                <w:color w:val="auto"/>
              </w:rPr>
              <w:t>4,146,707</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4,361,716</w:t>
            </w:r>
          </w:p>
        </w:tc>
        <w:tc>
          <w:tcPr>
            <w:tcW w:w="280" w:type="dxa"/>
            <w:vAlign w:val="bottom"/>
          </w:tcPr>
          <w:p>
            <w:pPr>
              <w:spacing w:after="0"/>
              <w:rPr>
                <w:sz w:val="18"/>
                <w:szCs w:val="18"/>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4,588,342</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5.2%</w:t>
            </w:r>
          </w:p>
        </w:tc>
        <w:tc>
          <w:tcPr>
            <w:tcW w:w="3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Unrealized profit (loss)</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4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rPr>
              <w:t>NA</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40" w:type="dxa"/>
            <w:vAlign w:val="bottom"/>
            <w:gridSpan w:val="2"/>
          </w:tcPr>
          <w:p>
            <w:pPr>
              <w:spacing w:after="0" w:line="201" w:lineRule="exact"/>
              <w:rPr>
                <w:sz w:val="20"/>
                <w:szCs w:val="20"/>
                <w:color w:val="auto"/>
              </w:rPr>
            </w:pPr>
            <w:r>
              <w:rPr>
                <w:rFonts w:ascii="Arial" w:cs="Arial" w:eastAsia="Arial" w:hAnsi="Arial"/>
                <w:sz w:val="18"/>
                <w:szCs w:val="18"/>
                <w:color w:val="auto"/>
              </w:rPr>
              <w:t>Investment in subsidiaries and others, net of</w:t>
            </w: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60" w:type="dxa"/>
            <w:vAlign w:val="bottom"/>
            <w:gridSpan w:val="3"/>
          </w:tcPr>
          <w:p>
            <w:pPr>
              <w:spacing w:after="0"/>
              <w:rPr>
                <w:sz w:val="20"/>
                <w:szCs w:val="20"/>
                <w:color w:val="auto"/>
              </w:rPr>
            </w:pPr>
            <w:r>
              <w:rPr>
                <w:rFonts w:ascii="Arial" w:cs="Arial" w:eastAsia="Arial" w:hAnsi="Arial"/>
                <w:sz w:val="18"/>
                <w:szCs w:val="18"/>
                <w:color w:val="auto"/>
              </w:rPr>
              <w:t>unrealized profit and net income</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(1,559,037)</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(1,687,497)</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(1,587,929)</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-5.9%</w:t>
            </w:r>
          </w:p>
        </w:tc>
        <w:tc>
          <w:tcPr>
            <w:tcW w:w="34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Investment in subsidiaries and others</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2,186,066</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1,920,128</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1,922,061</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ind w:left="160"/>
              <w:spacing w:after="0"/>
              <w:rPr>
                <w:sz w:val="20"/>
                <w:szCs w:val="20"/>
                <w:color w:val="auto"/>
              </w:rPr>
            </w:pPr>
            <w:r>
              <w:rPr>
                <w:rFonts w:ascii="Arial" w:cs="Arial" w:eastAsia="Arial" w:hAnsi="Arial"/>
                <w:sz w:val="18"/>
                <w:szCs w:val="18"/>
                <w:color w:val="auto"/>
              </w:rPr>
              <w:t>Unrealized profit and net income in subsidiaries</w:t>
            </w: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627,029</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232,631</w:t>
            </w: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334,132</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43.6%</w:t>
            </w:r>
          </w:p>
        </w:tc>
        <w:tc>
          <w:tcPr>
            <w:tcW w:w="3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(122,083)</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(122,083)</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(122,083)</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gridSpan w:val="2"/>
          </w:tcPr>
          <w:p>
            <w:pPr>
              <w:spacing w:after="0"/>
              <w:rPr>
                <w:sz w:val="20"/>
                <w:szCs w:val="20"/>
                <w:color w:val="auto"/>
              </w:rPr>
            </w:pPr>
            <w:r>
              <w:rPr>
                <w:rFonts w:ascii="Arial" w:cs="Arial" w:eastAsia="Arial" w:hAnsi="Arial"/>
                <w:sz w:val="18"/>
                <w:szCs w:val="18"/>
                <w:b w:val="1"/>
                <w:bCs w:val="1"/>
                <w:color w:val="auto"/>
              </w:rPr>
              <w:t>Total Regulatory Capital</w:t>
            </w:r>
          </w:p>
        </w:tc>
        <w:tc>
          <w:tcPr>
            <w:tcW w:w="14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12,703,767</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13,475,418</w:t>
            </w:r>
          </w:p>
        </w:tc>
        <w:tc>
          <w:tcPr>
            <w:tcW w:w="14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14,489,607</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7.5%</w:t>
            </w:r>
          </w:p>
        </w:tc>
        <w:tc>
          <w:tcPr>
            <w:tcW w:w="34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14.1%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040" w:type="dxa"/>
            <w:vAlign w:val="bottom"/>
            <w:gridSpan w:val="2"/>
          </w:tcPr>
          <w:p>
            <w:pPr>
              <w:spacing w:after="0"/>
              <w:rPr>
                <w:sz w:val="20"/>
                <w:szCs w:val="20"/>
                <w:color w:val="auto"/>
              </w:rPr>
            </w:pPr>
            <w:r>
              <w:rPr>
                <w:rFonts w:ascii="Arial" w:cs="Arial" w:eastAsia="Arial" w:hAnsi="Arial"/>
                <w:sz w:val="18"/>
                <w:szCs w:val="18"/>
                <w:b w:val="1"/>
                <w:bCs w:val="1"/>
                <w:color w:val="auto"/>
              </w:rPr>
              <w:t>Off-balance sheet</w:t>
            </w: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28,304,961</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29,097,439</w:t>
            </w: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34,040,634</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17.0%</w:t>
            </w:r>
          </w:p>
        </w:tc>
        <w:tc>
          <w:tcPr>
            <w:tcW w:w="34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04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Tier 1 </w:t>
            </w:r>
            <w:r>
              <w:rPr>
                <w:rFonts w:ascii="Arial" w:cs="Arial" w:eastAsia="Arial" w:hAnsi="Arial"/>
                <w:sz w:val="29"/>
                <w:szCs w:val="29"/>
                <w:color w:val="auto"/>
                <w:vertAlign w:val="superscript"/>
              </w:rPr>
              <w:t>(2)</w:t>
            </w:r>
          </w:p>
        </w:tc>
        <w:tc>
          <w:tcPr>
            <w:tcW w:w="1220" w:type="dxa"/>
            <w:vAlign w:val="bottom"/>
          </w:tcPr>
          <w:p>
            <w:pPr>
              <w:jc w:val="right"/>
              <w:spacing w:after="0"/>
              <w:rPr>
                <w:sz w:val="20"/>
                <w:szCs w:val="20"/>
                <w:color w:val="auto"/>
              </w:rPr>
            </w:pPr>
            <w:r>
              <w:rPr>
                <w:rFonts w:ascii="Arial" w:cs="Arial" w:eastAsia="Arial" w:hAnsi="Arial"/>
                <w:sz w:val="18"/>
                <w:szCs w:val="18"/>
                <w:color w:val="auto"/>
              </w:rPr>
              <w:t>8,642,942</w:t>
            </w: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8,967,941</w:t>
            </w:r>
          </w:p>
        </w:tc>
        <w:tc>
          <w:tcPr>
            <w:tcW w:w="280" w:type="dxa"/>
            <w:vAlign w:val="bottom"/>
          </w:tcPr>
          <w:p>
            <w:pPr>
              <w:spacing w:after="0"/>
              <w:rPr>
                <w:sz w:val="22"/>
                <w:szCs w:val="22"/>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9,715,725</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8.3%</w:t>
            </w:r>
          </w:p>
        </w:tc>
        <w:tc>
          <w:tcPr>
            <w:tcW w:w="340" w:type="dxa"/>
            <w:vAlign w:val="bottom"/>
          </w:tcPr>
          <w:p>
            <w:pPr>
              <w:spacing w:after="0"/>
              <w:rPr>
                <w:sz w:val="22"/>
                <w:szCs w:val="22"/>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040" w:type="dxa"/>
            <w:vAlign w:val="bottom"/>
            <w:gridSpan w:val="2"/>
            <w:shd w:val="clear" w:color="auto" w:fill="CCEEFF"/>
          </w:tcPr>
          <w:p>
            <w:pPr>
              <w:spacing w:after="0" w:line="269" w:lineRule="exact"/>
              <w:rPr>
                <w:sz w:val="20"/>
                <w:szCs w:val="20"/>
                <w:color w:val="auto"/>
              </w:rPr>
            </w:pPr>
            <w:r>
              <w:rPr>
                <w:rFonts w:ascii="Arial" w:cs="Arial" w:eastAsia="Arial" w:hAnsi="Arial"/>
                <w:sz w:val="18"/>
                <w:szCs w:val="18"/>
                <w:color w:val="auto"/>
              </w:rPr>
              <w:t xml:space="preserve">Tier 2 </w:t>
            </w:r>
            <w:r>
              <w:rPr>
                <w:rFonts w:ascii="Arial" w:cs="Arial" w:eastAsia="Arial" w:hAnsi="Arial"/>
                <w:sz w:val="30"/>
                <w:szCs w:val="30"/>
                <w:color w:val="auto"/>
                <w:vertAlign w:val="superscript"/>
              </w:rPr>
              <w:t>(3)</w:t>
            </w:r>
            <w:r>
              <w:rPr>
                <w:rFonts w:ascii="Arial" w:cs="Arial" w:eastAsia="Arial" w:hAnsi="Arial"/>
                <w:sz w:val="18"/>
                <w:szCs w:val="18"/>
                <w:color w:val="auto"/>
              </w:rPr>
              <w:t xml:space="preserve"> + Tier 3 </w:t>
            </w:r>
            <w:r>
              <w:rPr>
                <w:rFonts w:ascii="Arial" w:cs="Arial" w:eastAsia="Arial" w:hAnsi="Arial"/>
                <w:sz w:val="30"/>
                <w:szCs w:val="30"/>
                <w:color w:val="auto"/>
                <w:vertAlign w:val="superscript"/>
              </w:rPr>
              <w:t>(4)</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4,060,825</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4,507,478</w:t>
            </w:r>
          </w:p>
        </w:tc>
        <w:tc>
          <w:tcPr>
            <w:tcW w:w="280" w:type="dxa"/>
            <w:vAlign w:val="bottom"/>
            <w:shd w:val="clear" w:color="auto" w:fill="CCEEFF"/>
          </w:tcPr>
          <w:p>
            <w:pPr>
              <w:spacing w:after="0"/>
              <w:rPr>
                <w:sz w:val="23"/>
                <w:szCs w:val="23"/>
                <w:color w:val="auto"/>
              </w:rPr>
            </w:pP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4,773,882</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w:t>
            </w:r>
          </w:p>
        </w:tc>
        <w:tc>
          <w:tcPr>
            <w:tcW w:w="34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risk -weighted assets</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87,938,922</w:t>
            </w:r>
          </w:p>
        </w:tc>
        <w:tc>
          <w:tcPr>
            <w:tcW w:w="2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97,003,577</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101,068,773</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4.2%</w:t>
            </w:r>
          </w:p>
        </w:tc>
        <w:tc>
          <w:tcPr>
            <w:tcW w:w="3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gridSpan w:val="2"/>
            <w:vMerge w:val="restart"/>
          </w:tcPr>
          <w:p>
            <w:pPr>
              <w:spacing w:after="0" w:line="256" w:lineRule="exact"/>
              <w:rPr>
                <w:sz w:val="20"/>
                <w:szCs w:val="20"/>
                <w:color w:val="auto"/>
              </w:rPr>
            </w:pPr>
            <w:r>
              <w:rPr>
                <w:rFonts w:ascii="Arial" w:cs="Arial" w:eastAsia="Arial" w:hAnsi="Arial"/>
                <w:sz w:val="18"/>
                <w:szCs w:val="18"/>
                <w:color w:val="auto"/>
              </w:rPr>
              <w:t xml:space="preserve">Market risk-weighted assets </w:t>
            </w:r>
            <w:r>
              <w:rPr>
                <w:rFonts w:ascii="Arial" w:cs="Arial" w:eastAsia="Arial" w:hAnsi="Arial"/>
                <w:sz w:val="29"/>
                <w:szCs w:val="29"/>
                <w:color w:val="auto"/>
                <w:vertAlign w:val="superscript"/>
              </w:rPr>
              <w:t>(5)</w:t>
            </w:r>
          </w:p>
        </w:tc>
        <w:tc>
          <w:tcPr>
            <w:tcW w:w="1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040" w:type="dxa"/>
            <w:vAlign w:val="bottom"/>
            <w:gridSpan w:val="2"/>
            <w:vMerge w:val="continue"/>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1,189,463</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1,537,512</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2,047,887</w:t>
            </w:r>
          </w:p>
        </w:tc>
        <w:tc>
          <w:tcPr>
            <w:tcW w:w="260" w:type="dxa"/>
            <w:vAlign w:val="bottom"/>
          </w:tcPr>
          <w:p>
            <w:pPr>
              <w:spacing w:after="0"/>
              <w:rPr>
                <w:sz w:val="20"/>
                <w:szCs w:val="20"/>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33.2%</w:t>
            </w:r>
          </w:p>
        </w:tc>
        <w:tc>
          <w:tcPr>
            <w:tcW w:w="34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risk-weighted assets</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80,572,032</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88,466,066</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91,725,676</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Operational risk-weighted assets</w:t>
            </w:r>
          </w:p>
        </w:tc>
        <w:tc>
          <w:tcPr>
            <w:tcW w:w="1220" w:type="dxa"/>
            <w:vAlign w:val="bottom"/>
          </w:tcPr>
          <w:p>
            <w:pPr>
              <w:jc w:val="right"/>
              <w:spacing w:after="0"/>
              <w:rPr>
                <w:sz w:val="20"/>
                <w:szCs w:val="20"/>
                <w:color w:val="auto"/>
              </w:rPr>
            </w:pPr>
            <w:r>
              <w:rPr>
                <w:rFonts w:ascii="Arial" w:cs="Arial" w:eastAsia="Arial" w:hAnsi="Arial"/>
                <w:sz w:val="18"/>
                <w:szCs w:val="18"/>
                <w:color w:val="auto"/>
              </w:rPr>
              <w:t>6,177,426</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6,999,999</w:t>
            </w:r>
          </w:p>
        </w:tc>
        <w:tc>
          <w:tcPr>
            <w:tcW w:w="280" w:type="dxa"/>
            <w:vAlign w:val="bottom"/>
          </w:tcPr>
          <w:p>
            <w:pPr>
              <w:spacing w:after="0"/>
              <w:rPr>
                <w:sz w:val="19"/>
                <w:szCs w:val="19"/>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7,295,209</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4.2%</w:t>
            </w:r>
          </w:p>
        </w:tc>
        <w:tc>
          <w:tcPr>
            <w:tcW w:w="34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040" w:type="dxa"/>
            <w:vAlign w:val="bottom"/>
            <w:gridSpan w:val="2"/>
          </w:tcPr>
          <w:p>
            <w:pPr>
              <w:spacing w:after="0"/>
              <w:rPr>
                <w:sz w:val="20"/>
                <w:szCs w:val="20"/>
                <w:color w:val="auto"/>
              </w:rPr>
            </w:pPr>
            <w:r>
              <w:rPr>
                <w:rFonts w:ascii="Arial" w:cs="Arial" w:eastAsia="Arial" w:hAnsi="Arial"/>
                <w:sz w:val="18"/>
                <w:szCs w:val="18"/>
                <w:b w:val="1"/>
                <w:bCs w:val="1"/>
                <w:color w:val="auto"/>
              </w:rPr>
              <w:t>Total capital requirement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10,546,528</w:t>
            </w:r>
          </w:p>
        </w:tc>
        <w:tc>
          <w:tcPr>
            <w:tcW w:w="260" w:type="dxa"/>
            <w:vAlign w:val="bottom"/>
          </w:tcPr>
          <w:p>
            <w:pPr>
              <w:spacing w:after="0"/>
              <w:rPr>
                <w:sz w:val="19"/>
                <w:szCs w:val="19"/>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11,739,677</w:t>
            </w:r>
          </w:p>
        </w:tc>
        <w:tc>
          <w:tcPr>
            <w:tcW w:w="14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12,212,332</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4.0%</w:t>
            </w:r>
          </w:p>
        </w:tc>
        <w:tc>
          <w:tcPr>
            <w:tcW w:w="34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15.8%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gridSpan w:val="2"/>
            <w:vMerge w:val="restart"/>
            <w:shd w:val="clear" w:color="auto" w:fill="CCEEFF"/>
          </w:tcPr>
          <w:p>
            <w:pPr>
              <w:spacing w:after="0" w:line="256" w:lineRule="exact"/>
              <w:rPr>
                <w:sz w:val="20"/>
                <w:szCs w:val="20"/>
                <w:color w:val="auto"/>
              </w:rPr>
            </w:pPr>
            <w:r>
              <w:rPr>
                <w:rFonts w:ascii="Arial" w:cs="Arial" w:eastAsia="Arial" w:hAnsi="Arial"/>
                <w:sz w:val="18"/>
                <w:szCs w:val="18"/>
                <w:color w:val="auto"/>
              </w:rPr>
              <w:t xml:space="preserve">Market risk capital requirement </w:t>
            </w:r>
            <w:r>
              <w:rPr>
                <w:rFonts w:ascii="Arial" w:cs="Arial" w:eastAsia="Arial" w:hAnsi="Arial"/>
                <w:sz w:val="29"/>
                <w:szCs w:val="29"/>
                <w:color w:val="auto"/>
                <w:vertAlign w:val="superscript"/>
              </w:rPr>
              <w:t>(5)</w:t>
            </w:r>
          </w:p>
        </w:tc>
        <w:tc>
          <w:tcPr>
            <w:tcW w:w="12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040" w:type="dxa"/>
            <w:vAlign w:val="bottom"/>
            <w:gridSpan w:val="2"/>
            <w:vMerge w:val="continue"/>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118,946</w:t>
            </w:r>
          </w:p>
        </w:tc>
        <w:tc>
          <w:tcPr>
            <w:tcW w:w="26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153,751</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204,789</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33.2%</w:t>
            </w:r>
          </w:p>
        </w:tc>
        <w:tc>
          <w:tcPr>
            <w:tcW w:w="3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Credit risk capital requirement</w:t>
            </w:r>
          </w:p>
        </w:tc>
        <w:tc>
          <w:tcPr>
            <w:tcW w:w="1220" w:type="dxa"/>
            <w:vAlign w:val="bottom"/>
          </w:tcPr>
          <w:p>
            <w:pPr>
              <w:jc w:val="right"/>
              <w:spacing w:after="0"/>
              <w:rPr>
                <w:sz w:val="20"/>
                <w:szCs w:val="20"/>
                <w:color w:val="auto"/>
              </w:rPr>
            </w:pPr>
            <w:r>
              <w:rPr>
                <w:rFonts w:ascii="Arial" w:cs="Arial" w:eastAsia="Arial" w:hAnsi="Arial"/>
                <w:sz w:val="18"/>
                <w:szCs w:val="18"/>
                <w:color w:val="auto"/>
              </w:rPr>
              <w:t>8,057,203</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8,846,607</w:t>
            </w:r>
          </w:p>
        </w:tc>
        <w:tc>
          <w:tcPr>
            <w:tcW w:w="280" w:type="dxa"/>
            <w:vAlign w:val="bottom"/>
          </w:tcPr>
          <w:p>
            <w:pPr>
              <w:spacing w:after="0"/>
              <w:rPr>
                <w:sz w:val="18"/>
                <w:szCs w:val="18"/>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9,172,568</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3.7%</w:t>
            </w:r>
          </w:p>
        </w:tc>
        <w:tc>
          <w:tcPr>
            <w:tcW w:w="3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Operational risk capital requirement</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617,743</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700,000</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729,521</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Additional capital requirements</w:t>
            </w:r>
          </w:p>
        </w:tc>
        <w:tc>
          <w:tcPr>
            <w:tcW w:w="1220" w:type="dxa"/>
            <w:vAlign w:val="bottom"/>
          </w:tcPr>
          <w:p>
            <w:pPr>
              <w:jc w:val="right"/>
              <w:spacing w:after="0"/>
              <w:rPr>
                <w:sz w:val="20"/>
                <w:szCs w:val="20"/>
                <w:color w:val="auto"/>
              </w:rPr>
            </w:pPr>
            <w:r>
              <w:rPr>
                <w:rFonts w:ascii="Arial" w:cs="Arial" w:eastAsia="Arial" w:hAnsi="Arial"/>
                <w:sz w:val="18"/>
                <w:szCs w:val="18"/>
                <w:color w:val="auto"/>
              </w:rPr>
              <w:t>1,752,636</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2,039,319</w:t>
            </w:r>
          </w:p>
        </w:tc>
        <w:tc>
          <w:tcPr>
            <w:tcW w:w="280" w:type="dxa"/>
            <w:vAlign w:val="bottom"/>
          </w:tcPr>
          <w:p>
            <w:pPr>
              <w:spacing w:after="0"/>
              <w:rPr>
                <w:sz w:val="19"/>
                <w:szCs w:val="19"/>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2,105,455</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b w:val="1"/>
                <w:bCs w:val="1"/>
                <w:color w:val="auto"/>
              </w:rPr>
              <w:t>Capital ratios</w:t>
            </w: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Tier 1 ratio </w:t>
            </w:r>
            <w:r>
              <w:rPr>
                <w:rFonts w:ascii="Arial" w:cs="Arial" w:eastAsia="Arial" w:hAnsi="Arial"/>
                <w:sz w:val="29"/>
                <w:szCs w:val="29"/>
                <w:color w:val="auto"/>
                <w:vertAlign w:val="superscript"/>
              </w:rPr>
              <w:t>(6)</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9.83%</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9.24%</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9.61%</w:t>
            </w:r>
          </w:p>
        </w:tc>
        <w:tc>
          <w:tcPr>
            <w:tcW w:w="12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4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Common Equity Tier 1 ratio </w:t>
            </w:r>
            <w:r>
              <w:rPr>
                <w:rFonts w:ascii="Arial" w:cs="Arial" w:eastAsia="Arial" w:hAnsi="Arial"/>
                <w:sz w:val="29"/>
                <w:szCs w:val="29"/>
                <w:color w:val="auto"/>
                <w:vertAlign w:val="superscript"/>
              </w:rPr>
              <w:t>(7)</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8.01%</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9.01%</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9.34%</w:t>
            </w:r>
          </w:p>
        </w:tc>
        <w:tc>
          <w:tcPr>
            <w:tcW w:w="1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BIS ratio (8)</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14.45%</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13.89%</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14.34%</w:t>
            </w: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4040" w:type="dxa"/>
            <w:vAlign w:val="bottom"/>
            <w:gridSpan w:val="2"/>
          </w:tcPr>
          <w:p>
            <w:pPr>
              <w:spacing w:after="0" w:line="285" w:lineRule="exact"/>
              <w:rPr>
                <w:sz w:val="20"/>
                <w:szCs w:val="20"/>
                <w:color w:val="auto"/>
              </w:rPr>
            </w:pPr>
            <w:r>
              <w:rPr>
                <w:rFonts w:ascii="Arial" w:cs="Arial" w:eastAsia="Arial" w:hAnsi="Arial"/>
                <w:sz w:val="18"/>
                <w:szCs w:val="18"/>
                <w:color w:val="auto"/>
              </w:rPr>
              <w:t xml:space="preserve">Risk-weighted assets / Regulatory capital </w:t>
            </w:r>
            <w:r>
              <w:rPr>
                <w:rFonts w:ascii="Arial" w:cs="Arial" w:eastAsia="Arial" w:hAnsi="Arial"/>
                <w:sz w:val="30"/>
                <w:szCs w:val="30"/>
                <w:color w:val="auto"/>
                <w:vertAlign w:val="superscript"/>
              </w:rPr>
              <w:t>(9)</w:t>
            </w: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6.92</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7.20</w:t>
            </w: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6.98</w:t>
            </w: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2578100</wp:posOffset>
            </wp:positionH>
            <wp:positionV relativeFrom="paragraph">
              <wp:posOffset>-8890</wp:posOffset>
            </wp:positionV>
            <wp:extent cx="26670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ind w:left="260" w:hanging="252"/>
        <w:spacing w:after="0"/>
        <w:tabs>
          <w:tab w:leader="none" w:pos="2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Up to 1.25% of total risk-weighted assets.</w:t>
      </w:r>
    </w:p>
    <w:p>
      <w:pPr>
        <w:spacing w:after="0" w:line="7" w:lineRule="exact"/>
        <w:rPr>
          <w:rFonts w:ascii="Arial" w:cs="Arial" w:eastAsia="Arial" w:hAnsi="Arial"/>
          <w:sz w:val="18"/>
          <w:szCs w:val="18"/>
          <w:color w:val="auto"/>
        </w:rPr>
      </w:pPr>
    </w:p>
    <w:p>
      <w:pPr>
        <w:ind w:right="400" w:firstLine="8"/>
        <w:spacing w:after="0" w:line="265" w:lineRule="auto"/>
        <w:tabs>
          <w:tab w:leader="none" w:pos="255" w:val="left"/>
        </w:tabs>
        <w:numPr>
          <w:ilvl w:val="0"/>
          <w:numId w:val="66"/>
        </w:numPr>
        <w:rPr>
          <w:rFonts w:ascii="Arial" w:cs="Arial" w:eastAsia="Arial" w:hAnsi="Arial"/>
          <w:sz w:val="17"/>
          <w:szCs w:val="17"/>
          <w:color w:val="auto"/>
        </w:rPr>
      </w:pPr>
      <w:r>
        <w:rPr>
          <w:rFonts w:ascii="Arial" w:cs="Arial" w:eastAsia="Arial" w:hAnsi="Arial"/>
          <w:sz w:val="17"/>
          <w:szCs w:val="17"/>
          <w:color w:val="auto"/>
        </w:rPr>
        <w:t>Tier 1 = Capital + Legal and other capital reserves + Accumulated earnings with capitalization agreement + Unrealized profit and net income in subsidiaries - Goodwill - (0.5 x Investment in subsidiaries) + Perpetual subordinated debt (maximum amount that can be included is 17.65% of Capital + Reserves + Accumulated earnings with capitalization agreement + Unrealized profit and net income in subsidiaries - Goodwill).</w:t>
      </w:r>
    </w:p>
    <w:p>
      <w:pPr>
        <w:ind w:left="260" w:hanging="252"/>
        <w:spacing w:after="0"/>
        <w:tabs>
          <w:tab w:leader="none" w:pos="2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Tier 2 = Subordinated debt + Loan loss reserves - (0.5 x Investment in subsidiaries).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Tier 3 = Subordinated debt covering market risk only. Tier 3 exists since 1Q10.</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It includes capital requirement to cover price and rate risk.</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Tier 1 / Risk-weighted assets</w:t>
      </w:r>
    </w:p>
    <w:p>
      <w:pPr>
        <w:spacing w:after="0" w:line="9" w:lineRule="exact"/>
        <w:rPr>
          <w:rFonts w:ascii="Arial" w:cs="Arial" w:eastAsia="Arial" w:hAnsi="Arial"/>
          <w:sz w:val="18"/>
          <w:szCs w:val="18"/>
          <w:color w:val="auto"/>
        </w:rPr>
      </w:pPr>
    </w:p>
    <w:p>
      <w:pPr>
        <w:ind w:right="40" w:firstLine="8"/>
        <w:spacing w:after="0" w:line="250" w:lineRule="auto"/>
        <w:tabs>
          <w:tab w:leader="none" w:pos="255"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Common Equity Tier I = Capital + Reserves – 100% of applicable deductions (investment in subsidiaries, goodwill, intangibles and net deferred taxes that rely on future profitability) + retained earnings + unrealized gains.</w:t>
      </w:r>
    </w:p>
    <w:p>
      <w:pPr>
        <w:ind w:left="260" w:hanging="252"/>
        <w:spacing w:after="0"/>
        <w:tabs>
          <w:tab w:leader="none" w:pos="2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Regulatory Capital / Risk-weighted assets (legal minimum = 10% since July 2011)</w:t>
      </w:r>
    </w:p>
    <w:p>
      <w:pPr>
        <w:spacing w:after="0" w:line="9" w:lineRule="exact"/>
        <w:rPr>
          <w:rFonts w:ascii="Arial" w:cs="Arial" w:eastAsia="Arial" w:hAnsi="Arial"/>
          <w:sz w:val="18"/>
          <w:szCs w:val="18"/>
          <w:color w:val="auto"/>
        </w:rPr>
      </w:pPr>
    </w:p>
    <w:p>
      <w:pPr>
        <w:ind w:right="40" w:firstLine="8"/>
        <w:spacing w:after="0" w:line="261" w:lineRule="auto"/>
        <w:tabs>
          <w:tab w:leader="none" w:pos="255" w:val="left"/>
        </w:tabs>
        <w:numPr>
          <w:ilvl w:val="0"/>
          <w:numId w:val="66"/>
        </w:numPr>
        <w:rPr>
          <w:rFonts w:ascii="Arial" w:cs="Arial" w:eastAsia="Arial" w:hAnsi="Arial"/>
          <w:sz w:val="18"/>
          <w:szCs w:val="18"/>
          <w:color w:val="auto"/>
        </w:rPr>
      </w:pPr>
      <w:r>
        <w:rPr>
          <w:rFonts w:ascii="Arial" w:cs="Arial" w:eastAsia="Arial" w:hAnsi="Arial"/>
          <w:sz w:val="18"/>
          <w:szCs w:val="18"/>
          <w:color w:val="auto"/>
        </w:rPr>
        <w:t>Since July 2012, Risk-weighted assets = Credit risk-weighted assets * 1.00 + Capital requirement to cover market risk * 10 + Capital requirement to cover operational risk * 10 * 1.00 (since July 2014)</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4" w:name="page45"/>
    <w:bookmarkEnd w:id="44"/>
    <w:p>
      <w:pPr>
        <w:jc w:val="both"/>
        <w:spacing w:after="0" w:line="342" w:lineRule="auto"/>
        <w:rPr>
          <w:sz w:val="20"/>
          <w:szCs w:val="20"/>
          <w:color w:val="auto"/>
        </w:rPr>
      </w:pPr>
      <w:r>
        <w:rPr>
          <w:rFonts w:ascii="Arial" w:cs="Arial" w:eastAsia="Arial" w:hAnsi="Arial"/>
          <w:sz w:val="16"/>
          <w:szCs w:val="16"/>
          <w:color w:val="auto"/>
        </w:rPr>
        <w:t>At the end of 4Q15, the BIS ratio was situated at 14.34%, which was higher than the figure registered at the end of 3Q15 (13.89%). This was due to a smaller increase in RWA (+4.2% QoQ) than in regulatory capital (+7.5% QoQ), which was in turn associated with higher accumulated earnings from capitalization.</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 is important to note that the expansion in RWAs was due to an increase in credit risk weighted assets, which was attributable to +1.8% QoQ expansion in total loans at BCP Stand-alone (measured in period-end balances and based on results in local accounting).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this context, Tier 1 rose from 9.24% in 3Q15 to 9.61% in 4Q15 due to the evolution of Tier 1 (+8.3% QoQ) vs RWAs.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Common equity tier 1, which is considered the most rigorous ratio to measure capitalization levels, reported a QoQ improvement, going from 9.01% in 3Q15 to 9.34% in 4Q15. This was attributable to growth in retained earnings, which rose in line with the earnings level this quarter. Around 40bps of this growth was associated with the sale of BCI shares to Credicorp.</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Equity Tier 1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3765550</wp:posOffset>
            </wp:positionH>
            <wp:positionV relativeFrom="paragraph">
              <wp:posOffset>142240</wp:posOffset>
            </wp:positionV>
            <wp:extent cx="34290" cy="11918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1191895"/>
                    </a:xfrm>
                    <a:prstGeom prst="rect">
                      <a:avLst/>
                    </a:prstGeom>
                    <a:noFill/>
                  </pic:spPr>
                </pic:pic>
              </a:graphicData>
            </a:graphic>
          </wp:anchor>
        </w:drawing>
      </w:r>
    </w:p>
    <w:p>
      <w:pPr>
        <w:spacing w:after="0" w:line="205" w:lineRule="exact"/>
        <w:rPr>
          <w:sz w:val="20"/>
          <w:szCs w:val="20"/>
          <w:color w:val="auto"/>
        </w:rPr>
      </w:pPr>
    </w:p>
    <w:p>
      <w:pPr>
        <w:ind w:left="2360"/>
        <w:spacing w:after="0"/>
        <w:tabs>
          <w:tab w:leader="none" w:pos="8080" w:val="left"/>
        </w:tabs>
        <w:rPr>
          <w:sz w:val="20"/>
          <w:szCs w:val="20"/>
          <w:color w:val="auto"/>
        </w:rPr>
      </w:pPr>
      <w:r>
        <w:rPr>
          <w:rFonts w:ascii="Arial" w:cs="Arial" w:eastAsia="Arial" w:hAnsi="Arial"/>
          <w:sz w:val="18"/>
          <w:szCs w:val="18"/>
          <w:b w:val="1"/>
          <w:bCs w:val="1"/>
          <w:color w:val="auto"/>
        </w:rPr>
        <w:t>September 2015</w:t>
      </w:r>
      <w:r>
        <w:rPr>
          <w:sz w:val="20"/>
          <w:szCs w:val="20"/>
          <w:color w:val="auto"/>
        </w:rPr>
        <w:tab/>
      </w:r>
      <w:r>
        <w:rPr>
          <w:rFonts w:ascii="Arial" w:cs="Arial" w:eastAsia="Arial" w:hAnsi="Arial"/>
          <w:sz w:val="16"/>
          <w:szCs w:val="16"/>
          <w:b w:val="1"/>
          <w:bCs w:val="1"/>
          <w:color w:val="auto"/>
        </w:rPr>
        <w:t>December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154940</wp:posOffset>
            </wp:positionV>
            <wp:extent cx="2915920" cy="7975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915920"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60" w:hanging="252"/>
        <w:spacing w:after="0"/>
        <w:tabs>
          <w:tab w:leader="none" w:pos="2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Gains on the sale of BCI shares to Credicorp contributed around 40 bps to the period’s earnings in the Common Equity Tier 1 ratio Common Equity Tier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1.</w:t>
      </w:r>
    </w:p>
    <w:p>
      <w:pPr>
        <w:spacing w:after="0" w:line="9" w:lineRule="exact"/>
        <w:rPr>
          <w:rFonts w:ascii="Arial" w:cs="Arial" w:eastAsia="Arial" w:hAnsi="Arial"/>
          <w:sz w:val="16"/>
          <w:szCs w:val="16"/>
          <w:color w:val="auto"/>
        </w:rPr>
      </w:pPr>
    </w:p>
    <w:p>
      <w:pPr>
        <w:ind w:left="260" w:hanging="252"/>
        <w:spacing w:after="0"/>
        <w:tabs>
          <w:tab w:leader="none" w:pos="2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Includes investments in BCP Bolivia and other.</w:t>
      </w:r>
    </w:p>
    <w:p>
      <w:pPr>
        <w:spacing w:after="0" w:line="207"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5240" w:type="dxa"/>
            <w:vAlign w:val="bottom"/>
            <w:gridSpan w:val="3"/>
          </w:tcPr>
          <w:p>
            <w:pPr>
              <w:spacing w:after="0"/>
              <w:rPr>
                <w:sz w:val="20"/>
                <w:szCs w:val="20"/>
                <w:color w:val="auto"/>
              </w:rPr>
            </w:pPr>
            <w:r>
              <w:rPr>
                <w:rFonts w:ascii="Arial" w:cs="Arial" w:eastAsia="Arial" w:hAnsi="Arial"/>
                <w:sz w:val="18"/>
                <w:szCs w:val="18"/>
                <w:b w:val="1"/>
                <w:bCs w:val="1"/>
                <w:color w:val="auto"/>
              </w:rPr>
              <w:t>Common Equity Tier 1</w:t>
            </w: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40" w:type="dxa"/>
            <w:vAlign w:val="bottom"/>
            <w:gridSpan w:val="3"/>
          </w:tcPr>
          <w:p>
            <w:pPr>
              <w:spacing w:after="0"/>
              <w:rPr>
                <w:sz w:val="20"/>
                <w:szCs w:val="20"/>
                <w:color w:val="auto"/>
              </w:rPr>
            </w:pPr>
            <w:r>
              <w:rPr>
                <w:rFonts w:ascii="Arial" w:cs="Arial" w:eastAsia="Arial" w:hAnsi="Arial"/>
                <w:sz w:val="18"/>
                <w:szCs w:val="18"/>
                <w:b w:val="1"/>
                <w:bCs w:val="1"/>
                <w:color w:val="auto"/>
              </w:rPr>
              <w:t>(S/. Millions )</w:t>
            </w:r>
          </w:p>
        </w:tc>
        <w:tc>
          <w:tcPr>
            <w:tcW w:w="160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Dec 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Capital and reserves</w:t>
            </w:r>
          </w:p>
        </w:tc>
        <w:tc>
          <w:tcPr>
            <w:tcW w:w="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9,012</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Retained earnings</w:t>
            </w: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2,807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Unrealized gains (losses )</w:t>
            </w: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Goodwill and intangibles</w:t>
            </w: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220" w:type="dxa"/>
            <w:vAlign w:val="bottom"/>
            <w:gridSpan w:val="2"/>
            <w:shd w:val="clear" w:color="auto" w:fill="CCEEFF"/>
          </w:tcPr>
          <w:p>
            <w:pPr>
              <w:spacing w:after="0" w:line="269" w:lineRule="exact"/>
              <w:rPr>
                <w:sz w:val="20"/>
                <w:szCs w:val="20"/>
                <w:color w:val="auto"/>
              </w:rPr>
            </w:pPr>
            <w:r>
              <w:rPr>
                <w:rFonts w:ascii="Arial" w:cs="Arial" w:eastAsia="Arial" w:hAnsi="Arial"/>
                <w:sz w:val="18"/>
                <w:szCs w:val="18"/>
                <w:color w:val="auto"/>
              </w:rPr>
              <w:t xml:space="preserve">Investments in subsidiaries </w:t>
            </w:r>
            <w:r>
              <w:rPr>
                <w:rFonts w:ascii="Arial" w:cs="Arial" w:eastAsia="Arial" w:hAnsi="Arial"/>
                <w:sz w:val="30"/>
                <w:szCs w:val="30"/>
                <w:color w:val="auto"/>
                <w:vertAlign w:val="superscript"/>
              </w:rPr>
              <w:t>(1)</w:t>
            </w: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CET1</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9,398</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CET1 ratio</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4781550</wp:posOffset>
            </wp:positionH>
            <wp:positionV relativeFrom="paragraph">
              <wp:posOffset>-2540</wp:posOffset>
            </wp:positionV>
            <wp:extent cx="90043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90043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(1) Includes investments in Mibanco and other subsidiaries.</w:t>
      </w:r>
    </w:p>
    <w:p>
      <w:pPr>
        <w:spacing w:after="0" w:line="220"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color w:val="auto"/>
        </w:rPr>
        <w:t>In YoY terms, the Common equity tier 1 ratio rose +133 bps to situate at 9.34% vs 8.01% in December 2014. This was due to an increase in earnings generation, which allowed higher earnings capitalization in 2015, and to a lesser extent to gains on the sale of BCI shares to Credicorp.</w:t>
      </w:r>
    </w:p>
    <w:p>
      <w:pPr>
        <w:spacing w:after="0" w:line="3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5" w:name="page46"/>
    <w:bookmarkEnd w:id="45"/>
    <w:p>
      <w:pPr>
        <w:ind w:left="500" w:hanging="492"/>
        <w:spacing w:after="0"/>
        <w:tabs>
          <w:tab w:leader="none" w:pos="50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Distribution channels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BCP, Mibanco and BCP Bolivia posted a total of 9,164 points of access at the end of 4Q15. This level represents an increase of +471 units QoQ.</w:t>
      </w:r>
    </w:p>
    <w:p>
      <w:pPr>
        <w:spacing w:after="0" w:line="23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BCP reported a total of 8,487 points of access at the end of 4Q15, which represented an increase of +468 QoQ. This growth was due mainly to an increase in Agentes BCP (+427 QoQ) and ATMs (+35 QoQ), which was attributable to the increase in cost-efficient channels. The main increase in Agentes BCP took place in the provinces (+258 QoQ), where 49% of all points of access are located. This is aligned with our banking penetration strategy.</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Mibanco posted a slight increase in its number of branches, going from 319 in 3Q15 to 323 in 4Q15, which reflects its strategy to reach more clients. It is also important to note that Mibanco has an agreement with Banco de la Nación to use the latter’s offices throughout the country, which helps reduce operating costs. At the end of 4Q15, these offices represented 12% of the total network (38 offices).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BCP Bolivia reported a decrease in its channels of -1 QoQ, mainly at the level of Agentes. This was attributable to the temporary closing of some agents to relocate them in areas with more clients. The objective is to improve this channel’s efficiency.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YoY analysis, Agentes BCP increased +575 and while ATMs at BCP were up +69. BCP Bolivia posted the next highest increase, with an additional +10 ATMs. This evolution reflects our banking penetration strategy and expansion plan. Finally, it is important to note the YoY drop in ATMs and Agentes at Mibanco. This was attributable to the fact that contracts with agents ended in 2014 and Mibanco’s ATMs were shut down to leverage the synergies created by the consolidation process. Now, Mibanco has access to BCP’s distribution channels.</w:t>
      </w:r>
    </w:p>
    <w:p>
      <w:pPr>
        <w:spacing w:after="0" w:line="183" w:lineRule="exact"/>
        <w:rPr>
          <w:sz w:val="20"/>
          <w:szCs w:val="20"/>
          <w:color w:val="auto"/>
        </w:rPr>
      </w:pPr>
    </w:p>
    <w:tbl>
      <w:tblPr>
        <w:tblLayout w:type="fixed"/>
        <w:tblInd w:w="1440" w:type="dxa"/>
        <w:tblCellMar>
          <w:top w:w="0" w:type="dxa"/>
          <w:left w:w="0" w:type="dxa"/>
          <w:bottom w:w="0" w:type="dxa"/>
          <w:right w:w="0" w:type="dxa"/>
        </w:tblCellMar>
      </w:tblPr>
      <w:tr>
        <w:trPr>
          <w:trHeight w:val="230"/>
        </w:trPr>
        <w:tc>
          <w:tcPr>
            <w:tcW w:w="3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Quarter</w:t>
            </w: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00" w:type="dxa"/>
            <w:vAlign w:val="bottom"/>
            <w:gridSpan w:val="5"/>
          </w:tcPr>
          <w:p>
            <w:pPr>
              <w:ind w:left="420"/>
              <w:spacing w:after="0"/>
              <w:rPr>
                <w:sz w:val="20"/>
                <w:szCs w:val="20"/>
                <w:color w:val="auto"/>
              </w:rPr>
            </w:pPr>
            <w:r>
              <w:rPr>
                <w:rFonts w:ascii="Arial" w:cs="Arial" w:eastAsia="Arial" w:hAnsi="Arial"/>
                <w:sz w:val="18"/>
                <w:szCs w:val="18"/>
                <w:b w:val="1"/>
                <w:bCs w:val="1"/>
                <w:color w:val="auto"/>
              </w:rPr>
              <w:t>Change (units )</w:t>
            </w:r>
          </w:p>
        </w:tc>
      </w:tr>
      <w:tr>
        <w:trPr>
          <w:trHeight w:val="234"/>
        </w:trPr>
        <w:tc>
          <w:tcPr>
            <w:tcW w:w="3100" w:type="dxa"/>
            <w:vAlign w:val="bottom"/>
          </w:tcPr>
          <w:p>
            <w:pPr>
              <w:spacing w:after="0"/>
              <w:rPr>
                <w:sz w:val="20"/>
                <w:szCs w:val="20"/>
                <w:color w:val="auto"/>
              </w:rPr>
            </w:pPr>
          </w:p>
        </w:tc>
        <w:tc>
          <w:tcPr>
            <w:tcW w:w="1140" w:type="dxa"/>
            <w:vAlign w:val="bottom"/>
            <w:gridSpan w:val="2"/>
          </w:tcPr>
          <w:p>
            <w:pPr>
              <w:ind w:left="260"/>
              <w:spacing w:after="0"/>
              <w:rPr>
                <w:sz w:val="20"/>
                <w:szCs w:val="20"/>
                <w:color w:val="auto"/>
              </w:rPr>
            </w:pPr>
            <w:r>
              <w:rPr>
                <w:rFonts w:ascii="Arial" w:cs="Arial" w:eastAsia="Arial" w:hAnsi="Arial"/>
                <w:sz w:val="18"/>
                <w:szCs w:val="18"/>
                <w:b w:val="1"/>
                <w:bCs w:val="1"/>
                <w:color w:val="auto"/>
              </w:rPr>
              <w:t>4Q14</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3Q15</w:t>
            </w:r>
          </w:p>
        </w:tc>
        <w:tc>
          <w:tcPr>
            <w:tcW w:w="1100" w:type="dxa"/>
            <w:vAlign w:val="bottom"/>
            <w:gridSpan w:val="2"/>
          </w:tcPr>
          <w:p>
            <w:pPr>
              <w:ind w:left="260"/>
              <w:spacing w:after="0"/>
              <w:rPr>
                <w:sz w:val="20"/>
                <w:szCs w:val="20"/>
                <w:color w:val="auto"/>
              </w:rPr>
            </w:pPr>
            <w:r>
              <w:rPr>
                <w:rFonts w:ascii="Arial" w:cs="Arial" w:eastAsia="Arial" w:hAnsi="Arial"/>
                <w:sz w:val="18"/>
                <w:szCs w:val="18"/>
                <w:b w:val="1"/>
                <w:bCs w:val="1"/>
                <w:color w:val="auto"/>
              </w:rPr>
              <w:t>4Q15</w:t>
            </w:r>
          </w:p>
        </w:tc>
        <w:tc>
          <w:tcPr>
            <w:tcW w:w="1100" w:type="dxa"/>
            <w:vAlign w:val="bottom"/>
            <w:gridSpan w:val="2"/>
          </w:tcPr>
          <w:p>
            <w:pPr>
              <w:ind w:left="280"/>
              <w:spacing w:after="0"/>
              <w:rPr>
                <w:sz w:val="20"/>
                <w:szCs w:val="20"/>
                <w:color w:val="auto"/>
              </w:rPr>
            </w:pPr>
            <w:r>
              <w:rPr>
                <w:rFonts w:ascii="Arial" w:cs="Arial" w:eastAsia="Arial" w:hAnsi="Arial"/>
                <w:sz w:val="18"/>
                <w:szCs w:val="18"/>
                <w:b w:val="1"/>
                <w:bCs w:val="1"/>
                <w:color w:val="auto"/>
              </w:rPr>
              <w:t>QoQ</w:t>
            </w:r>
          </w:p>
        </w:tc>
        <w:tc>
          <w:tcPr>
            <w:tcW w:w="1000" w:type="dxa"/>
            <w:vAlign w:val="bottom"/>
            <w:gridSpan w:val="3"/>
          </w:tcPr>
          <w:p>
            <w:pPr>
              <w:ind w:left="300"/>
              <w:spacing w:after="0"/>
              <w:rPr>
                <w:sz w:val="20"/>
                <w:szCs w:val="20"/>
                <w:color w:val="auto"/>
              </w:rPr>
            </w:pPr>
            <w:r>
              <w:rPr>
                <w:rFonts w:ascii="Arial" w:cs="Arial" w:eastAsia="Arial" w:hAnsi="Arial"/>
                <w:sz w:val="18"/>
                <w:szCs w:val="18"/>
                <w:b w:val="1"/>
                <w:bCs w:val="1"/>
                <w:color w:val="auto"/>
              </w:rPr>
              <w:t>YoY</w:t>
            </w:r>
          </w:p>
        </w:tc>
      </w:tr>
      <w:tr>
        <w:trPr>
          <w:trHeight w:val="210"/>
        </w:trPr>
        <w:tc>
          <w:tcPr>
            <w:tcW w:w="3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Branches</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ATMs</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2,226</w:t>
            </w:r>
          </w:p>
        </w:tc>
        <w:tc>
          <w:tcPr>
            <w:tcW w:w="940" w:type="dxa"/>
            <w:vAlign w:val="bottom"/>
          </w:tcPr>
          <w:p>
            <w:pPr>
              <w:jc w:val="right"/>
              <w:spacing w:after="0"/>
              <w:rPr>
                <w:sz w:val="20"/>
                <w:szCs w:val="20"/>
                <w:color w:val="auto"/>
              </w:rPr>
            </w:pPr>
            <w:r>
              <w:rPr>
                <w:rFonts w:ascii="Arial" w:cs="Arial" w:eastAsia="Arial" w:hAnsi="Arial"/>
                <w:sz w:val="18"/>
                <w:szCs w:val="18"/>
                <w:color w:val="auto"/>
              </w:rPr>
              <w:t>2,260</w:t>
            </w: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2,295</w:t>
            </w:r>
          </w:p>
        </w:tc>
        <w:tc>
          <w:tcPr>
            <w:tcW w:w="940" w:type="dxa"/>
            <w:vAlign w:val="bottom"/>
          </w:tcPr>
          <w:p>
            <w:pPr>
              <w:jc w:val="right"/>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60" w:type="dxa"/>
            <w:vAlign w:val="bottom"/>
          </w:tcPr>
          <w:p>
            <w:pPr>
              <w:spacing w:after="0"/>
              <w:rPr>
                <w:sz w:val="18"/>
                <w:szCs w:val="18"/>
                <w:color w:val="auto"/>
              </w:rPr>
            </w:pPr>
          </w:p>
        </w:tc>
      </w:tr>
      <w:tr>
        <w:trPr>
          <w:trHeight w:val="230"/>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Agentes BCP</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5,157</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5,305</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5,732</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427</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575</w:t>
            </w:r>
          </w:p>
        </w:tc>
        <w:tc>
          <w:tcPr>
            <w:tcW w:w="60" w:type="dxa"/>
            <w:vAlign w:val="bottom"/>
            <w:shd w:val="clear" w:color="auto" w:fill="CCEEFF"/>
          </w:tcPr>
          <w:p>
            <w:pPr>
              <w:spacing w:after="0"/>
              <w:rPr>
                <w:sz w:val="19"/>
                <w:szCs w:val="19"/>
                <w:color w:val="auto"/>
              </w:rPr>
            </w:pPr>
          </w:p>
        </w:tc>
      </w:tr>
      <w:tr>
        <w:trPr>
          <w:trHeight w:val="210"/>
        </w:trPr>
        <w:tc>
          <w:tcPr>
            <w:tcW w:w="31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BCP's Network</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7,820</w:t>
            </w:r>
          </w:p>
        </w:tc>
        <w:tc>
          <w:tcPr>
            <w:tcW w:w="18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7,624</w:t>
            </w:r>
          </w:p>
        </w:tc>
        <w:tc>
          <w:tcPr>
            <w:tcW w:w="16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8,487</w:t>
            </w:r>
          </w:p>
        </w:tc>
        <w:tc>
          <w:tcPr>
            <w:tcW w:w="16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863</w:t>
            </w:r>
          </w:p>
        </w:tc>
        <w:tc>
          <w:tcPr>
            <w:tcW w:w="16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667</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r>
      <w:tr>
        <w:trPr>
          <w:trHeight w:val="237"/>
        </w:trPr>
        <w:tc>
          <w:tcPr>
            <w:tcW w:w="3100" w:type="dxa"/>
            <w:vAlign w:val="bottom"/>
            <w:shd w:val="clear" w:color="auto" w:fill="CCEEFF"/>
          </w:tcPr>
          <w:p>
            <w:pPr>
              <w:spacing w:after="0" w:line="236" w:lineRule="exact"/>
              <w:rPr>
                <w:sz w:val="20"/>
                <w:szCs w:val="20"/>
                <w:color w:val="auto"/>
              </w:rPr>
            </w:pPr>
            <w:r>
              <w:rPr>
                <w:rFonts w:ascii="Arial" w:cs="Arial" w:eastAsia="Arial" w:hAnsi="Arial"/>
                <w:sz w:val="17"/>
                <w:szCs w:val="17"/>
                <w:color w:val="auto"/>
              </w:rPr>
              <w:t>Branches</w:t>
            </w:r>
            <w:r>
              <w:rPr>
                <w:rFonts w:ascii="Arial" w:cs="Arial" w:eastAsia="Arial" w:hAnsi="Arial"/>
                <w:sz w:val="27"/>
                <w:szCs w:val="27"/>
                <w:color w:val="auto"/>
                <w:vertAlign w:val="superscript"/>
              </w:rPr>
              <w:t>(1)</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328</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319</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323</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ATMs</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72</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c>
          <w:tcPr>
            <w:tcW w:w="60" w:type="dxa"/>
            <w:vAlign w:val="bottom"/>
          </w:tcPr>
          <w:p>
            <w:pPr>
              <w:spacing w:after="0"/>
              <w:rPr>
                <w:sz w:val="18"/>
                <w:szCs w:val="18"/>
                <w:color w:val="auto"/>
              </w:rPr>
            </w:pPr>
          </w:p>
        </w:tc>
      </w:tr>
      <w:tr>
        <w:trPr>
          <w:trHeight w:val="230"/>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Agentes Mibanco</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3,298</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-3,298</w:t>
            </w:r>
          </w:p>
        </w:tc>
        <w:tc>
          <w:tcPr>
            <w:tcW w:w="60" w:type="dxa"/>
            <w:vAlign w:val="bottom"/>
            <w:shd w:val="clear" w:color="auto" w:fill="CCEEFF"/>
          </w:tcPr>
          <w:p>
            <w:pPr>
              <w:spacing w:after="0"/>
              <w:rPr>
                <w:sz w:val="19"/>
                <w:szCs w:val="19"/>
                <w:color w:val="auto"/>
              </w:rPr>
            </w:pPr>
          </w:p>
        </w:tc>
      </w:tr>
      <w:tr>
        <w:trPr>
          <w:trHeight w:val="210"/>
        </w:trPr>
        <w:tc>
          <w:tcPr>
            <w:tcW w:w="31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Mibanco's Network</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3,698</w:t>
            </w:r>
          </w:p>
        </w:tc>
        <w:tc>
          <w:tcPr>
            <w:tcW w:w="18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319</w:t>
            </w:r>
          </w:p>
        </w:tc>
        <w:tc>
          <w:tcPr>
            <w:tcW w:w="16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323</w:t>
            </w:r>
          </w:p>
        </w:tc>
        <w:tc>
          <w:tcPr>
            <w:tcW w:w="16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16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-3,375</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r>
      <w:tr>
        <w:trPr>
          <w:trHeight w:val="210"/>
        </w:trPr>
        <w:tc>
          <w:tcPr>
            <w:tcW w:w="3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Peru's Network</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11,518</w:t>
            </w:r>
          </w:p>
        </w:tc>
        <w:tc>
          <w:tcPr>
            <w:tcW w:w="18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8,338</w:t>
            </w:r>
          </w:p>
        </w:tc>
        <w:tc>
          <w:tcPr>
            <w:tcW w:w="16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8,810</w:t>
            </w:r>
          </w:p>
        </w:tc>
        <w:tc>
          <w:tcPr>
            <w:tcW w:w="16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472</w:t>
            </w:r>
          </w:p>
        </w:tc>
        <w:tc>
          <w:tcPr>
            <w:tcW w:w="16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-2,708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0"/>
        </w:trPr>
        <w:tc>
          <w:tcPr>
            <w:tcW w:w="3100" w:type="dxa"/>
            <w:vAlign w:val="bottom"/>
          </w:tcPr>
          <w:p>
            <w:pPr>
              <w:spacing w:after="0"/>
              <w:rPr>
                <w:sz w:val="20"/>
                <w:szCs w:val="20"/>
                <w:color w:val="auto"/>
              </w:rPr>
            </w:pPr>
            <w:r>
              <w:rPr>
                <w:rFonts w:ascii="Arial" w:cs="Arial" w:eastAsia="Arial" w:hAnsi="Arial"/>
                <w:sz w:val="18"/>
                <w:szCs w:val="18"/>
                <w:color w:val="auto"/>
              </w:rPr>
              <w:t>Branches</w:t>
            </w:r>
          </w:p>
        </w:tc>
        <w:tc>
          <w:tcPr>
            <w:tcW w:w="960" w:type="dxa"/>
            <w:vAlign w:val="bottom"/>
          </w:tcPr>
          <w:p>
            <w:pPr>
              <w:jc w:val="right"/>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ATMs</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247</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257</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257</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Agentes BCP Bolivia</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62</w:t>
            </w:r>
          </w:p>
        </w:tc>
        <w:tc>
          <w:tcPr>
            <w:tcW w:w="940" w:type="dxa"/>
            <w:vAlign w:val="bottom"/>
          </w:tcPr>
          <w:p>
            <w:pPr>
              <w:jc w:val="right"/>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9"/>
                <w:szCs w:val="19"/>
                <w:color w:val="auto"/>
              </w:rPr>
            </w:pPr>
          </w:p>
        </w:tc>
      </w:tr>
      <w:tr>
        <w:trPr>
          <w:trHeight w:val="210"/>
        </w:trPr>
        <w:tc>
          <w:tcPr>
            <w:tcW w:w="3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Bolivia's Network</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355</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355</w:t>
            </w: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354</w:t>
            </w: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80" w:type="dxa"/>
            <w:vAlign w:val="bottom"/>
            <w:tcBorders>
              <w:top w:val="single" w:sz="8" w:color="CCEEFF"/>
            </w:tcBorders>
            <w:gridSpan w:val="2"/>
            <w:shd w:val="clear" w:color="auto" w:fill="CCEEFF"/>
          </w:tcPr>
          <w:p>
            <w:pPr>
              <w:spacing w:after="0"/>
              <w:rPr>
                <w:sz w:val="18"/>
                <w:szCs w:val="18"/>
                <w:color w:val="auto"/>
              </w:rPr>
            </w:pPr>
          </w:p>
        </w:tc>
      </w:tr>
      <w:tr>
        <w:trPr>
          <w:trHeight w:val="210"/>
        </w:trPr>
        <w:tc>
          <w:tcPr>
            <w:tcW w:w="3100" w:type="dxa"/>
            <w:vAlign w:val="bottom"/>
          </w:tcPr>
          <w:p>
            <w:pPr>
              <w:spacing w:after="0"/>
              <w:rPr>
                <w:sz w:val="20"/>
                <w:szCs w:val="20"/>
                <w:color w:val="auto"/>
              </w:rPr>
            </w:pPr>
            <w:r>
              <w:rPr>
                <w:rFonts w:ascii="Arial" w:cs="Arial" w:eastAsia="Arial" w:hAnsi="Arial"/>
                <w:sz w:val="18"/>
                <w:szCs w:val="18"/>
                <w:b w:val="1"/>
                <w:bCs w:val="1"/>
                <w:color w:val="auto"/>
              </w:rPr>
              <w:t>Total BCP Consolidate d's Network</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11,873</w:t>
            </w:r>
          </w:p>
        </w:tc>
        <w:tc>
          <w:tcPr>
            <w:tcW w:w="18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8,693</w:t>
            </w:r>
          </w:p>
        </w:tc>
        <w:tc>
          <w:tcPr>
            <w:tcW w:w="16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9,164</w:t>
            </w:r>
          </w:p>
        </w:tc>
        <w:tc>
          <w:tcPr>
            <w:tcW w:w="16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471</w:t>
            </w:r>
          </w:p>
        </w:tc>
        <w:tc>
          <w:tcPr>
            <w:tcW w:w="16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-2,709</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bl>
    <w:p>
      <w:pPr>
        <w:spacing w:after="0" w:line="200" w:lineRule="exact"/>
        <w:rPr>
          <w:sz w:val="20"/>
          <w:szCs w:val="20"/>
          <w:color w:val="auto"/>
        </w:rPr>
      </w:pPr>
    </w:p>
    <w:p>
      <w:pPr>
        <w:spacing w:after="0" w:line="218" w:lineRule="exact"/>
        <w:rPr>
          <w:sz w:val="20"/>
          <w:szCs w:val="20"/>
          <w:color w:val="auto"/>
        </w:rPr>
      </w:pPr>
    </w:p>
    <w:p>
      <w:pPr>
        <w:ind w:left="1240" w:right="760" w:hanging="8"/>
        <w:spacing w:after="0" w:line="277" w:lineRule="auto"/>
        <w:tabs>
          <w:tab w:leader="none" w:pos="1495"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Includes Edyficar's branches for 3Q14 and branches with el Banco de la Nacion: 4Q14, 3Q15 and 4Q15 were 40, 38 y 38 units, respectively.</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Transactions by Channel - BCP Stand-alone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60" w:type="dxa"/>
            <w:vAlign w:val="bottom"/>
            <w:vMerge w:val="restart"/>
          </w:tcPr>
          <w:p>
            <w:pPr>
              <w:spacing w:after="0"/>
              <w:rPr>
                <w:sz w:val="20"/>
                <w:szCs w:val="20"/>
                <w:color w:val="auto"/>
              </w:rPr>
            </w:pPr>
            <w:r>
              <w:rPr>
                <w:rFonts w:ascii="Arial" w:cs="Arial" w:eastAsia="Arial" w:hAnsi="Arial"/>
                <w:sz w:val="14"/>
                <w:szCs w:val="14"/>
                <w:b w:val="1"/>
                <w:bCs w:val="1"/>
                <w:color w:val="auto"/>
                <w:w w:val="90"/>
              </w:rPr>
              <w:t>N° of Transactions per channel</w:t>
            </w:r>
            <w:r>
              <w:rPr>
                <w:rFonts w:ascii="Arial" w:cs="Arial" w:eastAsia="Arial" w:hAnsi="Arial"/>
                <w:sz w:val="23"/>
                <w:szCs w:val="23"/>
                <w:b w:val="1"/>
                <w:bCs w:val="1"/>
                <w:color w:val="auto"/>
                <w:w w:val="90"/>
                <w:vertAlign w:val="superscript"/>
              </w:rPr>
              <w:t>(1)</w:t>
            </w:r>
          </w:p>
        </w:tc>
        <w:tc>
          <w:tcPr>
            <w:tcW w:w="80" w:type="dxa"/>
            <w:vAlign w:val="bottom"/>
            <w:vMerge w:val="restart"/>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40" w:type="dxa"/>
            <w:vAlign w:val="bottom"/>
            <w:gridSpan w:val="4"/>
          </w:tcPr>
          <w:p>
            <w:pPr>
              <w:jc w:val="right"/>
              <w:ind w:right="168"/>
              <w:spacing w:after="0"/>
              <w:rPr>
                <w:sz w:val="20"/>
                <w:szCs w:val="20"/>
                <w:color w:val="auto"/>
              </w:rPr>
            </w:pPr>
            <w:r>
              <w:rPr>
                <w:rFonts w:ascii="Arial" w:cs="Arial" w:eastAsia="Arial" w:hAnsi="Arial"/>
                <w:sz w:val="14"/>
                <w:szCs w:val="14"/>
                <w:b w:val="1"/>
                <w:bCs w:val="1"/>
                <w:color w:val="auto"/>
                <w:w w:val="96"/>
              </w:rPr>
              <w:t>Monthly average in each quarter</w:t>
            </w: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20" w:type="dxa"/>
            <w:vAlign w:val="bottom"/>
            <w:gridSpan w:val="3"/>
          </w:tcPr>
          <w:p>
            <w:pPr>
              <w:ind w:left="140"/>
              <w:spacing w:after="0"/>
              <w:rPr>
                <w:sz w:val="20"/>
                <w:szCs w:val="20"/>
                <w:color w:val="auto"/>
              </w:rPr>
            </w:pPr>
            <w:r>
              <w:rPr>
                <w:rFonts w:ascii="Arial" w:cs="Arial" w:eastAsia="Arial" w:hAnsi="Arial"/>
                <w:sz w:val="14"/>
                <w:szCs w:val="14"/>
                <w:b w:val="1"/>
                <w:bCs w:val="1"/>
                <w:color w:val="auto"/>
              </w:rPr>
              <w:t>% change</w:t>
            </w: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6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9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4Q14</w:t>
            </w:r>
          </w:p>
        </w:tc>
        <w:tc>
          <w:tcPr>
            <w:tcW w:w="2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3Q15</w:t>
            </w:r>
          </w:p>
        </w:tc>
        <w:tc>
          <w:tcPr>
            <w:tcW w:w="22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4Q15</w:t>
            </w:r>
          </w:p>
        </w:tc>
        <w:tc>
          <w:tcPr>
            <w:tcW w:w="2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auto"/>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w w:val="92"/>
              </w:rPr>
              <w:t>QoQ</w:t>
            </w:r>
          </w:p>
        </w:tc>
        <w:tc>
          <w:tcPr>
            <w:tcW w:w="300" w:type="dxa"/>
            <w:vAlign w:val="bottom"/>
            <w:tcBorders>
              <w:bottom w:val="single" w:sz="8" w:color="auto"/>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YoY</w:t>
            </w:r>
          </w:p>
        </w:tc>
        <w:tc>
          <w:tcPr>
            <w:tcW w:w="1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Teller</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9,416,954</w:t>
            </w: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10.4%</w:t>
            </w:r>
          </w:p>
        </w:tc>
        <w:tc>
          <w:tcPr>
            <w:tcW w:w="9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9,449,481</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10.1%</w:t>
            </w:r>
          </w:p>
        </w:tc>
        <w:tc>
          <w:tcPr>
            <w:tcW w:w="9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9,171,259</w:t>
            </w: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9.4%</w:t>
            </w:r>
          </w:p>
        </w:tc>
        <w:tc>
          <w:tcPr>
            <w:tcW w:w="6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-2.9%</w:t>
            </w:r>
          </w:p>
        </w:tc>
        <w:tc>
          <w:tcPr>
            <w:tcW w:w="2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9"/>
        </w:trPr>
        <w:tc>
          <w:tcPr>
            <w:tcW w:w="2140" w:type="dxa"/>
            <w:vAlign w:val="bottom"/>
            <w:gridSpan w:val="2"/>
          </w:tcPr>
          <w:p>
            <w:pPr>
              <w:spacing w:after="0" w:line="149" w:lineRule="exact"/>
              <w:rPr>
                <w:sz w:val="20"/>
                <w:szCs w:val="20"/>
                <w:color w:val="auto"/>
              </w:rPr>
            </w:pPr>
            <w:r>
              <w:rPr>
                <w:rFonts w:ascii="Arial" w:cs="Arial" w:eastAsia="Arial" w:hAnsi="Arial"/>
                <w:sz w:val="14"/>
                <w:szCs w:val="14"/>
                <w:color w:val="auto"/>
              </w:rPr>
              <w:t>ATMs</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17,874,345</w:t>
            </w:r>
          </w:p>
        </w:tc>
        <w:tc>
          <w:tcPr>
            <w:tcW w:w="200" w:type="dxa"/>
            <w:vAlign w:val="bottom"/>
          </w:tcPr>
          <w:p>
            <w:pPr>
              <w:spacing w:after="0"/>
              <w:rPr>
                <w:sz w:val="12"/>
                <w:szCs w:val="12"/>
                <w:color w:val="auto"/>
              </w:rPr>
            </w:pPr>
          </w:p>
        </w:tc>
        <w:tc>
          <w:tcPr>
            <w:tcW w:w="11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19.7%</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19,091,701</w:t>
            </w:r>
          </w:p>
        </w:tc>
        <w:tc>
          <w:tcPr>
            <w:tcW w:w="220" w:type="dxa"/>
            <w:vAlign w:val="bottom"/>
          </w:tcPr>
          <w:p>
            <w:pPr>
              <w:spacing w:after="0"/>
              <w:rPr>
                <w:sz w:val="12"/>
                <w:szCs w:val="12"/>
                <w:color w:val="auto"/>
              </w:rPr>
            </w:pPr>
          </w:p>
        </w:tc>
        <w:tc>
          <w:tcPr>
            <w:tcW w:w="118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20.3%</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20,141,385</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20.7%</w:t>
            </w:r>
          </w:p>
        </w:tc>
        <w:tc>
          <w:tcPr>
            <w:tcW w:w="620" w:type="dxa"/>
            <w:vAlign w:val="bottom"/>
          </w:tcPr>
          <w:p>
            <w:pPr>
              <w:spacing w:after="0"/>
              <w:rPr>
                <w:sz w:val="12"/>
                <w:szCs w:val="12"/>
                <w:color w:val="auto"/>
              </w:rPr>
            </w:pPr>
          </w:p>
        </w:tc>
        <w:tc>
          <w:tcPr>
            <w:tcW w:w="56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5.5%</w:t>
            </w:r>
          </w:p>
        </w:tc>
        <w:tc>
          <w:tcPr>
            <w:tcW w:w="26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149"/>
        </w:trPr>
        <w:tc>
          <w:tcPr>
            <w:tcW w:w="2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Balance inquiries</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3,570,981</w:t>
            </w: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3.9%</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2,620,944</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2.8%</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2,360,381</w:t>
            </w: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2.4%</w:t>
            </w:r>
          </w:p>
        </w:tc>
        <w:tc>
          <w:tcPr>
            <w:tcW w:w="6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-9.9%</w:t>
            </w:r>
          </w:p>
        </w:tc>
        <w:tc>
          <w:tcPr>
            <w:tcW w:w="2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-33.9%</w:t>
            </w:r>
          </w:p>
        </w:tc>
        <w:tc>
          <w:tcPr>
            <w:tcW w:w="0" w:type="dxa"/>
            <w:vAlign w:val="bottom"/>
          </w:tcPr>
          <w:p>
            <w:pPr>
              <w:spacing w:after="0"/>
              <w:rPr>
                <w:sz w:val="1"/>
                <w:szCs w:val="1"/>
                <w:color w:val="auto"/>
              </w:rPr>
            </w:pPr>
          </w:p>
        </w:tc>
      </w:tr>
      <w:tr>
        <w:trPr>
          <w:trHeight w:val="149"/>
        </w:trPr>
        <w:tc>
          <w:tcPr>
            <w:tcW w:w="2140" w:type="dxa"/>
            <w:vAlign w:val="bottom"/>
            <w:gridSpan w:val="2"/>
          </w:tcPr>
          <w:p>
            <w:pPr>
              <w:spacing w:after="0" w:line="149" w:lineRule="exact"/>
              <w:rPr>
                <w:sz w:val="20"/>
                <w:szCs w:val="20"/>
                <w:color w:val="auto"/>
              </w:rPr>
            </w:pPr>
            <w:r>
              <w:rPr>
                <w:rFonts w:ascii="Arial" w:cs="Arial" w:eastAsia="Arial" w:hAnsi="Arial"/>
                <w:sz w:val="14"/>
                <w:szCs w:val="14"/>
                <w:color w:val="auto"/>
              </w:rPr>
              <w:t>Telephone banking</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1,304,545</w:t>
            </w:r>
          </w:p>
        </w:tc>
        <w:tc>
          <w:tcPr>
            <w:tcW w:w="200" w:type="dxa"/>
            <w:vAlign w:val="bottom"/>
          </w:tcPr>
          <w:p>
            <w:pPr>
              <w:spacing w:after="0"/>
              <w:rPr>
                <w:sz w:val="12"/>
                <w:szCs w:val="12"/>
                <w:color w:val="auto"/>
              </w:rPr>
            </w:pPr>
          </w:p>
        </w:tc>
        <w:tc>
          <w:tcPr>
            <w:tcW w:w="11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1.4%</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3,015,347</w:t>
            </w:r>
          </w:p>
        </w:tc>
        <w:tc>
          <w:tcPr>
            <w:tcW w:w="220" w:type="dxa"/>
            <w:vAlign w:val="bottom"/>
          </w:tcPr>
          <w:p>
            <w:pPr>
              <w:spacing w:after="0"/>
              <w:rPr>
                <w:sz w:val="12"/>
                <w:szCs w:val="12"/>
                <w:color w:val="auto"/>
              </w:rPr>
            </w:pPr>
          </w:p>
        </w:tc>
        <w:tc>
          <w:tcPr>
            <w:tcW w:w="118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3.2%</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2,539,704</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2.6%</w:t>
            </w:r>
          </w:p>
        </w:tc>
        <w:tc>
          <w:tcPr>
            <w:tcW w:w="620" w:type="dxa"/>
            <w:vAlign w:val="bottom"/>
          </w:tcPr>
          <w:p>
            <w:pPr>
              <w:spacing w:after="0"/>
              <w:rPr>
                <w:sz w:val="12"/>
                <w:szCs w:val="12"/>
                <w:color w:val="auto"/>
              </w:rPr>
            </w:pPr>
          </w:p>
        </w:tc>
        <w:tc>
          <w:tcPr>
            <w:tcW w:w="56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w w:val="90"/>
              </w:rPr>
              <w:t>-15.8%</w:t>
            </w:r>
          </w:p>
        </w:tc>
        <w:tc>
          <w:tcPr>
            <w:tcW w:w="26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94.7%</w:t>
            </w:r>
          </w:p>
        </w:tc>
        <w:tc>
          <w:tcPr>
            <w:tcW w:w="0" w:type="dxa"/>
            <w:vAlign w:val="bottom"/>
          </w:tcPr>
          <w:p>
            <w:pPr>
              <w:spacing w:after="0"/>
              <w:rPr>
                <w:sz w:val="1"/>
                <w:szCs w:val="1"/>
                <w:color w:val="auto"/>
              </w:rPr>
            </w:pPr>
          </w:p>
        </w:tc>
      </w:tr>
      <w:tr>
        <w:trPr>
          <w:trHeight w:val="149"/>
        </w:trPr>
        <w:tc>
          <w:tcPr>
            <w:tcW w:w="2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Internet banking Via BCP</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21,046,722</w:t>
            </w: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23.2%</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20,291,413</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21.6%</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20,357,428</w:t>
            </w: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21.0%</w:t>
            </w:r>
          </w:p>
        </w:tc>
        <w:tc>
          <w:tcPr>
            <w:tcW w:w="6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0.3%</w:t>
            </w:r>
          </w:p>
        </w:tc>
        <w:tc>
          <w:tcPr>
            <w:tcW w:w="2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9"/>
        </w:trPr>
        <w:tc>
          <w:tcPr>
            <w:tcW w:w="2140" w:type="dxa"/>
            <w:vAlign w:val="bottom"/>
            <w:gridSpan w:val="2"/>
          </w:tcPr>
          <w:p>
            <w:pPr>
              <w:spacing w:after="0" w:line="149" w:lineRule="exact"/>
              <w:rPr>
                <w:sz w:val="20"/>
                <w:szCs w:val="20"/>
                <w:color w:val="auto"/>
              </w:rPr>
            </w:pPr>
            <w:r>
              <w:rPr>
                <w:rFonts w:ascii="Arial" w:cs="Arial" w:eastAsia="Arial" w:hAnsi="Arial"/>
                <w:sz w:val="14"/>
                <w:szCs w:val="14"/>
                <w:color w:val="auto"/>
              </w:rPr>
              <w:t>Agente BCP</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14,910,288</w:t>
            </w:r>
          </w:p>
        </w:tc>
        <w:tc>
          <w:tcPr>
            <w:tcW w:w="200" w:type="dxa"/>
            <w:vAlign w:val="bottom"/>
          </w:tcPr>
          <w:p>
            <w:pPr>
              <w:spacing w:after="0"/>
              <w:rPr>
                <w:sz w:val="12"/>
                <w:szCs w:val="12"/>
                <w:color w:val="auto"/>
              </w:rPr>
            </w:pPr>
          </w:p>
        </w:tc>
        <w:tc>
          <w:tcPr>
            <w:tcW w:w="11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16.4%</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13,919,990</w:t>
            </w:r>
          </w:p>
        </w:tc>
        <w:tc>
          <w:tcPr>
            <w:tcW w:w="220" w:type="dxa"/>
            <w:vAlign w:val="bottom"/>
          </w:tcPr>
          <w:p>
            <w:pPr>
              <w:spacing w:after="0"/>
              <w:rPr>
                <w:sz w:val="12"/>
                <w:szCs w:val="12"/>
                <w:color w:val="auto"/>
              </w:rPr>
            </w:pPr>
          </w:p>
        </w:tc>
        <w:tc>
          <w:tcPr>
            <w:tcW w:w="118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14.8%</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14,465,417</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14.9%</w:t>
            </w:r>
          </w:p>
        </w:tc>
        <w:tc>
          <w:tcPr>
            <w:tcW w:w="620" w:type="dxa"/>
            <w:vAlign w:val="bottom"/>
          </w:tcPr>
          <w:p>
            <w:pPr>
              <w:spacing w:after="0"/>
              <w:rPr>
                <w:sz w:val="12"/>
                <w:szCs w:val="12"/>
                <w:color w:val="auto"/>
              </w:rPr>
            </w:pPr>
          </w:p>
        </w:tc>
        <w:tc>
          <w:tcPr>
            <w:tcW w:w="56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3.9%</w:t>
            </w:r>
          </w:p>
        </w:tc>
        <w:tc>
          <w:tcPr>
            <w:tcW w:w="26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9"/>
        </w:trPr>
        <w:tc>
          <w:tcPr>
            <w:tcW w:w="2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Telecrédito</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8,489,366</w:t>
            </w: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9.3%</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8,571,956</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9.1%</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9,081,293</w:t>
            </w: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9.3%</w:t>
            </w:r>
          </w:p>
        </w:tc>
        <w:tc>
          <w:tcPr>
            <w:tcW w:w="6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5.9%</w:t>
            </w:r>
          </w:p>
        </w:tc>
        <w:tc>
          <w:tcPr>
            <w:tcW w:w="2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49"/>
        </w:trPr>
        <w:tc>
          <w:tcPr>
            <w:tcW w:w="2140" w:type="dxa"/>
            <w:vAlign w:val="bottom"/>
            <w:gridSpan w:val="2"/>
          </w:tcPr>
          <w:p>
            <w:pPr>
              <w:spacing w:after="0" w:line="149" w:lineRule="exact"/>
              <w:rPr>
                <w:sz w:val="20"/>
                <w:szCs w:val="20"/>
                <w:color w:val="auto"/>
              </w:rPr>
            </w:pPr>
            <w:r>
              <w:rPr>
                <w:rFonts w:ascii="Arial" w:cs="Arial" w:eastAsia="Arial" w:hAnsi="Arial"/>
                <w:sz w:val="14"/>
                <w:szCs w:val="14"/>
                <w:color w:val="auto"/>
              </w:rPr>
              <w:t>Mobile banking</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4,719,630</w:t>
            </w:r>
          </w:p>
        </w:tc>
        <w:tc>
          <w:tcPr>
            <w:tcW w:w="200" w:type="dxa"/>
            <w:vAlign w:val="bottom"/>
          </w:tcPr>
          <w:p>
            <w:pPr>
              <w:spacing w:after="0"/>
              <w:rPr>
                <w:sz w:val="12"/>
                <w:szCs w:val="12"/>
                <w:color w:val="auto"/>
              </w:rPr>
            </w:pPr>
          </w:p>
        </w:tc>
        <w:tc>
          <w:tcPr>
            <w:tcW w:w="11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5.2%</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7,184,904</w:t>
            </w:r>
          </w:p>
        </w:tc>
        <w:tc>
          <w:tcPr>
            <w:tcW w:w="220" w:type="dxa"/>
            <w:vAlign w:val="bottom"/>
          </w:tcPr>
          <w:p>
            <w:pPr>
              <w:spacing w:after="0"/>
              <w:rPr>
                <w:sz w:val="12"/>
                <w:szCs w:val="12"/>
                <w:color w:val="auto"/>
              </w:rPr>
            </w:pPr>
          </w:p>
        </w:tc>
        <w:tc>
          <w:tcPr>
            <w:tcW w:w="118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7.6%</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8,551,635</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8.8%</w:t>
            </w:r>
          </w:p>
        </w:tc>
        <w:tc>
          <w:tcPr>
            <w:tcW w:w="620" w:type="dxa"/>
            <w:vAlign w:val="bottom"/>
          </w:tcPr>
          <w:p>
            <w:pPr>
              <w:spacing w:after="0"/>
              <w:rPr>
                <w:sz w:val="12"/>
                <w:szCs w:val="12"/>
                <w:color w:val="auto"/>
              </w:rPr>
            </w:pPr>
          </w:p>
        </w:tc>
        <w:tc>
          <w:tcPr>
            <w:tcW w:w="56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19.0%</w:t>
            </w:r>
          </w:p>
        </w:tc>
        <w:tc>
          <w:tcPr>
            <w:tcW w:w="26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81.2%</w:t>
            </w:r>
          </w:p>
        </w:tc>
        <w:tc>
          <w:tcPr>
            <w:tcW w:w="0" w:type="dxa"/>
            <w:vAlign w:val="bottom"/>
          </w:tcPr>
          <w:p>
            <w:pPr>
              <w:spacing w:after="0"/>
              <w:rPr>
                <w:sz w:val="1"/>
                <w:szCs w:val="1"/>
                <w:color w:val="auto"/>
              </w:rPr>
            </w:pPr>
          </w:p>
        </w:tc>
      </w:tr>
      <w:tr>
        <w:trPr>
          <w:trHeight w:val="149"/>
        </w:trPr>
        <w:tc>
          <w:tcPr>
            <w:tcW w:w="2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Direct debit</w:t>
            </w:r>
          </w:p>
        </w:tc>
        <w:tc>
          <w:tcPr>
            <w:tcW w:w="11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748,392</w:t>
            </w:r>
          </w:p>
        </w:tc>
        <w:tc>
          <w:tcPr>
            <w:tcW w:w="11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0.8%</w:t>
            </w:r>
          </w:p>
        </w:tc>
        <w:tc>
          <w:tcPr>
            <w:tcW w:w="11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776,034</w:t>
            </w:r>
          </w:p>
        </w:tc>
        <w:tc>
          <w:tcPr>
            <w:tcW w:w="118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0.8%</w:t>
            </w:r>
          </w:p>
        </w:tc>
        <w:tc>
          <w:tcPr>
            <w:tcW w:w="11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736,275</w:t>
            </w:r>
          </w:p>
        </w:tc>
        <w:tc>
          <w:tcPr>
            <w:tcW w:w="5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0.8%</w:t>
            </w:r>
          </w:p>
        </w:tc>
        <w:tc>
          <w:tcPr>
            <w:tcW w:w="6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-5.1%</w:t>
            </w:r>
          </w:p>
        </w:tc>
        <w:tc>
          <w:tcPr>
            <w:tcW w:w="2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9"/>
        </w:trPr>
        <w:tc>
          <w:tcPr>
            <w:tcW w:w="2140" w:type="dxa"/>
            <w:vAlign w:val="bottom"/>
            <w:gridSpan w:val="2"/>
          </w:tcPr>
          <w:p>
            <w:pPr>
              <w:spacing w:after="0" w:line="149" w:lineRule="exact"/>
              <w:rPr>
                <w:sz w:val="20"/>
                <w:szCs w:val="20"/>
                <w:color w:val="auto"/>
              </w:rPr>
            </w:pPr>
            <w:r>
              <w:rPr>
                <w:rFonts w:ascii="Arial" w:cs="Arial" w:eastAsia="Arial" w:hAnsi="Arial"/>
                <w:sz w:val="14"/>
                <w:szCs w:val="14"/>
                <w:color w:val="auto"/>
              </w:rPr>
              <w:t>Points of sale P.O.S.</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8,513,965</w:t>
            </w:r>
          </w:p>
        </w:tc>
        <w:tc>
          <w:tcPr>
            <w:tcW w:w="200" w:type="dxa"/>
            <w:vAlign w:val="bottom"/>
          </w:tcPr>
          <w:p>
            <w:pPr>
              <w:spacing w:after="0"/>
              <w:rPr>
                <w:sz w:val="12"/>
                <w:szCs w:val="12"/>
                <w:color w:val="auto"/>
              </w:rPr>
            </w:pPr>
          </w:p>
        </w:tc>
        <w:tc>
          <w:tcPr>
            <w:tcW w:w="11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9.4%</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8,858,872</w:t>
            </w:r>
          </w:p>
        </w:tc>
        <w:tc>
          <w:tcPr>
            <w:tcW w:w="220" w:type="dxa"/>
            <w:vAlign w:val="bottom"/>
          </w:tcPr>
          <w:p>
            <w:pPr>
              <w:spacing w:after="0"/>
              <w:rPr>
                <w:sz w:val="12"/>
                <w:szCs w:val="12"/>
                <w:color w:val="auto"/>
              </w:rPr>
            </w:pPr>
          </w:p>
        </w:tc>
        <w:tc>
          <w:tcPr>
            <w:tcW w:w="118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9.4%</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9,509,491</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9.8%</w:t>
            </w:r>
          </w:p>
        </w:tc>
        <w:tc>
          <w:tcPr>
            <w:tcW w:w="620" w:type="dxa"/>
            <w:vAlign w:val="bottom"/>
          </w:tcPr>
          <w:p>
            <w:pPr>
              <w:spacing w:after="0"/>
              <w:rPr>
                <w:sz w:val="12"/>
                <w:szCs w:val="12"/>
                <w:color w:val="auto"/>
              </w:rPr>
            </w:pPr>
          </w:p>
        </w:tc>
        <w:tc>
          <w:tcPr>
            <w:tcW w:w="56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7.3%</w:t>
            </w:r>
          </w:p>
        </w:tc>
        <w:tc>
          <w:tcPr>
            <w:tcW w:w="26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162"/>
        </w:trPr>
        <w:tc>
          <w:tcPr>
            <w:tcW w:w="2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ATMs network</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212,802</w:t>
            </w:r>
          </w:p>
        </w:tc>
        <w:tc>
          <w:tcPr>
            <w:tcW w:w="11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0.2%</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226,427</w:t>
            </w:r>
          </w:p>
        </w:tc>
        <w:tc>
          <w:tcPr>
            <w:tcW w:w="118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0.2%</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236,397</w:t>
            </w:r>
          </w:p>
        </w:tc>
        <w:tc>
          <w:tcPr>
            <w:tcW w:w="5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0.2%</w:t>
            </w:r>
          </w:p>
        </w:tc>
        <w:tc>
          <w:tcPr>
            <w:tcW w:w="6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4.4%</w:t>
            </w:r>
          </w:p>
        </w:tc>
        <w:tc>
          <w:tcPr>
            <w:tcW w:w="2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157"/>
        </w:trPr>
        <w:tc>
          <w:tcPr>
            <w:tcW w:w="2140" w:type="dxa"/>
            <w:vAlign w:val="bottom"/>
            <w:gridSpan w:val="2"/>
          </w:tcPr>
          <w:p>
            <w:pPr>
              <w:spacing w:after="0" w:line="157" w:lineRule="exact"/>
              <w:rPr>
                <w:sz w:val="20"/>
                <w:szCs w:val="20"/>
                <w:color w:val="auto"/>
              </w:rPr>
            </w:pPr>
            <w:r>
              <w:rPr>
                <w:rFonts w:ascii="Arial" w:cs="Arial" w:eastAsia="Arial" w:hAnsi="Arial"/>
                <w:sz w:val="14"/>
                <w:szCs w:val="14"/>
                <w:b w:val="1"/>
                <w:bCs w:val="1"/>
                <w:color w:val="auto"/>
              </w:rPr>
              <w:t>Total transactions</w:t>
            </w:r>
          </w:p>
        </w:tc>
        <w:tc>
          <w:tcPr>
            <w:tcW w:w="94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90,807,990</w:t>
            </w:r>
          </w:p>
        </w:tc>
        <w:tc>
          <w:tcPr>
            <w:tcW w:w="200" w:type="dxa"/>
            <w:vAlign w:val="bottom"/>
          </w:tcPr>
          <w:p>
            <w:pPr>
              <w:spacing w:after="0"/>
              <w:rPr>
                <w:sz w:val="13"/>
                <w:szCs w:val="13"/>
                <w:color w:val="auto"/>
              </w:rPr>
            </w:pPr>
          </w:p>
        </w:tc>
        <w:tc>
          <w:tcPr>
            <w:tcW w:w="88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100.0</w:t>
            </w:r>
          </w:p>
        </w:tc>
        <w:tc>
          <w:tcPr>
            <w:tcW w:w="260" w:type="dxa"/>
            <w:vAlign w:val="bottom"/>
          </w:tcPr>
          <w:p>
            <w:pPr>
              <w:jc w:val="right"/>
              <w:ind w:right="28"/>
              <w:spacing w:after="0" w:line="157" w:lineRule="exact"/>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94,007,069</w:t>
            </w:r>
          </w:p>
        </w:tc>
        <w:tc>
          <w:tcPr>
            <w:tcW w:w="220" w:type="dxa"/>
            <w:vAlign w:val="bottom"/>
          </w:tcPr>
          <w:p>
            <w:pPr>
              <w:spacing w:after="0"/>
              <w:rPr>
                <w:sz w:val="13"/>
                <w:szCs w:val="13"/>
                <w:color w:val="auto"/>
              </w:rPr>
            </w:pPr>
          </w:p>
        </w:tc>
        <w:tc>
          <w:tcPr>
            <w:tcW w:w="92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100.0</w:t>
            </w:r>
          </w:p>
        </w:tc>
        <w:tc>
          <w:tcPr>
            <w:tcW w:w="260" w:type="dxa"/>
            <w:vAlign w:val="bottom"/>
          </w:tcPr>
          <w:p>
            <w:pPr>
              <w:jc w:val="right"/>
              <w:ind w:right="48"/>
              <w:spacing w:after="0" w:line="157" w:lineRule="exact"/>
              <w:rPr>
                <w:sz w:val="20"/>
                <w:szCs w:val="20"/>
                <w:color w:val="auto"/>
              </w:rPr>
            </w:pPr>
            <w:r>
              <w:rPr>
                <w:rFonts w:ascii="Arial" w:cs="Arial" w:eastAsia="Arial" w:hAnsi="Arial"/>
                <w:sz w:val="14"/>
                <w:szCs w:val="14"/>
                <w:b w:val="1"/>
                <w:bCs w:val="1"/>
                <w:color w:val="auto"/>
                <w:w w:val="96"/>
              </w:rPr>
              <w:t>%</w:t>
            </w:r>
          </w:p>
        </w:tc>
        <w:tc>
          <w:tcPr>
            <w:tcW w:w="98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97,150,666</w:t>
            </w:r>
          </w:p>
        </w:tc>
        <w:tc>
          <w:tcPr>
            <w:tcW w:w="20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w w:val="96"/>
              </w:rPr>
              <w:t>100.0</w:t>
            </w:r>
          </w:p>
        </w:tc>
        <w:tc>
          <w:tcPr>
            <w:tcW w:w="260" w:type="dxa"/>
            <w:vAlign w:val="bottom"/>
          </w:tcPr>
          <w:p>
            <w:pPr>
              <w:jc w:val="right"/>
              <w:ind w:right="48"/>
              <w:spacing w:after="0" w:line="157" w:lineRule="exact"/>
              <w:rPr>
                <w:sz w:val="20"/>
                <w:szCs w:val="20"/>
                <w:color w:val="auto"/>
              </w:rPr>
            </w:pPr>
            <w:r>
              <w:rPr>
                <w:rFonts w:ascii="Arial" w:cs="Arial" w:eastAsia="Arial" w:hAnsi="Arial"/>
                <w:sz w:val="14"/>
                <w:szCs w:val="14"/>
                <w:b w:val="1"/>
                <w:bCs w:val="1"/>
                <w:color w:val="auto"/>
                <w:w w:val="96"/>
              </w:rPr>
              <w:t>%</w:t>
            </w:r>
          </w:p>
        </w:tc>
        <w:tc>
          <w:tcPr>
            <w:tcW w:w="6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ind w:left="120"/>
              <w:spacing w:after="0" w:line="157" w:lineRule="exact"/>
              <w:rPr>
                <w:sz w:val="20"/>
                <w:szCs w:val="20"/>
                <w:color w:val="auto"/>
              </w:rPr>
            </w:pPr>
            <w:r>
              <w:rPr>
                <w:rFonts w:ascii="Arial" w:cs="Arial" w:eastAsia="Arial" w:hAnsi="Arial"/>
                <w:sz w:val="14"/>
                <w:szCs w:val="14"/>
                <w:b w:val="1"/>
                <w:bCs w:val="1"/>
                <w:color w:val="auto"/>
                <w:w w:val="81"/>
              </w:rPr>
              <w:t>3.3</w:t>
            </w:r>
          </w:p>
        </w:tc>
        <w:tc>
          <w:tcPr>
            <w:tcW w:w="260" w:type="dxa"/>
            <w:vAlign w:val="bottom"/>
          </w:tcPr>
          <w:p>
            <w:pPr>
              <w:jc w:val="right"/>
              <w:ind w:right="28"/>
              <w:spacing w:after="0" w:line="157"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7.0</w:t>
            </w:r>
          </w:p>
        </w:tc>
        <w:tc>
          <w:tcPr>
            <w:tcW w:w="140" w:type="dxa"/>
            <w:vAlign w:val="bottom"/>
          </w:tcPr>
          <w:p>
            <w:pPr>
              <w:jc w:val="right"/>
              <w:spacing w:after="0" w:line="157"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1360170</wp:posOffset>
            </wp:positionH>
            <wp:positionV relativeFrom="paragraph">
              <wp:posOffset>-8890</wp:posOffset>
            </wp:positionV>
            <wp:extent cx="579755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(1) Figures include monetary and non-monetary transactions.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The monthly average of transactions increased +3.3% QoQ. This was due mainly to an increase in transactions through cost-efficient channels such as:</w:t>
      </w:r>
    </w:p>
    <w:p>
      <w:pPr>
        <w:spacing w:after="0" w:line="237" w:lineRule="exact"/>
        <w:rPr>
          <w:sz w:val="20"/>
          <w:szCs w:val="20"/>
          <w:color w:val="auto"/>
        </w:rPr>
      </w:pPr>
    </w:p>
    <w:p>
      <w:pPr>
        <w:ind w:left="1300" w:hanging="644"/>
        <w:spacing w:after="0" w:line="258" w:lineRule="auto"/>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Mobile banking (+19.0% QoQ), which continued to increase its share through its mobile applications (“Banca Celular BCP” and “Tus Beneficios BCP”).</w:t>
      </w:r>
    </w:p>
    <w:p>
      <w:pPr>
        <w:spacing w:after="0" w:line="1" w:lineRule="exact"/>
        <w:rPr>
          <w:rFonts w:ascii="Arial" w:cs="Arial" w:eastAsia="Arial" w:hAnsi="Arial"/>
          <w:sz w:val="18"/>
          <w:szCs w:val="18"/>
          <w:color w:val="auto"/>
        </w:rPr>
      </w:pPr>
    </w:p>
    <w:p>
      <w:pPr>
        <w:ind w:left="1300" w:hanging="644"/>
        <w:spacing w:after="0"/>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ATMs (+5.5% QoQ), in line with an increase in points of access QoQ.</w:t>
      </w:r>
    </w:p>
    <w:p>
      <w:pPr>
        <w:spacing w:after="0" w:line="9" w:lineRule="exact"/>
        <w:rPr>
          <w:rFonts w:ascii="Arial" w:cs="Arial" w:eastAsia="Arial" w:hAnsi="Arial"/>
          <w:sz w:val="18"/>
          <w:szCs w:val="18"/>
          <w:color w:val="auto"/>
        </w:rPr>
      </w:pPr>
    </w:p>
    <w:p>
      <w:pPr>
        <w:ind w:left="1300" w:hanging="644"/>
        <w:spacing w:after="0" w:line="261" w:lineRule="auto"/>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Agente BCP (+3.9% QoQ) due to improvements in the ViaBCP web page and to different campaigns (“Ir al BCP, sin ir al BCP”) to promote the use of our alternative channels.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channels that posted the largest drop in transactions were: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Telephone Banking (-15.8% QoQ) and Balance Modules (-9.9% QoQ).</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YoY analysis, the monthly average of transactions increased +7.0%, which was primarily due to growth in transactions volumes in: Mobile banking, ATMs and Telephone Banking. Nevertheless, there was a drop in Agentes BCP, Balance Modules and Tellers, which is proof that the bank’s strategy to increase profitability and promote more efficient channels is bearing fruit.</w:t>
      </w:r>
    </w:p>
    <w:p>
      <w:pPr>
        <w:spacing w:after="0" w:line="397"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47" w:name="page48"/>
    <w:bookmarkEnd w:id="47"/>
    <w:p>
      <w:pPr>
        <w:ind w:right="9520" w:firstLine="8"/>
        <w:spacing w:after="0" w:line="566" w:lineRule="auto"/>
        <w:tabs>
          <w:tab w:leader="none" w:pos="500" w:val="left"/>
        </w:tabs>
        <w:numPr>
          <w:ilvl w:val="0"/>
          <w:numId w:val="71"/>
        </w:numPr>
        <w:rPr>
          <w:rFonts w:ascii="Arial" w:cs="Arial" w:eastAsia="Arial" w:hAnsi="Arial"/>
          <w:sz w:val="16"/>
          <w:szCs w:val="16"/>
          <w:b w:val="1"/>
          <w:bCs w:val="1"/>
          <w:color w:val="auto"/>
        </w:rPr>
      </w:pPr>
      <w:r>
        <w:rPr>
          <w:rFonts w:ascii="Arial" w:cs="Arial" w:eastAsia="Arial" w:hAnsi="Arial"/>
          <w:sz w:val="16"/>
          <w:szCs w:val="16"/>
          <w:b w:val="1"/>
          <w:bCs w:val="1"/>
          <w:color w:val="auto"/>
        </w:rPr>
        <w:t>Economic outlook Economic activity</w:t>
      </w:r>
    </w:p>
    <w:p>
      <w:pPr>
        <w:spacing w:after="0" w:line="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4Q15, the economy more than likely grew more than 3.5%. This level of expansion tops that of the first nine months of the year (2.9%). Higher growth was due primarily to specific factors such as strong growth in mining production (16.2%); progress in the fishing sector (52.8%) due to the second fishing season for anchovy; and a less significant drop in public expenditure at the sub-national government level (4Q15: -2.0%, 3Q15: -23.9%). Nevertheless, the international environment continued to be adverse and companies and families still perceived a deterioration in their economic situation. As a result, in 4Q15, GDP grew 2.9%. This was slightly higher than 2014’s result (2.4%).</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4Q15, strong growth in mining production continued due to higher copper production at Antamina, Toromocho and Constancia. Additionally, the second anchovy season in the center-north of the country began in November. The 1.1 MM ton quota set was one of the lowest recorded for the second season in the past ten years. Nevertheless, given that there was no fishing activity during this period in 2014, the capture contributed statistically to growth in GDP. In 2015, primary activity posted growth of 5.4% after registering its worst decline since 1992 in 2014.</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contrast, the non-primary sectors experienced deceleration in 2015 (2.2%) with regard to 2014 (3.7%). This was associated with a drop in investment and higher moderation in consumption. In 4Q15, the pace of growth in the construction sector fell to its lowest level of the year (-3.3%) compared to 3Q15 (-7.0%). This recovery was consistent with an improvement in the investment levels at regional governments. Non-primary manufacturing more than likely declined 3.1% (3Q15: -0.6%) due to the decrease in segments related to exports, input production and capital goods.</w:t>
      </w:r>
    </w:p>
    <w:p>
      <w:pPr>
        <w:spacing w:after="0" w:line="167" w:lineRule="exact"/>
        <w:rPr>
          <w:sz w:val="20"/>
          <w:szCs w:val="20"/>
          <w:color w:val="auto"/>
        </w:rPr>
      </w:pPr>
    </w:p>
    <w:p>
      <w:pPr>
        <w:ind w:left="820"/>
        <w:spacing w:after="0"/>
        <w:tabs>
          <w:tab w:leader="none" w:pos="6640" w:val="left"/>
        </w:tabs>
        <w:rPr>
          <w:sz w:val="20"/>
          <w:szCs w:val="20"/>
          <w:color w:val="auto"/>
        </w:rPr>
      </w:pPr>
      <w:r>
        <w:rPr>
          <w:rFonts w:ascii="Arial" w:cs="Arial" w:eastAsia="Arial" w:hAnsi="Arial"/>
          <w:sz w:val="18"/>
          <w:szCs w:val="18"/>
          <w:b w:val="1"/>
          <w:bCs w:val="1"/>
          <w:color w:val="auto"/>
        </w:rPr>
        <w:t>GDP and Domestic Demand forecasts (% change)</w:t>
      </w:r>
      <w:r>
        <w:rPr>
          <w:sz w:val="20"/>
          <w:szCs w:val="20"/>
          <w:color w:val="auto"/>
        </w:rPr>
        <w:tab/>
      </w:r>
      <w:r>
        <w:rPr>
          <w:rFonts w:ascii="Arial" w:cs="Arial" w:eastAsia="Arial" w:hAnsi="Arial"/>
          <w:sz w:val="16"/>
          <w:szCs w:val="16"/>
          <w:b w:val="1"/>
          <w:bCs w:val="1"/>
          <w:color w:val="auto"/>
        </w:rPr>
        <w:t>Contribution to GDP growth (percentage 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17145</wp:posOffset>
            </wp:positionV>
            <wp:extent cx="6595110" cy="22040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595110" cy="2204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Inflation was situated at 4.4% in 2015, which placed it above BCRP’s target range (2.0% +/- 1pp) for the second consecutive year (2014: 3.2%). Inflation was mainly attributable to higher prices for food stuffs and electricity. The component for food and energy increased 5.5%. Nevertheless, inflation without food and energy was situated at 3.5%, which was mainly a reflection of higher costs for education, potable water and other segments linked to the exchange rate, such as vehicle purchases and home rentals.</w:t>
      </w:r>
    </w:p>
    <w:p>
      <w:pPr>
        <w:spacing w:after="0" w:line="200" w:lineRule="exact"/>
        <w:rPr>
          <w:sz w:val="20"/>
          <w:szCs w:val="20"/>
          <w:color w:val="auto"/>
        </w:rPr>
      </w:pPr>
    </w:p>
    <w:p>
      <w:pPr>
        <w:spacing w:after="0" w:line="206"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8" w:name="page49"/>
    <w:bookmarkEnd w:id="48"/>
    <w:tbl>
      <w:tblPr>
        <w:tblLayout w:type="fixed"/>
        <w:tblInd w:w="1720" w:type="dxa"/>
        <w:tblCellMar>
          <w:top w:w="0" w:type="dxa"/>
          <w:left w:w="0" w:type="dxa"/>
          <w:bottom w:w="0" w:type="dxa"/>
          <w:right w:w="0" w:type="dxa"/>
        </w:tblCellMar>
      </w:tblPr>
      <w:tr>
        <w:trPr>
          <w:trHeight w:val="234"/>
        </w:trPr>
        <w:tc>
          <w:tcPr>
            <w:tcW w:w="1860" w:type="dxa"/>
            <w:vAlign w:val="bottom"/>
          </w:tcPr>
          <w:p>
            <w:pPr>
              <w:spacing w:after="0"/>
              <w:rPr>
                <w:sz w:val="20"/>
                <w:szCs w:val="20"/>
                <w:color w:val="auto"/>
              </w:rPr>
            </w:pPr>
          </w:p>
        </w:tc>
        <w:tc>
          <w:tcPr>
            <w:tcW w:w="3340" w:type="dxa"/>
            <w:vAlign w:val="bottom"/>
            <w:gridSpan w:val="5"/>
          </w:tcPr>
          <w:p>
            <w:pPr>
              <w:jc w:val="right"/>
              <w:ind w:right="110"/>
              <w:spacing w:after="0"/>
              <w:rPr>
                <w:sz w:val="20"/>
                <w:szCs w:val="20"/>
                <w:color w:val="auto"/>
              </w:rPr>
            </w:pPr>
            <w:r>
              <w:rPr>
                <w:rFonts w:ascii="Arial" w:cs="Arial" w:eastAsia="Arial" w:hAnsi="Arial"/>
                <w:sz w:val="18"/>
                <w:szCs w:val="18"/>
                <w:b w:val="1"/>
                <w:bCs w:val="1"/>
                <w:color w:val="auto"/>
              </w:rPr>
              <w:t>Inflation expectations (%)</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46"/>
        </w:trPr>
        <w:tc>
          <w:tcPr>
            <w:tcW w:w="1860" w:type="dxa"/>
            <w:vAlign w:val="bottom"/>
          </w:tcPr>
          <w:p>
            <w:pPr>
              <w:spacing w:after="0"/>
              <w:rPr>
                <w:sz w:val="20"/>
                <w:szCs w:val="20"/>
                <w:color w:val="auto"/>
              </w:rPr>
            </w:pPr>
            <w:r>
              <w:rPr>
                <w:rFonts w:ascii="Arial" w:cs="Arial" w:eastAsia="Arial" w:hAnsi="Arial"/>
                <w:sz w:val="18"/>
                <w:szCs w:val="18"/>
                <w:b w:val="1"/>
                <w:bCs w:val="1"/>
                <w:color w:val="auto"/>
              </w:rPr>
              <w:t>Country</w:t>
            </w: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9"/>
              </w:rPr>
              <w:t>Target range</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2016</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60" w:type="dxa"/>
            <w:vAlign w:val="bottom"/>
          </w:tcPr>
          <w:p>
            <w:pPr>
              <w:spacing w:after="0"/>
              <w:rPr>
                <w:sz w:val="24"/>
                <w:szCs w:val="24"/>
                <w:color w:val="auto"/>
              </w:rPr>
            </w:pPr>
          </w:p>
        </w:tc>
      </w:tr>
      <w:tr>
        <w:trPr>
          <w:trHeight w:val="210"/>
        </w:trPr>
        <w:tc>
          <w:tcPr>
            <w:tcW w:w="1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Brazil</w:t>
            </w:r>
          </w:p>
        </w:tc>
        <w:tc>
          <w:tcPr>
            <w:tcW w:w="11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4.5 +/- 2.0</w:t>
            </w:r>
          </w:p>
        </w:tc>
        <w:tc>
          <w:tcPr>
            <w:tcW w:w="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10.7</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Chile</w:t>
            </w:r>
          </w:p>
        </w:tc>
        <w:tc>
          <w:tcPr>
            <w:tcW w:w="2540" w:type="dxa"/>
            <w:vAlign w:val="bottom"/>
            <w:gridSpan w:val="3"/>
          </w:tcPr>
          <w:p>
            <w:pPr>
              <w:jc w:val="center"/>
              <w:ind w:left="1170"/>
              <w:spacing w:after="0"/>
              <w:rPr>
                <w:sz w:val="20"/>
                <w:szCs w:val="20"/>
                <w:color w:val="auto"/>
              </w:rPr>
            </w:pPr>
            <w:r>
              <w:rPr>
                <w:rFonts w:ascii="Arial" w:cs="Arial" w:eastAsia="Arial" w:hAnsi="Arial"/>
                <w:sz w:val="18"/>
                <w:szCs w:val="18"/>
                <w:color w:val="auto"/>
                <w:w w:val="93"/>
              </w:rPr>
              <w:t>3.0 +/- 1.0</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4.4</w:t>
            </w:r>
          </w:p>
        </w:tc>
        <w:tc>
          <w:tcPr>
            <w:tcW w:w="7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r>
      <w:tr>
        <w:trPr>
          <w:trHeight w:val="216"/>
        </w:trPr>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Colombia</w:t>
            </w:r>
          </w:p>
        </w:tc>
        <w:tc>
          <w:tcPr>
            <w:tcW w:w="2540" w:type="dxa"/>
            <w:vAlign w:val="bottom"/>
            <w:gridSpan w:val="3"/>
            <w:shd w:val="clear" w:color="auto" w:fill="CCEEFF"/>
          </w:tcPr>
          <w:p>
            <w:pPr>
              <w:jc w:val="center"/>
              <w:ind w:left="1170"/>
              <w:spacing w:after="0"/>
              <w:rPr>
                <w:sz w:val="20"/>
                <w:szCs w:val="20"/>
                <w:color w:val="auto"/>
              </w:rPr>
            </w:pPr>
            <w:r>
              <w:rPr>
                <w:rFonts w:ascii="Arial" w:cs="Arial" w:eastAsia="Arial" w:hAnsi="Arial"/>
                <w:sz w:val="18"/>
                <w:szCs w:val="18"/>
                <w:color w:val="auto"/>
                <w:w w:val="93"/>
              </w:rPr>
              <w:t>3.0 +/- 1.0</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w:t>
            </w: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Mexico</w:t>
            </w:r>
          </w:p>
        </w:tc>
        <w:tc>
          <w:tcPr>
            <w:tcW w:w="2540" w:type="dxa"/>
            <w:vAlign w:val="bottom"/>
            <w:gridSpan w:val="3"/>
          </w:tcPr>
          <w:p>
            <w:pPr>
              <w:jc w:val="center"/>
              <w:ind w:left="1170"/>
              <w:spacing w:after="0"/>
              <w:rPr>
                <w:sz w:val="20"/>
                <w:szCs w:val="20"/>
                <w:color w:val="auto"/>
              </w:rPr>
            </w:pPr>
            <w:r>
              <w:rPr>
                <w:rFonts w:ascii="Arial" w:cs="Arial" w:eastAsia="Arial" w:hAnsi="Arial"/>
                <w:sz w:val="18"/>
                <w:szCs w:val="18"/>
                <w:color w:val="auto"/>
                <w:w w:val="93"/>
              </w:rPr>
              <w:t>3.0 +/- 1.0</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c>
          <w:tcPr>
            <w:tcW w:w="7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r>
      <w:tr>
        <w:trPr>
          <w:trHeight w:val="216"/>
        </w:trPr>
        <w:tc>
          <w:tcPr>
            <w:tcW w:w="1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Peru</w:t>
            </w:r>
          </w:p>
        </w:tc>
        <w:tc>
          <w:tcPr>
            <w:tcW w:w="2540" w:type="dxa"/>
            <w:vAlign w:val="bottom"/>
            <w:gridSpan w:val="3"/>
            <w:shd w:val="clear" w:color="auto" w:fill="CCEEFF"/>
          </w:tcPr>
          <w:p>
            <w:pPr>
              <w:jc w:val="center"/>
              <w:ind w:left="1170"/>
              <w:spacing w:after="0"/>
              <w:rPr>
                <w:sz w:val="20"/>
                <w:szCs w:val="20"/>
                <w:color w:val="auto"/>
              </w:rPr>
            </w:pPr>
            <w:r>
              <w:rPr>
                <w:rFonts w:ascii="Arial" w:cs="Arial" w:eastAsia="Arial" w:hAnsi="Arial"/>
                <w:sz w:val="18"/>
                <w:szCs w:val="18"/>
                <w:b w:val="1"/>
                <w:bCs w:val="1"/>
                <w:color w:val="auto"/>
                <w:w w:val="93"/>
              </w:rPr>
              <w:t>2.0 +/- 1.0</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4.4</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3.0</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Monetary Policy</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BCRP increased the reference rate from 3.50% to 3.75% in December in a context in which expectations for inflation increased gradually to situate in the top end of the target range. At the first meeting in 2016, the monetary authority decided to increase the rate for the third time in five months, taking it from 3.75% to 4.0% to control inflation expectations.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Inflation and reference rate (Var. % YoY,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1900555</wp:posOffset>
            </wp:positionH>
            <wp:positionV relativeFrom="paragraph">
              <wp:posOffset>154940</wp:posOffset>
            </wp:positionV>
            <wp:extent cx="3464560" cy="21697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64560" cy="2169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Accounts</w:t>
      </w:r>
    </w:p>
    <w:p>
      <w:pPr>
        <w:spacing w:after="0" w:line="27"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The fiscal account at the end of 2015 was situated at 2.1% of GDP, which was the highest level recorded since 2002 and 1.8 pp above the figure posted in 2014. Fiscal revenues fell 4.4% while non-financial expenditure rose 4.9% (current expenditure: 8.2%, capital expenditure: -3.8%).</w:t>
      </w:r>
    </w:p>
    <w:p>
      <w:pPr>
        <w:spacing w:after="0" w:line="1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fiscal deficit increased from 2.1% of GDP in 2015 to 2.7% of GDP in 2016. This growth was due primarily to an 8.4% expansion in public investment after two significant years of decline; the weak evolution of internal demand; and the drop in export prices, which had an impact of fiscal revenues. Public debt was more than likely situated around 24% of GDP, which is around half of the amount posted by the region and far below those registered by emerging economies with similar credit ratings (BBB+).</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9" w:name="page50"/>
    <w:bookmarkEnd w:id="49"/>
    <w:p>
      <w:pPr>
        <w:ind w:left="2600"/>
        <w:spacing w:after="0"/>
        <w:rPr>
          <w:sz w:val="20"/>
          <w:szCs w:val="20"/>
          <w:color w:val="auto"/>
        </w:rPr>
      </w:pPr>
      <w:r>
        <w:rPr>
          <w:rFonts w:ascii="Arial" w:cs="Arial" w:eastAsia="Arial" w:hAnsi="Arial"/>
          <w:sz w:val="18"/>
          <w:szCs w:val="18"/>
          <w:b w:val="1"/>
          <w:bCs w:val="1"/>
          <w:color w:val="auto"/>
        </w:rPr>
        <w:t>Fiscal balance and public debt (% of GDP)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1685925</wp:posOffset>
            </wp:positionH>
            <wp:positionV relativeFrom="paragraph">
              <wp:posOffset>154940</wp:posOffset>
            </wp:positionV>
            <wp:extent cx="3884930" cy="23666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884930" cy="2366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External Accounts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deficit in the current account was more than likely situated at 2.3% of GDP in 4Q15. The effect of lower export prices was partially compensated by the increase in traditional export volumes in general and in mining products in particular. It is likely that outputs declined due to lower earnings and a reduction in inputs and capital goods, both of which were associated with a decrease in economic activity. The volume of non-traditional exports continued to fall due to lower demand, particularly from our trade partners in the region.</w:t>
      </w:r>
    </w:p>
    <w:p>
      <w:pPr>
        <w:spacing w:after="0" w:line="186"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Latam exchange rates (Local currency per USD)</w:t>
      </w:r>
    </w:p>
    <w:p>
      <w:pPr>
        <w:spacing w:after="0" w:line="239" w:lineRule="exact"/>
        <w:rPr>
          <w:sz w:val="20"/>
          <w:szCs w:val="20"/>
          <w:color w:val="auto"/>
        </w:rPr>
      </w:pPr>
    </w:p>
    <w:tbl>
      <w:tblPr>
        <w:tblLayout w:type="fixed"/>
        <w:tblInd w:w="1720" w:type="dxa"/>
        <w:tblCellMar>
          <w:top w:w="0" w:type="dxa"/>
          <w:left w:w="0" w:type="dxa"/>
          <w:bottom w:w="0" w:type="dxa"/>
          <w:right w:w="0" w:type="dxa"/>
        </w:tblCellMar>
      </w:tblPr>
      <w:tr>
        <w:trPr>
          <w:trHeight w:val="234"/>
        </w:trPr>
        <w:tc>
          <w:tcPr>
            <w:tcW w:w="208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BRA</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CHI</w:t>
            </w:r>
          </w:p>
        </w:tc>
        <w:tc>
          <w:tcPr>
            <w:tcW w:w="1200" w:type="dxa"/>
            <w:vAlign w:val="bottom"/>
            <w:gridSpan w:val="2"/>
          </w:tcPr>
          <w:p>
            <w:pPr>
              <w:ind w:left="340"/>
              <w:spacing w:after="0"/>
              <w:rPr>
                <w:sz w:val="20"/>
                <w:szCs w:val="20"/>
                <w:color w:val="auto"/>
              </w:rPr>
            </w:pPr>
            <w:r>
              <w:rPr>
                <w:rFonts w:ascii="Arial" w:cs="Arial" w:eastAsia="Arial" w:hAnsi="Arial"/>
                <w:sz w:val="18"/>
                <w:szCs w:val="18"/>
                <w:b w:val="1"/>
                <w:bCs w:val="1"/>
                <w:color w:val="auto"/>
              </w:rPr>
              <w:t>COL</w:t>
            </w:r>
          </w:p>
        </w:tc>
        <w:tc>
          <w:tcPr>
            <w:tcW w:w="1220" w:type="dxa"/>
            <w:vAlign w:val="bottom"/>
            <w:gridSpan w:val="2"/>
          </w:tcPr>
          <w:p>
            <w:pPr>
              <w:ind w:left="320"/>
              <w:spacing w:after="0"/>
              <w:rPr>
                <w:sz w:val="20"/>
                <w:szCs w:val="20"/>
                <w:color w:val="auto"/>
              </w:rPr>
            </w:pPr>
            <w:r>
              <w:rPr>
                <w:rFonts w:ascii="Arial" w:cs="Arial" w:eastAsia="Arial" w:hAnsi="Arial"/>
                <w:sz w:val="18"/>
                <w:szCs w:val="18"/>
                <w:b w:val="1"/>
                <w:bCs w:val="1"/>
                <w:color w:val="auto"/>
              </w:rPr>
              <w:t>MEX</w:t>
            </w:r>
          </w:p>
        </w:tc>
        <w:tc>
          <w:tcPr>
            <w:tcW w:w="1080" w:type="dxa"/>
            <w:vAlign w:val="bottom"/>
            <w:gridSpan w:val="2"/>
          </w:tcPr>
          <w:p>
            <w:pPr>
              <w:ind w:left="320"/>
              <w:spacing w:after="0"/>
              <w:rPr>
                <w:sz w:val="20"/>
                <w:szCs w:val="20"/>
                <w:color w:val="auto"/>
              </w:rPr>
            </w:pPr>
            <w:r>
              <w:rPr>
                <w:rFonts w:ascii="Arial" w:cs="Arial" w:eastAsia="Arial" w:hAnsi="Arial"/>
                <w:sz w:val="18"/>
                <w:szCs w:val="18"/>
                <w:b w:val="1"/>
                <w:bCs w:val="1"/>
                <w:color w:val="auto"/>
              </w:rPr>
              <w:t>PER</w:t>
            </w:r>
          </w:p>
        </w:tc>
      </w:tr>
      <w:tr>
        <w:trPr>
          <w:trHeight w:val="210"/>
        </w:trPr>
        <w:tc>
          <w:tcPr>
            <w:tcW w:w="2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2002 max.</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3.951</w:t>
            </w:r>
          </w:p>
        </w:tc>
        <w:tc>
          <w:tcPr>
            <w:tcW w:w="1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1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84"/>
              </w:rPr>
              <w:t>2,888</w:t>
            </w:r>
          </w:p>
        </w:tc>
        <w:tc>
          <w:tcPr>
            <w:tcW w:w="1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1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b w:val="1"/>
                <w:bCs w:val="1"/>
                <w:color w:val="auto"/>
              </w:rPr>
              <w:t>2009 max.</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2.447</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641</w:t>
            </w:r>
          </w:p>
        </w:tc>
        <w:tc>
          <w:tcPr>
            <w:tcW w:w="1200" w:type="dxa"/>
            <w:vAlign w:val="bottom"/>
            <w:gridSpan w:val="2"/>
          </w:tcPr>
          <w:p>
            <w:pPr>
              <w:ind w:left="640"/>
              <w:spacing w:after="0"/>
              <w:rPr>
                <w:sz w:val="20"/>
                <w:szCs w:val="20"/>
                <w:color w:val="auto"/>
              </w:rPr>
            </w:pPr>
            <w:r>
              <w:rPr>
                <w:rFonts w:ascii="Arial" w:cs="Arial" w:eastAsia="Arial" w:hAnsi="Arial"/>
                <w:sz w:val="18"/>
                <w:szCs w:val="18"/>
                <w:color w:val="auto"/>
              </w:rPr>
              <w:t>2,609</w:t>
            </w:r>
          </w:p>
        </w:tc>
        <w:tc>
          <w:tcPr>
            <w:tcW w:w="1040" w:type="dxa"/>
            <w:vAlign w:val="bottom"/>
          </w:tcPr>
          <w:p>
            <w:pPr>
              <w:jc w:val="right"/>
              <w:spacing w:after="0"/>
              <w:rPr>
                <w:sz w:val="20"/>
                <w:szCs w:val="20"/>
                <w:color w:val="auto"/>
              </w:rPr>
            </w:pPr>
            <w:r>
              <w:rPr>
                <w:rFonts w:ascii="Arial" w:cs="Arial" w:eastAsia="Arial" w:hAnsi="Arial"/>
                <w:sz w:val="18"/>
                <w:szCs w:val="18"/>
                <w:color w:val="auto"/>
              </w:rPr>
              <w:t>15.57</w:t>
            </w:r>
          </w:p>
        </w:tc>
        <w:tc>
          <w:tcPr>
            <w:tcW w:w="1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3.259</w:t>
            </w: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2015 max.</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4.178</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715</w:t>
            </w:r>
          </w:p>
        </w:tc>
        <w:tc>
          <w:tcPr>
            <w:tcW w:w="12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3,351</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3.416</w:t>
            </w:r>
          </w:p>
        </w:tc>
      </w:tr>
      <w:tr>
        <w:trPr>
          <w:trHeight w:val="216"/>
        </w:trPr>
        <w:tc>
          <w:tcPr>
            <w:tcW w:w="2080" w:type="dxa"/>
            <w:vAlign w:val="bottom"/>
          </w:tcPr>
          <w:p>
            <w:pPr>
              <w:spacing w:after="0"/>
              <w:rPr>
                <w:sz w:val="20"/>
                <w:szCs w:val="20"/>
                <w:color w:val="auto"/>
              </w:rPr>
            </w:pPr>
            <w:r>
              <w:rPr>
                <w:rFonts w:ascii="Arial" w:cs="Arial" w:eastAsia="Arial" w:hAnsi="Arial"/>
                <w:sz w:val="18"/>
                <w:szCs w:val="18"/>
                <w:b w:val="1"/>
                <w:bCs w:val="1"/>
                <w:color w:val="auto"/>
              </w:rPr>
              <w:t>2015 close</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3.960</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709</w:t>
            </w:r>
          </w:p>
        </w:tc>
        <w:tc>
          <w:tcPr>
            <w:tcW w:w="1200" w:type="dxa"/>
            <w:vAlign w:val="bottom"/>
            <w:gridSpan w:val="2"/>
          </w:tcPr>
          <w:p>
            <w:pPr>
              <w:ind w:left="640"/>
              <w:spacing w:after="0"/>
              <w:rPr>
                <w:sz w:val="20"/>
                <w:szCs w:val="20"/>
                <w:color w:val="auto"/>
              </w:rPr>
            </w:pPr>
            <w:r>
              <w:rPr>
                <w:rFonts w:ascii="Arial" w:cs="Arial" w:eastAsia="Arial" w:hAnsi="Arial"/>
                <w:sz w:val="18"/>
                <w:szCs w:val="18"/>
                <w:color w:val="auto"/>
              </w:rPr>
              <w:t>3,175</w:t>
            </w:r>
          </w:p>
        </w:tc>
        <w:tc>
          <w:tcPr>
            <w:tcW w:w="1040" w:type="dxa"/>
            <w:vAlign w:val="bottom"/>
          </w:tcPr>
          <w:p>
            <w:pPr>
              <w:jc w:val="right"/>
              <w:spacing w:after="0"/>
              <w:rPr>
                <w:sz w:val="20"/>
                <w:szCs w:val="20"/>
                <w:color w:val="auto"/>
              </w:rPr>
            </w:pPr>
            <w:r>
              <w:rPr>
                <w:rFonts w:ascii="Arial" w:cs="Arial" w:eastAsia="Arial" w:hAnsi="Arial"/>
                <w:sz w:val="18"/>
                <w:szCs w:val="18"/>
                <w:color w:val="auto"/>
              </w:rPr>
              <w:t>17.22</w:t>
            </w:r>
          </w:p>
        </w:tc>
        <w:tc>
          <w:tcPr>
            <w:tcW w:w="1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3.416</w:t>
            </w: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01/19/2016</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4.064</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726</w:t>
            </w:r>
          </w:p>
        </w:tc>
        <w:tc>
          <w:tcPr>
            <w:tcW w:w="12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3,310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3.438</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Rate</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4Q15, the exchange rate continued to follow an upward trend due to: (i) the Fed’s move to increase the interest rate in Dec-15, (ii) uncertainty surrounding the deceleration in China, and (iii) lower commodity prices. Uncertainty regarding the magnitude of the impact that will be generated by these factors led market liquidity in US Dollars to drop, which drove an increase in the exchange rate. In this context, the exchange rate rose from S/. 3.24 at the end of September to S/. 3.41 at year-end (Dec-14: S/. 2.98).</w:t>
      </w: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34"/>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Peru</w:t>
            </w:r>
          </w:p>
        </w:tc>
        <w:tc>
          <w:tcPr>
            <w:tcW w:w="800" w:type="dxa"/>
            <w:vAlign w:val="bottom"/>
          </w:tcPr>
          <w:p>
            <w:pPr>
              <w:jc w:val="right"/>
              <w:ind w:right="130"/>
              <w:spacing w:after="0"/>
              <w:rPr>
                <w:sz w:val="20"/>
                <w:szCs w:val="20"/>
                <w:color w:val="auto"/>
              </w:rPr>
            </w:pPr>
            <w:r>
              <w:rPr>
                <w:rFonts w:ascii="Arial" w:cs="Arial" w:eastAsia="Arial" w:hAnsi="Arial"/>
                <w:sz w:val="18"/>
                <w:szCs w:val="18"/>
                <w:b w:val="1"/>
                <w:bCs w:val="1"/>
                <w:color w:val="auto"/>
              </w:rPr>
              <w:t>2010</w:t>
            </w:r>
          </w:p>
        </w:tc>
        <w:tc>
          <w:tcPr>
            <w:tcW w:w="240" w:type="dxa"/>
            <w:vAlign w:val="bottom"/>
          </w:tcPr>
          <w:p>
            <w:pPr>
              <w:spacing w:after="0"/>
              <w:rPr>
                <w:sz w:val="20"/>
                <w:szCs w:val="20"/>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b w:val="1"/>
                <w:bCs w:val="1"/>
                <w:color w:val="auto"/>
              </w:rPr>
              <w:t>2011</w:t>
            </w:r>
          </w:p>
        </w:tc>
        <w:tc>
          <w:tcPr>
            <w:tcW w:w="240" w:type="dxa"/>
            <w:vAlign w:val="bottom"/>
          </w:tcPr>
          <w:p>
            <w:pPr>
              <w:spacing w:after="0"/>
              <w:rPr>
                <w:sz w:val="20"/>
                <w:szCs w:val="20"/>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b w:val="1"/>
                <w:bCs w:val="1"/>
                <w:color w:val="auto"/>
              </w:rPr>
              <w:t>2012</w:t>
            </w:r>
          </w:p>
        </w:tc>
        <w:tc>
          <w:tcPr>
            <w:tcW w:w="260" w:type="dxa"/>
            <w:vAlign w:val="bottom"/>
          </w:tcPr>
          <w:p>
            <w:pPr>
              <w:spacing w:after="0"/>
              <w:rPr>
                <w:sz w:val="20"/>
                <w:szCs w:val="20"/>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b w:val="1"/>
                <w:bCs w:val="1"/>
                <w:color w:val="auto"/>
              </w:rPr>
              <w:t>2013</w:t>
            </w:r>
          </w:p>
        </w:tc>
        <w:tc>
          <w:tcPr>
            <w:tcW w:w="240" w:type="dxa"/>
            <w:vAlign w:val="bottom"/>
          </w:tcPr>
          <w:p>
            <w:pPr>
              <w:spacing w:after="0"/>
              <w:rPr>
                <w:sz w:val="20"/>
                <w:szCs w:val="20"/>
                <w:color w:val="auto"/>
              </w:rPr>
            </w:pPr>
          </w:p>
        </w:tc>
        <w:tc>
          <w:tcPr>
            <w:tcW w:w="780" w:type="dxa"/>
            <w:vAlign w:val="bottom"/>
          </w:tcPr>
          <w:p>
            <w:pPr>
              <w:jc w:val="right"/>
              <w:ind w:right="13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2015/F</w:t>
            </w: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2016/F</w:t>
            </w:r>
          </w:p>
        </w:tc>
        <w:tc>
          <w:tcPr>
            <w:tcW w:w="900" w:type="dxa"/>
            <w:vAlign w:val="bottom"/>
            <w:gridSpan w:val="2"/>
          </w:tcPr>
          <w:p>
            <w:pPr>
              <w:ind w:left="140"/>
              <w:spacing w:after="0"/>
              <w:rPr>
                <w:sz w:val="20"/>
                <w:szCs w:val="20"/>
                <w:color w:val="auto"/>
              </w:rPr>
            </w:pPr>
            <w:r>
              <w:rPr>
                <w:rFonts w:ascii="Arial" w:cs="Arial" w:eastAsia="Arial" w:hAnsi="Arial"/>
                <w:sz w:val="18"/>
                <w:szCs w:val="18"/>
                <w:b w:val="1"/>
                <w:bCs w:val="1"/>
                <w:color w:val="auto"/>
              </w:rPr>
              <w:t>2017/F</w:t>
            </w:r>
          </w:p>
        </w:tc>
      </w:tr>
      <w:tr>
        <w:trPr>
          <w:trHeight w:val="210"/>
        </w:trPr>
        <w:tc>
          <w:tcPr>
            <w:tcW w:w="3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GDP (US$ Millions )</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148,666</w:t>
            </w:r>
          </w:p>
        </w:tc>
        <w:tc>
          <w:tcPr>
            <w:tcW w:w="2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170,759</w:t>
            </w: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192,982</w:t>
            </w:r>
          </w:p>
        </w:tc>
        <w:tc>
          <w:tcPr>
            <w:tcW w:w="2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201,752</w:t>
            </w:r>
          </w:p>
        </w:tc>
        <w:tc>
          <w:tcPr>
            <w:tcW w:w="2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200,772</w:t>
            </w: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190,781</w:t>
            </w: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193,487</w:t>
            </w: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193,487</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Real GDP (% change YoY)</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8.5</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6.5</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6.0</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5.8</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2.4</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2.9</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3.2</w:t>
            </w:r>
          </w:p>
        </w:tc>
        <w:tc>
          <w:tcPr>
            <w:tcW w:w="820" w:type="dxa"/>
            <w:vAlign w:val="bottom"/>
          </w:tcPr>
          <w:p>
            <w:pPr>
              <w:jc w:val="right"/>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8"/>
                <w:szCs w:val="18"/>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Domestic Demand (% change YoY)</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14.9</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r>
      <w:tr>
        <w:trPr>
          <w:trHeight w:val="216"/>
        </w:trPr>
        <w:tc>
          <w:tcPr>
            <w:tcW w:w="3340" w:type="dxa"/>
            <w:vAlign w:val="bottom"/>
            <w:gridSpan w:val="2"/>
          </w:tcPr>
          <w:p>
            <w:pPr>
              <w:ind w:left="180"/>
              <w:spacing w:after="0"/>
              <w:rPr>
                <w:sz w:val="20"/>
                <w:szCs w:val="20"/>
                <w:color w:val="auto"/>
              </w:rPr>
            </w:pPr>
            <w:r>
              <w:rPr>
                <w:rFonts w:ascii="Arial" w:cs="Arial" w:eastAsia="Arial" w:hAnsi="Arial"/>
                <w:sz w:val="18"/>
                <w:szCs w:val="18"/>
                <w:color w:val="auto"/>
              </w:rPr>
              <w:t>Total Consumption (% change YoY)</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8.2</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5.8</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6.4</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5.5</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4.5</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3.8</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3.4</w:t>
            </w:r>
          </w:p>
        </w:tc>
        <w:tc>
          <w:tcPr>
            <w:tcW w:w="820" w:type="dxa"/>
            <w:vAlign w:val="bottom"/>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8"/>
                <w:szCs w:val="18"/>
                <w:color w:val="auto"/>
              </w:rPr>
            </w:pPr>
          </w:p>
        </w:tc>
      </w:tr>
      <w:tr>
        <w:trPr>
          <w:trHeight w:val="230"/>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Investment/GDP</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25.1</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24.0</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25.8</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26.7</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25.8</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23.7</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22.5</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80" w:type="dxa"/>
            <w:vAlign w:val="bottom"/>
            <w:shd w:val="clear" w:color="auto" w:fill="CCEEFF"/>
          </w:tcPr>
          <w:p>
            <w:pPr>
              <w:spacing w:after="0"/>
              <w:rPr>
                <w:sz w:val="19"/>
                <w:szCs w:val="19"/>
                <w:color w:val="auto"/>
              </w:rPr>
            </w:pPr>
          </w:p>
        </w:tc>
      </w:tr>
      <w:tr>
        <w:trPr>
          <w:trHeight w:val="210"/>
        </w:trPr>
        <w:tc>
          <w:tcPr>
            <w:tcW w:w="33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Inflation Rate</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4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24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6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4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0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0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0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80" w:type="dxa"/>
            <w:vAlign w:val="bottom"/>
            <w:tcBorders>
              <w:bottom w:val="single" w:sz="8" w:color="CCEEFF"/>
            </w:tcBorders>
          </w:tcPr>
          <w:p>
            <w:pPr>
              <w:spacing w:after="0"/>
              <w:rPr>
                <w:sz w:val="18"/>
                <w:szCs w:val="18"/>
                <w:color w:val="auto"/>
              </w:rPr>
            </w:pPr>
          </w:p>
        </w:tc>
      </w:tr>
      <w:tr>
        <w:trPr>
          <w:trHeight w:val="210"/>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Reference Rate (eop)</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2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80" w:type="dxa"/>
            <w:vAlign w:val="bottom"/>
            <w:shd w:val="clear" w:color="auto" w:fill="CCEEFF"/>
          </w:tcPr>
          <w:p>
            <w:pPr>
              <w:spacing w:after="0"/>
              <w:rPr>
                <w:sz w:val="18"/>
                <w:szCs w:val="18"/>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Exchange Rate, eop</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2.81</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2.70</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2.55</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2.80</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2.98</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3.41</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3.65</w:t>
            </w:r>
          </w:p>
        </w:tc>
        <w:tc>
          <w:tcPr>
            <w:tcW w:w="820" w:type="dxa"/>
            <w:vAlign w:val="bottom"/>
          </w:tcPr>
          <w:p>
            <w:pPr>
              <w:jc w:val="right"/>
              <w:spacing w:after="0"/>
              <w:rPr>
                <w:sz w:val="20"/>
                <w:szCs w:val="20"/>
                <w:color w:val="auto"/>
              </w:rPr>
            </w:pPr>
            <w:r>
              <w:rPr>
                <w:rFonts w:ascii="Arial" w:cs="Arial" w:eastAsia="Arial" w:hAnsi="Arial"/>
                <w:sz w:val="18"/>
                <w:szCs w:val="18"/>
                <w:color w:val="auto"/>
              </w:rPr>
              <w:t>3.75</w:t>
            </w:r>
          </w:p>
        </w:tc>
        <w:tc>
          <w:tcPr>
            <w:tcW w:w="80" w:type="dxa"/>
            <w:vAlign w:val="bottom"/>
          </w:tcPr>
          <w:p>
            <w:pPr>
              <w:spacing w:after="0"/>
              <w:rPr>
                <w:sz w:val="18"/>
                <w:szCs w:val="18"/>
                <w:color w:val="auto"/>
              </w:rPr>
            </w:pPr>
          </w:p>
        </w:tc>
      </w:tr>
      <w:tr>
        <w:trPr>
          <w:trHeight w:val="230"/>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Exchange Rate, average</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2.83</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2.75</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2.63</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2.70</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2.84</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3.19</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3.54</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80" w:type="dxa"/>
            <w:vAlign w:val="bottom"/>
            <w:shd w:val="clear" w:color="auto" w:fill="CCEEFF"/>
          </w:tcPr>
          <w:p>
            <w:pPr>
              <w:spacing w:after="0"/>
              <w:rPr>
                <w:sz w:val="19"/>
                <w:szCs w:val="19"/>
                <w:color w:val="auto"/>
              </w:rPr>
            </w:pPr>
          </w:p>
        </w:tc>
      </w:tr>
      <w:tr>
        <w:trPr>
          <w:trHeight w:val="210"/>
        </w:trPr>
        <w:tc>
          <w:tcPr>
            <w:tcW w:w="33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Fiscal Balance (% of GDP)</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4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4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6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24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0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0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0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80" w:type="dxa"/>
            <w:vAlign w:val="bottom"/>
            <w:tcBorders>
              <w:bottom w:val="single" w:sz="8" w:color="CCEEFF"/>
            </w:tcBorders>
          </w:tcPr>
          <w:p>
            <w:pPr>
              <w:spacing w:after="0"/>
              <w:rPr>
                <w:sz w:val="18"/>
                <w:szCs w:val="18"/>
                <w:color w:val="auto"/>
              </w:rPr>
            </w:pPr>
          </w:p>
        </w:tc>
      </w:tr>
      <w:tr>
        <w:trPr>
          <w:trHeight w:val="210"/>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Balance (US$ Million)</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6,988</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9,224</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6,276</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-3,133</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-2,830</w:t>
            </w:r>
          </w:p>
        </w:tc>
        <w:tc>
          <w:tcPr>
            <w:tcW w:w="2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-1,552</w:t>
            </w:r>
          </w:p>
        </w:tc>
        <w:tc>
          <w:tcPr>
            <w:tcW w:w="80" w:type="dxa"/>
            <w:vAlign w:val="bottom"/>
            <w:shd w:val="clear" w:color="auto" w:fill="CCEEFF"/>
          </w:tcPr>
          <w:p>
            <w:pPr>
              <w:spacing w:after="0"/>
              <w:rPr>
                <w:sz w:val="18"/>
                <w:szCs w:val="18"/>
                <w:color w:val="auto"/>
              </w:rPr>
            </w:pPr>
          </w:p>
        </w:tc>
      </w:tr>
      <w:tr>
        <w:trPr>
          <w:trHeight w:val="216"/>
        </w:trPr>
        <w:tc>
          <w:tcPr>
            <w:tcW w:w="3340" w:type="dxa"/>
            <w:vAlign w:val="bottom"/>
            <w:gridSpan w:val="2"/>
          </w:tcPr>
          <w:p>
            <w:pPr>
              <w:ind w:left="180"/>
              <w:spacing w:after="0"/>
              <w:rPr>
                <w:sz w:val="20"/>
                <w:szCs w:val="20"/>
                <w:color w:val="auto"/>
              </w:rPr>
            </w:pPr>
            <w:r>
              <w:rPr>
                <w:rFonts w:ascii="Arial" w:cs="Arial" w:eastAsia="Arial" w:hAnsi="Arial"/>
                <w:sz w:val="18"/>
                <w:szCs w:val="18"/>
                <w:color w:val="auto"/>
              </w:rPr>
              <w:t>Exports</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35,803</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46,376</w:t>
            </w:r>
          </w:p>
        </w:tc>
        <w:tc>
          <w:tcPr>
            <w:tcW w:w="800" w:type="dxa"/>
            <w:vAlign w:val="bottom"/>
          </w:tcPr>
          <w:p>
            <w:pPr>
              <w:jc w:val="right"/>
              <w:spacing w:after="0"/>
              <w:rPr>
                <w:sz w:val="20"/>
                <w:szCs w:val="20"/>
                <w:color w:val="auto"/>
              </w:rPr>
            </w:pPr>
            <w:r>
              <w:rPr>
                <w:rFonts w:ascii="Arial" w:cs="Arial" w:eastAsia="Arial" w:hAnsi="Arial"/>
                <w:sz w:val="18"/>
                <w:szCs w:val="18"/>
                <w:color w:val="auto"/>
              </w:rPr>
              <w:t>47,411</w:t>
            </w:r>
          </w:p>
        </w:tc>
        <w:tc>
          <w:tcPr>
            <w:tcW w:w="26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42,861</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39,533</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33,419</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32,054</w:t>
            </w:r>
          </w:p>
        </w:tc>
        <w:tc>
          <w:tcPr>
            <w:tcW w:w="820" w:type="dxa"/>
            <w:vAlign w:val="bottom"/>
          </w:tcPr>
          <w:p>
            <w:pPr>
              <w:jc w:val="right"/>
              <w:spacing w:after="0"/>
              <w:rPr>
                <w:sz w:val="20"/>
                <w:szCs w:val="20"/>
                <w:color w:val="auto"/>
              </w:rPr>
            </w:pPr>
            <w:r>
              <w:rPr>
                <w:rFonts w:ascii="Arial" w:cs="Arial" w:eastAsia="Arial" w:hAnsi="Arial"/>
                <w:sz w:val="18"/>
                <w:szCs w:val="18"/>
                <w:color w:val="auto"/>
              </w:rPr>
              <w:t>34,656</w:t>
            </w:r>
          </w:p>
        </w:tc>
        <w:tc>
          <w:tcPr>
            <w:tcW w:w="80" w:type="dxa"/>
            <w:vAlign w:val="bottom"/>
          </w:tcPr>
          <w:p>
            <w:pPr>
              <w:spacing w:after="0"/>
              <w:rPr>
                <w:sz w:val="18"/>
                <w:szCs w:val="18"/>
                <w:color w:val="auto"/>
              </w:rPr>
            </w:pPr>
          </w:p>
        </w:tc>
      </w:tr>
      <w:tr>
        <w:trPr>
          <w:trHeight w:val="216"/>
        </w:trPr>
        <w:tc>
          <w:tcPr>
            <w:tcW w:w="3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Imports</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28,815</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37,152</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41,135</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42,248</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40,809</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36,552</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34,884</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36,207</w:t>
            </w:r>
          </w:p>
        </w:tc>
        <w:tc>
          <w:tcPr>
            <w:tcW w:w="80" w:type="dxa"/>
            <w:vAlign w:val="bottom"/>
            <w:shd w:val="clear" w:color="auto" w:fill="CCEEFF"/>
          </w:tcPr>
          <w:p>
            <w:pPr>
              <w:spacing w:after="0"/>
              <w:rPr>
                <w:sz w:val="18"/>
                <w:szCs w:val="18"/>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Current Account Balance</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-3,545</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-3,177</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-5,237</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-8,474</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-8,031</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-7,622</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-6,853</w:t>
            </w:r>
          </w:p>
        </w:tc>
        <w:tc>
          <w:tcPr>
            <w:tcW w:w="820" w:type="dxa"/>
            <w:vAlign w:val="bottom"/>
          </w:tcPr>
          <w:p>
            <w:pPr>
              <w:jc w:val="right"/>
              <w:spacing w:after="0"/>
              <w:rPr>
                <w:sz w:val="20"/>
                <w:szCs w:val="20"/>
                <w:color w:val="auto"/>
              </w:rPr>
            </w:pPr>
            <w:r>
              <w:rPr>
                <w:rFonts w:ascii="Arial" w:cs="Arial" w:eastAsia="Arial" w:hAnsi="Arial"/>
                <w:sz w:val="18"/>
                <w:szCs w:val="18"/>
                <w:color w:val="auto"/>
              </w:rPr>
              <w:t>-6,203</w:t>
            </w:r>
          </w:p>
        </w:tc>
        <w:tc>
          <w:tcPr>
            <w:tcW w:w="80" w:type="dxa"/>
            <w:vAlign w:val="bottom"/>
          </w:tcPr>
          <w:p>
            <w:pPr>
              <w:spacing w:after="0"/>
              <w:rPr>
                <w:sz w:val="18"/>
                <w:szCs w:val="18"/>
                <w:color w:val="auto"/>
              </w:rPr>
            </w:pPr>
          </w:p>
        </w:tc>
      </w:tr>
      <w:tr>
        <w:trPr>
          <w:trHeight w:val="216"/>
        </w:trPr>
        <w:tc>
          <w:tcPr>
            <w:tcW w:w="3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(as a % of GDP)</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8"/>
                <w:szCs w:val="18"/>
                <w:color w:val="auto"/>
              </w:rPr>
            </w:pPr>
          </w:p>
        </w:tc>
      </w:tr>
      <w:tr>
        <w:trPr>
          <w:trHeight w:val="230"/>
        </w:trPr>
        <w:tc>
          <w:tcPr>
            <w:tcW w:w="3340" w:type="dxa"/>
            <w:vAlign w:val="bottom"/>
            <w:gridSpan w:val="2"/>
          </w:tcPr>
          <w:p>
            <w:pPr>
              <w:spacing w:after="0"/>
              <w:rPr>
                <w:sz w:val="20"/>
                <w:szCs w:val="20"/>
                <w:color w:val="auto"/>
              </w:rPr>
            </w:pPr>
            <w:r>
              <w:rPr>
                <w:rFonts w:ascii="Arial" w:cs="Arial" w:eastAsia="Arial" w:hAnsi="Arial"/>
                <w:sz w:val="18"/>
                <w:szCs w:val="18"/>
                <w:color w:val="auto"/>
              </w:rPr>
              <w:t>International Reserves (USD MM)</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44,105</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48,816</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63,991</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65,663</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62,308</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61,484</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60,807</w:t>
            </w:r>
          </w:p>
        </w:tc>
        <w:tc>
          <w:tcPr>
            <w:tcW w:w="820" w:type="dxa"/>
            <w:vAlign w:val="bottom"/>
          </w:tcPr>
          <w:p>
            <w:pPr>
              <w:jc w:val="right"/>
              <w:spacing w:after="0"/>
              <w:rPr>
                <w:sz w:val="20"/>
                <w:szCs w:val="20"/>
                <w:color w:val="auto"/>
              </w:rPr>
            </w:pPr>
            <w:r>
              <w:rPr>
                <w:rFonts w:ascii="Arial" w:cs="Arial" w:eastAsia="Arial" w:hAnsi="Arial"/>
                <w:sz w:val="18"/>
                <w:szCs w:val="18"/>
                <w:color w:val="auto"/>
              </w:rPr>
              <w:t>60,208</w:t>
            </w:r>
          </w:p>
        </w:tc>
        <w:tc>
          <w:tcPr>
            <w:tcW w:w="80" w:type="dxa"/>
            <w:vAlign w:val="bottom"/>
          </w:tcPr>
          <w:p>
            <w:pPr>
              <w:spacing w:after="0"/>
              <w:rPr>
                <w:sz w:val="19"/>
                <w:szCs w:val="19"/>
                <w:color w:val="auto"/>
              </w:rPr>
            </w:pPr>
          </w:p>
        </w:tc>
      </w:tr>
      <w:tr>
        <w:trPr>
          <w:trHeight w:val="20"/>
        </w:trPr>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i w:val="1"/>
          <w:iCs w:val="1"/>
          <w:color w:val="auto"/>
        </w:rPr>
        <w:t>Safe Harbor for Forward-Looking Statements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material includes “forward-looking statements” within the meaning of Section 21E of the Securities Exchange Act of 1934. All statements other than statements of historical information provided herein are forward-looking and may contain information about financial results, economic conditions, trends and known uncertainties.</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cautions readers that actual results could differ materially from those expected by the Company, depending on the outcome of certain factors, including, without limitation: (1) adverse changes in the Peruvian economy with respect to the rates of inflation, economic growth, currency devaluation, and other factors, (2) adverse changes in the Peruvian political situation, including, without limitation, the reversal of market-oriented reforms and economic recovery measures, or the failure of such measures and reforms to achieve their goals, and (3) adverse changes in the markets in which the Company operates, including increased competition, decreased demand for financial services, and other factors. Readers are cautioned not to place undue reliance on these forward-looking statements, which speak only as of the date hereof.</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undertakes no obligation to release publicly the result of any revisions to these forward-looking statements which may be made to reflect events or circumstances after the date hereof, including, without limitation, changes in the Company’s business strategy or planned capital expenditures, or to reflect the occurrence of unanticipated events.</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2" w:name="page53"/>
    <w:bookmarkEnd w:id="52"/>
    <w:p>
      <w:pPr>
        <w:ind w:left="500" w:hanging="492"/>
        <w:spacing w:after="0"/>
        <w:tabs>
          <w:tab w:leader="none" w:pos="50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Appendix</w:t>
      </w:r>
    </w:p>
    <w:p>
      <w:pPr>
        <w:spacing w:after="0" w:line="22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11.1</w:t>
      </w:r>
      <w:r>
        <w:rPr>
          <w:sz w:val="20"/>
          <w:szCs w:val="20"/>
          <w:color w:val="auto"/>
        </w:rPr>
        <w:tab/>
      </w:r>
      <w:r>
        <w:rPr>
          <w:rFonts w:ascii="Arial" w:cs="Arial" w:eastAsia="Arial" w:hAnsi="Arial"/>
          <w:sz w:val="16"/>
          <w:szCs w:val="16"/>
          <w:b w:val="1"/>
          <w:bCs w:val="1"/>
          <w:color w:val="auto"/>
        </w:rPr>
        <w:t>BCP Consolidated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S/. thousands, IFRS)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Quarter</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gridSpan w:val="3"/>
          </w:tcPr>
          <w:p>
            <w:pPr>
              <w:ind w:left="780"/>
              <w:spacing w:after="0"/>
              <w:rPr>
                <w:sz w:val="20"/>
                <w:szCs w:val="20"/>
                <w:color w:val="auto"/>
              </w:rPr>
            </w:pPr>
            <w:r>
              <w:rPr>
                <w:rFonts w:ascii="Arial" w:cs="Arial" w:eastAsia="Arial" w:hAnsi="Arial"/>
                <w:sz w:val="18"/>
                <w:szCs w:val="18"/>
                <w:b w:val="1"/>
                <w:bCs w:val="1"/>
                <w:color w:val="auto"/>
                <w:w w:val="95"/>
              </w:rPr>
              <w:t>% change</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4Q14</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3Q15</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4Q15</w:t>
            </w:r>
          </w:p>
        </w:tc>
        <w:tc>
          <w:tcPr>
            <w:tcW w:w="1600" w:type="dxa"/>
            <w:vAlign w:val="bottom"/>
            <w:gridSpan w:val="3"/>
          </w:tcPr>
          <w:p>
            <w:pPr>
              <w:ind w:left="320"/>
              <w:spacing w:after="0"/>
              <w:rPr>
                <w:sz w:val="20"/>
                <w:szCs w:val="20"/>
                <w:color w:val="auto"/>
              </w:rPr>
            </w:pPr>
            <w:r>
              <w:rPr>
                <w:rFonts w:ascii="Arial" w:cs="Arial" w:eastAsia="Arial" w:hAnsi="Arial"/>
                <w:sz w:val="18"/>
                <w:szCs w:val="18"/>
                <w:b w:val="1"/>
                <w:bCs w:val="1"/>
                <w:color w:val="auto"/>
              </w:rPr>
              <w:t>QoQ</w:t>
            </w:r>
          </w:p>
        </w:tc>
        <w:tc>
          <w:tcPr>
            <w:tcW w:w="9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jc w:val="center"/>
              <w:ind w:right="30"/>
              <w:spacing w:after="0"/>
              <w:rPr>
                <w:sz w:val="20"/>
                <w:szCs w:val="20"/>
                <w:color w:val="auto"/>
              </w:rPr>
            </w:pPr>
            <w:r>
              <w:rPr>
                <w:rFonts w:ascii="Arial" w:cs="Arial" w:eastAsia="Arial" w:hAnsi="Arial"/>
                <w:sz w:val="18"/>
                <w:szCs w:val="18"/>
                <w:b w:val="1"/>
                <w:bCs w:val="1"/>
                <w:color w:val="auto"/>
                <w:w w:val="94"/>
              </w:rPr>
              <w:t>ASSETS</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Cash and due from banks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24,774,780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30,786,855</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31,445,341</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2.1%</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BCRP</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18,547,244</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28,343,697</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28,058,164</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Deposits in other banks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6,196,766</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2,381,180</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3,278,652</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37.7%</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Interbanks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30,002</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59,332</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105,741</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78.2%</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Accrued interest on cash and due from banks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768</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2,646</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2,784</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5.2%</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262.5%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Trading securities, net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1,967,385</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1,956,192</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1,514,758</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-22.6%</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-23.0%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Loans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77,521,459</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86,092,146</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88,155,285</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2.4%</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75,513,882</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83,837,821</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85,846,259</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Internal overdue loans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2,007,577</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2,254,325</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2,309,026</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 allowance for loan losses</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(3,307,250)</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(3,673,609)</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(3,838,009)</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Loans, net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74,214,209</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82,418,537</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84,317,276</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2.3%</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13.6%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Investment securities available for sale</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7,027,752</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9,286,648</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8,608,546</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-7.3%</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Investments held to maturity</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2,669,777</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3,161,475</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3,585,392</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13.4%</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Property, furniture and equipment, net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1,582,040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1,724,844</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1,724,285</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0.0%</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Due from customers acceptances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167,654</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201,357</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222,496</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10.5%</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32.7%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200" w:type="dxa"/>
            <w:vAlign w:val="bottom"/>
          </w:tcPr>
          <w:p>
            <w:pPr>
              <w:spacing w:after="0" w:line="256" w:lineRule="exact"/>
              <w:rPr>
                <w:sz w:val="20"/>
                <w:szCs w:val="20"/>
                <w:color w:val="auto"/>
              </w:rPr>
            </w:pPr>
            <w:r>
              <w:rPr>
                <w:rFonts w:ascii="Arial" w:cs="Arial" w:eastAsia="Arial" w:hAnsi="Arial"/>
                <w:sz w:val="18"/>
                <w:szCs w:val="18"/>
                <w:b w:val="1"/>
                <w:bCs w:val="1"/>
                <w:color w:val="auto"/>
              </w:rPr>
              <w:t>Other assets</w:t>
            </w:r>
            <w:r>
              <w:rPr>
                <w:rFonts w:ascii="Arial" w:cs="Arial" w:eastAsia="Arial" w:hAnsi="Arial"/>
                <w:sz w:val="29"/>
                <w:szCs w:val="29"/>
                <w:b w:val="1"/>
                <w:bCs w:val="1"/>
                <w:color w:val="auto"/>
                <w:vertAlign w:val="superscript"/>
              </w:rPr>
              <w:t>(1)</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3,728,027</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4,439,784</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4,757,427</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7.2%</w:t>
            </w:r>
          </w:p>
        </w:tc>
        <w:tc>
          <w:tcPr>
            <w:tcW w:w="280" w:type="dxa"/>
            <w:vAlign w:val="bottom"/>
          </w:tcPr>
          <w:p>
            <w:pPr>
              <w:spacing w:after="0"/>
              <w:rPr>
                <w:sz w:val="22"/>
                <w:szCs w:val="22"/>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jc w:val="center"/>
              <w:ind w:right="30"/>
              <w:spacing w:after="0"/>
              <w:rPr>
                <w:sz w:val="20"/>
                <w:szCs w:val="20"/>
                <w:color w:val="auto"/>
              </w:rPr>
            </w:pPr>
            <w:r>
              <w:rPr>
                <w:rFonts w:ascii="Arial" w:cs="Arial" w:eastAsia="Arial" w:hAnsi="Arial"/>
                <w:sz w:val="18"/>
                <w:szCs w:val="18"/>
                <w:b w:val="1"/>
                <w:bCs w:val="1"/>
                <w:color w:val="auto"/>
                <w:w w:val="84"/>
              </w:rPr>
              <w:t>Total assets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116,131,624</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7"/>
              </w:rPr>
              <w:t>133,975,692</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9"/>
              </w:rPr>
              <w:t>136,175,521</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1.6%</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jc w:val="center"/>
              <w:ind w:right="10"/>
              <w:spacing w:after="0"/>
              <w:rPr>
                <w:sz w:val="20"/>
                <w:szCs w:val="20"/>
                <w:color w:val="auto"/>
              </w:rPr>
            </w:pPr>
            <w:r>
              <w:rPr>
                <w:rFonts w:ascii="Arial" w:cs="Arial" w:eastAsia="Arial" w:hAnsi="Arial"/>
                <w:sz w:val="18"/>
                <w:szCs w:val="18"/>
                <w:b w:val="1"/>
                <w:bCs w:val="1"/>
                <w:color w:val="auto"/>
              </w:rPr>
              <w:t>LIABILITIES AND EQUITY</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Deposits and obligations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72,863,246</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82,211,845</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86,168,112</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4.8%</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Demand deposits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23,788,719</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25,464,114</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26,701,521</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Saving deposits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21,214,171</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22,795,579</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24,905,755</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9.3%</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Time deposits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20,864,602</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27,171,597</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27,103,426</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Severance indemnity deposits (CTS)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6,763,832</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6,535,695</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7,183,421</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9.9%</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payable</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231,922</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244,860</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273,989</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BCRP instruments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4,980,531</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11,863,340</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10,612,840</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-10.5%</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Due to banks and correspondents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12,824,574</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11,037,594</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9,289,250</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-15.8%</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Bonds and subordinated debt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12,891,764</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14,093,864</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14,508,206</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2.9%</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Acceptances outstanding</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167,654</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201,357</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222,496</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10.5%</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32.7%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200" w:type="dxa"/>
            <w:vAlign w:val="bottom"/>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 xml:space="preserve">Other liabilities </w:t>
            </w:r>
            <w:r>
              <w:rPr>
                <w:rFonts w:ascii="Arial" w:cs="Arial" w:eastAsia="Arial" w:hAnsi="Arial"/>
                <w:sz w:val="29"/>
                <w:szCs w:val="29"/>
                <w:b w:val="1"/>
                <w:bCs w:val="1"/>
                <w:color w:val="auto"/>
                <w:vertAlign w:val="superscript"/>
              </w:rPr>
              <w:t>(2)</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2,315,757</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3,046,093</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3,096,222</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1.6%</w:t>
            </w:r>
          </w:p>
        </w:tc>
        <w:tc>
          <w:tcPr>
            <w:tcW w:w="28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jc w:val="center"/>
              <w:ind w:right="30"/>
              <w:spacing w:after="0"/>
              <w:rPr>
                <w:sz w:val="20"/>
                <w:szCs w:val="20"/>
                <w:color w:val="auto"/>
              </w:rPr>
            </w:pPr>
            <w:r>
              <w:rPr>
                <w:rFonts w:ascii="Arial" w:cs="Arial" w:eastAsia="Arial" w:hAnsi="Arial"/>
                <w:sz w:val="18"/>
                <w:szCs w:val="18"/>
                <w:b w:val="1"/>
                <w:bCs w:val="1"/>
                <w:color w:val="auto"/>
                <w:w w:val="89"/>
              </w:rPr>
              <w:t>Total liabilities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9"/>
              </w:rPr>
              <w:t>106,043,526</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7"/>
              </w:rPr>
              <w:t>122,454,093</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9"/>
              </w:rPr>
              <w:t>123,897,126</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1.2%</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equity</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9,930,296</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11,362,177</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12,113,724</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6.6%</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Capital stock</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4,429,372</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5,560,671</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5,560,671</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Reserves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2,542,915</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2,939,044</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2,939,044</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Unrealized gains and losses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378,253</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35,369</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99,197</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180.5%</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631,001</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672,147</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672,147</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Income for the year</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1,948,755</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2,154,946</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2,842,665</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31.9%</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Non-controlling interest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157,802</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159,422</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164,671</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3.3%</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Total equity</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10,088,098</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11,521,599</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12,278,395</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6.6%</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Total liabilities and total equity</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116,131,624</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7"/>
              </w:rPr>
              <w:t>133,975,692</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9"/>
              </w:rPr>
              <w:t>136,175,521</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1.6%</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17.3%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vMerge w:val="continue"/>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Off-balance sheet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59,119,238</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62,114,812</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70,451,671</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13.4%</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Mainly includes intangible assets, other receivable accounts and tax credit.</w:t>
      </w:r>
    </w:p>
    <w:p>
      <w:pPr>
        <w:spacing w:after="0" w:line="7" w:lineRule="exact"/>
        <w:rPr>
          <w:rFonts w:ascii="Arial" w:cs="Arial" w:eastAsia="Arial" w:hAnsi="Arial"/>
          <w:sz w:val="18"/>
          <w:szCs w:val="18"/>
          <w:color w:val="auto"/>
        </w:rPr>
      </w:pPr>
    </w:p>
    <w:p>
      <w:pPr>
        <w:ind w:left="260" w:hanging="252"/>
        <w:spacing w:after="0"/>
        <w:tabs>
          <w:tab w:leader="none" w:pos="2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Mainly, includes other payable accounts.</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INCOME STATEMENT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S/ thousands, IFRS)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Quarter</w:t>
            </w: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3"/>
          </w:tcPr>
          <w:p>
            <w:pPr>
              <w:ind w:left="500"/>
              <w:spacing w:after="0"/>
              <w:rPr>
                <w:sz w:val="20"/>
                <w:szCs w:val="20"/>
                <w:color w:val="auto"/>
              </w:rPr>
            </w:pPr>
            <w:r>
              <w:rPr>
                <w:rFonts w:ascii="Arial" w:cs="Arial" w:eastAsia="Arial" w:hAnsi="Arial"/>
                <w:sz w:val="14"/>
                <w:szCs w:val="14"/>
                <w:b w:val="1"/>
                <w:bCs w:val="1"/>
                <w:color w:val="auto"/>
                <w:w w:val="91"/>
              </w:rPr>
              <w:t>% change</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3"/>
          </w:tcPr>
          <w:p>
            <w:pPr>
              <w:ind w:left="700"/>
              <w:spacing w:after="0"/>
              <w:rPr>
                <w:sz w:val="20"/>
                <w:szCs w:val="20"/>
                <w:color w:val="auto"/>
              </w:rPr>
            </w:pPr>
            <w:r>
              <w:rPr>
                <w:rFonts w:ascii="Arial" w:cs="Arial" w:eastAsia="Arial" w:hAnsi="Arial"/>
                <w:sz w:val="14"/>
                <w:szCs w:val="14"/>
                <w:b w:val="1"/>
                <w:bCs w:val="1"/>
                <w:color w:val="auto"/>
              </w:rPr>
              <w:t>Year</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4Q14</w:t>
            </w:r>
          </w:p>
        </w:tc>
        <w:tc>
          <w:tcPr>
            <w:tcW w:w="9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3Q15</w:t>
            </w: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4Q15</w:t>
            </w:r>
          </w:p>
        </w:tc>
        <w:tc>
          <w:tcPr>
            <w:tcW w:w="1120" w:type="dxa"/>
            <w:vAlign w:val="bottom"/>
            <w:gridSpan w:val="3"/>
          </w:tcPr>
          <w:p>
            <w:pPr>
              <w:ind w:left="200"/>
              <w:spacing w:after="0"/>
              <w:rPr>
                <w:sz w:val="20"/>
                <w:szCs w:val="20"/>
                <w:color w:val="auto"/>
              </w:rPr>
            </w:pPr>
            <w:r>
              <w:rPr>
                <w:rFonts w:ascii="Arial" w:cs="Arial" w:eastAsia="Arial" w:hAnsi="Arial"/>
                <w:sz w:val="14"/>
                <w:szCs w:val="14"/>
                <w:b w:val="1"/>
                <w:bCs w:val="1"/>
                <w:color w:val="auto"/>
              </w:rPr>
              <w:t>QoQ</w:t>
            </w:r>
          </w:p>
        </w:tc>
        <w:tc>
          <w:tcPr>
            <w:tcW w:w="7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5"/>
              </w:rPr>
              <w:t>YoY</w:t>
            </w:r>
          </w:p>
        </w:tc>
        <w:tc>
          <w:tcPr>
            <w:tcW w:w="740" w:type="dxa"/>
            <w:vAlign w:val="bottom"/>
          </w:tcPr>
          <w:p>
            <w:pPr>
              <w:jc w:val="right"/>
              <w:ind w:right="148"/>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9"/>
              </w:rPr>
              <w:t>2015 / 2014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94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Interest income and expense</w:t>
            </w: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ind w:left="160"/>
              <w:spacing w:after="0" w:line="149" w:lineRule="exact"/>
              <w:rPr>
                <w:sz w:val="20"/>
                <w:szCs w:val="20"/>
                <w:color w:val="auto"/>
              </w:rPr>
            </w:pPr>
            <w:r>
              <w:rPr>
                <w:rFonts w:ascii="Arial" w:cs="Arial" w:eastAsia="Arial" w:hAnsi="Arial"/>
                <w:sz w:val="14"/>
                <w:szCs w:val="14"/>
                <w:color w:val="auto"/>
              </w:rPr>
              <w:t>Interest and dividend income</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2,151,241</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2,356,807</w:t>
            </w:r>
          </w:p>
        </w:tc>
        <w:tc>
          <w:tcPr>
            <w:tcW w:w="20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2,494,320</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5.8%</w:t>
            </w:r>
          </w:p>
        </w:tc>
        <w:tc>
          <w:tcPr>
            <w:tcW w:w="20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15.9%</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8,033,208</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9,345,183</w:t>
            </w:r>
          </w:p>
        </w:tc>
        <w:tc>
          <w:tcPr>
            <w:tcW w:w="220" w:type="dxa"/>
            <w:vAlign w:val="bottom"/>
          </w:tcPr>
          <w:p>
            <w:pPr>
              <w:spacing w:after="0"/>
              <w:rPr>
                <w:sz w:val="12"/>
                <w:szCs w:val="12"/>
                <w:color w:val="auto"/>
              </w:rPr>
            </w:pP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Interest expense</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(539,436)</w:t>
            </w: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(610,606)</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(649,870)</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6.4%</w:t>
            </w: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20.5%</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(2,034,986)</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4"/>
              </w:rPr>
              <w:t>(2,393,613)</w:t>
            </w: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Net interest income</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1,611,805</w:t>
            </w: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1,746,201</w:t>
            </w:r>
          </w:p>
        </w:tc>
        <w:tc>
          <w:tcPr>
            <w:tcW w:w="20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1,844,450</w:t>
            </w: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5.6%</w:t>
            </w:r>
          </w:p>
        </w:tc>
        <w:tc>
          <w:tcPr>
            <w:tcW w:w="20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14.4%</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5,998,222</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6,951,570</w:t>
            </w:r>
          </w:p>
        </w:tc>
        <w:tc>
          <w:tcPr>
            <w:tcW w:w="22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15.9%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9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40" w:type="dxa"/>
            <w:vAlign w:val="bottom"/>
          </w:tcPr>
          <w:p>
            <w:pPr>
              <w:spacing w:after="0" w:line="149" w:lineRule="exact"/>
              <w:rPr>
                <w:sz w:val="20"/>
                <w:szCs w:val="20"/>
                <w:color w:val="auto"/>
              </w:rPr>
            </w:pPr>
            <w:r>
              <w:rPr>
                <w:rFonts w:ascii="Arial" w:cs="Arial" w:eastAsia="Arial" w:hAnsi="Arial"/>
                <w:sz w:val="14"/>
                <w:szCs w:val="14"/>
                <w:b w:val="1"/>
                <w:bCs w:val="1"/>
                <w:color w:val="auto"/>
              </w:rPr>
              <w:t>Net provision for loan losses</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(437,827)</w:t>
            </w: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(445,362)</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(500,094)</w:t>
            </w: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12.3%</w:t>
            </w:r>
          </w:p>
        </w:tc>
        <w:tc>
          <w:tcPr>
            <w:tcW w:w="20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14.2%</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(1,717,226)</w:t>
            </w:r>
          </w:p>
        </w:tc>
        <w:tc>
          <w:tcPr>
            <w:tcW w:w="8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94"/>
              </w:rPr>
              <w:t>(1,881,142)</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9.5%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9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40" w:type="dxa"/>
            <w:vAlign w:val="bottom"/>
          </w:tcPr>
          <w:p>
            <w:pPr>
              <w:spacing w:after="0" w:line="149" w:lineRule="exact"/>
              <w:rPr>
                <w:sz w:val="20"/>
                <w:szCs w:val="20"/>
                <w:color w:val="auto"/>
              </w:rPr>
            </w:pPr>
            <w:r>
              <w:rPr>
                <w:rFonts w:ascii="Arial" w:cs="Arial" w:eastAsia="Arial" w:hAnsi="Arial"/>
                <w:sz w:val="14"/>
                <w:szCs w:val="14"/>
                <w:b w:val="1"/>
                <w:bCs w:val="1"/>
                <w:color w:val="auto"/>
              </w:rPr>
              <w:t>Non-financial income</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Fee income</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523,265</w:t>
            </w: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551,137</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562,115</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w:t>
            </w: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7.4%</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1,957,799</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2,156,184</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ind w:left="160"/>
              <w:spacing w:after="0" w:line="149" w:lineRule="exact"/>
              <w:rPr>
                <w:sz w:val="20"/>
                <w:szCs w:val="20"/>
                <w:color w:val="auto"/>
              </w:rPr>
            </w:pPr>
            <w:r>
              <w:rPr>
                <w:rFonts w:ascii="Arial" w:cs="Arial" w:eastAsia="Arial" w:hAnsi="Arial"/>
                <w:sz w:val="14"/>
                <w:szCs w:val="14"/>
                <w:color w:val="auto"/>
              </w:rPr>
              <w:t>Net gain on foreign exchange transactions</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173,979</w:t>
            </w: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187,597</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199,768</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6.5%</w:t>
            </w:r>
          </w:p>
        </w:tc>
        <w:tc>
          <w:tcPr>
            <w:tcW w:w="20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14.8%</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593,154</w:t>
            </w:r>
          </w:p>
        </w:tc>
        <w:tc>
          <w:tcPr>
            <w:tcW w:w="8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741,225</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Net gain on sales of securities</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5,656</w:t>
            </w: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(16,487)</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16,009</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-197.1%</w:t>
            </w: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183.0%</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56,781</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414,556</w:t>
            </w: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ind w:left="160"/>
              <w:spacing w:after="0" w:line="149" w:lineRule="exact"/>
              <w:rPr>
                <w:sz w:val="20"/>
                <w:szCs w:val="20"/>
                <w:color w:val="auto"/>
              </w:rPr>
            </w:pPr>
            <w:r>
              <w:rPr>
                <w:rFonts w:ascii="Arial" w:cs="Arial" w:eastAsia="Arial" w:hAnsi="Arial"/>
                <w:sz w:val="14"/>
                <w:szCs w:val="14"/>
                <w:color w:val="auto"/>
              </w:rPr>
              <w:t>Other non-financial income</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16,914</w:t>
            </w: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7,574</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29,775</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293.1%</w:t>
            </w:r>
          </w:p>
        </w:tc>
        <w:tc>
          <w:tcPr>
            <w:tcW w:w="20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76.0%</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54,137</w:t>
            </w:r>
          </w:p>
        </w:tc>
        <w:tc>
          <w:tcPr>
            <w:tcW w:w="8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74,969</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b w:val="1"/>
                <w:bCs w:val="1"/>
                <w:color w:val="auto"/>
              </w:rPr>
              <w:t>Total non-financial income, net</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719,814</w:t>
            </w: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729,821</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807,667</w:t>
            </w: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10.7%</w:t>
            </w: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12.2%</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2,661,871</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3,386,934</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27.2%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Operating expenses</w:t>
            </w: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ind w:left="160"/>
              <w:spacing w:after="0" w:line="149" w:lineRule="exact"/>
              <w:rPr>
                <w:sz w:val="20"/>
                <w:szCs w:val="20"/>
                <w:color w:val="auto"/>
              </w:rPr>
            </w:pPr>
            <w:r>
              <w:rPr>
                <w:rFonts w:ascii="Arial" w:cs="Arial" w:eastAsia="Arial" w:hAnsi="Arial"/>
                <w:sz w:val="14"/>
                <w:szCs w:val="14"/>
                <w:color w:val="auto"/>
              </w:rPr>
              <w:t>Salaries and employees benefits</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(537,658)</w:t>
            </w: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(571,240)</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(602,292)</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5.4%</w:t>
            </w:r>
          </w:p>
        </w:tc>
        <w:tc>
          <w:tcPr>
            <w:tcW w:w="20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12.0%</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(2,103,274)</w:t>
            </w:r>
          </w:p>
        </w:tc>
        <w:tc>
          <w:tcPr>
            <w:tcW w:w="8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4"/>
              </w:rPr>
              <w:t>(2,335,983)</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Administrative, general and tax expenses</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(469,831)</w:t>
            </w: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(376,657)</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(464,815)</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23.4%</w:t>
            </w: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(1,541,901)</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4"/>
              </w:rPr>
              <w:t>(1,529,407)</w:t>
            </w: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ind w:left="160"/>
              <w:spacing w:after="0" w:line="149" w:lineRule="exact"/>
              <w:rPr>
                <w:sz w:val="20"/>
                <w:szCs w:val="20"/>
                <w:color w:val="auto"/>
              </w:rPr>
            </w:pPr>
            <w:r>
              <w:rPr>
                <w:rFonts w:ascii="Arial" w:cs="Arial" w:eastAsia="Arial" w:hAnsi="Arial"/>
                <w:sz w:val="14"/>
                <w:szCs w:val="14"/>
                <w:color w:val="auto"/>
              </w:rPr>
              <w:t>Depreciation and amortization</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(100,638)</w:t>
            </w: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(90,128)</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(92,869)</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3.0%</w:t>
            </w:r>
          </w:p>
        </w:tc>
        <w:tc>
          <w:tcPr>
            <w:tcW w:w="20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-7.7%</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(337,583)</w:t>
            </w:r>
          </w:p>
        </w:tc>
        <w:tc>
          <w:tcPr>
            <w:tcW w:w="8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(357,728)</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Other expenses</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(78,071)</w:t>
            </w: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(53,607)</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(67,276)</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25.5%</w:t>
            </w: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-13.8%</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(184,577)</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(267,378)</w:t>
            </w: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Total expenses</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(1,186,198)</w:t>
            </w: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(1,091,632)</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(1,227,252)</w:t>
            </w: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12.4%</w:t>
            </w:r>
          </w:p>
        </w:tc>
        <w:tc>
          <w:tcPr>
            <w:tcW w:w="20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3.5%</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(4,167,335)</w:t>
            </w:r>
          </w:p>
        </w:tc>
        <w:tc>
          <w:tcPr>
            <w:tcW w:w="8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94"/>
              </w:rPr>
              <w:t>(4,490,496)</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7.8%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9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40" w:type="dxa"/>
            <w:vAlign w:val="bottom"/>
          </w:tcPr>
          <w:p>
            <w:pPr>
              <w:spacing w:after="0" w:line="149" w:lineRule="exact"/>
              <w:rPr>
                <w:sz w:val="20"/>
                <w:szCs w:val="20"/>
                <w:color w:val="auto"/>
              </w:rPr>
            </w:pPr>
            <w:r>
              <w:rPr>
                <w:rFonts w:ascii="Arial" w:cs="Arial" w:eastAsia="Arial" w:hAnsi="Arial"/>
                <w:sz w:val="14"/>
                <w:szCs w:val="14"/>
                <w:b w:val="1"/>
                <w:bCs w:val="1"/>
                <w:color w:val="auto"/>
              </w:rPr>
              <w:t>Operating income</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707,594</w:t>
            </w: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939,028</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924,771</w:t>
            </w: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-1.5%</w:t>
            </w:r>
          </w:p>
        </w:tc>
        <w:tc>
          <w:tcPr>
            <w:tcW w:w="20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30.7%</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2,775,532</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3,966,866</w:t>
            </w:r>
          </w:p>
        </w:tc>
        <w:tc>
          <w:tcPr>
            <w:tcW w:w="22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42.9%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Translation result</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11,449</w:t>
            </w: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3,378</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8,446</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150.0%</w:t>
            </w: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-26.2%</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21,370</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17,458</w:t>
            </w: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ind w:left="160"/>
              <w:spacing w:after="0" w:line="149" w:lineRule="exact"/>
              <w:rPr>
                <w:sz w:val="20"/>
                <w:szCs w:val="20"/>
                <w:color w:val="auto"/>
              </w:rPr>
            </w:pPr>
            <w:r>
              <w:rPr>
                <w:rFonts w:ascii="Arial" w:cs="Arial" w:eastAsia="Arial" w:hAnsi="Arial"/>
                <w:sz w:val="14"/>
                <w:szCs w:val="14"/>
                <w:color w:val="auto"/>
              </w:rPr>
              <w:t>Income taxes</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(273,761)</w:t>
            </w: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(262,516)</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(243,586)</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-7.2%</w:t>
            </w:r>
          </w:p>
        </w:tc>
        <w:tc>
          <w:tcPr>
            <w:tcW w:w="20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-11.0%</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(855,563)</w:t>
            </w:r>
          </w:p>
        </w:tc>
        <w:tc>
          <w:tcPr>
            <w:tcW w:w="8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4"/>
              </w:rPr>
              <w:t>(1,129,932)</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Non-controlling interest</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6,512</w:t>
            </w: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(4,212)</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(1,911)</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-54.6%</w:t>
            </w: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-129.3%</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7,416</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(11,727)</w:t>
            </w: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-258.1%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451,794</w:t>
            </w: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675,678</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687,720</w:t>
            </w: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1.8%</w:t>
            </w: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52.2%</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1,948,755</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2,842,665</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45.9%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INDICATORS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Quarter</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gridSpan w:val="3"/>
          </w:tcPr>
          <w:p>
            <w:pPr>
              <w:ind w:left="980"/>
              <w:spacing w:after="0"/>
              <w:rPr>
                <w:sz w:val="20"/>
                <w:szCs w:val="20"/>
                <w:color w:val="auto"/>
              </w:rPr>
            </w:pPr>
            <w:r>
              <w:rPr>
                <w:rFonts w:ascii="Arial" w:cs="Arial" w:eastAsia="Arial" w:hAnsi="Arial"/>
                <w:sz w:val="18"/>
                <w:szCs w:val="18"/>
                <w:b w:val="1"/>
                <w:bCs w:val="1"/>
                <w:color w:val="auto"/>
              </w:rPr>
              <w:t>Year</w:t>
            </w: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4Q14</w:t>
            </w:r>
          </w:p>
        </w:tc>
        <w:tc>
          <w:tcPr>
            <w:tcW w:w="12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3Q15</w:t>
            </w:r>
          </w:p>
        </w:tc>
        <w:tc>
          <w:tcPr>
            <w:tcW w:w="12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4Q15</w:t>
            </w:r>
          </w:p>
        </w:tc>
        <w:tc>
          <w:tcPr>
            <w:tcW w:w="10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b w:val="1"/>
                <w:bCs w:val="1"/>
                <w:color w:val="auto"/>
              </w:rPr>
              <w:t>2015</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10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Profitability</w:t>
            </w: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920" w:type="dxa"/>
            <w:vAlign w:val="bottom"/>
            <w:tcBorders>
              <w:top w:val="single" w:sz="8" w:color="auto"/>
            </w:tcBorders>
          </w:tcPr>
          <w:p>
            <w:pPr>
              <w:spacing w:after="0" w:line="256" w:lineRule="exact"/>
              <w:rPr>
                <w:sz w:val="20"/>
                <w:szCs w:val="20"/>
                <w:color w:val="auto"/>
              </w:rPr>
            </w:pPr>
            <w:r>
              <w:rPr>
                <w:rFonts w:ascii="Arial" w:cs="Arial" w:eastAsia="Arial" w:hAnsi="Arial"/>
                <w:sz w:val="29"/>
                <w:szCs w:val="29"/>
                <w:color w:val="auto"/>
                <w:vertAlign w:val="subscript"/>
              </w:rPr>
              <w:t>EPS</w:t>
            </w:r>
            <w:r>
              <w:rPr>
                <w:rFonts w:ascii="Arial" w:cs="Arial" w:eastAsia="Arial" w:hAnsi="Arial"/>
                <w:sz w:val="13"/>
                <w:szCs w:val="13"/>
                <w:color w:val="auto"/>
              </w:rPr>
              <w:t>(1)</w:t>
            </w:r>
          </w:p>
        </w:tc>
        <w:tc>
          <w:tcPr>
            <w:tcW w:w="4180" w:type="dxa"/>
            <w:vAlign w:val="bottom"/>
            <w:tcBorders>
              <w:top w:val="single" w:sz="8" w:color="CCEEFF"/>
            </w:tcBorders>
            <w:gridSpan w:val="4"/>
          </w:tcPr>
          <w:p>
            <w:pPr>
              <w:spacing w:after="0"/>
              <w:rPr>
                <w:sz w:val="22"/>
                <w:szCs w:val="22"/>
                <w:color w:val="auto"/>
              </w:rPr>
            </w:pPr>
          </w:p>
        </w:tc>
        <w:tc>
          <w:tcPr>
            <w:tcW w:w="1280" w:type="dxa"/>
            <w:vAlign w:val="bottom"/>
            <w:tcBorders>
              <w:top w:val="single" w:sz="8" w:color="CCEEFF"/>
            </w:tcBorders>
            <w:gridSpan w:val="2"/>
          </w:tcPr>
          <w:p>
            <w:pPr>
              <w:jc w:val="right"/>
              <w:ind w:right="280"/>
              <w:spacing w:after="0"/>
              <w:rPr>
                <w:sz w:val="20"/>
                <w:szCs w:val="20"/>
                <w:color w:val="auto"/>
              </w:rPr>
            </w:pPr>
            <w:r>
              <w:rPr>
                <w:rFonts w:ascii="Arial" w:cs="Arial" w:eastAsia="Arial" w:hAnsi="Arial"/>
                <w:sz w:val="18"/>
                <w:szCs w:val="18"/>
                <w:color w:val="auto"/>
              </w:rPr>
              <w:t>0.08</w:t>
            </w:r>
          </w:p>
        </w:tc>
        <w:tc>
          <w:tcPr>
            <w:tcW w:w="1280" w:type="dxa"/>
            <w:vAlign w:val="bottom"/>
            <w:tcBorders>
              <w:top w:val="single" w:sz="8" w:color="CCEEFF"/>
            </w:tcBorders>
            <w:gridSpan w:val="2"/>
          </w:tcPr>
          <w:p>
            <w:pPr>
              <w:jc w:val="right"/>
              <w:ind w:right="280"/>
              <w:spacing w:after="0"/>
              <w:rPr>
                <w:sz w:val="20"/>
                <w:szCs w:val="20"/>
                <w:color w:val="auto"/>
              </w:rPr>
            </w:pPr>
            <w:r>
              <w:rPr>
                <w:rFonts w:ascii="Arial" w:cs="Arial" w:eastAsia="Arial" w:hAnsi="Arial"/>
                <w:sz w:val="18"/>
                <w:szCs w:val="18"/>
                <w:color w:val="auto"/>
              </w:rPr>
              <w:t>0.12</w:t>
            </w:r>
          </w:p>
        </w:tc>
        <w:tc>
          <w:tcPr>
            <w:tcW w:w="1280" w:type="dxa"/>
            <w:vAlign w:val="bottom"/>
            <w:tcBorders>
              <w:top w:val="single" w:sz="8" w:color="CCEEFF"/>
            </w:tcBorders>
            <w:gridSpan w:val="2"/>
          </w:tcPr>
          <w:p>
            <w:pPr>
              <w:jc w:val="right"/>
              <w:ind w:right="260"/>
              <w:spacing w:after="0"/>
              <w:rPr>
                <w:sz w:val="20"/>
                <w:szCs w:val="20"/>
                <w:color w:val="auto"/>
              </w:rPr>
            </w:pPr>
            <w:r>
              <w:rPr>
                <w:rFonts w:ascii="Arial" w:cs="Arial" w:eastAsia="Arial" w:hAnsi="Arial"/>
                <w:sz w:val="18"/>
                <w:szCs w:val="18"/>
                <w:color w:val="auto"/>
              </w:rPr>
              <w:t>0.12</w:t>
            </w:r>
          </w:p>
        </w:tc>
        <w:tc>
          <w:tcPr>
            <w:tcW w:w="1280" w:type="dxa"/>
            <w:vAlign w:val="bottom"/>
            <w:tcBorders>
              <w:top w:val="single" w:sz="8" w:color="CCEEFF"/>
            </w:tcBorders>
            <w:gridSpan w:val="2"/>
          </w:tcPr>
          <w:p>
            <w:pPr>
              <w:jc w:val="right"/>
              <w:ind w:right="260"/>
              <w:spacing w:after="0"/>
              <w:rPr>
                <w:sz w:val="20"/>
                <w:szCs w:val="20"/>
                <w:color w:val="auto"/>
              </w:rPr>
            </w:pPr>
            <w:r>
              <w:rPr>
                <w:rFonts w:ascii="Arial" w:cs="Arial" w:eastAsia="Arial" w:hAnsi="Arial"/>
                <w:sz w:val="18"/>
                <w:szCs w:val="18"/>
                <w:color w:val="auto"/>
              </w:rPr>
              <w:t>0.33</w:t>
            </w:r>
          </w:p>
        </w:tc>
        <w:tc>
          <w:tcPr>
            <w:tcW w:w="200" w:type="dxa"/>
            <w:vAlign w:val="bottom"/>
            <w:tcBorders>
              <w:top w:val="single" w:sz="8" w:color="CCEEFF"/>
            </w:tcBorders>
          </w:tcPr>
          <w:p>
            <w:pPr>
              <w:spacing w:after="0"/>
              <w:rPr>
                <w:sz w:val="22"/>
                <w:szCs w:val="22"/>
                <w:color w:val="auto"/>
              </w:rPr>
            </w:pPr>
          </w:p>
        </w:tc>
        <w:tc>
          <w:tcPr>
            <w:tcW w:w="98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100" w:type="dxa"/>
            <w:vAlign w:val="bottom"/>
            <w:gridSpan w:val="5"/>
            <w:shd w:val="clear" w:color="auto" w:fill="CCEEFF"/>
          </w:tcPr>
          <w:p>
            <w:pPr>
              <w:spacing w:after="0" w:line="256" w:lineRule="exact"/>
              <w:rPr>
                <w:sz w:val="20"/>
                <w:szCs w:val="20"/>
                <w:color w:val="auto"/>
              </w:rPr>
            </w:pPr>
            <w:r>
              <w:rPr>
                <w:rFonts w:ascii="Arial" w:cs="Arial" w:eastAsia="Arial" w:hAnsi="Arial"/>
                <w:sz w:val="18"/>
                <w:szCs w:val="18"/>
                <w:color w:val="auto"/>
              </w:rPr>
              <w:t xml:space="preserve">Net interest margin </w:t>
            </w:r>
            <w:r>
              <w:rPr>
                <w:rFonts w:ascii="Arial" w:cs="Arial" w:eastAsia="Arial" w:hAnsi="Arial"/>
                <w:sz w:val="29"/>
                <w:szCs w:val="29"/>
                <w:color w:val="auto"/>
                <w:vertAlign w:val="superscript"/>
              </w:rPr>
              <w:t>(2)</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5.94%</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5.68%</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5.73%</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5.93%</w:t>
            </w:r>
          </w:p>
        </w:tc>
        <w:tc>
          <w:tcPr>
            <w:tcW w:w="2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100" w:type="dxa"/>
            <w:vAlign w:val="bottom"/>
            <w:gridSpan w:val="5"/>
          </w:tcPr>
          <w:p>
            <w:pPr>
              <w:spacing w:after="0" w:line="256" w:lineRule="exact"/>
              <w:rPr>
                <w:sz w:val="20"/>
                <w:szCs w:val="20"/>
                <w:color w:val="auto"/>
              </w:rPr>
            </w:pPr>
            <w:r>
              <w:rPr>
                <w:rFonts w:ascii="Arial" w:cs="Arial" w:eastAsia="Arial" w:hAnsi="Arial"/>
                <w:sz w:val="29"/>
                <w:szCs w:val="29"/>
                <w:color w:val="auto"/>
                <w:vertAlign w:val="subscript"/>
              </w:rPr>
              <w:t>ROAA</w:t>
            </w:r>
            <w:r>
              <w:rPr>
                <w:rFonts w:ascii="Arial" w:cs="Arial" w:eastAsia="Arial" w:hAnsi="Arial"/>
                <w:sz w:val="13"/>
                <w:szCs w:val="13"/>
                <w:color w:val="auto"/>
              </w:rPr>
              <w:t xml:space="preserve"> (2)(3)</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2.1%</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22"/>
                <w:szCs w:val="22"/>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100" w:type="dxa"/>
            <w:vAlign w:val="bottom"/>
            <w:gridSpan w:val="5"/>
            <w:shd w:val="clear" w:color="auto" w:fill="CCEEFF"/>
          </w:tcPr>
          <w:p>
            <w:pPr>
              <w:spacing w:after="0" w:line="256" w:lineRule="exact"/>
              <w:rPr>
                <w:sz w:val="20"/>
                <w:szCs w:val="20"/>
                <w:color w:val="auto"/>
              </w:rPr>
            </w:pPr>
            <w:r>
              <w:rPr>
                <w:rFonts w:ascii="Arial" w:cs="Arial" w:eastAsia="Arial" w:hAnsi="Arial"/>
                <w:sz w:val="29"/>
                <w:szCs w:val="29"/>
                <w:color w:val="auto"/>
                <w:vertAlign w:val="subscript"/>
              </w:rPr>
              <w:t>ROAE</w:t>
            </w:r>
            <w:r>
              <w:rPr>
                <w:rFonts w:ascii="Arial" w:cs="Arial" w:eastAsia="Arial" w:hAnsi="Arial"/>
                <w:sz w:val="13"/>
                <w:szCs w:val="13"/>
                <w:color w:val="auto"/>
              </w:rPr>
              <w:t xml:space="preserve"> (2)(3)</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18.6%</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24.4%</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23.4%</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21.4%</w:t>
            </w:r>
          </w:p>
        </w:tc>
        <w:tc>
          <w:tcPr>
            <w:tcW w:w="2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5"/>
          </w:tcPr>
          <w:p>
            <w:pPr>
              <w:spacing w:after="0"/>
              <w:rPr>
                <w:sz w:val="20"/>
                <w:szCs w:val="20"/>
                <w:color w:val="auto"/>
              </w:rPr>
            </w:pPr>
            <w:r>
              <w:rPr>
                <w:rFonts w:ascii="Arial" w:cs="Arial" w:eastAsia="Arial" w:hAnsi="Arial"/>
                <w:sz w:val="18"/>
                <w:szCs w:val="18"/>
                <w:color w:val="auto"/>
              </w:rPr>
              <w:t>No. of outstanding shares (Million)</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5,854</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5,854</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5,854</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5,854</w:t>
            </w:r>
          </w:p>
        </w:tc>
        <w:tc>
          <w:tcPr>
            <w:tcW w:w="2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5,854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100" w:type="dxa"/>
            <w:vAlign w:val="bottom"/>
            <w:gridSpan w:val="5"/>
          </w:tcPr>
          <w:p>
            <w:pPr>
              <w:spacing w:after="0" w:line="176" w:lineRule="exact"/>
              <w:rPr>
                <w:sz w:val="20"/>
                <w:szCs w:val="20"/>
                <w:color w:val="auto"/>
              </w:rPr>
            </w:pPr>
            <w:r>
              <w:rPr>
                <w:rFonts w:ascii="Arial" w:cs="Arial" w:eastAsia="Arial" w:hAnsi="Arial"/>
                <w:sz w:val="18"/>
                <w:szCs w:val="18"/>
                <w:b w:val="1"/>
                <w:bCs w:val="1"/>
                <w:color w:val="auto"/>
              </w:rPr>
              <w:t>Quality of loan portfolio</w:t>
            </w: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Internal overdue ratio</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2.59%</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2.62%</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2.62%</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2.59%</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5"/>
          </w:tcPr>
          <w:p>
            <w:pPr>
              <w:spacing w:after="0"/>
              <w:rPr>
                <w:sz w:val="20"/>
                <w:szCs w:val="20"/>
                <w:color w:val="auto"/>
              </w:rPr>
            </w:pPr>
            <w:r>
              <w:rPr>
                <w:rFonts w:ascii="Arial" w:cs="Arial" w:eastAsia="Arial" w:hAnsi="Arial"/>
                <w:sz w:val="18"/>
                <w:szCs w:val="18"/>
                <w:color w:val="auto"/>
              </w:rPr>
              <w:t>NPL ratio</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3.43%</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3.46%</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3.49%</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3.43%</w:t>
            </w:r>
          </w:p>
        </w:tc>
        <w:tc>
          <w:tcPr>
            <w:tcW w:w="2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Coverage of Internal overdue loans</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164.7%</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163.0%</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166.2%</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164.7%</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5"/>
          </w:tcPr>
          <w:p>
            <w:pPr>
              <w:spacing w:after="0"/>
              <w:rPr>
                <w:sz w:val="20"/>
                <w:szCs w:val="20"/>
                <w:color w:val="auto"/>
              </w:rPr>
            </w:pPr>
            <w:r>
              <w:rPr>
                <w:rFonts w:ascii="Arial" w:cs="Arial" w:eastAsia="Arial" w:hAnsi="Arial"/>
                <w:sz w:val="18"/>
                <w:szCs w:val="18"/>
                <w:color w:val="auto"/>
              </w:rPr>
              <w:t>Coverage of NPLs</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124.6%</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123.2%</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124.7%</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124.6%</w:t>
            </w:r>
          </w:p>
        </w:tc>
        <w:tc>
          <w:tcPr>
            <w:tcW w:w="2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Allowance for loan losses as a percentage of total loans</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4.27%</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5"/>
          </w:tcPr>
          <w:p>
            <w:pPr>
              <w:spacing w:after="0"/>
              <w:rPr>
                <w:sz w:val="20"/>
                <w:szCs w:val="20"/>
                <w:color w:val="auto"/>
              </w:rPr>
            </w:pPr>
            <w:r>
              <w:rPr>
                <w:rFonts w:ascii="Arial" w:cs="Arial" w:eastAsia="Arial" w:hAnsi="Arial"/>
                <w:sz w:val="18"/>
                <w:szCs w:val="18"/>
                <w:color w:val="auto"/>
              </w:rPr>
              <w:t>Cost of risk</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2.26%</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2.07%</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2.27%</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2.22%</w:t>
            </w:r>
          </w:p>
        </w:tc>
        <w:tc>
          <w:tcPr>
            <w:tcW w:w="2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100" w:type="dxa"/>
            <w:vAlign w:val="bottom"/>
            <w:gridSpan w:val="5"/>
          </w:tcPr>
          <w:p>
            <w:pPr>
              <w:spacing w:after="0" w:line="176" w:lineRule="exact"/>
              <w:rPr>
                <w:sz w:val="20"/>
                <w:szCs w:val="20"/>
                <w:color w:val="auto"/>
              </w:rPr>
            </w:pPr>
            <w:r>
              <w:rPr>
                <w:rFonts w:ascii="Arial" w:cs="Arial" w:eastAsia="Arial" w:hAnsi="Arial"/>
                <w:sz w:val="18"/>
                <w:szCs w:val="18"/>
                <w:b w:val="1"/>
                <w:bCs w:val="1"/>
                <w:color w:val="auto"/>
              </w:rPr>
              <w:t>Operating efficiency</w:t>
            </w: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5100" w:type="dxa"/>
            <w:vAlign w:val="bottom"/>
            <w:gridSpan w:val="5"/>
            <w:shd w:val="clear" w:color="auto" w:fill="CCEEFF"/>
          </w:tcPr>
          <w:p>
            <w:pPr>
              <w:spacing w:after="0" w:line="256" w:lineRule="exact"/>
              <w:rPr>
                <w:sz w:val="20"/>
                <w:szCs w:val="20"/>
                <w:color w:val="auto"/>
              </w:rPr>
            </w:pPr>
            <w:r>
              <w:rPr>
                <w:rFonts w:ascii="Arial" w:cs="Arial" w:eastAsia="Arial" w:hAnsi="Arial"/>
                <w:sz w:val="18"/>
                <w:szCs w:val="18"/>
                <w:color w:val="auto"/>
              </w:rPr>
              <w:t xml:space="preserve">Oper. expenses as a percent. of total income - reported </w:t>
            </w:r>
            <w:r>
              <w:rPr>
                <w:rFonts w:ascii="Arial" w:cs="Arial" w:eastAsia="Arial" w:hAnsi="Arial"/>
                <w:sz w:val="29"/>
                <w:szCs w:val="29"/>
                <w:color w:val="auto"/>
                <w:vertAlign w:val="superscript"/>
              </w:rPr>
              <w:t>(4)</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48.0%</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41.8%</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44.5%</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46.6%</w:t>
            </w:r>
          </w:p>
        </w:tc>
        <w:tc>
          <w:tcPr>
            <w:tcW w:w="2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00" w:type="dxa"/>
            <w:vAlign w:val="bottom"/>
            <w:gridSpan w:val="5"/>
          </w:tcPr>
          <w:p>
            <w:pPr>
              <w:spacing w:after="0" w:line="201" w:lineRule="exact"/>
              <w:rPr>
                <w:sz w:val="20"/>
                <w:szCs w:val="20"/>
                <w:color w:val="auto"/>
              </w:rPr>
            </w:pPr>
            <w:r>
              <w:rPr>
                <w:rFonts w:ascii="Arial" w:cs="Arial" w:eastAsia="Arial" w:hAnsi="Arial"/>
                <w:sz w:val="18"/>
                <w:szCs w:val="18"/>
                <w:color w:val="auto"/>
                <w:w w:val="98"/>
              </w:rPr>
              <w:t>Oper. expenses as a percent. of total income - including all other</w:t>
            </w: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20" w:type="dxa"/>
            <w:vAlign w:val="bottom"/>
            <w:gridSpan w:val="6"/>
          </w:tcPr>
          <w:p>
            <w:pPr>
              <w:spacing w:after="0"/>
              <w:rPr>
                <w:sz w:val="20"/>
                <w:szCs w:val="20"/>
                <w:color w:val="auto"/>
              </w:rPr>
            </w:pPr>
            <w:r>
              <w:rPr>
                <w:rFonts w:ascii="Arial" w:cs="Arial" w:eastAsia="Arial" w:hAnsi="Arial"/>
                <w:sz w:val="18"/>
                <w:szCs w:val="18"/>
                <w:color w:val="auto"/>
              </w:rPr>
              <w:t>items</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50.9%</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44.1%</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46.3%</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48.1%</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100" w:type="dxa"/>
            <w:vAlign w:val="bottom"/>
            <w:gridSpan w:val="5"/>
            <w:shd w:val="clear" w:color="auto" w:fill="CCEEFF"/>
          </w:tcPr>
          <w:p>
            <w:pPr>
              <w:spacing w:after="0" w:line="256" w:lineRule="exact"/>
              <w:rPr>
                <w:sz w:val="20"/>
                <w:szCs w:val="20"/>
                <w:color w:val="auto"/>
              </w:rPr>
            </w:pPr>
            <w:r>
              <w:rPr>
                <w:rFonts w:ascii="Arial" w:cs="Arial" w:eastAsia="Arial" w:hAnsi="Arial"/>
                <w:sz w:val="18"/>
                <w:szCs w:val="18"/>
                <w:color w:val="auto"/>
              </w:rPr>
              <w:t xml:space="preserve">Oper. expenses as a percent. of av. tot. sssets </w:t>
            </w:r>
            <w:r>
              <w:rPr>
                <w:rFonts w:ascii="Arial" w:cs="Arial" w:eastAsia="Arial" w:hAnsi="Arial"/>
                <w:sz w:val="29"/>
                <w:szCs w:val="29"/>
                <w:color w:val="auto"/>
                <w:vertAlign w:val="superscript"/>
              </w:rPr>
              <w:t>(2)(3)(4)</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4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9"/>
              </w:rPr>
              <w:t>Capital adequacy</w:t>
            </w:r>
          </w:p>
        </w:tc>
        <w:tc>
          <w:tcPr>
            <w:tcW w:w="3760" w:type="dxa"/>
            <w:vAlign w:val="bottom"/>
            <w:tcBorders>
              <w:bottom w:val="single" w:sz="8" w:color="CCEEFF"/>
            </w:tcBorders>
            <w:gridSpan w:val="3"/>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5"/>
          </w:tcPr>
          <w:p>
            <w:pPr>
              <w:spacing w:after="0"/>
              <w:rPr>
                <w:sz w:val="20"/>
                <w:szCs w:val="20"/>
                <w:color w:val="auto"/>
              </w:rPr>
            </w:pPr>
            <w:r>
              <w:rPr>
                <w:rFonts w:ascii="Arial" w:cs="Arial" w:eastAsia="Arial" w:hAnsi="Arial"/>
                <w:sz w:val="18"/>
                <w:szCs w:val="18"/>
                <w:color w:val="auto"/>
              </w:rPr>
              <w:t>Total regulatory capital (S/. Million)</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12,704</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13,475</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14,490</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12,704</w:t>
            </w:r>
          </w:p>
        </w:tc>
        <w:tc>
          <w:tcPr>
            <w:tcW w:w="2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14,490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Tier 1 capital (S/. Million)</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8,643</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8,968</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9,716</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8,643</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5"/>
          </w:tcPr>
          <w:p>
            <w:pPr>
              <w:spacing w:after="0"/>
              <w:rPr>
                <w:sz w:val="20"/>
                <w:szCs w:val="20"/>
                <w:color w:val="auto"/>
              </w:rPr>
            </w:pPr>
            <w:r>
              <w:rPr>
                <w:rFonts w:ascii="Arial" w:cs="Arial" w:eastAsia="Arial" w:hAnsi="Arial"/>
                <w:sz w:val="18"/>
                <w:szCs w:val="18"/>
                <w:color w:val="auto"/>
              </w:rPr>
              <w:t>Common equity tier 1 ratio</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7.45%</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9.01%</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9.37%</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7.45%</w:t>
            </w:r>
          </w:p>
        </w:tc>
        <w:tc>
          <w:tcPr>
            <w:tcW w:w="2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100" w:type="dxa"/>
            <w:vAlign w:val="bottom"/>
            <w:gridSpan w:val="5"/>
            <w:shd w:val="clear" w:color="auto" w:fill="CCEEFF"/>
          </w:tcPr>
          <w:p>
            <w:pPr>
              <w:spacing w:after="0" w:line="256" w:lineRule="exact"/>
              <w:rPr>
                <w:sz w:val="20"/>
                <w:szCs w:val="20"/>
                <w:color w:val="auto"/>
              </w:rPr>
            </w:pPr>
            <w:r>
              <w:rPr>
                <w:rFonts w:ascii="Arial" w:cs="Arial" w:eastAsia="Arial" w:hAnsi="Arial"/>
                <w:sz w:val="18"/>
                <w:szCs w:val="18"/>
                <w:color w:val="auto"/>
              </w:rPr>
              <w:t xml:space="preserve">BIS ratio </w:t>
            </w:r>
            <w:r>
              <w:rPr>
                <w:rFonts w:ascii="Arial" w:cs="Arial" w:eastAsia="Arial" w:hAnsi="Arial"/>
                <w:sz w:val="29"/>
                <w:szCs w:val="29"/>
                <w:color w:val="auto"/>
                <w:vertAlign w:val="superscript"/>
              </w:rPr>
              <w:t>(5)</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14.4%</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14.3%</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14.4%</w:t>
            </w:r>
          </w:p>
        </w:tc>
        <w:tc>
          <w:tcPr>
            <w:tcW w:w="2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Shares outstanding of 5,854.05 million are used for all periods since shares have been issued only for capitalization of profits.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Ratios are annualized.</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Averages are determined as the average of period-beginning and period-ending balances.</w:t>
      </w:r>
    </w:p>
    <w:p>
      <w:pPr>
        <w:spacing w:after="0" w:line="9" w:lineRule="exact"/>
        <w:rPr>
          <w:rFonts w:ascii="Arial" w:cs="Arial" w:eastAsia="Arial" w:hAnsi="Arial"/>
          <w:sz w:val="18"/>
          <w:szCs w:val="18"/>
          <w:color w:val="auto"/>
        </w:rPr>
      </w:pPr>
    </w:p>
    <w:p>
      <w:pPr>
        <w:ind w:right="300" w:firstLine="8"/>
        <w:spacing w:after="0" w:line="250" w:lineRule="auto"/>
        <w:tabs>
          <w:tab w:leader="none" w:pos="255"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Total income includes net interest income, fee income and net gain on foreign exchange transactions. Operating expenses includes personnel expenses, administrative expenses and depreciation and amortization.</w:t>
      </w:r>
    </w:p>
    <w:p>
      <w:pPr>
        <w:ind w:left="260" w:hanging="252"/>
        <w:spacing w:after="0"/>
        <w:tabs>
          <w:tab w:leader="none" w:pos="2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Regulatory capital/ risk-weighted assets. Risk weighted assets include market risk and operational risk.</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34"/>
        </w:trPr>
        <w:tc>
          <w:tcPr>
            <w:tcW w:w="4540" w:type="dxa"/>
            <w:vAlign w:val="bottom"/>
            <w:gridSpan w:val="2"/>
          </w:tcPr>
          <w:p>
            <w:pPr>
              <w:spacing w:after="0"/>
              <w:rPr>
                <w:sz w:val="20"/>
                <w:szCs w:val="20"/>
                <w:color w:val="auto"/>
              </w:rPr>
            </w:pPr>
            <w:r>
              <w:rPr>
                <w:rFonts w:ascii="Arial" w:cs="Arial" w:eastAsia="Arial" w:hAnsi="Arial"/>
                <w:sz w:val="18"/>
                <w:szCs w:val="18"/>
                <w:b w:val="1"/>
                <w:bCs w:val="1"/>
                <w:color w:val="auto"/>
              </w:rPr>
              <w:t>11.2  Mibanco</w:t>
            </w: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360" w:type="dxa"/>
            <w:vAlign w:val="bottom"/>
            <w:gridSpan w:val="4"/>
          </w:tcPr>
          <w:p>
            <w:pPr>
              <w:jc w:val="right"/>
              <w:ind w:right="740"/>
              <w:spacing w:after="0"/>
              <w:rPr>
                <w:sz w:val="20"/>
                <w:szCs w:val="20"/>
                <w:color w:val="auto"/>
              </w:rPr>
            </w:pPr>
            <w:r>
              <w:rPr>
                <w:rFonts w:ascii="Arial" w:cs="Arial" w:eastAsia="Arial" w:hAnsi="Arial"/>
                <w:sz w:val="18"/>
                <w:szCs w:val="18"/>
                <w:b w:val="1"/>
                <w:bCs w:val="1"/>
                <w:color w:val="auto"/>
              </w:rPr>
              <w:t>MIBANCO</w:t>
            </w: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2360" w:type="dxa"/>
            <w:vAlign w:val="bottom"/>
            <w:gridSpan w:val="4"/>
          </w:tcPr>
          <w:p>
            <w:pPr>
              <w:jc w:val="right"/>
              <w:ind w:right="260"/>
              <w:spacing w:after="0"/>
              <w:rPr>
                <w:sz w:val="20"/>
                <w:szCs w:val="20"/>
                <w:color w:val="auto"/>
              </w:rPr>
            </w:pPr>
            <w:r>
              <w:rPr>
                <w:rFonts w:ascii="Arial" w:cs="Arial" w:eastAsia="Arial" w:hAnsi="Arial"/>
                <w:sz w:val="18"/>
                <w:szCs w:val="18"/>
                <w:b w:val="1"/>
                <w:bCs w:val="1"/>
                <w:color w:val="auto"/>
              </w:rPr>
              <w:t>(In S/ thousands, IFRS )</w:t>
            </w: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Quarter</w:t>
            </w: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gridSpan w:val="3"/>
          </w:tcPr>
          <w:p>
            <w:pPr>
              <w:ind w:left="640"/>
              <w:spacing w:after="0"/>
              <w:rPr>
                <w:sz w:val="20"/>
                <w:szCs w:val="20"/>
                <w:color w:val="auto"/>
              </w:rPr>
            </w:pPr>
            <w:r>
              <w:rPr>
                <w:rFonts w:ascii="Arial" w:cs="Arial" w:eastAsia="Arial" w:hAnsi="Arial"/>
                <w:sz w:val="18"/>
                <w:szCs w:val="18"/>
                <w:b w:val="1"/>
                <w:bCs w:val="1"/>
                <w:color w:val="auto"/>
                <w:w w:val="93"/>
              </w:rPr>
              <w:t>Change</w:t>
            </w: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Year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4Q14</w:t>
            </w:r>
          </w:p>
        </w:tc>
        <w:tc>
          <w:tcPr>
            <w:tcW w:w="11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3Q15</w:t>
            </w:r>
          </w:p>
        </w:tc>
        <w:tc>
          <w:tcPr>
            <w:tcW w:w="12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4Q15</w:t>
            </w:r>
          </w:p>
        </w:tc>
        <w:tc>
          <w:tcPr>
            <w:tcW w:w="1280" w:type="dxa"/>
            <w:vAlign w:val="bottom"/>
            <w:gridSpan w:val="3"/>
          </w:tcPr>
          <w:p>
            <w:pPr>
              <w:ind w:left="200"/>
              <w:spacing w:after="0"/>
              <w:rPr>
                <w:sz w:val="20"/>
                <w:szCs w:val="20"/>
                <w:color w:val="auto"/>
              </w:rPr>
            </w:pPr>
            <w:r>
              <w:rPr>
                <w:rFonts w:ascii="Arial" w:cs="Arial" w:eastAsia="Arial" w:hAnsi="Arial"/>
                <w:sz w:val="18"/>
                <w:szCs w:val="18"/>
                <w:b w:val="1"/>
                <w:bCs w:val="1"/>
                <w:color w:val="auto"/>
              </w:rPr>
              <w:t>QoQ</w:t>
            </w:r>
          </w:p>
        </w:tc>
        <w:tc>
          <w:tcPr>
            <w:tcW w:w="9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YoY</w:t>
            </w:r>
          </w:p>
        </w:tc>
        <w:tc>
          <w:tcPr>
            <w:tcW w:w="9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2015</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Borders>
              <w:top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b w:val="1"/>
                <w:bCs w:val="1"/>
                <w:color w:val="auto"/>
                <w:w w:val="94"/>
              </w:rPr>
              <w:t>ASSETS</w:t>
            </w: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920" w:type="dxa"/>
            <w:vAlign w:val="bottom"/>
          </w:tcPr>
          <w:p>
            <w:pPr>
              <w:jc w:val="right"/>
              <w:spacing w:after="0"/>
              <w:rPr>
                <w:sz w:val="20"/>
                <w:szCs w:val="20"/>
                <w:color w:val="auto"/>
              </w:rPr>
            </w:pPr>
            <w:r>
              <w:rPr>
                <w:rFonts w:ascii="Arial" w:cs="Arial" w:eastAsia="Arial" w:hAnsi="Arial"/>
                <w:sz w:val="18"/>
                <w:szCs w:val="18"/>
                <w:color w:val="auto"/>
              </w:rPr>
              <w:t>1,446,506</w:t>
            </w:r>
          </w:p>
        </w:tc>
        <w:tc>
          <w:tcPr>
            <w:tcW w:w="26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1,436,739</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1,380,900</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-4.5%</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1,380,900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Investments available for sale and trading securities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1,304,469</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1,433,556</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1,584,886</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21.5%</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1,584,886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Arial" w:cs="Arial" w:eastAsia="Arial" w:hAnsi="Arial"/>
                <w:sz w:val="18"/>
                <w:szCs w:val="18"/>
                <w:color w:val="auto"/>
              </w:rPr>
              <w:t>Total loans</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7,630,980</w:t>
            </w:r>
          </w:p>
        </w:tc>
        <w:tc>
          <w:tcPr>
            <w:tcW w:w="26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7,648,927</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7,911,324</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3.4%</w:t>
            </w:r>
          </w:p>
        </w:tc>
        <w:tc>
          <w:tcPr>
            <w:tcW w:w="1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3.7%</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7,911,324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Current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7,029,978</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7,160,243</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7,451,706</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7,451,706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320"/>
              <w:spacing w:after="0"/>
              <w:rPr>
                <w:sz w:val="20"/>
                <w:szCs w:val="20"/>
                <w:color w:val="auto"/>
              </w:rPr>
            </w:pPr>
            <w:r>
              <w:rPr>
                <w:rFonts w:ascii="Arial" w:cs="Arial" w:eastAsia="Arial" w:hAnsi="Arial"/>
                <w:sz w:val="18"/>
                <w:szCs w:val="18"/>
                <w:color w:val="auto"/>
              </w:rPr>
              <w:t>Internal overdue loans</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428,227</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414,572</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376,221</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-9.3%</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-12.1%</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376,221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Refinanced</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86,628</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74,113</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83,397</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320"/>
              <w:spacing w:after="0"/>
              <w:rPr>
                <w:sz w:val="20"/>
                <w:szCs w:val="20"/>
                <w:color w:val="auto"/>
              </w:rPr>
            </w:pPr>
            <w:r>
              <w:rPr>
                <w:rFonts w:ascii="Arial" w:cs="Arial" w:eastAsia="Arial" w:hAnsi="Arial"/>
                <w:sz w:val="18"/>
                <w:szCs w:val="18"/>
                <w:color w:val="auto"/>
              </w:rPr>
              <w:t>Allowance for loan losses</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(817,295)</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(750,355)</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(729,325)</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-10.8%</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(729,325)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Net loans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6,813,685</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6,898,572</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7,181,999</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4.1%</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5.4%</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7,181,999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165,200</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236,752</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242,452</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46.8%</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242,452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688,432</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634,593</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664,593</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664,593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jc w:val="center"/>
              <w:ind w:right="30"/>
              <w:spacing w:after="0"/>
              <w:rPr>
                <w:sz w:val="20"/>
                <w:szCs w:val="20"/>
                <w:color w:val="auto"/>
              </w:rPr>
            </w:pPr>
            <w:r>
              <w:rPr>
                <w:rFonts w:ascii="Arial" w:cs="Arial" w:eastAsia="Arial" w:hAnsi="Arial"/>
                <w:sz w:val="18"/>
                <w:szCs w:val="18"/>
                <w:b w:val="1"/>
                <w:bCs w:val="1"/>
                <w:color w:val="auto"/>
                <w:w w:val="84"/>
              </w:rPr>
              <w:t>Total assets</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9"/>
              </w:rPr>
              <w:t>10,418,293</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9"/>
              </w:rPr>
              <w:t>10,640,212</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9"/>
              </w:rPr>
              <w:t>11,054,830</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3.9%</w:t>
            </w:r>
          </w:p>
        </w:tc>
        <w:tc>
          <w:tcPr>
            <w:tcW w:w="1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6.1%</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9"/>
              </w:rPr>
              <w:t>11,054,830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jc w:val="center"/>
              <w:ind w:right="30"/>
              <w:spacing w:after="0"/>
              <w:rPr>
                <w:sz w:val="20"/>
                <w:szCs w:val="20"/>
                <w:color w:val="auto"/>
              </w:rPr>
            </w:pPr>
            <w:r>
              <w:rPr>
                <w:rFonts w:ascii="Arial" w:cs="Arial" w:eastAsia="Arial" w:hAnsi="Arial"/>
                <w:sz w:val="18"/>
                <w:szCs w:val="18"/>
                <w:b w:val="1"/>
                <w:bCs w:val="1"/>
                <w:color w:val="auto"/>
              </w:rPr>
              <w:t>LIABILITIES AND NET SHAREHOLDERS' EQUITY</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Deposits and obligations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5,725,648</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5,388,253</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5,994,926</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5,994,926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Due to banks and correspondents</w:t>
            </w:r>
          </w:p>
        </w:tc>
        <w:tc>
          <w:tcPr>
            <w:tcW w:w="920" w:type="dxa"/>
            <w:vAlign w:val="bottom"/>
          </w:tcPr>
          <w:p>
            <w:pPr>
              <w:jc w:val="right"/>
              <w:spacing w:after="0"/>
              <w:rPr>
                <w:sz w:val="20"/>
                <w:szCs w:val="20"/>
                <w:color w:val="auto"/>
              </w:rPr>
            </w:pPr>
            <w:r>
              <w:rPr>
                <w:rFonts w:ascii="Arial" w:cs="Arial" w:eastAsia="Arial" w:hAnsi="Arial"/>
                <w:sz w:val="18"/>
                <w:szCs w:val="18"/>
                <w:color w:val="auto"/>
              </w:rPr>
              <w:t>2,518,729</w:t>
            </w:r>
          </w:p>
        </w:tc>
        <w:tc>
          <w:tcPr>
            <w:tcW w:w="26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2,884,839</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2,663,815</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-7.7%</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5.8%</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2,663,815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Bonds ans subordinated debt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767,396</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742,344</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733,033</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733,033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Other liabilities</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263,870</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334,375</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315,710</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-5.6%</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19.6%</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315,710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jc w:val="center"/>
              <w:ind w:right="50"/>
              <w:spacing w:after="0"/>
              <w:rPr>
                <w:sz w:val="20"/>
                <w:szCs w:val="20"/>
                <w:color w:val="auto"/>
              </w:rPr>
            </w:pPr>
            <w:r>
              <w:rPr>
                <w:rFonts w:ascii="Arial" w:cs="Arial" w:eastAsia="Arial" w:hAnsi="Arial"/>
                <w:sz w:val="18"/>
                <w:szCs w:val="18"/>
                <w:b w:val="1"/>
                <w:bCs w:val="1"/>
                <w:color w:val="auto"/>
                <w:w w:val="91"/>
              </w:rPr>
              <w:t>Total liabilities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9,275,642</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9,349,811</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9,707,483</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3.8%</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4.7%</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9,707,483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shareholders' equity</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1,142,650</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1,290,400</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1,347,347</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4.4%</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17.9%</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1,347,347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jc w:val="center"/>
              <w:ind w:right="30"/>
              <w:spacing w:after="0"/>
              <w:rPr>
                <w:sz w:val="20"/>
                <w:szCs w:val="20"/>
                <w:color w:val="auto"/>
              </w:rPr>
            </w:pPr>
            <w:r>
              <w:rPr>
                <w:rFonts w:ascii="Arial" w:cs="Arial" w:eastAsia="Arial" w:hAnsi="Arial"/>
                <w:sz w:val="18"/>
                <w:szCs w:val="18"/>
                <w:b w:val="1"/>
                <w:bCs w:val="1"/>
                <w:color w:val="auto"/>
                <w:w w:val="89"/>
              </w:rPr>
              <w:t>Total liabilities and net shareholders' equity</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9"/>
              </w:rPr>
              <w:t>10,418,293</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9"/>
              </w:rPr>
              <w:t>10,640,212</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9"/>
              </w:rPr>
              <w:t>11,054,830</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3.9%</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6.1%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9"/>
              </w:rPr>
              <w:t>11,054,830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Net financial income</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365,916</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369,794</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381,597</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4.3%</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1,464,236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loan losses, net of recoveries</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(107,321)</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(75,206)</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(84,420)</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-21.3%</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Non financial income</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16,361</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7,600</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7,981</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-51.2%</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46,683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(260,683)</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(205,566)</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(230,010)</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(879,028)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14,273</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96,622</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75,149</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-22.2%</w:t>
            </w:r>
          </w:p>
        </w:tc>
        <w:tc>
          <w:tcPr>
            <w:tcW w:w="1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426.5%</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294,011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Translation results</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(10,398)</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(257)</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815</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-417.3%</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-107.8%</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Income taxes</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(14,403)</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(21,972)</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(19,480)</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-11.3%</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35.2%</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(70,793)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(10,528)</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74,394</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56,484</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-24.1%</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636.5%</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221,621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L/D ratio</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133.3%</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142.0%</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132.0%</w:t>
            </w:r>
          </w:p>
        </w:tc>
        <w:tc>
          <w:tcPr>
            <w:tcW w:w="1280" w:type="dxa"/>
            <w:vAlign w:val="bottom"/>
            <w:gridSpan w:val="3"/>
          </w:tcPr>
          <w:p>
            <w:pPr>
              <w:jc w:val="right"/>
              <w:ind w:right="280"/>
              <w:spacing w:after="0"/>
              <w:rPr>
                <w:sz w:val="20"/>
                <w:szCs w:val="20"/>
                <w:color w:val="auto"/>
              </w:rPr>
            </w:pPr>
            <w:r>
              <w:rPr>
                <w:rFonts w:ascii="Arial" w:cs="Arial" w:eastAsia="Arial" w:hAnsi="Arial"/>
                <w:sz w:val="18"/>
                <w:szCs w:val="18"/>
                <w:color w:val="auto"/>
              </w:rPr>
              <w:t>-1000bps</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-130bps</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Internal overdue loans ratio</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5.61%</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5.42%</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4.76%</w:t>
            </w:r>
          </w:p>
        </w:tc>
        <w:tc>
          <w:tcPr>
            <w:tcW w:w="12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-60bps</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-80bps</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NPL ratio</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6.75%</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6.39%</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5.81%</w:t>
            </w:r>
          </w:p>
        </w:tc>
        <w:tc>
          <w:tcPr>
            <w:tcW w:w="1280" w:type="dxa"/>
            <w:vAlign w:val="bottom"/>
            <w:gridSpan w:val="3"/>
          </w:tcPr>
          <w:p>
            <w:pPr>
              <w:jc w:val="right"/>
              <w:ind w:right="280"/>
              <w:spacing w:after="0"/>
              <w:rPr>
                <w:sz w:val="20"/>
                <w:szCs w:val="20"/>
                <w:color w:val="auto"/>
              </w:rPr>
            </w:pPr>
            <w:r>
              <w:rPr>
                <w:rFonts w:ascii="Arial" w:cs="Arial" w:eastAsia="Arial" w:hAnsi="Arial"/>
                <w:sz w:val="18"/>
                <w:szCs w:val="18"/>
                <w:color w:val="auto"/>
              </w:rPr>
              <w:t>-60bps</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-90bps</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Coverage of Internal overdue loans</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190.9%</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181.0%</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193.9%</w:t>
            </w:r>
          </w:p>
        </w:tc>
        <w:tc>
          <w:tcPr>
            <w:tcW w:w="12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1290bps</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300bps</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Coverage of NPLs</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158.7%</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153.5%</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158.7%</w:t>
            </w:r>
          </w:p>
        </w:tc>
        <w:tc>
          <w:tcPr>
            <w:tcW w:w="1280" w:type="dxa"/>
            <w:vAlign w:val="bottom"/>
            <w:gridSpan w:val="3"/>
          </w:tcPr>
          <w:p>
            <w:pPr>
              <w:jc w:val="right"/>
              <w:ind w:right="280"/>
              <w:spacing w:after="0"/>
              <w:rPr>
                <w:sz w:val="20"/>
                <w:szCs w:val="20"/>
                <w:color w:val="auto"/>
              </w:rPr>
            </w:pPr>
            <w:r>
              <w:rPr>
                <w:rFonts w:ascii="Arial" w:cs="Arial" w:eastAsia="Arial" w:hAnsi="Arial"/>
                <w:sz w:val="18"/>
                <w:szCs w:val="18"/>
                <w:color w:val="auto"/>
              </w:rPr>
              <w:t>520bps</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0bps</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ROAE</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23.7%</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17.1%</w:t>
            </w:r>
          </w:p>
        </w:tc>
        <w:tc>
          <w:tcPr>
            <w:tcW w:w="12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-660bps</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2080bps</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ROAE inc, goodwill</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-3.3%</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21.3%</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15.5%</w:t>
            </w:r>
          </w:p>
        </w:tc>
        <w:tc>
          <w:tcPr>
            <w:tcW w:w="1280" w:type="dxa"/>
            <w:vAlign w:val="bottom"/>
            <w:gridSpan w:val="3"/>
          </w:tcPr>
          <w:p>
            <w:pPr>
              <w:jc w:val="right"/>
              <w:ind w:right="280"/>
              <w:spacing w:after="0"/>
              <w:rPr>
                <w:sz w:val="20"/>
                <w:szCs w:val="20"/>
                <w:color w:val="auto"/>
              </w:rPr>
            </w:pPr>
            <w:r>
              <w:rPr>
                <w:rFonts w:ascii="Arial" w:cs="Arial" w:eastAsia="Arial" w:hAnsi="Arial"/>
                <w:sz w:val="18"/>
                <w:szCs w:val="18"/>
                <w:color w:val="auto"/>
              </w:rPr>
              <w:t>-580bps</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1880bps</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Efficiency ratio</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60.5%</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54.1%</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56.2%</w:t>
            </w:r>
          </w:p>
        </w:tc>
        <w:tc>
          <w:tcPr>
            <w:tcW w:w="12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210bps</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-430bps</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20" w:type="dxa"/>
            <w:vAlign w:val="bottom"/>
          </w:tcPr>
          <w:p>
            <w:pPr>
              <w:spacing w:after="0" w:line="256" w:lineRule="exact"/>
              <w:rPr>
                <w:sz w:val="20"/>
                <w:szCs w:val="20"/>
                <w:color w:val="auto"/>
              </w:rPr>
            </w:pPr>
            <w:r>
              <w:rPr>
                <w:rFonts w:ascii="Arial" w:cs="Arial" w:eastAsia="Arial" w:hAnsi="Arial"/>
                <w:sz w:val="18"/>
                <w:szCs w:val="18"/>
                <w:color w:val="auto"/>
              </w:rPr>
              <w:t xml:space="preserve">Branches </w:t>
            </w:r>
            <w:r>
              <w:rPr>
                <w:rFonts w:ascii="Arial" w:cs="Arial" w:eastAsia="Arial" w:hAnsi="Arial"/>
                <w:sz w:val="29"/>
                <w:szCs w:val="29"/>
                <w:color w:val="auto"/>
                <w:vertAlign w:val="superscript"/>
              </w:rPr>
              <w:t>(1)</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288</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281</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285</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Employees</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9,302</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10,093</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10,164</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0.7%</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(1) Excluding branches of Banco de la Nación.</w:t>
            </w: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4"/>
        </w:trPr>
        <w:tc>
          <w:tcPr>
            <w:tcW w:w="20" w:type="dxa"/>
            <w:vAlign w:val="bottom"/>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11.3  BCP Bolivia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BCP BOLIVIA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S/. thousands, IFRS)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Quarter</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3"/>
          </w:tcPr>
          <w:p>
            <w:pPr>
              <w:ind w:left="680"/>
              <w:spacing w:after="0"/>
              <w:rPr>
                <w:sz w:val="20"/>
                <w:szCs w:val="20"/>
                <w:color w:val="auto"/>
              </w:rPr>
            </w:pPr>
            <w:r>
              <w:rPr>
                <w:rFonts w:ascii="Arial" w:cs="Arial" w:eastAsia="Arial" w:hAnsi="Arial"/>
                <w:sz w:val="14"/>
                <w:szCs w:val="14"/>
                <w:b w:val="1"/>
                <w:bCs w:val="1"/>
                <w:color w:val="auto"/>
                <w:w w:val="97"/>
              </w:rPr>
              <w:t>Change</w:t>
            </w: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3"/>
          </w:tcPr>
          <w:p>
            <w:pPr>
              <w:ind w:left="760"/>
              <w:spacing w:after="0"/>
              <w:rPr>
                <w:sz w:val="20"/>
                <w:szCs w:val="20"/>
                <w:color w:val="auto"/>
              </w:rPr>
            </w:pPr>
            <w:r>
              <w:rPr>
                <w:rFonts w:ascii="Arial" w:cs="Arial" w:eastAsia="Arial" w:hAnsi="Arial"/>
                <w:sz w:val="14"/>
                <w:szCs w:val="14"/>
                <w:b w:val="1"/>
                <w:bCs w:val="1"/>
                <w:color w:val="auto"/>
              </w:rPr>
              <w:t>Year</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4Q14</w:t>
            </w:r>
          </w:p>
        </w:tc>
        <w:tc>
          <w:tcPr>
            <w:tcW w:w="10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3Q15</w:t>
            </w:r>
          </w:p>
        </w:tc>
        <w:tc>
          <w:tcPr>
            <w:tcW w:w="10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4Q15</w:t>
            </w:r>
          </w:p>
        </w:tc>
        <w:tc>
          <w:tcPr>
            <w:tcW w:w="1200" w:type="dxa"/>
            <w:vAlign w:val="bottom"/>
            <w:gridSpan w:val="3"/>
          </w:tcPr>
          <w:p>
            <w:pPr>
              <w:ind w:left="260"/>
              <w:spacing w:after="0"/>
              <w:rPr>
                <w:sz w:val="20"/>
                <w:szCs w:val="20"/>
                <w:color w:val="auto"/>
              </w:rPr>
            </w:pPr>
            <w:r>
              <w:rPr>
                <w:rFonts w:ascii="Arial" w:cs="Arial" w:eastAsia="Arial" w:hAnsi="Arial"/>
                <w:sz w:val="14"/>
                <w:szCs w:val="14"/>
                <w:b w:val="1"/>
                <w:bCs w:val="1"/>
                <w:color w:val="auto"/>
              </w:rPr>
              <w:t>QoQ</w:t>
            </w:r>
          </w:p>
        </w:tc>
        <w:tc>
          <w:tcPr>
            <w:tcW w:w="8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YoY</w:t>
            </w:r>
          </w:p>
        </w:tc>
        <w:tc>
          <w:tcPr>
            <w:tcW w:w="800" w:type="dxa"/>
            <w:vAlign w:val="bottom"/>
          </w:tcPr>
          <w:p>
            <w:pPr>
              <w:jc w:val="right"/>
              <w:ind w:right="188"/>
              <w:spacing w:after="0"/>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188"/>
              <w:spacing w:after="0"/>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w w:val="97"/>
              </w:rPr>
              <w:t>2015 / 2014</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jc w:val="center"/>
              <w:ind w:right="68"/>
              <w:spacing w:after="0" w:line="149" w:lineRule="exact"/>
              <w:rPr>
                <w:sz w:val="20"/>
                <w:szCs w:val="20"/>
                <w:color w:val="auto"/>
              </w:rPr>
            </w:pPr>
            <w:r>
              <w:rPr>
                <w:rFonts w:ascii="Arial" w:cs="Arial" w:eastAsia="Arial" w:hAnsi="Arial"/>
                <w:sz w:val="14"/>
                <w:szCs w:val="14"/>
                <w:b w:val="1"/>
                <w:bCs w:val="1"/>
                <w:color w:val="auto"/>
                <w:w w:val="96"/>
              </w:rPr>
              <w:t>ASSETS</w:t>
            </w: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Cash and due from banks</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620,346</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1,064,084</w:t>
            </w:r>
          </w:p>
        </w:tc>
        <w:tc>
          <w:tcPr>
            <w:tcW w:w="24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1,427,300</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34.1%</w:t>
            </w:r>
          </w:p>
        </w:tc>
        <w:tc>
          <w:tcPr>
            <w:tcW w:w="16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130.1%</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620,346</w:t>
            </w: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1,427,300</w:t>
            </w:r>
          </w:p>
        </w:tc>
        <w:tc>
          <w:tcPr>
            <w:tcW w:w="200" w:type="dxa"/>
            <w:vAlign w:val="bottom"/>
          </w:tcPr>
          <w:p>
            <w:pPr>
              <w:spacing w:after="0"/>
              <w:rPr>
                <w:sz w:val="12"/>
                <w:szCs w:val="12"/>
                <w:color w:val="auto"/>
              </w:rPr>
            </w:pP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Investments available for sale and trading securities</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1,138,062</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1,068,896</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1,116,566</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4.5%</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1,138,062</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1,116,566</w:t>
            </w: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b w:val="1"/>
                <w:bCs w:val="1"/>
                <w:color w:val="auto"/>
              </w:rPr>
              <w:t>Total loans</w:t>
            </w: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3,525,271</w:t>
            </w:r>
          </w:p>
        </w:tc>
        <w:tc>
          <w:tcPr>
            <w:tcW w:w="2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4,282,821</w:t>
            </w:r>
          </w:p>
        </w:tc>
        <w:tc>
          <w:tcPr>
            <w:tcW w:w="24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4,731,859</w:t>
            </w: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10.5%</w:t>
            </w:r>
          </w:p>
        </w:tc>
        <w:tc>
          <w:tcPr>
            <w:tcW w:w="16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34.2%</w:t>
            </w: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3,525,271</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4,731,859</w:t>
            </w:r>
          </w:p>
        </w:tc>
        <w:tc>
          <w:tcPr>
            <w:tcW w:w="200" w:type="dxa"/>
            <w:vAlign w:val="bottom"/>
          </w:tcPr>
          <w:p>
            <w:pPr>
              <w:spacing w:after="0"/>
              <w:rPr>
                <w:sz w:val="12"/>
                <w:szCs w:val="12"/>
                <w:color w:val="auto"/>
              </w:rPr>
            </w:pP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34.2%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Current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3,455,947</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4,194,483</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4,636,610</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10.5%</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34.2%</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3,455,947</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4,636,610</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ind w:left="160"/>
              <w:spacing w:after="0" w:line="149" w:lineRule="exact"/>
              <w:rPr>
                <w:sz w:val="20"/>
                <w:szCs w:val="20"/>
                <w:color w:val="auto"/>
              </w:rPr>
            </w:pPr>
            <w:r>
              <w:rPr>
                <w:rFonts w:ascii="Arial" w:cs="Arial" w:eastAsia="Arial" w:hAnsi="Arial"/>
                <w:sz w:val="14"/>
                <w:szCs w:val="14"/>
                <w:color w:val="auto"/>
              </w:rPr>
              <w:t>Internal overdue loans</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48,442</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69,260</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74,066</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6.9%</w:t>
            </w:r>
          </w:p>
        </w:tc>
        <w:tc>
          <w:tcPr>
            <w:tcW w:w="16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52.9%</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48,442</w:t>
            </w:r>
          </w:p>
        </w:tc>
        <w:tc>
          <w:tcPr>
            <w:tcW w:w="14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74,066</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Refinanced</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20,882</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19,078</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21,182</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11.0%</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20,882</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21,182</w:t>
            </w: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ind w:left="160"/>
              <w:spacing w:after="0" w:line="149" w:lineRule="exact"/>
              <w:rPr>
                <w:sz w:val="20"/>
                <w:szCs w:val="20"/>
                <w:color w:val="auto"/>
              </w:rPr>
            </w:pPr>
            <w:r>
              <w:rPr>
                <w:rFonts w:ascii="Arial" w:cs="Arial" w:eastAsia="Arial" w:hAnsi="Arial"/>
                <w:sz w:val="14"/>
                <w:szCs w:val="14"/>
                <w:color w:val="auto"/>
              </w:rPr>
              <w:t>Allowance for loan losses</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-130,823</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-160,185</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-175,648</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9.7%</w:t>
            </w:r>
          </w:p>
        </w:tc>
        <w:tc>
          <w:tcPr>
            <w:tcW w:w="16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34.3%</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-130,823</w:t>
            </w:r>
          </w:p>
        </w:tc>
        <w:tc>
          <w:tcPr>
            <w:tcW w:w="14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-175,648</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loans</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3,394,448</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4,122,636</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4,556,211</w:t>
            </w: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10.5%</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34.2%</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3,394,448</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4,556,211</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Property, plant and equipment, net</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40,331</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39,160</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42,390</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8.2%</w:t>
            </w:r>
          </w:p>
        </w:tc>
        <w:tc>
          <w:tcPr>
            <w:tcW w:w="16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5.1%</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40,331</w:t>
            </w:r>
          </w:p>
        </w:tc>
        <w:tc>
          <w:tcPr>
            <w:tcW w:w="14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42,390</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assets</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52,686</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56,643</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103,113</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82.0%</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95.7%</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52,686</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103,113</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86"/>
              </w:rPr>
              <w:t>Total assets</w:t>
            </w: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5,245,873</w:t>
            </w:r>
          </w:p>
        </w:tc>
        <w:tc>
          <w:tcPr>
            <w:tcW w:w="2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6,351,419</w:t>
            </w:r>
          </w:p>
        </w:tc>
        <w:tc>
          <w:tcPr>
            <w:tcW w:w="24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7,245,579</w:t>
            </w: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14.1%</w:t>
            </w:r>
          </w:p>
        </w:tc>
        <w:tc>
          <w:tcPr>
            <w:tcW w:w="16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38.1%</w:t>
            </w: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5,245,873</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7,245,579</w:t>
            </w:r>
          </w:p>
        </w:tc>
        <w:tc>
          <w:tcPr>
            <w:tcW w:w="200" w:type="dxa"/>
            <w:vAlign w:val="bottom"/>
          </w:tcPr>
          <w:p>
            <w:pPr>
              <w:spacing w:after="0"/>
              <w:rPr>
                <w:sz w:val="12"/>
                <w:szCs w:val="12"/>
                <w:color w:val="auto"/>
              </w:rPr>
            </w:pP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38.1%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0.0%</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320" w:type="dxa"/>
            <w:vAlign w:val="bottom"/>
          </w:tcPr>
          <w:p>
            <w:pPr>
              <w:jc w:val="center"/>
              <w:ind w:right="68"/>
              <w:spacing w:after="0" w:line="126" w:lineRule="exact"/>
              <w:rPr>
                <w:sz w:val="20"/>
                <w:szCs w:val="20"/>
                <w:color w:val="auto"/>
              </w:rPr>
            </w:pPr>
            <w:r>
              <w:rPr>
                <w:rFonts w:ascii="Arial" w:cs="Arial" w:eastAsia="Arial" w:hAnsi="Arial"/>
                <w:sz w:val="14"/>
                <w:szCs w:val="14"/>
                <w:b w:val="1"/>
                <w:bCs w:val="1"/>
                <w:color w:val="auto"/>
              </w:rPr>
              <w:t>LIABILITIES AND NET SHAREHOLDERS</w:t>
            </w: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jc w:val="center"/>
              <w:ind w:right="68"/>
              <w:spacing w:after="0"/>
              <w:rPr>
                <w:sz w:val="20"/>
                <w:szCs w:val="20"/>
                <w:color w:val="auto"/>
              </w:rPr>
            </w:pPr>
            <w:r>
              <w:rPr>
                <w:rFonts w:ascii="Arial" w:cs="Arial" w:eastAsia="Arial" w:hAnsi="Arial"/>
                <w:sz w:val="14"/>
                <w:szCs w:val="14"/>
                <w:b w:val="1"/>
                <w:bCs w:val="1"/>
                <w:color w:val="auto"/>
              </w:rPr>
              <w:t>EQUITY</w:t>
            </w: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Deposits and obligations</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4,533,033</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5,540,968</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6,378,492</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15.1%</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40.7%</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4,533,033</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6,378,492</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Due to banks and correspondents</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30,118</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29,217</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1,994</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-93.2%</w:t>
            </w:r>
          </w:p>
        </w:tc>
        <w:tc>
          <w:tcPr>
            <w:tcW w:w="16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-93.4%</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30,118</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1,994</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Bonds ans subordinated debt</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31,069</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100,016</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106,399</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6.4%</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242.5%</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31,069</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106,399</w:t>
            </w: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242.5%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Other liabilities</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153,382</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150,104</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178,093</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18.6%</w:t>
            </w:r>
          </w:p>
        </w:tc>
        <w:tc>
          <w:tcPr>
            <w:tcW w:w="16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16.1%</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153,382</w:t>
            </w:r>
          </w:p>
        </w:tc>
        <w:tc>
          <w:tcPr>
            <w:tcW w:w="14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178,093</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jc w:val="center"/>
              <w:ind w:right="68"/>
              <w:spacing w:after="0" w:line="149" w:lineRule="exact"/>
              <w:rPr>
                <w:sz w:val="20"/>
                <w:szCs w:val="20"/>
                <w:color w:val="auto"/>
              </w:rPr>
            </w:pPr>
            <w:r>
              <w:rPr>
                <w:rFonts w:ascii="Arial" w:cs="Arial" w:eastAsia="Arial" w:hAnsi="Arial"/>
                <w:sz w:val="14"/>
                <w:szCs w:val="14"/>
                <w:b w:val="1"/>
                <w:bCs w:val="1"/>
                <w:color w:val="auto"/>
                <w:w w:val="92"/>
              </w:rPr>
              <w:t>Total liabilities</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4,747,602</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5,820,305</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6,664,977</w:t>
            </w: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14.5%</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40.4%</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4,747,602</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6,664,977</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Equity</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498,271</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531,114</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580,602</w:t>
            </w: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9.3%</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16.5%</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498,271</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580,602</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jc w:val="center"/>
              <w:ind w:right="68"/>
              <w:spacing w:after="0" w:line="149" w:lineRule="exact"/>
              <w:rPr>
                <w:sz w:val="20"/>
                <w:szCs w:val="20"/>
                <w:color w:val="auto"/>
              </w:rPr>
            </w:pPr>
            <w:r>
              <w:rPr>
                <w:rFonts w:ascii="Arial" w:cs="Arial" w:eastAsia="Arial" w:hAnsi="Arial"/>
                <w:sz w:val="14"/>
                <w:szCs w:val="14"/>
                <w:b w:val="1"/>
                <w:bCs w:val="1"/>
                <w:color w:val="auto"/>
                <w:w w:val="92"/>
              </w:rPr>
              <w:t>Total liabilities and net shareholders' equity</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5,245,873</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6,351,419</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7,245,579</w:t>
            </w: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14.1%</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38.1%</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5,245,873</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7,245,579</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38.1%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interest income</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55,454</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60,746</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67,240</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10.7%</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21.3%</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213,440</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241,572</w:t>
            </w: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Provision for loan losses, net of recoveries</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-8,935</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-10,339</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-7,865</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-23.9%</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-12.0%</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-22,092</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-32,069</w:t>
            </w: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45.2%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interest income after provisions</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46,519</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50,407</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59,374</w:t>
            </w: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17.8%</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27.6%</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191,348</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209,503</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Non financial income</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29,111</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30,181</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26,704</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-11.5%</w:t>
            </w:r>
          </w:p>
        </w:tc>
        <w:tc>
          <w:tcPr>
            <w:tcW w:w="16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-8.3%</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103,490</w:t>
            </w:r>
          </w:p>
        </w:tc>
        <w:tc>
          <w:tcPr>
            <w:tcW w:w="14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109,040</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expenses</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-52,123</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-56,573</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-65,740</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16.2%</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26.1%</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-194,613</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-234,811</w:t>
            </w: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Translation result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-138</w:t>
            </w:r>
          </w:p>
        </w:tc>
        <w:tc>
          <w:tcPr>
            <w:tcW w:w="2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-133</w:t>
            </w:r>
          </w:p>
        </w:tc>
        <w:tc>
          <w:tcPr>
            <w:tcW w:w="24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-82</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-38.3%</w:t>
            </w:r>
          </w:p>
        </w:tc>
        <w:tc>
          <w:tcPr>
            <w:tcW w:w="16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-40.6%</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-332</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-423</w:t>
            </w:r>
          </w:p>
        </w:tc>
        <w:tc>
          <w:tcPr>
            <w:tcW w:w="200" w:type="dxa"/>
            <w:vAlign w:val="bottom"/>
          </w:tcPr>
          <w:p>
            <w:pPr>
              <w:spacing w:after="0"/>
              <w:rPr>
                <w:sz w:val="12"/>
                <w:szCs w:val="12"/>
                <w:color w:val="auto"/>
              </w:rPr>
            </w:pP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taxes</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-8,460</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-7,548</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-5,292</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-29.9%</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-37.4%</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-31,859</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-25,925</w:t>
            </w: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14,908</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16,333</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14,963</w:t>
            </w: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-8.4%</w:t>
            </w:r>
          </w:p>
        </w:tc>
        <w:tc>
          <w:tcPr>
            <w:tcW w:w="16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0.4%</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68,034</w:t>
            </w:r>
          </w:p>
        </w:tc>
        <w:tc>
          <w:tcPr>
            <w:tcW w:w="14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57,384</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-15.7%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3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L/D ratio</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77.8%</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77.3%</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74.2%</w:t>
            </w:r>
          </w:p>
        </w:tc>
        <w:tc>
          <w:tcPr>
            <w:tcW w:w="120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-310 bps</w:t>
            </w: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-360 bps</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Internal overdue ratio</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1.37%</w:t>
            </w: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1.62%</w:t>
            </w: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1.57%</w:t>
            </w:r>
          </w:p>
        </w:tc>
        <w:tc>
          <w:tcPr>
            <w:tcW w:w="1200" w:type="dxa"/>
            <w:vAlign w:val="bottom"/>
            <w:gridSpan w:val="3"/>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-10 bps</w:t>
            </w: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+20 bps</w:t>
            </w: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NPL ratio</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1.97%</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2.06%</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2.01%</w:t>
            </w:r>
          </w:p>
        </w:tc>
        <w:tc>
          <w:tcPr>
            <w:tcW w:w="120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-5 bps</w:t>
            </w: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 bps</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Coverage of internal overdue loans</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270.1%</w:t>
            </w: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231.3%</w:t>
            </w: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237.1%</w:t>
            </w:r>
          </w:p>
        </w:tc>
        <w:tc>
          <w:tcPr>
            <w:tcW w:w="1200" w:type="dxa"/>
            <w:vAlign w:val="bottom"/>
            <w:gridSpan w:val="3"/>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-590 bps</w:t>
            </w: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9"/>
              </w:rPr>
              <w:t>-3290 bps</w:t>
            </w: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Coverage of NPLs</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188.7%</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181.3%</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184.4%</w:t>
            </w:r>
          </w:p>
        </w:tc>
        <w:tc>
          <w:tcPr>
            <w:tcW w:w="120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-310 bps</w:t>
            </w: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-430 bps</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Efficiency ratio</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61.7%</w:t>
            </w: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63.9%</w:t>
            </w: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64.6%</w:t>
            </w:r>
          </w:p>
        </w:tc>
        <w:tc>
          <w:tcPr>
            <w:tcW w:w="1200" w:type="dxa"/>
            <w:vAlign w:val="bottom"/>
            <w:gridSpan w:val="3"/>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-70 bps</w:t>
            </w: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+290 bps</w:t>
            </w: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ROAE</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12.5%</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12.5%</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10.8%</w:t>
            </w:r>
          </w:p>
        </w:tc>
        <w:tc>
          <w:tcPr>
            <w:tcW w:w="120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-180 bps</w:t>
            </w: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-170 bps</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Branches</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47</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w:t>
            </w: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Agentes</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60</w:t>
            </w:r>
          </w:p>
        </w:tc>
        <w:tc>
          <w:tcPr>
            <w:tcW w:w="2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51</w:t>
            </w:r>
          </w:p>
        </w:tc>
        <w:tc>
          <w:tcPr>
            <w:tcW w:w="24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50</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-9</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ATMs</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247</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257</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257</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w:t>
            </w: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20" w:type="dxa"/>
            <w:vAlign w:val="bottom"/>
          </w:tcPr>
          <w:p>
            <w:pPr>
              <w:spacing w:after="0"/>
              <w:rPr>
                <w:sz w:val="20"/>
                <w:szCs w:val="20"/>
                <w:color w:val="auto"/>
              </w:rPr>
            </w:pPr>
            <w:r>
              <w:rPr>
                <w:rFonts w:ascii="Arial" w:cs="Arial" w:eastAsia="Arial" w:hAnsi="Arial"/>
                <w:sz w:val="14"/>
                <w:szCs w:val="14"/>
                <w:color w:val="auto"/>
              </w:rPr>
              <w:t>Employees</w:t>
            </w:r>
          </w:p>
        </w:tc>
        <w:tc>
          <w:tcPr>
            <w:tcW w:w="800" w:type="dxa"/>
            <w:vAlign w:val="bottom"/>
          </w:tcPr>
          <w:p>
            <w:pPr>
              <w:jc w:val="right"/>
              <w:spacing w:after="0"/>
              <w:rPr>
                <w:sz w:val="20"/>
                <w:szCs w:val="20"/>
                <w:color w:val="auto"/>
              </w:rPr>
            </w:pPr>
            <w:r>
              <w:rPr>
                <w:rFonts w:ascii="Arial" w:cs="Arial" w:eastAsia="Arial" w:hAnsi="Arial"/>
                <w:sz w:val="14"/>
                <w:szCs w:val="14"/>
                <w:color w:val="auto"/>
              </w:rPr>
              <w:t>1662</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1702</w:t>
            </w:r>
          </w:p>
        </w:tc>
        <w:tc>
          <w:tcPr>
            <w:tcW w:w="24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1709</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+7</w:t>
            </w:r>
          </w:p>
        </w:tc>
        <w:tc>
          <w:tcPr>
            <w:tcW w:w="16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+47</w:t>
            </w: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34"/>
        </w:trPr>
        <w:tc>
          <w:tcPr>
            <w:tcW w:w="3220" w:type="dxa"/>
            <w:vAlign w:val="bottom"/>
            <w:gridSpan w:val="2"/>
          </w:tcPr>
          <w:p>
            <w:pPr>
              <w:spacing w:after="0"/>
              <w:rPr>
                <w:sz w:val="20"/>
                <w:szCs w:val="20"/>
                <w:color w:val="auto"/>
              </w:rPr>
            </w:pPr>
            <w:r>
              <w:rPr>
                <w:rFonts w:ascii="Arial" w:cs="Arial" w:eastAsia="Arial" w:hAnsi="Arial"/>
                <w:sz w:val="18"/>
                <w:szCs w:val="18"/>
                <w:b w:val="1"/>
                <w:bCs w:val="1"/>
                <w:color w:val="auto"/>
              </w:rPr>
              <w:t>11.4  Credicorp Capital</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27"/>
        </w:trPr>
        <w:tc>
          <w:tcPr>
            <w:tcW w:w="3220" w:type="dxa"/>
            <w:vAlign w:val="bottom"/>
            <w:gridSpan w:val="2"/>
          </w:tcPr>
          <w:p>
            <w:pPr>
              <w:spacing w:after="0"/>
              <w:rPr>
                <w:sz w:val="20"/>
                <w:szCs w:val="20"/>
                <w:color w:val="auto"/>
              </w:rPr>
            </w:pPr>
            <w:r>
              <w:rPr>
                <w:rFonts w:ascii="Arial" w:cs="Arial" w:eastAsia="Arial" w:hAnsi="Arial"/>
                <w:sz w:val="18"/>
                <w:szCs w:val="18"/>
                <w:b w:val="1"/>
                <w:bCs w:val="1"/>
                <w:color w:val="auto"/>
              </w:rPr>
              <w:t>Credicorp Capital</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Quarter</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60" w:type="dxa"/>
            <w:vAlign w:val="bottom"/>
            <w:gridSpan w:val="4"/>
          </w:tcPr>
          <w:p>
            <w:pPr>
              <w:jc w:val="right"/>
              <w:ind w:right="750"/>
              <w:spacing w:after="0"/>
              <w:rPr>
                <w:sz w:val="20"/>
                <w:szCs w:val="20"/>
                <w:color w:val="auto"/>
              </w:rPr>
            </w:pPr>
            <w:r>
              <w:rPr>
                <w:rFonts w:ascii="Arial" w:cs="Arial" w:eastAsia="Arial" w:hAnsi="Arial"/>
                <w:sz w:val="18"/>
                <w:szCs w:val="18"/>
                <w:b w:val="1"/>
                <w:bCs w:val="1"/>
                <w:color w:val="auto"/>
              </w:rPr>
              <w:t>% change</w:t>
            </w:r>
          </w:p>
        </w:tc>
        <w:tc>
          <w:tcPr>
            <w:tcW w:w="1100" w:type="dxa"/>
            <w:vAlign w:val="bottom"/>
            <w:gridSpan w:val="3"/>
          </w:tcPr>
          <w:p>
            <w:pPr>
              <w:ind w:left="720"/>
              <w:spacing w:after="0"/>
              <w:rPr>
                <w:sz w:val="20"/>
                <w:szCs w:val="20"/>
                <w:color w:val="auto"/>
              </w:rPr>
            </w:pPr>
            <w:r>
              <w:rPr>
                <w:rFonts w:ascii="Arial" w:cs="Arial" w:eastAsia="Arial" w:hAnsi="Arial"/>
                <w:sz w:val="18"/>
                <w:szCs w:val="18"/>
                <w:b w:val="1"/>
                <w:bCs w:val="1"/>
                <w:color w:val="auto"/>
                <w:w w:val="92"/>
              </w:rPr>
              <w:t>Year</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w w:val="92"/>
              </w:rPr>
              <w:t>% change</w:t>
            </w:r>
          </w:p>
        </w:tc>
      </w:tr>
      <w:tr>
        <w:trPr>
          <w:trHeight w:val="234"/>
        </w:trPr>
        <w:tc>
          <w:tcPr>
            <w:tcW w:w="3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10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4Q14</w:t>
            </w:r>
          </w:p>
        </w:tc>
        <w:tc>
          <w:tcPr>
            <w:tcW w:w="22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3Q15</w:t>
            </w:r>
          </w:p>
        </w:tc>
        <w:tc>
          <w:tcPr>
            <w:tcW w:w="22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4Q15</w:t>
            </w:r>
          </w:p>
        </w:tc>
        <w:tc>
          <w:tcPr>
            <w:tcW w:w="22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YoY</w:t>
            </w:r>
          </w:p>
        </w:tc>
        <w:tc>
          <w:tcPr>
            <w:tcW w:w="30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2014</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2015 / 2014</w:t>
            </w:r>
          </w:p>
        </w:tc>
        <w:tc>
          <w:tcPr>
            <w:tcW w:w="180" w:type="dxa"/>
            <w:vAlign w:val="bottom"/>
            <w:tcBorders>
              <w:bottom w:val="single" w:sz="8" w:color="CCEEFF"/>
            </w:tcBorders>
          </w:tcPr>
          <w:p>
            <w:pPr>
              <w:spacing w:after="0"/>
              <w:rPr>
                <w:sz w:val="20"/>
                <w:szCs w:val="20"/>
                <w:color w:val="auto"/>
              </w:rPr>
            </w:pPr>
          </w:p>
        </w:tc>
      </w:tr>
      <w:tr>
        <w:trPr>
          <w:trHeight w:val="210"/>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-23.7%</w:t>
            </w: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-131.3%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-153.4%</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Non-financial income</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136,547</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106,204</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121,358</w:t>
            </w: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14.3%</w:t>
            </w: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-11.1%</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479,388</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475,122</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-0.9%</w:t>
            </w:r>
          </w:p>
        </w:tc>
      </w:tr>
      <w:tr>
        <w:trPr>
          <w:trHeight w:val="257"/>
        </w:trPr>
        <w:tc>
          <w:tcPr>
            <w:tcW w:w="3220" w:type="dxa"/>
            <w:vAlign w:val="bottom"/>
            <w:gridSpan w:val="2"/>
            <w:shd w:val="clear" w:color="auto" w:fill="CCEEFF"/>
          </w:tcPr>
          <w:p>
            <w:pPr>
              <w:ind w:left="180"/>
              <w:spacing w:after="0" w:line="256" w:lineRule="exact"/>
              <w:rPr>
                <w:sz w:val="20"/>
                <w:szCs w:val="20"/>
                <w:color w:val="auto"/>
              </w:rPr>
            </w:pPr>
            <w:r>
              <w:rPr>
                <w:rFonts w:ascii="Arial" w:cs="Arial" w:eastAsia="Arial" w:hAnsi="Arial"/>
                <w:sz w:val="18"/>
                <w:szCs w:val="18"/>
                <w:color w:val="auto"/>
              </w:rPr>
              <w:t xml:space="preserve">Fee income </w:t>
            </w:r>
            <w:r>
              <w:rPr>
                <w:rFonts w:ascii="Arial" w:cs="Arial" w:eastAsia="Arial" w:hAnsi="Arial"/>
                <w:sz w:val="29"/>
                <w:szCs w:val="29"/>
                <w:color w:val="auto"/>
                <w:vertAlign w:val="superscript"/>
              </w:rPr>
              <w:t>(1)</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94,835</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80,722</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88,916</w:t>
            </w: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10.2%</w:t>
            </w: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-6.2%</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330,518</w:t>
            </w:r>
          </w:p>
        </w:tc>
        <w:tc>
          <w:tcPr>
            <w:tcW w:w="1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340,283</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02"/>
        </w:trPr>
        <w:tc>
          <w:tcPr>
            <w:tcW w:w="322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Net gain on foreign exchange</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0"/>
        </w:trPr>
        <w:tc>
          <w:tcPr>
            <w:tcW w:w="3220" w:type="dxa"/>
            <w:vAlign w:val="bottom"/>
            <w:gridSpan w:val="2"/>
          </w:tcPr>
          <w:p>
            <w:pPr>
              <w:ind w:left="180"/>
              <w:spacing w:after="0"/>
              <w:rPr>
                <w:sz w:val="20"/>
                <w:szCs w:val="20"/>
                <w:color w:val="auto"/>
              </w:rPr>
            </w:pPr>
            <w:r>
              <w:rPr>
                <w:rFonts w:ascii="Arial" w:cs="Arial" w:eastAsia="Arial" w:hAnsi="Arial"/>
                <w:sz w:val="18"/>
                <w:szCs w:val="18"/>
                <w:color w:val="auto"/>
              </w:rPr>
              <w:t>transactions</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13,490</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9,868</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6,418</w:t>
            </w: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-35.0%</w:t>
            </w: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-52.4%</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30,991</w:t>
            </w:r>
          </w:p>
        </w:tc>
        <w:tc>
          <w:tcPr>
            <w:tcW w:w="10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30,089</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32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gain on sales of securities</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25,667</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14,497</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20,317</w:t>
            </w: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40.1%</w:t>
            </w: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-20.8%</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105,799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91,831</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16"/>
        </w:trPr>
        <w:tc>
          <w:tcPr>
            <w:tcW w:w="3220" w:type="dxa"/>
            <w:vAlign w:val="bottom"/>
            <w:gridSpan w:val="2"/>
          </w:tcPr>
          <w:p>
            <w:pPr>
              <w:ind w:left="180"/>
              <w:spacing w:after="0"/>
              <w:rPr>
                <w:sz w:val="20"/>
                <w:szCs w:val="20"/>
                <w:color w:val="auto"/>
              </w:rPr>
            </w:pPr>
            <w:r>
              <w:rPr>
                <w:rFonts w:ascii="Arial" w:cs="Arial" w:eastAsia="Arial" w:hAnsi="Arial"/>
                <w:sz w:val="18"/>
                <w:szCs w:val="18"/>
                <w:color w:val="auto"/>
              </w:rPr>
              <w:t>Other income</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2,555</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1,117</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5,707</w:t>
            </w: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410.9%</w:t>
            </w: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123.4%</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12,079</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12,919</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6.9%</w:t>
            </w:r>
          </w:p>
        </w:tc>
      </w:tr>
      <w:tr>
        <w:trPr>
          <w:trHeight w:val="270"/>
        </w:trPr>
        <w:tc>
          <w:tcPr>
            <w:tcW w:w="3220" w:type="dxa"/>
            <w:vAlign w:val="bottom"/>
            <w:gridSpan w:val="2"/>
            <w:shd w:val="clear" w:color="auto" w:fill="CCEEFF"/>
          </w:tcPr>
          <w:p>
            <w:pPr>
              <w:spacing w:after="0" w:line="269" w:lineRule="exact"/>
              <w:rPr>
                <w:sz w:val="20"/>
                <w:szCs w:val="20"/>
                <w:color w:val="auto"/>
              </w:rPr>
            </w:pPr>
            <w:r>
              <w:rPr>
                <w:rFonts w:ascii="Arial" w:cs="Arial" w:eastAsia="Arial" w:hAnsi="Arial"/>
                <w:sz w:val="18"/>
                <w:szCs w:val="18"/>
                <w:color w:val="auto"/>
              </w:rPr>
              <w:t xml:space="preserve">Operating expenses </w:t>
            </w:r>
            <w:r>
              <w:rPr>
                <w:rFonts w:ascii="Arial" w:cs="Arial" w:eastAsia="Arial" w:hAnsi="Arial"/>
                <w:sz w:val="30"/>
                <w:szCs w:val="30"/>
                <w:color w:val="auto"/>
                <w:vertAlign w:val="superscript"/>
              </w:rPr>
              <w:t>(2)</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-205,547</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-85,946</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-182,145</w:t>
            </w: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111.9%</w:t>
            </w: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-11.4%</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-478,697</w:t>
            </w:r>
          </w:p>
        </w:tc>
        <w:tc>
          <w:tcPr>
            <w:tcW w:w="1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-463,749</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10"/>
        </w:trPr>
        <w:tc>
          <w:tcPr>
            <w:tcW w:w="32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-70,921</w:t>
            </w:r>
          </w:p>
        </w:tc>
        <w:tc>
          <w:tcPr>
            <w:tcW w:w="22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21,046</w:t>
            </w:r>
          </w:p>
        </w:tc>
        <w:tc>
          <w:tcPr>
            <w:tcW w:w="22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-60,186</w:t>
            </w:r>
          </w:p>
        </w:tc>
        <w:tc>
          <w:tcPr>
            <w:tcW w:w="22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-386.0</w:t>
            </w:r>
          </w:p>
        </w:tc>
        <w:tc>
          <w:tcPr>
            <w:tcW w:w="30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-15.1</w:t>
            </w:r>
          </w:p>
        </w:tc>
        <w:tc>
          <w:tcPr>
            <w:tcW w:w="30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3,147</w:t>
            </w: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10,060</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219.7</w:t>
            </w:r>
          </w:p>
        </w:tc>
        <w:tc>
          <w:tcPr>
            <w:tcW w:w="1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w w:val="99"/>
              </w:rPr>
              <w:t>%</w:t>
            </w:r>
          </w:p>
        </w:tc>
      </w:tr>
      <w:tr>
        <w:trPr>
          <w:trHeight w:val="210"/>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-7,105</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-6,379</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-4,678</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-26.7%</w:t>
            </w: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-34.2%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-25,055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Translation results</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5,537</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-734</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4,096</w:t>
            </w: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-658.0%</w:t>
            </w: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-26.0%</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8,171</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12,041</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47.4%</w:t>
            </w:r>
          </w:p>
        </w:tc>
      </w:tr>
      <w:tr>
        <w:trPr>
          <w:trHeight w:val="270"/>
        </w:trPr>
        <w:tc>
          <w:tcPr>
            <w:tcW w:w="3220" w:type="dxa"/>
            <w:vAlign w:val="bottom"/>
            <w:gridSpan w:val="2"/>
            <w:shd w:val="clear" w:color="auto" w:fill="CCEEFF"/>
          </w:tcPr>
          <w:p>
            <w:pPr>
              <w:spacing w:after="0" w:line="269" w:lineRule="exact"/>
              <w:rPr>
                <w:sz w:val="20"/>
                <w:szCs w:val="20"/>
                <w:color w:val="auto"/>
              </w:rPr>
            </w:pPr>
            <w:r>
              <w:rPr>
                <w:rFonts w:ascii="Arial" w:cs="Arial" w:eastAsia="Arial" w:hAnsi="Arial"/>
                <w:sz w:val="18"/>
                <w:szCs w:val="18"/>
                <w:color w:val="auto"/>
              </w:rPr>
              <w:t xml:space="preserve">Non-controlling interest </w:t>
            </w:r>
            <w:r>
              <w:rPr>
                <w:rFonts w:ascii="Arial" w:cs="Arial" w:eastAsia="Arial" w:hAnsi="Arial"/>
                <w:sz w:val="30"/>
                <w:szCs w:val="30"/>
                <w:color w:val="auto"/>
                <w:vertAlign w:val="superscript"/>
              </w:rPr>
              <w:t>(3)</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18,748</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-2,490</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15,812</w:t>
            </w: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-735.0%</w:t>
            </w: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-15.7%</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4,053</w:t>
            </w:r>
          </w:p>
        </w:tc>
        <w:tc>
          <w:tcPr>
            <w:tcW w:w="1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6,158</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51.9%</w:t>
            </w:r>
          </w:p>
        </w:tc>
      </w:tr>
      <w:tr>
        <w:trPr>
          <w:trHeight w:val="210"/>
        </w:trPr>
        <w:tc>
          <w:tcPr>
            <w:tcW w:w="322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-53,741</w:t>
            </w:r>
          </w:p>
        </w:tc>
        <w:tc>
          <w:tcPr>
            <w:tcW w:w="22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11,443</w:t>
            </w:r>
          </w:p>
        </w:tc>
        <w:tc>
          <w:tcPr>
            <w:tcW w:w="22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-44,956</w:t>
            </w:r>
          </w:p>
        </w:tc>
        <w:tc>
          <w:tcPr>
            <w:tcW w:w="22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-492.9</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-16.3</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-13,633</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3,205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123.5</w:t>
            </w:r>
          </w:p>
        </w:tc>
        <w:tc>
          <w:tcPr>
            <w:tcW w:w="180" w:type="dxa"/>
            <w:vAlign w:val="bottom"/>
          </w:tcPr>
          <w:p>
            <w:pPr>
              <w:spacing w:after="0"/>
              <w:rPr>
                <w:sz w:val="20"/>
                <w:szCs w:val="20"/>
                <w:color w:val="auto"/>
              </w:rPr>
            </w:pPr>
            <w:r>
              <w:rPr>
                <w:rFonts w:ascii="Arial" w:cs="Arial" w:eastAsia="Arial" w:hAnsi="Arial"/>
                <w:sz w:val="18"/>
                <w:szCs w:val="18"/>
                <w:color w:val="auto"/>
                <w:w w:val="99"/>
              </w:rPr>
              <w:t>%</w:t>
            </w:r>
          </w:p>
        </w:tc>
      </w:tr>
      <w:tr>
        <w:trPr>
          <w:trHeight w:val="210"/>
        </w:trPr>
        <w:tc>
          <w:tcPr>
            <w:tcW w:w="3220" w:type="dxa"/>
            <w:vAlign w:val="bottom"/>
            <w:gridSpan w:val="2"/>
          </w:tcPr>
          <w:p>
            <w:pPr>
              <w:spacing w:after="0"/>
              <w:rPr>
                <w:sz w:val="20"/>
                <w:szCs w:val="20"/>
                <w:color w:val="auto"/>
              </w:rPr>
            </w:pPr>
            <w:r>
              <w:rPr>
                <w:rFonts w:ascii="Arial" w:cs="Arial" w:eastAsia="Arial" w:hAnsi="Arial"/>
                <w:sz w:val="18"/>
                <w:szCs w:val="18"/>
                <w:color w:val="auto"/>
              </w:rPr>
              <w:t>Unaudited results.</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r>
    </w:tbl>
    <w:p>
      <w:pPr>
        <w:ind w:left="660" w:hanging="652"/>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4Q14 figures differ from those previously reported. The correct figures are published on this report.</w:t>
      </w:r>
    </w:p>
    <w:p>
      <w:pPr>
        <w:spacing w:after="0" w:line="8" w:lineRule="exact"/>
        <w:rPr>
          <w:rFonts w:ascii="Arial" w:cs="Arial" w:eastAsia="Arial" w:hAnsi="Arial"/>
          <w:sz w:val="18"/>
          <w:szCs w:val="18"/>
          <w:color w:val="auto"/>
        </w:rPr>
      </w:pPr>
    </w:p>
    <w:p>
      <w:pPr>
        <w:ind w:right="80" w:firstLine="8"/>
        <w:spacing w:after="0" w:line="250"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Includes: Salaries and employees benefits + Administrative expenses + Assigned expenses + Depreciation and amortization + Tax and contributions + Other expenses.</w:t>
      </w:r>
    </w:p>
    <w:p>
      <w:pPr>
        <w:ind w:left="660" w:hanging="652"/>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Percentage of Correval and IM Trust that is not owned by BCP Colombia and BCP Chile (49% and 39.4%, respectively).</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34"/>
        </w:trPr>
        <w:tc>
          <w:tcPr>
            <w:tcW w:w="3400" w:type="dxa"/>
            <w:vAlign w:val="bottom"/>
            <w:gridSpan w:val="3"/>
          </w:tcPr>
          <w:p>
            <w:pPr>
              <w:spacing w:after="0"/>
              <w:rPr>
                <w:sz w:val="20"/>
                <w:szCs w:val="20"/>
                <w:color w:val="auto"/>
              </w:rPr>
            </w:pPr>
            <w:r>
              <w:rPr>
                <w:rFonts w:ascii="Arial" w:cs="Arial" w:eastAsia="Arial" w:hAnsi="Arial"/>
                <w:sz w:val="18"/>
                <w:szCs w:val="18"/>
                <w:b w:val="1"/>
                <w:bCs w:val="1"/>
                <w:color w:val="auto"/>
              </w:rPr>
              <w:t>11.5  Atlantic Security Bank</w:t>
            </w: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3400" w:type="dxa"/>
            <w:vAlign w:val="bottom"/>
            <w:gridSpan w:val="3"/>
          </w:tcPr>
          <w:p>
            <w:pPr>
              <w:ind w:left="580"/>
              <w:spacing w:after="0"/>
              <w:rPr>
                <w:sz w:val="20"/>
                <w:szCs w:val="20"/>
                <w:color w:val="auto"/>
              </w:rPr>
            </w:pPr>
            <w:r>
              <w:rPr>
                <w:rFonts w:ascii="Arial" w:cs="Arial" w:eastAsia="Arial" w:hAnsi="Arial"/>
                <w:sz w:val="18"/>
                <w:szCs w:val="18"/>
                <w:b w:val="1"/>
                <w:bCs w:val="1"/>
                <w:color w:val="auto"/>
              </w:rPr>
              <w:t>ASB</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gridSpan w:val="2"/>
          </w:tcPr>
          <w:p>
            <w:pPr>
              <w:ind w:left="40"/>
              <w:spacing w:after="0"/>
              <w:rPr>
                <w:sz w:val="20"/>
                <w:szCs w:val="20"/>
                <w:color w:val="auto"/>
              </w:rPr>
            </w:pPr>
            <w:r>
              <w:rPr>
                <w:rFonts w:ascii="Arial" w:cs="Arial" w:eastAsia="Arial" w:hAnsi="Arial"/>
                <w:sz w:val="18"/>
                <w:szCs w:val="18"/>
                <w:b w:val="1"/>
                <w:bCs w:val="1"/>
                <w:color w:val="auto"/>
              </w:rPr>
              <w:t>Quarter</w:t>
            </w: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 change</w:t>
            </w:r>
          </w:p>
        </w:tc>
        <w:tc>
          <w:tcPr>
            <w:tcW w:w="1000" w:type="dxa"/>
            <w:vAlign w:val="bottom"/>
            <w:gridSpan w:val="3"/>
          </w:tcPr>
          <w:p>
            <w:pPr>
              <w:ind w:left="600"/>
              <w:spacing w:after="0"/>
              <w:rPr>
                <w:sz w:val="20"/>
                <w:szCs w:val="20"/>
                <w:color w:val="auto"/>
              </w:rPr>
            </w:pPr>
            <w:r>
              <w:rPr>
                <w:rFonts w:ascii="Arial" w:cs="Arial" w:eastAsia="Arial" w:hAnsi="Arial"/>
                <w:sz w:val="18"/>
                <w:szCs w:val="18"/>
                <w:b w:val="1"/>
                <w:bCs w:val="1"/>
                <w:color w:val="auto"/>
                <w:w w:val="97"/>
              </w:rPr>
              <w:t>Year</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w w:val="92"/>
              </w:rPr>
              <w:t>% change</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2720" w:type="dxa"/>
            <w:vAlign w:val="bottom"/>
          </w:tcPr>
          <w:p>
            <w:pPr>
              <w:spacing w:after="0"/>
              <w:rPr>
                <w:sz w:val="20"/>
                <w:szCs w:val="20"/>
                <w:color w:val="auto"/>
              </w:rPr>
            </w:pPr>
            <w:r>
              <w:rPr>
                <w:rFonts w:ascii="Arial" w:cs="Arial" w:eastAsia="Arial" w:hAnsi="Arial"/>
                <w:sz w:val="18"/>
                <w:szCs w:val="18"/>
                <w:b w:val="1"/>
                <w:bCs w:val="1"/>
                <w:color w:val="auto"/>
              </w:rPr>
              <w:t>US$ Millions</w:t>
            </w:r>
          </w:p>
        </w:tc>
        <w:tc>
          <w:tcPr>
            <w:tcW w:w="100" w:type="dxa"/>
            <w:vAlign w:val="bottom"/>
          </w:tcPr>
          <w:p>
            <w:pPr>
              <w:spacing w:after="0"/>
              <w:rPr>
                <w:sz w:val="20"/>
                <w:szCs w:val="20"/>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b w:val="1"/>
                <w:bCs w:val="1"/>
                <w:color w:val="auto"/>
              </w:rPr>
              <w:t>4Q14</w:t>
            </w:r>
          </w:p>
        </w:tc>
        <w:tc>
          <w:tcPr>
            <w:tcW w:w="180" w:type="dxa"/>
            <w:vAlign w:val="bottom"/>
          </w:tcPr>
          <w:p>
            <w:pPr>
              <w:spacing w:after="0"/>
              <w:rPr>
                <w:sz w:val="20"/>
                <w:szCs w:val="20"/>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b w:val="1"/>
                <w:bCs w:val="1"/>
                <w:color w:val="auto"/>
              </w:rPr>
              <w:t>3Q15</w:t>
            </w:r>
          </w:p>
        </w:tc>
        <w:tc>
          <w:tcPr>
            <w:tcW w:w="180" w:type="dxa"/>
            <w:vAlign w:val="bottom"/>
          </w:tcPr>
          <w:p>
            <w:pPr>
              <w:spacing w:after="0"/>
              <w:rPr>
                <w:sz w:val="20"/>
                <w:szCs w:val="20"/>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b w:val="1"/>
                <w:bCs w:val="1"/>
                <w:color w:val="auto"/>
              </w:rPr>
              <w:t>4Q15</w:t>
            </w:r>
          </w:p>
        </w:tc>
        <w:tc>
          <w:tcPr>
            <w:tcW w:w="200" w:type="dxa"/>
            <w:vAlign w:val="bottom"/>
          </w:tcPr>
          <w:p>
            <w:pPr>
              <w:spacing w:after="0"/>
              <w:rPr>
                <w:sz w:val="20"/>
                <w:szCs w:val="20"/>
                <w:color w:val="auto"/>
              </w:rPr>
            </w:pPr>
          </w:p>
        </w:tc>
        <w:tc>
          <w:tcPr>
            <w:tcW w:w="680" w:type="dxa"/>
            <w:vAlign w:val="bottom"/>
          </w:tcPr>
          <w:p>
            <w:pPr>
              <w:jc w:val="right"/>
              <w:ind w:right="70"/>
              <w:spacing w:after="0"/>
              <w:rPr>
                <w:sz w:val="20"/>
                <w:szCs w:val="20"/>
                <w:color w:val="auto"/>
              </w:rPr>
            </w:pPr>
            <w:r>
              <w:rPr>
                <w:rFonts w:ascii="Arial" w:cs="Arial" w:eastAsia="Arial" w:hAnsi="Arial"/>
                <w:sz w:val="18"/>
                <w:szCs w:val="18"/>
                <w:b w:val="1"/>
                <w:bCs w:val="1"/>
                <w:color w:val="auto"/>
              </w:rPr>
              <w:t>QoQ</w:t>
            </w:r>
          </w:p>
        </w:tc>
        <w:tc>
          <w:tcPr>
            <w:tcW w:w="280" w:type="dxa"/>
            <w:vAlign w:val="bottom"/>
          </w:tcPr>
          <w:p>
            <w:pPr>
              <w:spacing w:after="0"/>
              <w:rPr>
                <w:sz w:val="20"/>
                <w:szCs w:val="20"/>
                <w:color w:val="auto"/>
              </w:rPr>
            </w:pPr>
          </w:p>
        </w:tc>
        <w:tc>
          <w:tcPr>
            <w:tcW w:w="700" w:type="dxa"/>
            <w:vAlign w:val="bottom"/>
          </w:tcPr>
          <w:p>
            <w:pPr>
              <w:jc w:val="right"/>
              <w:ind w:right="90"/>
              <w:spacing w:after="0"/>
              <w:rPr>
                <w:sz w:val="20"/>
                <w:szCs w:val="20"/>
                <w:color w:val="auto"/>
              </w:rPr>
            </w:pPr>
            <w:r>
              <w:rPr>
                <w:rFonts w:ascii="Arial" w:cs="Arial" w:eastAsia="Arial" w:hAnsi="Arial"/>
                <w:sz w:val="18"/>
                <w:szCs w:val="18"/>
                <w:b w:val="1"/>
                <w:bCs w:val="1"/>
                <w:color w:val="auto"/>
              </w:rPr>
              <w:t>YoY</w:t>
            </w:r>
          </w:p>
        </w:tc>
        <w:tc>
          <w:tcPr>
            <w:tcW w:w="300" w:type="dxa"/>
            <w:vAlign w:val="bottom"/>
          </w:tcPr>
          <w:p>
            <w:pPr>
              <w:spacing w:after="0"/>
              <w:rPr>
                <w:sz w:val="20"/>
                <w:szCs w:val="20"/>
                <w:color w:val="auto"/>
              </w:rPr>
            </w:pPr>
          </w:p>
        </w:tc>
        <w:tc>
          <w:tcPr>
            <w:tcW w:w="700" w:type="dxa"/>
            <w:vAlign w:val="bottom"/>
          </w:tcPr>
          <w:p>
            <w:pPr>
              <w:jc w:val="right"/>
              <w:ind w:right="90"/>
              <w:spacing w:after="0"/>
              <w:rPr>
                <w:sz w:val="20"/>
                <w:szCs w:val="20"/>
                <w:color w:val="auto"/>
              </w:rPr>
            </w:pPr>
            <w:r>
              <w:rPr>
                <w:rFonts w:ascii="Arial" w:cs="Arial" w:eastAsia="Arial" w:hAnsi="Arial"/>
                <w:sz w:val="18"/>
                <w:szCs w:val="18"/>
                <w:b w:val="1"/>
                <w:bCs w:val="1"/>
                <w:color w:val="auto"/>
              </w:rPr>
              <w:t>2014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b w:val="1"/>
                <w:bCs w:val="1"/>
                <w:color w:val="auto"/>
                <w:w w:val="94"/>
              </w:rPr>
              <w:t>2015</w:t>
            </w:r>
          </w:p>
        </w:tc>
        <w:tc>
          <w:tcPr>
            <w:tcW w:w="124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auto"/>
              </w:rPr>
              <w:t>2015 / 2014</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7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Total loans</w:t>
            </w:r>
          </w:p>
        </w:tc>
        <w:tc>
          <w:tcPr>
            <w:tcW w:w="100" w:type="dxa"/>
            <w:vAlign w:val="bottom"/>
            <w:vMerge w:val="continue"/>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844.1</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897.2</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916.5</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2.1%</w:t>
            </w:r>
          </w:p>
        </w:tc>
        <w:tc>
          <w:tcPr>
            <w:tcW w:w="10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8.6%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916.5</w:t>
            </w:r>
          </w:p>
        </w:tc>
        <w:tc>
          <w:tcPr>
            <w:tcW w:w="200" w:type="dxa"/>
            <w:vAlign w:val="bottom"/>
            <w:vMerge w:val="continue"/>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Total investments</w:t>
            </w:r>
          </w:p>
        </w:tc>
        <w:tc>
          <w:tcPr>
            <w:tcW w:w="700" w:type="dxa"/>
            <w:vAlign w:val="bottom"/>
          </w:tcPr>
          <w:p>
            <w:pPr>
              <w:jc w:val="right"/>
              <w:spacing w:after="0"/>
              <w:rPr>
                <w:sz w:val="20"/>
                <w:szCs w:val="20"/>
                <w:color w:val="auto"/>
              </w:rPr>
            </w:pPr>
            <w:r>
              <w:rPr>
                <w:rFonts w:ascii="Arial" w:cs="Arial" w:eastAsia="Arial" w:hAnsi="Arial"/>
                <w:sz w:val="18"/>
                <w:szCs w:val="18"/>
                <w:color w:val="auto"/>
              </w:rPr>
              <w:t>887.5</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873.7</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847.5</w:t>
            </w:r>
          </w:p>
        </w:tc>
        <w:tc>
          <w:tcPr>
            <w:tcW w:w="200" w:type="dxa"/>
            <w:vAlign w:val="bottom"/>
          </w:tcPr>
          <w:p>
            <w:pPr>
              <w:spacing w:after="0"/>
              <w:rPr>
                <w:sz w:val="18"/>
                <w:szCs w:val="18"/>
                <w:color w:val="auto"/>
              </w:rPr>
            </w:pPr>
          </w:p>
        </w:tc>
        <w:tc>
          <w:tcPr>
            <w:tcW w:w="960" w:type="dxa"/>
            <w:vAlign w:val="bottom"/>
            <w:gridSpan w:val="2"/>
          </w:tcPr>
          <w:p>
            <w:pPr>
              <w:jc w:val="right"/>
              <w:ind w:right="50"/>
              <w:spacing w:after="0"/>
              <w:rPr>
                <w:sz w:val="20"/>
                <w:szCs w:val="20"/>
                <w:color w:val="auto"/>
              </w:rPr>
            </w:pPr>
            <w:r>
              <w:rPr>
                <w:rFonts w:ascii="Arial" w:cs="Arial" w:eastAsia="Arial" w:hAnsi="Arial"/>
                <w:sz w:val="18"/>
                <w:szCs w:val="18"/>
                <w:color w:val="auto"/>
              </w:rPr>
              <w:t>-3.0%</w:t>
            </w:r>
          </w:p>
        </w:tc>
        <w:tc>
          <w:tcPr>
            <w:tcW w:w="1000" w:type="dxa"/>
            <w:vAlign w:val="bottom"/>
            <w:gridSpan w:val="2"/>
          </w:tcPr>
          <w:p>
            <w:pPr>
              <w:jc w:val="right"/>
              <w:ind w:right="70"/>
              <w:spacing w:after="0"/>
              <w:rPr>
                <w:sz w:val="20"/>
                <w:szCs w:val="20"/>
                <w:color w:val="auto"/>
              </w:rPr>
            </w:pPr>
            <w:r>
              <w:rPr>
                <w:rFonts w:ascii="Arial" w:cs="Arial" w:eastAsia="Arial" w:hAnsi="Arial"/>
                <w:sz w:val="18"/>
                <w:szCs w:val="18"/>
                <w:color w:val="auto"/>
              </w:rPr>
              <w:t>-4.5%</w:t>
            </w:r>
          </w:p>
        </w:tc>
        <w:tc>
          <w:tcPr>
            <w:tcW w:w="700" w:type="dxa"/>
            <w:vAlign w:val="bottom"/>
          </w:tcPr>
          <w:p>
            <w:pPr>
              <w:jc w:val="right"/>
              <w:spacing w:after="0"/>
              <w:rPr>
                <w:sz w:val="20"/>
                <w:szCs w:val="20"/>
                <w:color w:val="auto"/>
              </w:rPr>
            </w:pPr>
            <w:r>
              <w:rPr>
                <w:rFonts w:ascii="Arial" w:cs="Arial" w:eastAsia="Arial" w:hAnsi="Arial"/>
                <w:sz w:val="18"/>
                <w:szCs w:val="18"/>
                <w:color w:val="auto"/>
              </w:rPr>
              <w:t>887.5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847.5</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1,899.1</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1,997.2</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1,962.7</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-1.7%</w:t>
            </w:r>
          </w:p>
        </w:tc>
        <w:tc>
          <w:tcPr>
            <w:tcW w:w="10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1,962.7</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Total deposits</w:t>
            </w:r>
          </w:p>
        </w:tc>
        <w:tc>
          <w:tcPr>
            <w:tcW w:w="700" w:type="dxa"/>
            <w:vAlign w:val="bottom"/>
          </w:tcPr>
          <w:p>
            <w:pPr>
              <w:jc w:val="right"/>
              <w:spacing w:after="0"/>
              <w:rPr>
                <w:sz w:val="20"/>
                <w:szCs w:val="20"/>
                <w:color w:val="auto"/>
              </w:rPr>
            </w:pPr>
            <w:r>
              <w:rPr>
                <w:rFonts w:ascii="Arial" w:cs="Arial" w:eastAsia="Arial" w:hAnsi="Arial"/>
                <w:sz w:val="18"/>
                <w:szCs w:val="18"/>
                <w:color w:val="auto"/>
              </w:rPr>
              <w:t>1,612.7</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1,660.9</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1,567.3</w:t>
            </w:r>
          </w:p>
        </w:tc>
        <w:tc>
          <w:tcPr>
            <w:tcW w:w="200" w:type="dxa"/>
            <w:vAlign w:val="bottom"/>
          </w:tcPr>
          <w:p>
            <w:pPr>
              <w:spacing w:after="0"/>
              <w:rPr>
                <w:sz w:val="18"/>
                <w:szCs w:val="18"/>
                <w:color w:val="auto"/>
              </w:rPr>
            </w:pPr>
          </w:p>
        </w:tc>
        <w:tc>
          <w:tcPr>
            <w:tcW w:w="960" w:type="dxa"/>
            <w:vAlign w:val="bottom"/>
            <w:gridSpan w:val="2"/>
          </w:tcPr>
          <w:p>
            <w:pPr>
              <w:jc w:val="right"/>
              <w:ind w:right="50"/>
              <w:spacing w:after="0"/>
              <w:rPr>
                <w:sz w:val="20"/>
                <w:szCs w:val="20"/>
                <w:color w:val="auto"/>
              </w:rPr>
            </w:pPr>
            <w:r>
              <w:rPr>
                <w:rFonts w:ascii="Arial" w:cs="Arial" w:eastAsia="Arial" w:hAnsi="Arial"/>
                <w:sz w:val="18"/>
                <w:szCs w:val="18"/>
                <w:color w:val="auto"/>
              </w:rPr>
              <w:t>-5.6%</w:t>
            </w:r>
          </w:p>
        </w:tc>
        <w:tc>
          <w:tcPr>
            <w:tcW w:w="1000" w:type="dxa"/>
            <w:vAlign w:val="bottom"/>
            <w:gridSpan w:val="2"/>
          </w:tcPr>
          <w:p>
            <w:pPr>
              <w:jc w:val="right"/>
              <w:ind w:right="70"/>
              <w:spacing w:after="0"/>
              <w:rPr>
                <w:sz w:val="20"/>
                <w:szCs w:val="20"/>
                <w:color w:val="auto"/>
              </w:rPr>
            </w:pPr>
            <w:r>
              <w:rPr>
                <w:rFonts w:ascii="Arial" w:cs="Arial" w:eastAsia="Arial" w:hAnsi="Arial"/>
                <w:sz w:val="18"/>
                <w:szCs w:val="18"/>
                <w:color w:val="auto"/>
              </w:rPr>
              <w:t>-2.8%</w:t>
            </w:r>
          </w:p>
        </w:tc>
        <w:tc>
          <w:tcPr>
            <w:tcW w:w="700" w:type="dxa"/>
            <w:vAlign w:val="bottom"/>
          </w:tcPr>
          <w:p>
            <w:pPr>
              <w:jc w:val="right"/>
              <w:spacing w:after="0"/>
              <w:rPr>
                <w:sz w:val="20"/>
                <w:szCs w:val="20"/>
                <w:color w:val="auto"/>
              </w:rPr>
            </w:pPr>
            <w:r>
              <w:rPr>
                <w:rFonts w:ascii="Arial" w:cs="Arial" w:eastAsia="Arial" w:hAnsi="Arial"/>
                <w:sz w:val="18"/>
                <w:szCs w:val="18"/>
                <w:color w:val="auto"/>
              </w:rPr>
              <w:t>1,612.7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3"/>
              </w:rPr>
              <w:t>1,567.3</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shareholder's equity</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1.7%</w:t>
            </w:r>
          </w:p>
        </w:tc>
        <w:tc>
          <w:tcPr>
            <w:tcW w:w="10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w:t>
            </w:r>
          </w:p>
        </w:tc>
        <w:tc>
          <w:tcPr>
            <w:tcW w:w="18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18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w:t>
            </w:r>
          </w:p>
        </w:tc>
        <w:tc>
          <w:tcPr>
            <w:tcW w:w="20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-77.1</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-34.7</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56.6</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47.0</w:t>
            </w:r>
          </w:p>
        </w:tc>
        <w:tc>
          <w:tcPr>
            <w:tcW w:w="20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-17.0</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Interest earning assets</w:t>
            </w: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27"/>
        </w:trPr>
        <w:tc>
          <w:tcPr>
            <w:tcW w:w="1440" w:type="dxa"/>
            <w:vAlign w:val="bottom"/>
          </w:tcPr>
          <w:p>
            <w:pPr>
              <w:spacing w:after="0"/>
              <w:rPr>
                <w:sz w:val="24"/>
                <w:szCs w:val="24"/>
                <w:color w:val="auto"/>
              </w:rPr>
            </w:pPr>
          </w:p>
        </w:tc>
        <w:tc>
          <w:tcPr>
            <w:tcW w:w="3020" w:type="dxa"/>
            <w:vAlign w:val="bottom"/>
            <w:gridSpan w:val="2"/>
          </w:tcPr>
          <w:p>
            <w:pPr>
              <w:spacing w:after="0"/>
              <w:rPr>
                <w:sz w:val="20"/>
                <w:szCs w:val="20"/>
                <w:color w:val="auto"/>
              </w:rPr>
            </w:pPr>
            <w:r>
              <w:rPr>
                <w:rFonts w:ascii="Arial" w:cs="Arial" w:eastAsia="Arial" w:hAnsi="Arial"/>
                <w:sz w:val="18"/>
                <w:szCs w:val="18"/>
                <w:b w:val="1"/>
                <w:bCs w:val="1"/>
                <w:color w:val="auto"/>
              </w:rPr>
              <w:t>Interest earning assets *</w:t>
            </w: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2"/>
          </w:tcPr>
          <w:p>
            <w:pPr>
              <w:ind w:left="140"/>
              <w:spacing w:after="0"/>
              <w:rPr>
                <w:sz w:val="20"/>
                <w:szCs w:val="20"/>
                <w:color w:val="auto"/>
              </w:rPr>
            </w:pPr>
            <w:r>
              <w:rPr>
                <w:rFonts w:ascii="Arial" w:cs="Arial" w:eastAsia="Arial" w:hAnsi="Arial"/>
                <w:sz w:val="18"/>
                <w:szCs w:val="18"/>
                <w:b w:val="1"/>
                <w:bCs w:val="1"/>
                <w:color w:val="auto"/>
              </w:rPr>
              <w:t>Quarter</w:t>
            </w: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3"/>
          </w:tcPr>
          <w:p>
            <w:pPr>
              <w:ind w:left="660"/>
              <w:spacing w:after="0"/>
              <w:rPr>
                <w:sz w:val="20"/>
                <w:szCs w:val="20"/>
                <w:color w:val="auto"/>
              </w:rPr>
            </w:pPr>
            <w:r>
              <w:rPr>
                <w:rFonts w:ascii="Arial" w:cs="Arial" w:eastAsia="Arial" w:hAnsi="Arial"/>
                <w:sz w:val="18"/>
                <w:szCs w:val="18"/>
                <w:b w:val="1"/>
                <w:bCs w:val="1"/>
                <w:color w:val="auto"/>
                <w:w w:val="92"/>
              </w:rPr>
              <w:t>% change</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4"/>
        </w:trPr>
        <w:tc>
          <w:tcPr>
            <w:tcW w:w="1440" w:type="dxa"/>
            <w:vAlign w:val="bottom"/>
          </w:tcPr>
          <w:p>
            <w:pPr>
              <w:spacing w:after="0"/>
              <w:rPr>
                <w:sz w:val="20"/>
                <w:szCs w:val="20"/>
                <w:color w:val="auto"/>
              </w:rPr>
            </w:pPr>
          </w:p>
        </w:tc>
        <w:tc>
          <w:tcPr>
            <w:tcW w:w="2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US$ Millions</w:t>
            </w:r>
          </w:p>
        </w:tc>
        <w:tc>
          <w:tcPr>
            <w:tcW w:w="8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4Q14</w:t>
            </w:r>
          </w:p>
        </w:tc>
        <w:tc>
          <w:tcPr>
            <w:tcW w:w="18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3Q15</w:t>
            </w:r>
          </w:p>
        </w:tc>
        <w:tc>
          <w:tcPr>
            <w:tcW w:w="16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4Q15</w:t>
            </w:r>
          </w:p>
        </w:tc>
        <w:tc>
          <w:tcPr>
            <w:tcW w:w="16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QoQ</w:t>
            </w:r>
          </w:p>
        </w:tc>
        <w:tc>
          <w:tcPr>
            <w:tcW w:w="2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1"/>
              </w:rPr>
              <w:t>YoY</w:t>
            </w:r>
          </w:p>
        </w:tc>
        <w:tc>
          <w:tcPr>
            <w:tcW w:w="160" w:type="dxa"/>
            <w:vAlign w:val="bottom"/>
            <w:tcBorders>
              <w:bottom w:val="single" w:sz="8" w:color="CCEEFF"/>
            </w:tcBorders>
          </w:tcPr>
          <w:p>
            <w:pPr>
              <w:spacing w:after="0"/>
              <w:rPr>
                <w:sz w:val="20"/>
                <w:szCs w:val="20"/>
                <w:color w:val="auto"/>
              </w:rPr>
            </w:pPr>
          </w:p>
        </w:tc>
      </w:tr>
      <w:tr>
        <w:trPr>
          <w:trHeight w:val="210"/>
        </w:trPr>
        <w:tc>
          <w:tcPr>
            <w:tcW w:w="144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Due from banks</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ind w:left="640"/>
              <w:spacing w:after="0"/>
              <w:rPr>
                <w:sz w:val="20"/>
                <w:szCs w:val="20"/>
                <w:color w:val="auto"/>
              </w:rPr>
            </w:pPr>
            <w:r>
              <w:rPr>
                <w:rFonts w:ascii="Arial" w:cs="Arial" w:eastAsia="Arial" w:hAnsi="Arial"/>
                <w:sz w:val="18"/>
                <w:szCs w:val="18"/>
                <w:color w:val="auto"/>
                <w:w w:val="79"/>
              </w:rPr>
              <w:t>132</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6.5%</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w:t>
            </w:r>
          </w:p>
        </w:tc>
      </w:tr>
      <w:tr>
        <w:trPr>
          <w:trHeight w:val="216"/>
        </w:trPr>
        <w:tc>
          <w:tcPr>
            <w:tcW w:w="144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Total loans</w:t>
            </w:r>
          </w:p>
        </w:tc>
        <w:tc>
          <w:tcPr>
            <w:tcW w:w="1080" w:type="dxa"/>
            <w:vAlign w:val="bottom"/>
            <w:gridSpan w:val="2"/>
          </w:tcPr>
          <w:p>
            <w:pPr>
              <w:ind w:left="640"/>
              <w:spacing w:after="0"/>
              <w:rPr>
                <w:sz w:val="20"/>
                <w:szCs w:val="20"/>
                <w:color w:val="auto"/>
              </w:rPr>
            </w:pPr>
            <w:r>
              <w:rPr>
                <w:rFonts w:ascii="Arial" w:cs="Arial" w:eastAsia="Arial" w:hAnsi="Arial"/>
                <w:sz w:val="18"/>
                <w:szCs w:val="18"/>
                <w:color w:val="auto"/>
              </w:rPr>
              <w:t>844</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897</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916</w:t>
            </w:r>
          </w:p>
        </w:tc>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8.6%</w:t>
            </w:r>
          </w:p>
        </w:tc>
      </w:tr>
      <w:tr>
        <w:trPr>
          <w:trHeight w:val="230"/>
        </w:trPr>
        <w:tc>
          <w:tcPr>
            <w:tcW w:w="1440" w:type="dxa"/>
            <w:vAlign w:val="bottom"/>
          </w:tcPr>
          <w:p>
            <w:pPr>
              <w:spacing w:after="0"/>
              <w:rPr>
                <w:sz w:val="19"/>
                <w:szCs w:val="19"/>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w:t>
            </w:r>
          </w:p>
        </w:tc>
        <w:tc>
          <w:tcPr>
            <w:tcW w:w="10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779</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778</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755</w:t>
            </w:r>
          </w:p>
        </w:tc>
        <w:tc>
          <w:tcPr>
            <w:tcW w:w="11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2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10"/>
        </w:trPr>
        <w:tc>
          <w:tcPr>
            <w:tcW w:w="144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8"/>
                <w:szCs w:val="18"/>
                <w:b w:val="1"/>
                <w:bCs w:val="1"/>
                <w:color w:val="auto"/>
              </w:rPr>
              <w:t>Total interest earning assets</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1,755</w:t>
            </w:r>
          </w:p>
        </w:tc>
        <w:tc>
          <w:tcPr>
            <w:tcW w:w="18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1,832</w:t>
            </w:r>
          </w:p>
        </w:tc>
        <w:tc>
          <w:tcPr>
            <w:tcW w:w="16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1,839</w:t>
            </w:r>
          </w:p>
        </w:tc>
        <w:tc>
          <w:tcPr>
            <w:tcW w:w="16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0.4</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2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4.8</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87"/>
              </w:rPr>
              <w:t>%</w:t>
            </w:r>
          </w:p>
        </w:tc>
      </w:tr>
      <w:tr>
        <w:trPr>
          <w:trHeight w:val="20"/>
        </w:trPr>
        <w:tc>
          <w:tcPr>
            <w:tcW w:w="14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 Excludes investments in equities and mutual funds.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Liabilities</w:t>
      </w:r>
    </w:p>
    <w:p>
      <w:pPr>
        <w:spacing w:after="0" w:line="221" w:lineRule="exact"/>
        <w:rPr>
          <w:sz w:val="20"/>
          <w:szCs w:val="20"/>
          <w:color w:val="auto"/>
        </w:rPr>
      </w:pPr>
    </w:p>
    <w:tbl>
      <w:tblPr>
        <w:tblLayout w:type="fixed"/>
        <w:tblInd w:w="1440" w:type="dxa"/>
        <w:tblCellMar>
          <w:top w:w="0" w:type="dxa"/>
          <w:left w:w="0" w:type="dxa"/>
          <w:bottom w:w="0" w:type="dxa"/>
          <w:right w:w="0" w:type="dxa"/>
        </w:tblCellMar>
      </w:tblPr>
      <w:tr>
        <w:trPr>
          <w:trHeight w:val="230"/>
        </w:trPr>
        <w:tc>
          <w:tcPr>
            <w:tcW w:w="300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ind w:left="140"/>
              <w:spacing w:after="0"/>
              <w:rPr>
                <w:sz w:val="20"/>
                <w:szCs w:val="20"/>
                <w:color w:val="auto"/>
              </w:rPr>
            </w:pPr>
            <w:r>
              <w:rPr>
                <w:rFonts w:ascii="Arial" w:cs="Arial" w:eastAsia="Arial" w:hAnsi="Arial"/>
                <w:sz w:val="18"/>
                <w:szCs w:val="18"/>
                <w:b w:val="1"/>
                <w:bCs w:val="1"/>
                <w:color w:val="auto"/>
              </w:rPr>
              <w:t>Quarter</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3"/>
          </w:tcPr>
          <w:p>
            <w:pPr>
              <w:ind w:left="680"/>
              <w:spacing w:after="0"/>
              <w:rPr>
                <w:sz w:val="20"/>
                <w:szCs w:val="20"/>
                <w:color w:val="auto"/>
              </w:rPr>
            </w:pPr>
            <w:r>
              <w:rPr>
                <w:rFonts w:ascii="Arial" w:cs="Arial" w:eastAsia="Arial" w:hAnsi="Arial"/>
                <w:sz w:val="18"/>
                <w:szCs w:val="18"/>
                <w:b w:val="1"/>
                <w:bCs w:val="1"/>
                <w:color w:val="auto"/>
                <w:w w:val="90"/>
              </w:rPr>
              <w:t>% change</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4"/>
        </w:trPr>
        <w:tc>
          <w:tcPr>
            <w:tcW w:w="2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US$ Millions</w:t>
            </w:r>
          </w:p>
        </w:tc>
        <w:tc>
          <w:tcPr>
            <w:tcW w:w="8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4Q14</w:t>
            </w:r>
          </w:p>
        </w:tc>
        <w:tc>
          <w:tcPr>
            <w:tcW w:w="16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3Q15</w:t>
            </w:r>
          </w:p>
        </w:tc>
        <w:tc>
          <w:tcPr>
            <w:tcW w:w="16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4Q15</w:t>
            </w:r>
          </w:p>
        </w:tc>
        <w:tc>
          <w:tcPr>
            <w:tcW w:w="16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QoQ</w:t>
            </w:r>
          </w:p>
        </w:tc>
        <w:tc>
          <w:tcPr>
            <w:tcW w:w="2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6"/>
              </w:rPr>
              <w:t>YoY</w:t>
            </w:r>
          </w:p>
        </w:tc>
        <w:tc>
          <w:tcPr>
            <w:tcW w:w="160" w:type="dxa"/>
            <w:vAlign w:val="bottom"/>
            <w:tcBorders>
              <w:bottom w:val="single" w:sz="8" w:color="CCEEFF"/>
            </w:tcBorders>
          </w:tcPr>
          <w:p>
            <w:pPr>
              <w:spacing w:after="0"/>
              <w:rPr>
                <w:sz w:val="20"/>
                <w:szCs w:val="20"/>
                <w:color w:val="auto"/>
              </w:rPr>
            </w:pPr>
          </w:p>
        </w:tc>
      </w:tr>
      <w:tr>
        <w:trPr>
          <w:trHeight w:val="210"/>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Deposits</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-5.6%</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3000" w:type="dxa"/>
            <w:vAlign w:val="bottom"/>
            <w:gridSpan w:val="2"/>
          </w:tcPr>
          <w:p>
            <w:pPr>
              <w:spacing w:after="0"/>
              <w:rPr>
                <w:sz w:val="20"/>
                <w:szCs w:val="20"/>
                <w:color w:val="auto"/>
              </w:rPr>
            </w:pPr>
            <w:r>
              <w:rPr>
                <w:rFonts w:ascii="Arial" w:cs="Arial" w:eastAsia="Arial" w:hAnsi="Arial"/>
                <w:sz w:val="18"/>
                <w:szCs w:val="18"/>
                <w:color w:val="auto"/>
              </w:rPr>
              <w:t>Borrowed Funds</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51</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86</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168</w:t>
            </w:r>
          </w:p>
        </w:tc>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95.5%</w:t>
            </w:r>
          </w:p>
        </w:tc>
        <w:tc>
          <w:tcPr>
            <w:tcW w:w="2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229.6%</w:t>
            </w:r>
          </w:p>
        </w:tc>
      </w:tr>
      <w:tr>
        <w:trPr>
          <w:trHeight w:val="230"/>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c>
          <w:tcPr>
            <w:tcW w:w="11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-58.3%</w:t>
            </w:r>
          </w:p>
        </w:tc>
        <w:tc>
          <w:tcPr>
            <w:tcW w:w="2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w:t>
            </w:r>
          </w:p>
        </w:tc>
      </w:tr>
      <w:tr>
        <w:trPr>
          <w:trHeight w:val="210"/>
        </w:trPr>
        <w:tc>
          <w:tcPr>
            <w:tcW w:w="300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1,687</w:t>
            </w:r>
          </w:p>
        </w:tc>
        <w:tc>
          <w:tcPr>
            <w:tcW w:w="16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1,791</w:t>
            </w:r>
          </w:p>
        </w:tc>
        <w:tc>
          <w:tcPr>
            <w:tcW w:w="16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1,754</w:t>
            </w:r>
          </w:p>
        </w:tc>
        <w:tc>
          <w:tcPr>
            <w:tcW w:w="16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2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3.9</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87"/>
              </w:rPr>
              <w:t>%</w:t>
            </w:r>
          </w:p>
        </w:tc>
      </w:tr>
      <w:tr>
        <w:trPr>
          <w:trHeight w:val="20"/>
        </w:trPr>
        <w:tc>
          <w:tcPr>
            <w:tcW w:w="2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i w:val="1"/>
          <w:iCs w:val="1"/>
          <w:color w:val="auto"/>
        </w:rPr>
        <w:t>Assets under management and Deposits (US$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1334135</wp:posOffset>
            </wp:positionH>
            <wp:positionV relativeFrom="paragraph">
              <wp:posOffset>152400</wp:posOffset>
            </wp:positionV>
            <wp:extent cx="4596765" cy="29159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596765" cy="291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distribution as of December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152400</wp:posOffset>
            </wp:positionV>
            <wp:extent cx="4382135" cy="30530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382135" cy="3053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11.6  Grupo Pacifico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GRUPO PACÍFICO*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 in thousands )</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Quarter</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3"/>
          </w:tcPr>
          <w:p>
            <w:pPr>
              <w:ind w:left="600"/>
              <w:spacing w:after="0"/>
              <w:rPr>
                <w:sz w:val="20"/>
                <w:szCs w:val="20"/>
                <w:color w:val="auto"/>
              </w:rPr>
            </w:pPr>
            <w:r>
              <w:rPr>
                <w:rFonts w:ascii="Arial" w:cs="Arial" w:eastAsia="Arial" w:hAnsi="Arial"/>
                <w:sz w:val="14"/>
                <w:szCs w:val="14"/>
                <w:b w:val="1"/>
                <w:bCs w:val="1"/>
                <w:color w:val="auto"/>
                <w:w w:val="94"/>
              </w:rPr>
              <w:t>% change</w:t>
            </w: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3"/>
          </w:tcPr>
          <w:p>
            <w:pPr>
              <w:ind w:left="760"/>
              <w:spacing w:after="0"/>
              <w:rPr>
                <w:sz w:val="20"/>
                <w:szCs w:val="20"/>
                <w:color w:val="auto"/>
              </w:rPr>
            </w:pPr>
            <w:r>
              <w:rPr>
                <w:rFonts w:ascii="Arial" w:cs="Arial" w:eastAsia="Arial" w:hAnsi="Arial"/>
                <w:sz w:val="14"/>
                <w:szCs w:val="14"/>
                <w:b w:val="1"/>
                <w:bCs w:val="1"/>
                <w:color w:val="auto"/>
              </w:rPr>
              <w:t>Year</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4Q14</w:t>
            </w:r>
          </w:p>
        </w:tc>
        <w:tc>
          <w:tcPr>
            <w:tcW w:w="10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3Q15</w:t>
            </w:r>
          </w:p>
        </w:tc>
        <w:tc>
          <w:tcPr>
            <w:tcW w:w="10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4Q15</w:t>
            </w:r>
          </w:p>
        </w:tc>
        <w:tc>
          <w:tcPr>
            <w:tcW w:w="1240" w:type="dxa"/>
            <w:vAlign w:val="bottom"/>
            <w:gridSpan w:val="3"/>
          </w:tcPr>
          <w:p>
            <w:pPr>
              <w:ind w:left="240"/>
              <w:spacing w:after="0"/>
              <w:rPr>
                <w:sz w:val="20"/>
                <w:szCs w:val="20"/>
                <w:color w:val="auto"/>
              </w:rPr>
            </w:pPr>
            <w:r>
              <w:rPr>
                <w:rFonts w:ascii="Arial" w:cs="Arial" w:eastAsia="Arial" w:hAnsi="Arial"/>
                <w:sz w:val="14"/>
                <w:szCs w:val="14"/>
                <w:b w:val="1"/>
                <w:bCs w:val="1"/>
                <w:color w:val="auto"/>
              </w:rPr>
              <w:t>QoQ</w:t>
            </w:r>
          </w:p>
        </w:tc>
        <w:tc>
          <w:tcPr>
            <w:tcW w:w="8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YoY</w:t>
            </w:r>
          </w:p>
        </w:tc>
        <w:tc>
          <w:tcPr>
            <w:tcW w:w="780" w:type="dxa"/>
            <w:vAlign w:val="bottom"/>
          </w:tcPr>
          <w:p>
            <w:pPr>
              <w:jc w:val="right"/>
              <w:ind w:right="168"/>
              <w:spacing w:after="0"/>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168"/>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w w:val="97"/>
              </w:rPr>
              <w:t>2015 / 2014</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Borders>
              <w:top w:val="single" w:sz="8" w:color="CCEEFF"/>
            </w:tcBorders>
            <w:shd w:val="clear" w:color="auto" w:fill="CCEEFF"/>
          </w:tcPr>
          <w:p>
            <w:pPr>
              <w:jc w:val="center"/>
              <w:ind w:right="69"/>
              <w:spacing w:after="0" w:line="142" w:lineRule="exact"/>
              <w:rPr>
                <w:sz w:val="20"/>
                <w:szCs w:val="20"/>
                <w:color w:val="auto"/>
              </w:rPr>
            </w:pPr>
            <w:r>
              <w:rPr>
                <w:rFonts w:ascii="Arial" w:cs="Arial" w:eastAsia="Arial" w:hAnsi="Arial"/>
                <w:sz w:val="14"/>
                <w:szCs w:val="14"/>
                <w:b w:val="1"/>
                <w:bCs w:val="1"/>
                <w:color w:val="auto"/>
                <w:w w:val="93"/>
              </w:rPr>
              <w:t>Balance</w:t>
            </w:r>
          </w:p>
        </w:tc>
        <w:tc>
          <w:tcPr>
            <w:tcW w:w="7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Total assets</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8,656,376</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8,816,211</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9,329,145</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5.8%</w:t>
            </w:r>
          </w:p>
        </w:tc>
        <w:tc>
          <w:tcPr>
            <w:tcW w:w="20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7.8%</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8,656,376</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9,329,145</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20" w:type="dxa"/>
            <w:vAlign w:val="bottom"/>
            <w:shd w:val="clear" w:color="auto" w:fill="CCEEFF"/>
          </w:tcPr>
          <w:p>
            <w:pPr>
              <w:spacing w:after="0" w:line="189" w:lineRule="exact"/>
              <w:rPr>
                <w:sz w:val="20"/>
                <w:szCs w:val="20"/>
                <w:color w:val="auto"/>
              </w:rPr>
            </w:pPr>
            <w:r>
              <w:rPr>
                <w:rFonts w:ascii="Arial" w:cs="Arial" w:eastAsia="Arial" w:hAnsi="Arial"/>
                <w:sz w:val="13"/>
                <w:szCs w:val="13"/>
                <w:color w:val="auto"/>
              </w:rPr>
              <w:t xml:space="preserve">Invesment on securities </w:t>
            </w:r>
            <w:r>
              <w:rPr>
                <w:rFonts w:ascii="Arial" w:cs="Arial" w:eastAsia="Arial" w:hAnsi="Arial"/>
                <w:sz w:val="21"/>
                <w:szCs w:val="21"/>
                <w:color w:val="auto"/>
                <w:vertAlign w:val="superscript"/>
              </w:rPr>
              <w:t>(1)</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5,455,950</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6,443,018</w:t>
            </w: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6,720,080</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4.3%</w:t>
            </w: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23.2%</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5,455,950</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6,720,080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Technical reserves</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5,549,005</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6,016,438</w:t>
            </w:r>
          </w:p>
        </w:tc>
        <w:tc>
          <w:tcPr>
            <w:tcW w:w="22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6,377,419</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6.0%</w:t>
            </w:r>
          </w:p>
        </w:tc>
        <w:tc>
          <w:tcPr>
            <w:tcW w:w="20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14.9%</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5,549,005</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6,377,419</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equity</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1,715,720</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1,605,360</w:t>
            </w: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1,786,789</w:t>
            </w: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11.3%</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4.1%</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1,715,720</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1,786,789</w:t>
            </w: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jc w:val="center"/>
              <w:ind w:right="69"/>
              <w:spacing w:after="0" w:line="149" w:lineRule="exact"/>
              <w:rPr>
                <w:sz w:val="20"/>
                <w:szCs w:val="20"/>
                <w:color w:val="auto"/>
              </w:rPr>
            </w:pPr>
            <w:r>
              <w:rPr>
                <w:rFonts w:ascii="Arial" w:cs="Arial" w:eastAsia="Arial" w:hAnsi="Arial"/>
                <w:sz w:val="14"/>
                <w:szCs w:val="14"/>
                <w:b w:val="1"/>
                <w:bCs w:val="1"/>
                <w:color w:val="auto"/>
                <w:w w:val="93"/>
              </w:rPr>
              <w:t>Quarterly income statement</w:t>
            </w: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Net earned premiums</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575,859</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439,480</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445,994</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w:t>
            </w:r>
          </w:p>
        </w:tc>
        <w:tc>
          <w:tcPr>
            <w:tcW w:w="20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-22.6%</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2,252,793</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1,730,337</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claims</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375,029</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265,647</w:t>
            </w: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266,477</w:t>
            </w: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0.3%</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-28.9%</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1,426,706</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1,019,782</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Net fees</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111,190</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102,713</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96,361</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-6.2%</w:t>
            </w:r>
          </w:p>
        </w:tc>
        <w:tc>
          <w:tcPr>
            <w:tcW w:w="20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-13.3%</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422,610</w:t>
            </w:r>
          </w:p>
        </w:tc>
        <w:tc>
          <w:tcPr>
            <w:tcW w:w="1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403,304</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underwriting expenses</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6,386</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14,531</w:t>
            </w: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-6,713</w:t>
            </w: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-146.2%</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-205.1%</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75,911</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33,309</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b w:val="1"/>
                <w:bCs w:val="1"/>
                <w:color w:val="auto"/>
              </w:rPr>
              <w:t>Underwriting result before Medical services</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83,254</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56,588</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89,869</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58.8%</w:t>
            </w:r>
          </w:p>
        </w:tc>
        <w:tc>
          <w:tcPr>
            <w:tcW w:w="20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7.9%</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327,566</w:t>
            </w:r>
          </w:p>
        </w:tc>
        <w:tc>
          <w:tcPr>
            <w:tcW w:w="1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273,942</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-16.4%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Medical services gross margin</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23,434</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3"/>
          </w:tcPr>
          <w:p>
            <w:pPr>
              <w:jc w:val="right"/>
              <w:ind w:right="460"/>
              <w:spacing w:after="0" w:line="149" w:lineRule="exact"/>
              <w:rPr>
                <w:sz w:val="20"/>
                <w:szCs w:val="20"/>
                <w:color w:val="auto"/>
              </w:rPr>
            </w:pPr>
            <w:r>
              <w:rPr>
                <w:rFonts w:ascii="Arial" w:cs="Arial" w:eastAsia="Arial" w:hAnsi="Arial"/>
                <w:sz w:val="14"/>
                <w:szCs w:val="14"/>
                <w:color w:val="auto"/>
              </w:rPr>
              <w:t>N/A</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N /A</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98,199</w:t>
            </w:r>
          </w:p>
        </w:tc>
        <w:tc>
          <w:tcPr>
            <w:tcW w:w="1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financial income</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75,017</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81,792</w:t>
            </w: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75,453</w:t>
            </w: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-7.8%</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0.6%</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319,831</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339,506</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expenses</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140,265</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90,406</w:t>
            </w: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109,061</w:t>
            </w: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20.6%</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-22.2%</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536,519</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385,959</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-28.1%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income</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12,656</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4,577</w:t>
            </w: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20,149</w:t>
            </w: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340.2%</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59.2%</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23,335</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35,516</w:t>
            </w: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Traslations results</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2,122</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478</w:t>
            </w:r>
          </w:p>
        </w:tc>
        <w:tc>
          <w:tcPr>
            <w:tcW w:w="22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4,416</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108.1%</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4,586</w:t>
            </w:r>
          </w:p>
        </w:tc>
        <w:tc>
          <w:tcPr>
            <w:tcW w:w="1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13,939</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203.9%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Gain (loss) from Grupo Pacífico and Banmédica joint</w:t>
            </w:r>
          </w:p>
        </w:tc>
        <w:tc>
          <w:tcPr>
            <w:tcW w:w="7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4"/>
                <w:szCs w:val="14"/>
                <w:color w:val="auto"/>
              </w:rPr>
              <w:t>venture</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3,172</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-2,853</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-189.9%</w:t>
            </w:r>
          </w:p>
        </w:tc>
        <w:tc>
          <w:tcPr>
            <w:tcW w:w="2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N/A</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146,910</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Income tax</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-469</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7,026</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15,190</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116.2%</w:t>
            </w:r>
          </w:p>
        </w:tc>
        <w:tc>
          <w:tcPr>
            <w:tcW w:w="20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N/A</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31,148</w:t>
            </w:r>
          </w:p>
        </w:tc>
        <w:tc>
          <w:tcPr>
            <w:tcW w:w="1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74,351</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138.7%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b w:val="1"/>
                <w:bCs w:val="1"/>
                <w:color w:val="auto"/>
              </w:rPr>
              <w:t>Income before minority interest</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56,688</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49,176</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62,784</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27.7%</w:t>
            </w:r>
          </w:p>
        </w:tc>
        <w:tc>
          <w:tcPr>
            <w:tcW w:w="20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10.8%</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205,851</w:t>
            </w:r>
          </w:p>
        </w:tc>
        <w:tc>
          <w:tcPr>
            <w:tcW w:w="1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349,503</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69.8%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Minority interest</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7,785</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5,167</w:t>
            </w: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5,941</w:t>
            </w: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15.0%</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-23.7%</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25,008</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25,043</w:t>
            </w: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48,904</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44,008</w:t>
            </w: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56,842</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29.2%</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16.2%</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180,843</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324,460</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jc w:val="center"/>
              <w:ind w:right="69"/>
              <w:spacing w:after="0" w:line="149" w:lineRule="exact"/>
              <w:rPr>
                <w:sz w:val="20"/>
                <w:szCs w:val="20"/>
                <w:color w:val="auto"/>
              </w:rPr>
            </w:pPr>
            <w:r>
              <w:rPr>
                <w:rFonts w:ascii="Arial" w:cs="Arial" w:eastAsia="Arial" w:hAnsi="Arial"/>
                <w:sz w:val="14"/>
                <w:szCs w:val="14"/>
                <w:b w:val="1"/>
                <w:bCs w:val="1"/>
                <w:color w:val="auto"/>
                <w:w w:val="88"/>
              </w:rPr>
              <w:t>Ratios</w:t>
            </w: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Ceded</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16.7%</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17.4%</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17.3%</w:t>
            </w:r>
          </w:p>
        </w:tc>
        <w:tc>
          <w:tcPr>
            <w:tcW w:w="1240" w:type="dxa"/>
            <w:vAlign w:val="bottom"/>
            <w:gridSpan w:val="3"/>
          </w:tcPr>
          <w:p>
            <w:pPr>
              <w:jc w:val="right"/>
              <w:ind w:right="460"/>
              <w:spacing w:after="0" w:line="149" w:lineRule="exact"/>
              <w:rPr>
                <w:sz w:val="20"/>
                <w:szCs w:val="20"/>
                <w:color w:val="auto"/>
              </w:rPr>
            </w:pPr>
            <w:r>
              <w:rPr>
                <w:rFonts w:ascii="Arial" w:cs="Arial" w:eastAsia="Arial" w:hAnsi="Arial"/>
                <w:sz w:val="14"/>
                <w:szCs w:val="14"/>
                <w:color w:val="auto"/>
              </w:rPr>
              <w:t>-10 bps</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60 bps</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14.5%</w:t>
            </w:r>
          </w:p>
        </w:tc>
        <w:tc>
          <w:tcPr>
            <w:tcW w:w="12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16.6%</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210 bps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20" w:type="dxa"/>
            <w:vAlign w:val="bottom"/>
            <w:shd w:val="clear" w:color="auto" w:fill="CCEEFF"/>
          </w:tcPr>
          <w:p>
            <w:pPr>
              <w:spacing w:after="0" w:line="189" w:lineRule="exact"/>
              <w:rPr>
                <w:sz w:val="20"/>
                <w:szCs w:val="20"/>
                <w:color w:val="auto"/>
              </w:rPr>
            </w:pPr>
            <w:r>
              <w:rPr>
                <w:rFonts w:ascii="Arial" w:cs="Arial" w:eastAsia="Arial" w:hAnsi="Arial"/>
                <w:sz w:val="13"/>
                <w:szCs w:val="13"/>
                <w:color w:val="auto"/>
              </w:rPr>
              <w:t>Loss ratio</w:t>
            </w:r>
            <w:r>
              <w:rPr>
                <w:rFonts w:ascii="Arial" w:cs="Arial" w:eastAsia="Arial" w:hAnsi="Arial"/>
                <w:sz w:val="21"/>
                <w:szCs w:val="21"/>
                <w:color w:val="auto"/>
                <w:vertAlign w:val="superscript"/>
              </w:rPr>
              <w:t>(2)</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65.1%</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60.4%</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59.7%</w:t>
            </w:r>
          </w:p>
        </w:tc>
        <w:tc>
          <w:tcPr>
            <w:tcW w:w="1240" w:type="dxa"/>
            <w:vAlign w:val="bottom"/>
            <w:gridSpan w:val="3"/>
            <w:shd w:val="clear" w:color="auto" w:fill="CCEEFF"/>
          </w:tcPr>
          <w:p>
            <w:pPr>
              <w:jc w:val="right"/>
              <w:ind w:right="460"/>
              <w:spacing w:after="0"/>
              <w:rPr>
                <w:sz w:val="20"/>
                <w:szCs w:val="20"/>
                <w:color w:val="auto"/>
              </w:rPr>
            </w:pPr>
            <w:r>
              <w:rPr>
                <w:rFonts w:ascii="Arial" w:cs="Arial" w:eastAsia="Arial" w:hAnsi="Arial"/>
                <w:sz w:val="14"/>
                <w:szCs w:val="14"/>
                <w:color w:val="auto"/>
              </w:rPr>
              <w:t>-70 bps</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-540 bps</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63.3%</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58.9%</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-440 bps</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20" w:type="dxa"/>
            <w:vAlign w:val="bottom"/>
          </w:tcPr>
          <w:p>
            <w:pPr>
              <w:spacing w:after="0" w:line="130" w:lineRule="exact"/>
              <w:rPr>
                <w:sz w:val="20"/>
                <w:szCs w:val="20"/>
                <w:color w:val="auto"/>
              </w:rPr>
            </w:pPr>
            <w:r>
              <w:rPr>
                <w:rFonts w:ascii="Arial" w:cs="Arial" w:eastAsia="Arial" w:hAnsi="Arial"/>
                <w:sz w:val="14"/>
                <w:szCs w:val="14"/>
                <w:color w:val="auto"/>
              </w:rPr>
              <w:t>Fees + underwriting expenses, net / net earned</w:t>
            </w: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40" w:type="dxa"/>
            <w:vAlign w:val="bottom"/>
            <w:gridSpan w:val="2"/>
          </w:tcPr>
          <w:p>
            <w:pPr>
              <w:spacing w:after="0"/>
              <w:rPr>
                <w:sz w:val="20"/>
                <w:szCs w:val="20"/>
                <w:color w:val="auto"/>
              </w:rPr>
            </w:pPr>
            <w:r>
              <w:rPr>
                <w:rFonts w:ascii="Arial" w:cs="Arial" w:eastAsia="Arial" w:hAnsi="Arial"/>
                <w:sz w:val="14"/>
                <w:szCs w:val="14"/>
                <w:color w:val="auto"/>
              </w:rPr>
              <w:t>premiums</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20.4%</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26.7%</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20.1%</w:t>
            </w:r>
          </w:p>
        </w:tc>
        <w:tc>
          <w:tcPr>
            <w:tcW w:w="1240" w:type="dxa"/>
            <w:vAlign w:val="bottom"/>
            <w:gridSpan w:val="3"/>
          </w:tcPr>
          <w:p>
            <w:pPr>
              <w:jc w:val="right"/>
              <w:ind w:right="460"/>
              <w:spacing w:after="0"/>
              <w:rPr>
                <w:sz w:val="20"/>
                <w:szCs w:val="20"/>
                <w:color w:val="auto"/>
              </w:rPr>
            </w:pPr>
            <w:r>
              <w:rPr>
                <w:rFonts w:ascii="Arial" w:cs="Arial" w:eastAsia="Arial" w:hAnsi="Arial"/>
                <w:sz w:val="14"/>
                <w:szCs w:val="14"/>
                <w:color w:val="auto"/>
              </w:rPr>
              <w:t>-660 bps</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-30 bps</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22.1%</w:t>
            </w:r>
          </w:p>
        </w:tc>
        <w:tc>
          <w:tcPr>
            <w:tcW w:w="12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25.2%</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310 bps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Underwriting results / net earned premiums</w:t>
            </w: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14.5%</w:t>
            </w: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12.9%</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20.2%</w:t>
            </w:r>
          </w:p>
        </w:tc>
        <w:tc>
          <w:tcPr>
            <w:tcW w:w="124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730 bps</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570 bps</w:t>
            </w: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14.5%</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15.8%</w:t>
            </w: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130 bps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Operating expenses / net earned premiums</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24.4%</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20.6%</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24.5%</w:t>
            </w:r>
          </w:p>
        </w:tc>
        <w:tc>
          <w:tcPr>
            <w:tcW w:w="1240" w:type="dxa"/>
            <w:vAlign w:val="bottom"/>
            <w:gridSpan w:val="3"/>
          </w:tcPr>
          <w:p>
            <w:pPr>
              <w:jc w:val="right"/>
              <w:ind w:right="460"/>
              <w:spacing w:after="0" w:line="149" w:lineRule="exact"/>
              <w:rPr>
                <w:sz w:val="20"/>
                <w:szCs w:val="20"/>
                <w:color w:val="auto"/>
              </w:rPr>
            </w:pPr>
            <w:r>
              <w:rPr>
                <w:rFonts w:ascii="Arial" w:cs="Arial" w:eastAsia="Arial" w:hAnsi="Arial"/>
                <w:sz w:val="14"/>
                <w:szCs w:val="14"/>
                <w:color w:val="auto"/>
              </w:rPr>
              <w:t>390 bps</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10 bps</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23.8%</w:t>
            </w:r>
          </w:p>
        </w:tc>
        <w:tc>
          <w:tcPr>
            <w:tcW w:w="12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22.3%</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-150 bps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20" w:type="dxa"/>
            <w:vAlign w:val="bottom"/>
            <w:shd w:val="clear" w:color="auto" w:fill="CCEEFF"/>
          </w:tcPr>
          <w:p>
            <w:pPr>
              <w:spacing w:after="0" w:line="189" w:lineRule="exact"/>
              <w:rPr>
                <w:sz w:val="20"/>
                <w:szCs w:val="20"/>
                <w:color w:val="auto"/>
              </w:rPr>
            </w:pPr>
            <w:r>
              <w:rPr>
                <w:rFonts w:ascii="Arial" w:cs="Arial" w:eastAsia="Arial" w:hAnsi="Arial"/>
                <w:sz w:val="21"/>
                <w:szCs w:val="21"/>
                <w:color w:val="auto"/>
                <w:vertAlign w:val="subscript"/>
              </w:rPr>
              <w:t>ROAE</w:t>
            </w:r>
            <w:r>
              <w:rPr>
                <w:rFonts w:ascii="Arial" w:cs="Arial" w:eastAsia="Arial" w:hAnsi="Arial"/>
                <w:sz w:val="10"/>
                <w:szCs w:val="10"/>
                <w:color w:val="auto"/>
              </w:rPr>
              <w:t xml:space="preserve"> (3)(4)</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11.8%</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10.5%</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13.4%</w:t>
            </w:r>
          </w:p>
        </w:tc>
        <w:tc>
          <w:tcPr>
            <w:tcW w:w="1240" w:type="dxa"/>
            <w:vAlign w:val="bottom"/>
            <w:gridSpan w:val="3"/>
            <w:shd w:val="clear" w:color="auto" w:fill="CCEEFF"/>
          </w:tcPr>
          <w:p>
            <w:pPr>
              <w:jc w:val="right"/>
              <w:ind w:right="460"/>
              <w:spacing w:after="0"/>
              <w:rPr>
                <w:sz w:val="20"/>
                <w:szCs w:val="20"/>
                <w:color w:val="auto"/>
              </w:rPr>
            </w:pPr>
            <w:r>
              <w:rPr>
                <w:rFonts w:ascii="Arial" w:cs="Arial" w:eastAsia="Arial" w:hAnsi="Arial"/>
                <w:sz w:val="14"/>
                <w:szCs w:val="14"/>
                <w:color w:val="auto"/>
              </w:rPr>
              <w:t>290 bps</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160 bps</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11.7%</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12.5%</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80 bps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Return on written premiums</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5.8%</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6.1%</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8.0%</w:t>
            </w:r>
          </w:p>
        </w:tc>
        <w:tc>
          <w:tcPr>
            <w:tcW w:w="1240" w:type="dxa"/>
            <w:vAlign w:val="bottom"/>
            <w:gridSpan w:val="3"/>
          </w:tcPr>
          <w:p>
            <w:pPr>
              <w:jc w:val="right"/>
              <w:ind w:right="460"/>
              <w:spacing w:after="0" w:line="149" w:lineRule="exact"/>
              <w:rPr>
                <w:sz w:val="20"/>
                <w:szCs w:val="20"/>
                <w:color w:val="auto"/>
              </w:rPr>
            </w:pPr>
            <w:r>
              <w:rPr>
                <w:rFonts w:ascii="Arial" w:cs="Arial" w:eastAsia="Arial" w:hAnsi="Arial"/>
                <w:sz w:val="14"/>
                <w:szCs w:val="14"/>
                <w:color w:val="auto"/>
              </w:rPr>
              <w:t>190 bps</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220 bps</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5.7%</w:t>
            </w:r>
          </w:p>
        </w:tc>
        <w:tc>
          <w:tcPr>
            <w:tcW w:w="12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11.8%</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610 bps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20" w:type="dxa"/>
            <w:vAlign w:val="bottom"/>
            <w:shd w:val="clear" w:color="auto" w:fill="CCEEFF"/>
          </w:tcPr>
          <w:p>
            <w:pPr>
              <w:spacing w:after="0" w:line="189" w:lineRule="exact"/>
              <w:rPr>
                <w:sz w:val="20"/>
                <w:szCs w:val="20"/>
                <w:color w:val="auto"/>
              </w:rPr>
            </w:pPr>
            <w:r>
              <w:rPr>
                <w:rFonts w:ascii="Arial" w:cs="Arial" w:eastAsia="Arial" w:hAnsi="Arial"/>
                <w:sz w:val="13"/>
                <w:szCs w:val="13"/>
                <w:color w:val="auto"/>
              </w:rPr>
              <w:t>Combined ratio of P&amp;C</w:t>
            </w:r>
            <w:r>
              <w:rPr>
                <w:rFonts w:ascii="Arial" w:cs="Arial" w:eastAsia="Arial" w:hAnsi="Arial"/>
                <w:sz w:val="21"/>
                <w:szCs w:val="21"/>
                <w:color w:val="auto"/>
                <w:vertAlign w:val="superscript"/>
              </w:rPr>
              <w:t>(5)</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100.2%</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92.2%</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86.4%</w:t>
            </w:r>
          </w:p>
        </w:tc>
        <w:tc>
          <w:tcPr>
            <w:tcW w:w="1240" w:type="dxa"/>
            <w:vAlign w:val="bottom"/>
            <w:gridSpan w:val="3"/>
            <w:shd w:val="clear" w:color="auto" w:fill="CCEEFF"/>
          </w:tcPr>
          <w:p>
            <w:pPr>
              <w:jc w:val="right"/>
              <w:ind w:right="460"/>
              <w:spacing w:after="0"/>
              <w:rPr>
                <w:sz w:val="20"/>
                <w:szCs w:val="20"/>
                <w:color w:val="auto"/>
              </w:rPr>
            </w:pPr>
            <w:r>
              <w:rPr>
                <w:rFonts w:ascii="Arial" w:cs="Arial" w:eastAsia="Arial" w:hAnsi="Arial"/>
                <w:sz w:val="14"/>
                <w:szCs w:val="14"/>
                <w:color w:val="auto"/>
              </w:rPr>
              <w:t>-580 bps</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w w:val="89"/>
              </w:rPr>
              <w:t>-1380 bps</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98.3%</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90.5%</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-780 bps</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*Financial statements without consolidation adjustments.</w:t>
      </w:r>
    </w:p>
    <w:p>
      <w:pPr>
        <w:spacing w:after="0" w:line="9" w:lineRule="exact"/>
        <w:rPr>
          <w:sz w:val="20"/>
          <w:szCs w:val="20"/>
          <w:color w:val="auto"/>
        </w:rPr>
      </w:pPr>
    </w:p>
    <w:p>
      <w:pPr>
        <w:ind w:left="260" w:hanging="252"/>
        <w:spacing w:after="0"/>
        <w:tabs>
          <w:tab w:leader="none" w:pos="2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Excluding investments in real estate.</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Net claims/ Net earned premiums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Includes unrealized gains.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Annualized and average are determined as the average of period beginning and period ending.</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(Net claims/ Net earned premiums) + [(Acquisition cost + Operating expenses)/ Net earned premiums]</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From 1Q15 and on, Grupo Pacifico’s financial statements reflect the joint venture with Banmedica (to participate as equal partners, 50/50). This partnership includes:</w:t>
      </w:r>
    </w:p>
    <w:p>
      <w:pPr>
        <w:spacing w:after="0" w:line="170" w:lineRule="exact"/>
        <w:rPr>
          <w:sz w:val="20"/>
          <w:szCs w:val="20"/>
          <w:color w:val="auto"/>
        </w:rPr>
      </w:pPr>
    </w:p>
    <w:p>
      <w:pPr>
        <w:ind w:left="720" w:hanging="658"/>
        <w:spacing w:after="0"/>
        <w:tabs>
          <w:tab w:leader="none" w:pos="72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private health insurance business, which is managed by Grupo Pacifico and incorporated in each line of Grupo Pacifico’s financial statements;</w:t>
      </w:r>
    </w:p>
    <w:p>
      <w:pPr>
        <w:spacing w:after="0" w:line="248" w:lineRule="exact"/>
        <w:rPr>
          <w:rFonts w:ascii="Arial" w:cs="Arial" w:eastAsia="Arial" w:hAnsi="Arial"/>
          <w:sz w:val="16"/>
          <w:szCs w:val="16"/>
          <w:color w:val="auto"/>
        </w:rPr>
      </w:pPr>
    </w:p>
    <w:p>
      <w:pPr>
        <w:ind w:left="720" w:hanging="658"/>
        <w:spacing w:after="0"/>
        <w:tabs>
          <w:tab w:leader="none" w:pos="7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corporate health insurance for payroll employees; and</w:t>
      </w:r>
    </w:p>
    <w:p>
      <w:pPr>
        <w:spacing w:after="0" w:line="225" w:lineRule="exact"/>
        <w:rPr>
          <w:rFonts w:ascii="Arial" w:cs="Arial" w:eastAsia="Arial" w:hAnsi="Arial"/>
          <w:sz w:val="18"/>
          <w:szCs w:val="18"/>
          <w:color w:val="auto"/>
        </w:rPr>
      </w:pPr>
    </w:p>
    <w:p>
      <w:pPr>
        <w:ind w:left="720" w:hanging="658"/>
        <w:spacing w:after="0"/>
        <w:tabs>
          <w:tab w:leader="none" w:pos="7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medical services.</w:t>
      </w:r>
    </w:p>
    <w:p>
      <w:pPr>
        <w:spacing w:after="0" w:line="225" w:lineRule="exact"/>
        <w:rPr>
          <w:sz w:val="20"/>
          <w:szCs w:val="20"/>
          <w:color w:val="auto"/>
        </w:rPr>
      </w:pPr>
    </w:p>
    <w:p>
      <w:pPr>
        <w:ind w:left="60" w:right="20"/>
        <w:spacing w:after="0" w:line="308" w:lineRule="auto"/>
        <w:rPr>
          <w:sz w:val="20"/>
          <w:szCs w:val="20"/>
          <w:color w:val="auto"/>
        </w:rPr>
      </w:pPr>
      <w:r>
        <w:rPr>
          <w:rFonts w:ascii="Arial" w:cs="Arial" w:eastAsia="Arial" w:hAnsi="Arial"/>
          <w:sz w:val="17"/>
          <w:szCs w:val="17"/>
          <w:color w:val="auto"/>
        </w:rPr>
        <w:t>The businesses described in ii) and iii) are managed by Banmedica, therefore they do not consolidate in Grupo Pacifico’s financial statements. The 50% of net income generated by Banmedica is recorded in Grupo Pacifico’s Income Statement as a gain/loss on investments in subsidiaries.</w:t>
      </w: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1" w:name="page62"/>
    <w:bookmarkEnd w:id="61"/>
    <w:p>
      <w:pPr>
        <w:ind w:left="60" w:right="20"/>
        <w:spacing w:after="0" w:line="282" w:lineRule="auto"/>
        <w:rPr>
          <w:sz w:val="20"/>
          <w:szCs w:val="20"/>
          <w:color w:val="auto"/>
        </w:rPr>
      </w:pPr>
      <w:r>
        <w:rPr>
          <w:rFonts w:ascii="Arial" w:cs="Arial" w:eastAsia="Arial" w:hAnsi="Arial"/>
          <w:sz w:val="18"/>
          <w:szCs w:val="18"/>
          <w:color w:val="auto"/>
        </w:rPr>
        <w:t xml:space="preserve">As explained before, </w:t>
      </w:r>
      <w:r>
        <w:rPr>
          <w:rFonts w:ascii="Arial" w:cs="Arial" w:eastAsia="Arial" w:hAnsi="Arial"/>
          <w:sz w:val="18"/>
          <w:szCs w:val="18"/>
          <w:b w:val="1"/>
          <w:bCs w:val="1"/>
          <w:color w:val="auto"/>
        </w:rPr>
        <w:t>corporate health insurance</w:t>
      </w:r>
      <w:r>
        <w:rPr>
          <w:rFonts w:ascii="Arial" w:cs="Arial" w:eastAsia="Arial" w:hAnsi="Arial"/>
          <w:sz w:val="18"/>
          <w:szCs w:val="18"/>
          <w:color w:val="auto"/>
        </w:rPr>
        <w:t xml:space="preserve"> and </w:t>
      </w:r>
      <w:r>
        <w:rPr>
          <w:rFonts w:ascii="Arial" w:cs="Arial" w:eastAsia="Arial" w:hAnsi="Arial"/>
          <w:sz w:val="18"/>
          <w:szCs w:val="18"/>
          <w:b w:val="1"/>
          <w:bCs w:val="1"/>
          <w:color w:val="auto"/>
        </w:rPr>
        <w:t>medical services</w:t>
      </w:r>
      <w:r>
        <w:rPr>
          <w:rFonts w:ascii="Arial" w:cs="Arial" w:eastAsia="Arial" w:hAnsi="Arial"/>
          <w:sz w:val="18"/>
          <w:szCs w:val="18"/>
          <w:color w:val="auto"/>
        </w:rPr>
        <w:t xml:space="preserve"> businesses are consolidated by Banmedica. The following table reflects the consolidated results from which Grupo Pacifico receives the 50% net income.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health insurance and Medical services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(Nuevos Soles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Quarter</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3"/>
          </w:tcPr>
          <w:p>
            <w:pPr>
              <w:ind w:left="680"/>
              <w:spacing w:after="0"/>
              <w:rPr>
                <w:sz w:val="20"/>
                <w:szCs w:val="20"/>
                <w:color w:val="auto"/>
              </w:rPr>
            </w:pPr>
            <w:r>
              <w:rPr>
                <w:rFonts w:ascii="Arial" w:cs="Arial" w:eastAsia="Arial" w:hAnsi="Arial"/>
                <w:sz w:val="18"/>
                <w:szCs w:val="18"/>
                <w:b w:val="1"/>
                <w:bCs w:val="1"/>
                <w:color w:val="auto"/>
                <w:w w:val="90"/>
              </w:rPr>
              <w:t>% change</w:t>
            </w: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3"/>
          </w:tcPr>
          <w:p>
            <w:pPr>
              <w:ind w:left="840"/>
              <w:spacing w:after="0"/>
              <w:rPr>
                <w:sz w:val="20"/>
                <w:szCs w:val="20"/>
                <w:color w:val="auto"/>
              </w:rPr>
            </w:pPr>
            <w:r>
              <w:rPr>
                <w:rFonts w:ascii="Arial" w:cs="Arial" w:eastAsia="Arial" w:hAnsi="Arial"/>
                <w:sz w:val="18"/>
                <w:szCs w:val="18"/>
                <w:b w:val="1"/>
                <w:bCs w:val="1"/>
                <w:color w:val="auto"/>
              </w:rPr>
              <w:t>Year</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7"/>
              </w:rPr>
              <w:t>% change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4Q14</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3Q15</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4Q15</w:t>
            </w:r>
          </w:p>
        </w:tc>
        <w:tc>
          <w:tcPr>
            <w:tcW w:w="1460" w:type="dxa"/>
            <w:vAlign w:val="bottom"/>
            <w:gridSpan w:val="3"/>
          </w:tcPr>
          <w:p>
            <w:pPr>
              <w:ind w:left="260"/>
              <w:spacing w:after="0"/>
              <w:rPr>
                <w:sz w:val="20"/>
                <w:szCs w:val="20"/>
                <w:color w:val="auto"/>
              </w:rPr>
            </w:pPr>
            <w:r>
              <w:rPr>
                <w:rFonts w:ascii="Arial" w:cs="Arial" w:eastAsia="Arial" w:hAnsi="Arial"/>
                <w:sz w:val="18"/>
                <w:szCs w:val="18"/>
                <w:b w:val="1"/>
                <w:bCs w:val="1"/>
                <w:color w:val="auto"/>
              </w:rPr>
              <w:t>QoQ</w:t>
            </w:r>
          </w:p>
        </w:tc>
        <w:tc>
          <w:tcPr>
            <w:tcW w:w="9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96"/>
              </w:rPr>
              <w:t>YoY</w:t>
            </w:r>
          </w:p>
        </w:tc>
        <w:tc>
          <w:tcPr>
            <w:tcW w:w="900" w:type="dxa"/>
            <w:vAlign w:val="bottom"/>
          </w:tcPr>
          <w:p>
            <w:pPr>
              <w:jc w:val="right"/>
              <w:ind w:right="17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w w:val="90"/>
              </w:rPr>
              <w:t>2015 / 2014</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Results</w:t>
            </w: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Net earned premiums</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197,643</w:t>
            </w:r>
          </w:p>
        </w:tc>
        <w:tc>
          <w:tcPr>
            <w:tcW w:w="900" w:type="dxa"/>
            <w:vAlign w:val="bottom"/>
          </w:tcPr>
          <w:p>
            <w:pPr>
              <w:jc w:val="right"/>
              <w:spacing w:after="0"/>
              <w:rPr>
                <w:sz w:val="20"/>
                <w:szCs w:val="20"/>
                <w:color w:val="auto"/>
              </w:rPr>
            </w:pPr>
            <w:r>
              <w:rPr>
                <w:rFonts w:ascii="Arial" w:cs="Arial" w:eastAsia="Arial" w:hAnsi="Arial"/>
                <w:sz w:val="18"/>
                <w:szCs w:val="18"/>
                <w:color w:val="auto"/>
              </w:rPr>
              <w:t>212,094</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208,666</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5.6%</w:t>
            </w:r>
          </w:p>
        </w:tc>
        <w:tc>
          <w:tcPr>
            <w:tcW w:w="900" w:type="dxa"/>
            <w:vAlign w:val="bottom"/>
          </w:tcPr>
          <w:p>
            <w:pPr>
              <w:jc w:val="right"/>
              <w:spacing w:after="0"/>
              <w:rPr>
                <w:sz w:val="20"/>
                <w:szCs w:val="20"/>
                <w:color w:val="auto"/>
              </w:rPr>
            </w:pPr>
            <w:r>
              <w:rPr>
                <w:rFonts w:ascii="Arial" w:cs="Arial" w:eastAsia="Arial" w:hAnsi="Arial"/>
                <w:sz w:val="18"/>
                <w:szCs w:val="18"/>
                <w:color w:val="auto"/>
              </w:rPr>
              <w:t>756,603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822,378</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Net claims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-171,332</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-181,196</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-179,012</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-634,574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-695,408</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Net fees</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-7,910</w:t>
            </w:r>
          </w:p>
        </w:tc>
        <w:tc>
          <w:tcPr>
            <w:tcW w:w="900" w:type="dxa"/>
            <w:vAlign w:val="bottom"/>
          </w:tcPr>
          <w:p>
            <w:pPr>
              <w:jc w:val="right"/>
              <w:spacing w:after="0"/>
              <w:rPr>
                <w:sz w:val="20"/>
                <w:szCs w:val="20"/>
                <w:color w:val="auto"/>
              </w:rPr>
            </w:pPr>
            <w:r>
              <w:rPr>
                <w:rFonts w:ascii="Arial" w:cs="Arial" w:eastAsia="Arial" w:hAnsi="Arial"/>
                <w:sz w:val="18"/>
                <w:szCs w:val="18"/>
                <w:color w:val="auto"/>
              </w:rPr>
              <w:t>-9,625</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-8,649</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-10.1%</w:t>
            </w:r>
          </w:p>
        </w:tc>
        <w:tc>
          <w:tcPr>
            <w:tcW w:w="2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9.3%</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-34,155</w:t>
            </w: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-36,781</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Net underwriting expenses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-3,661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-3,313</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-2,936</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-19.8%</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-13,681</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-12,599</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b w:val="1"/>
                <w:bCs w:val="1"/>
                <w:color w:val="auto"/>
              </w:rPr>
              <w:t>Underwriting result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14,740</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17,960</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18,069</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0.6%</w:t>
            </w:r>
          </w:p>
        </w:tc>
        <w:tc>
          <w:tcPr>
            <w:tcW w:w="2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22.6%</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74,194</w:t>
            </w: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77,590</w:t>
            </w: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Net financial income</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388</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942</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1,461</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55.2%</w:t>
            </w:r>
          </w:p>
        </w:tc>
        <w:tc>
          <w:tcPr>
            <w:tcW w:w="2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276.7%</w:t>
            </w:r>
          </w:p>
        </w:tc>
        <w:tc>
          <w:tcPr>
            <w:tcW w:w="900" w:type="dxa"/>
            <w:vAlign w:val="bottom"/>
          </w:tcPr>
          <w:p>
            <w:pPr>
              <w:jc w:val="right"/>
              <w:spacing w:after="0"/>
              <w:rPr>
                <w:sz w:val="20"/>
                <w:szCs w:val="20"/>
                <w:color w:val="auto"/>
              </w:rPr>
            </w:pPr>
            <w:r>
              <w:rPr>
                <w:rFonts w:ascii="Arial" w:cs="Arial" w:eastAsia="Arial" w:hAnsi="Arial"/>
                <w:sz w:val="18"/>
                <w:szCs w:val="18"/>
                <w:color w:val="auto"/>
              </w:rPr>
              <w:t>2,204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4,399</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-15,991</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-15,559</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-16,565</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-63,432</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-63,784</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Other income</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950</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235</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3,367</w:t>
            </w:r>
          </w:p>
        </w:tc>
        <w:tc>
          <w:tcPr>
            <w:tcW w:w="1460" w:type="dxa"/>
            <w:vAlign w:val="bottom"/>
            <w:gridSpan w:val="3"/>
          </w:tcPr>
          <w:p>
            <w:pPr>
              <w:ind w:left="600"/>
              <w:spacing w:after="0"/>
              <w:rPr>
                <w:sz w:val="20"/>
                <w:szCs w:val="20"/>
                <w:color w:val="auto"/>
              </w:rPr>
            </w:pPr>
            <w:r>
              <w:rPr>
                <w:rFonts w:ascii="Arial" w:cs="Arial" w:eastAsia="Arial" w:hAnsi="Arial"/>
                <w:sz w:val="18"/>
                <w:szCs w:val="18"/>
                <w:color w:val="auto"/>
              </w:rPr>
              <w:t>N/A</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254.5%</w:t>
            </w:r>
          </w:p>
        </w:tc>
        <w:tc>
          <w:tcPr>
            <w:tcW w:w="900" w:type="dxa"/>
            <w:vAlign w:val="bottom"/>
          </w:tcPr>
          <w:p>
            <w:pPr>
              <w:jc w:val="right"/>
              <w:spacing w:after="0"/>
              <w:rPr>
                <w:sz w:val="20"/>
                <w:szCs w:val="20"/>
                <w:color w:val="auto"/>
              </w:rPr>
            </w:pPr>
            <w:r>
              <w:rPr>
                <w:rFonts w:ascii="Arial" w:cs="Arial" w:eastAsia="Arial" w:hAnsi="Arial"/>
                <w:sz w:val="18"/>
                <w:szCs w:val="18"/>
                <w:color w:val="auto"/>
              </w:rPr>
              <w:t>2,744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4,702</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Traslations results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328</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419</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27.7%</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-349.0%</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-637</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1,009</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Income tax</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-782</w:t>
            </w:r>
          </w:p>
        </w:tc>
        <w:tc>
          <w:tcPr>
            <w:tcW w:w="900" w:type="dxa"/>
            <w:vAlign w:val="bottom"/>
          </w:tcPr>
          <w:p>
            <w:pPr>
              <w:jc w:val="right"/>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-1,481</w:t>
            </w:r>
          </w:p>
        </w:tc>
        <w:tc>
          <w:tcPr>
            <w:tcW w:w="1460" w:type="dxa"/>
            <w:vAlign w:val="bottom"/>
            <w:gridSpan w:val="3"/>
          </w:tcPr>
          <w:p>
            <w:pPr>
              <w:ind w:left="600"/>
              <w:spacing w:after="0"/>
              <w:rPr>
                <w:sz w:val="20"/>
                <w:szCs w:val="20"/>
                <w:color w:val="auto"/>
              </w:rPr>
            </w:pPr>
            <w:r>
              <w:rPr>
                <w:rFonts w:ascii="Arial" w:cs="Arial" w:eastAsia="Arial" w:hAnsi="Arial"/>
                <w:sz w:val="18"/>
                <w:szCs w:val="18"/>
                <w:color w:val="auto"/>
              </w:rPr>
              <w:t>N/A</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89.5%</w:t>
            </w:r>
          </w:p>
        </w:tc>
        <w:tc>
          <w:tcPr>
            <w:tcW w:w="900" w:type="dxa"/>
            <w:vAlign w:val="bottom"/>
          </w:tcPr>
          <w:p>
            <w:pPr>
              <w:jc w:val="right"/>
              <w:spacing w:after="0"/>
              <w:rPr>
                <w:sz w:val="20"/>
                <w:szCs w:val="20"/>
                <w:color w:val="auto"/>
              </w:rPr>
            </w:pPr>
            <w:r>
              <w:rPr>
                <w:rFonts w:ascii="Arial" w:cs="Arial" w:eastAsia="Arial" w:hAnsi="Arial"/>
                <w:sz w:val="18"/>
                <w:szCs w:val="18"/>
                <w:color w:val="auto"/>
              </w:rPr>
              <w:t>-4,845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-8,159</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300" w:type="dxa"/>
            <w:vAlign w:val="bottom"/>
          </w:tcPr>
          <w:p>
            <w:pPr>
              <w:spacing w:after="0" w:line="198" w:lineRule="exact"/>
              <w:rPr>
                <w:sz w:val="20"/>
                <w:szCs w:val="20"/>
                <w:color w:val="auto"/>
              </w:rPr>
            </w:pPr>
            <w:r>
              <w:rPr>
                <w:rFonts w:ascii="Arial" w:cs="Arial" w:eastAsia="Arial" w:hAnsi="Arial"/>
                <w:sz w:val="18"/>
                <w:szCs w:val="18"/>
                <w:b w:val="1"/>
                <w:bCs w:val="1"/>
                <w:color w:val="auto"/>
                <w:w w:val="99"/>
              </w:rPr>
              <w:t>Net income before Medical</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20" w:type="dxa"/>
            <w:vAlign w:val="bottom"/>
            <w:gridSpan w:val="2"/>
          </w:tcPr>
          <w:p>
            <w:pPr>
              <w:spacing w:after="0"/>
              <w:rPr>
                <w:sz w:val="20"/>
                <w:szCs w:val="20"/>
                <w:color w:val="auto"/>
              </w:rPr>
            </w:pPr>
            <w:r>
              <w:rPr>
                <w:rFonts w:ascii="Arial" w:cs="Arial" w:eastAsia="Arial" w:hAnsi="Arial"/>
                <w:sz w:val="18"/>
                <w:szCs w:val="18"/>
                <w:b w:val="1"/>
                <w:bCs w:val="1"/>
                <w:color w:val="auto"/>
              </w:rPr>
              <w:t>services</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-863</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3,857</w:t>
            </w: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5,269</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36.6%</w:t>
            </w:r>
          </w:p>
        </w:tc>
        <w:tc>
          <w:tcPr>
            <w:tcW w:w="260" w:type="dxa"/>
            <w:vAlign w:val="bottom"/>
          </w:tcPr>
          <w:p>
            <w:pPr>
              <w:spacing w:after="0"/>
              <w:rPr>
                <w:sz w:val="20"/>
                <w:szCs w:val="20"/>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N/A</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10,228</w:t>
            </w: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15,757</w:t>
            </w: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54.1%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300" w:type="dxa"/>
            <w:vAlign w:val="bottom"/>
          </w:tcPr>
          <w:p>
            <w:pPr>
              <w:spacing w:after="0" w:line="198" w:lineRule="exact"/>
              <w:rPr>
                <w:sz w:val="20"/>
                <w:szCs w:val="20"/>
                <w:color w:val="auto"/>
              </w:rPr>
            </w:pPr>
            <w:r>
              <w:rPr>
                <w:rFonts w:ascii="Arial" w:cs="Arial" w:eastAsia="Arial" w:hAnsi="Arial"/>
                <w:sz w:val="18"/>
                <w:szCs w:val="18"/>
                <w:b w:val="1"/>
                <w:bCs w:val="1"/>
                <w:color w:val="auto"/>
              </w:rPr>
              <w:t>Net income of Medical</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20" w:type="dxa"/>
            <w:vAlign w:val="bottom"/>
            <w:gridSpan w:val="2"/>
          </w:tcPr>
          <w:p>
            <w:pPr>
              <w:spacing w:after="0"/>
              <w:rPr>
                <w:sz w:val="20"/>
                <w:szCs w:val="20"/>
                <w:color w:val="auto"/>
              </w:rPr>
            </w:pPr>
            <w:r>
              <w:rPr>
                <w:rFonts w:ascii="Arial" w:cs="Arial" w:eastAsia="Arial" w:hAnsi="Arial"/>
                <w:sz w:val="18"/>
                <w:szCs w:val="18"/>
                <w:b w:val="1"/>
                <w:bCs w:val="1"/>
                <w:color w:val="auto"/>
              </w:rPr>
              <w:t>services</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-743</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9,280</w:t>
            </w: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11,805</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27.2%</w:t>
            </w:r>
          </w:p>
        </w:tc>
        <w:tc>
          <w:tcPr>
            <w:tcW w:w="260" w:type="dxa"/>
            <w:vAlign w:val="bottom"/>
          </w:tcPr>
          <w:p>
            <w:pPr>
              <w:spacing w:after="0"/>
              <w:rPr>
                <w:sz w:val="20"/>
                <w:szCs w:val="20"/>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N/A</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-122</w:t>
            </w: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30,536</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N/A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230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-1,606</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13,137</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17,074</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30.0%</w:t>
            </w:r>
          </w:p>
        </w:tc>
        <w:tc>
          <w:tcPr>
            <w:tcW w:w="260" w:type="dxa"/>
            <w:vAlign w:val="bottom"/>
          </w:tcPr>
          <w:p>
            <w:pPr>
              <w:spacing w:after="0"/>
              <w:rPr>
                <w:sz w:val="20"/>
                <w:szCs w:val="20"/>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N/A</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10,106</w:t>
            </w: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46,293</w:t>
            </w: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358.1%</w:t>
            </w:r>
          </w:p>
        </w:tc>
        <w:tc>
          <w:tcPr>
            <w:tcW w:w="0" w:type="dxa"/>
            <w:vAlign w:val="bottom"/>
          </w:tcPr>
          <w:p>
            <w:pPr>
              <w:spacing w:after="0"/>
              <w:rPr>
                <w:sz w:val="1"/>
                <w:szCs w:val="1"/>
                <w:color w:val="auto"/>
              </w:rPr>
            </w:pPr>
          </w:p>
        </w:tc>
      </w:tr>
      <w:tr>
        <w:trPr>
          <w:trHeight w:val="630"/>
        </w:trPr>
        <w:tc>
          <w:tcPr>
            <w:tcW w:w="20" w:type="dxa"/>
            <w:vAlign w:val="bottom"/>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bl>
    <w:p>
      <w:pPr>
        <w:sectPr>
          <w:pgSz w:w="11900" w:h="16838" w:orient="portrait"/>
          <w:cols w:equalWidth="0" w:num="1">
            <w:col w:w="11420"/>
          </w:cols>
          <w:pgMar w:left="240" w:top="905"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11.7  Prima AFP</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gridSpan w:val="2"/>
          </w:tcPr>
          <w:p>
            <w:pPr>
              <w:spacing w:after="0"/>
              <w:rPr>
                <w:sz w:val="20"/>
                <w:szCs w:val="20"/>
                <w:color w:val="auto"/>
              </w:rPr>
            </w:pPr>
            <w:r>
              <w:rPr>
                <w:rFonts w:ascii="Arial" w:cs="Arial" w:eastAsia="Arial" w:hAnsi="Arial"/>
                <w:sz w:val="14"/>
                <w:szCs w:val="14"/>
                <w:b w:val="1"/>
                <w:bCs w:val="1"/>
                <w:color w:val="auto"/>
              </w:rPr>
              <w:t>Main financial indicators</w:t>
            </w: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Quarter</w:t>
            </w: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3"/>
          </w:tcPr>
          <w:p>
            <w:pPr>
              <w:ind w:left="620"/>
              <w:spacing w:after="0"/>
              <w:rPr>
                <w:sz w:val="20"/>
                <w:szCs w:val="20"/>
                <w:color w:val="auto"/>
              </w:rPr>
            </w:pPr>
            <w:r>
              <w:rPr>
                <w:rFonts w:ascii="Arial" w:cs="Arial" w:eastAsia="Arial" w:hAnsi="Arial"/>
                <w:sz w:val="14"/>
                <w:szCs w:val="14"/>
                <w:b w:val="1"/>
                <w:bCs w:val="1"/>
                <w:color w:val="auto"/>
                <w:w w:val="94"/>
              </w:rPr>
              <w:t>% change</w:t>
            </w: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3"/>
          </w:tcPr>
          <w:p>
            <w:pPr>
              <w:ind w:left="780"/>
              <w:spacing w:after="0"/>
              <w:rPr>
                <w:sz w:val="20"/>
                <w:szCs w:val="20"/>
                <w:color w:val="auto"/>
              </w:rPr>
            </w:pPr>
            <w:r>
              <w:rPr>
                <w:rFonts w:ascii="Arial" w:cs="Arial" w:eastAsia="Arial" w:hAnsi="Arial"/>
                <w:sz w:val="14"/>
                <w:szCs w:val="14"/>
                <w:b w:val="1"/>
                <w:bCs w:val="1"/>
                <w:color w:val="auto"/>
              </w:rPr>
              <w:t>Year</w:t>
            </w: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 change</w:t>
            </w:r>
          </w:p>
        </w:tc>
        <w:tc>
          <w:tcPr>
            <w:tcW w:w="0" w:type="dxa"/>
            <w:vAlign w:val="bottom"/>
          </w:tcPr>
          <w:p>
            <w:pPr>
              <w:spacing w:after="0"/>
              <w:rPr>
                <w:sz w:val="1"/>
                <w:szCs w:val="1"/>
                <w:color w:val="auto"/>
              </w:rPr>
            </w:pPr>
          </w:p>
        </w:tc>
      </w:tr>
      <w:tr>
        <w:trPr>
          <w:trHeight w:val="171"/>
        </w:trPr>
        <w:tc>
          <w:tcPr>
            <w:tcW w:w="3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 000</w:t>
            </w: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4Q14</w:t>
            </w:r>
          </w:p>
        </w:tc>
        <w:tc>
          <w:tcPr>
            <w:tcW w:w="2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3Q15</w:t>
            </w:r>
          </w:p>
        </w:tc>
        <w:tc>
          <w:tcPr>
            <w:tcW w:w="2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4Q15</w:t>
            </w:r>
          </w:p>
        </w:tc>
        <w:tc>
          <w:tcPr>
            <w:tcW w:w="2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QoQ</w:t>
            </w:r>
          </w:p>
        </w:tc>
        <w:tc>
          <w:tcPr>
            <w:tcW w:w="2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YoY</w:t>
            </w:r>
          </w:p>
        </w:tc>
        <w:tc>
          <w:tcPr>
            <w:tcW w:w="2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2015 / 2014</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Total assets</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912,761</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808,888</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880,844</w:t>
            </w:r>
          </w:p>
        </w:tc>
        <w:tc>
          <w:tcPr>
            <w:tcW w:w="2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8.9%</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-3.5%</w:t>
            </w: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912,761</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880,844</w:t>
            </w: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49"/>
        </w:trPr>
        <w:tc>
          <w:tcPr>
            <w:tcW w:w="3200" w:type="dxa"/>
            <w:vAlign w:val="bottom"/>
            <w:gridSpan w:val="2"/>
          </w:tcPr>
          <w:p>
            <w:pPr>
              <w:spacing w:after="0" w:line="149" w:lineRule="exact"/>
              <w:rPr>
                <w:sz w:val="20"/>
                <w:szCs w:val="20"/>
                <w:color w:val="auto"/>
              </w:rPr>
            </w:pPr>
            <w:r>
              <w:rPr>
                <w:rFonts w:ascii="Arial" w:cs="Arial" w:eastAsia="Arial" w:hAnsi="Arial"/>
                <w:sz w:val="14"/>
                <w:szCs w:val="14"/>
                <w:color w:val="auto"/>
              </w:rPr>
              <w:t>Total liabilities</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316,799</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276,854</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296,039</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6.9%</w:t>
            </w:r>
          </w:p>
        </w:tc>
        <w:tc>
          <w:tcPr>
            <w:tcW w:w="22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-6.6%</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316,799</w:t>
            </w:r>
          </w:p>
        </w:tc>
        <w:tc>
          <w:tcPr>
            <w:tcW w:w="14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296,039</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62"/>
        </w:trPr>
        <w:tc>
          <w:tcPr>
            <w:tcW w:w="3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shareholders' equity</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595,962</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532,035</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584,805</w:t>
            </w:r>
          </w:p>
        </w:tc>
        <w:tc>
          <w:tcPr>
            <w:tcW w:w="2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9.9%</w:t>
            </w:r>
          </w:p>
        </w:tc>
        <w:tc>
          <w:tcPr>
            <w:tcW w:w="2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-1.9%</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595,962</w:t>
            </w: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584,805</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0"/>
        </w:trPr>
        <w:tc>
          <w:tcPr>
            <w:tcW w:w="3200" w:type="dxa"/>
            <w:vAlign w:val="bottom"/>
            <w:gridSpan w:val="2"/>
            <w:vMerge w:val="restart"/>
          </w:tcPr>
          <w:p>
            <w:pPr>
              <w:spacing w:after="0"/>
              <w:rPr>
                <w:sz w:val="20"/>
                <w:szCs w:val="20"/>
                <w:color w:val="auto"/>
              </w:rPr>
            </w:pPr>
            <w:r>
              <w:rPr>
                <w:rFonts w:ascii="Arial" w:cs="Arial" w:eastAsia="Arial" w:hAnsi="Arial"/>
                <w:sz w:val="14"/>
                <w:szCs w:val="14"/>
                <w:color w:val="auto"/>
              </w:rPr>
              <w:t>Income from commissions</w:t>
            </w:r>
          </w:p>
        </w:tc>
        <w:tc>
          <w:tcPr>
            <w:tcW w:w="8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200" w:type="dxa"/>
            <w:vAlign w:val="bottom"/>
            <w:gridSpan w:val="2"/>
            <w:vMerge w:val="continue"/>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97,534</w:t>
            </w:r>
          </w:p>
        </w:tc>
        <w:tc>
          <w:tcPr>
            <w:tcW w:w="240" w:type="dxa"/>
            <w:vAlign w:val="bottom"/>
            <w:vMerge w:val="continue"/>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100,148</w:t>
            </w:r>
          </w:p>
        </w:tc>
        <w:tc>
          <w:tcPr>
            <w:tcW w:w="240" w:type="dxa"/>
            <w:vAlign w:val="bottom"/>
            <w:vMerge w:val="continue"/>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97,565</w:t>
            </w:r>
          </w:p>
        </w:tc>
        <w:tc>
          <w:tcPr>
            <w:tcW w:w="240" w:type="dxa"/>
            <w:vAlign w:val="bottom"/>
            <w:vMerge w:val="continue"/>
          </w:tcPr>
          <w:p>
            <w:pPr>
              <w:spacing w:after="0"/>
              <w:rPr>
                <w:sz w:val="12"/>
                <w:szCs w:val="12"/>
                <w:color w:val="auto"/>
              </w:rPr>
            </w:pPr>
          </w:p>
        </w:tc>
        <w:tc>
          <w:tcPr>
            <w:tcW w:w="104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-2.6%</w:t>
            </w:r>
          </w:p>
        </w:tc>
        <w:tc>
          <w:tcPr>
            <w:tcW w:w="220" w:type="dxa"/>
            <w:vAlign w:val="bottom"/>
          </w:tcPr>
          <w:p>
            <w:pPr>
              <w:spacing w:after="0"/>
              <w:rPr>
                <w:sz w:val="12"/>
                <w:szCs w:val="12"/>
                <w:color w:val="auto"/>
              </w:rPr>
            </w:pPr>
          </w:p>
        </w:tc>
        <w:tc>
          <w:tcPr>
            <w:tcW w:w="82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0.0%</w:t>
            </w: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385,463</w:t>
            </w:r>
          </w:p>
        </w:tc>
        <w:tc>
          <w:tcPr>
            <w:tcW w:w="2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397,186</w:t>
            </w:r>
          </w:p>
        </w:tc>
        <w:tc>
          <w:tcPr>
            <w:tcW w:w="240" w:type="dxa"/>
            <w:vAlign w:val="bottom"/>
            <w:vMerge w:val="continue"/>
          </w:tcPr>
          <w:p>
            <w:pPr>
              <w:spacing w:after="0"/>
              <w:rPr>
                <w:sz w:val="12"/>
                <w:szCs w:val="12"/>
                <w:color w:val="auto"/>
              </w:rPr>
            </w:pPr>
          </w:p>
        </w:tc>
        <w:tc>
          <w:tcPr>
            <w:tcW w:w="94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9"/>
        </w:trPr>
        <w:tc>
          <w:tcPr>
            <w:tcW w:w="3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Administrative and sale expenses</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(38,532)</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(36,690)</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(37,360)</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-3.0%</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-144,854</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-149,976</w:t>
            </w: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49"/>
        </w:trPr>
        <w:tc>
          <w:tcPr>
            <w:tcW w:w="3200" w:type="dxa"/>
            <w:vAlign w:val="bottom"/>
            <w:gridSpan w:val="2"/>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(5,498)</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(4,773)</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(4,854)</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w:t>
            </w:r>
          </w:p>
        </w:tc>
        <w:tc>
          <w:tcPr>
            <w:tcW w:w="22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-11.7%</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-20,606</w:t>
            </w:r>
          </w:p>
        </w:tc>
        <w:tc>
          <w:tcPr>
            <w:tcW w:w="14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-19,248</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49"/>
        </w:trPr>
        <w:tc>
          <w:tcPr>
            <w:tcW w:w="3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Operating income</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53,503</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58,686</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55,351</w:t>
            </w: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-5.7%</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3.5%</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220,003</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227,962</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3.6%</w:t>
            </w:r>
          </w:p>
        </w:tc>
        <w:tc>
          <w:tcPr>
            <w:tcW w:w="0" w:type="dxa"/>
            <w:vAlign w:val="bottom"/>
          </w:tcPr>
          <w:p>
            <w:pPr>
              <w:spacing w:after="0"/>
              <w:rPr>
                <w:sz w:val="1"/>
                <w:szCs w:val="1"/>
                <w:color w:val="auto"/>
              </w:rPr>
            </w:pPr>
          </w:p>
        </w:tc>
      </w:tr>
      <w:tr>
        <w:trPr>
          <w:trHeight w:val="149"/>
        </w:trPr>
        <w:tc>
          <w:tcPr>
            <w:tcW w:w="3200" w:type="dxa"/>
            <w:vAlign w:val="bottom"/>
            <w:gridSpan w:val="2"/>
          </w:tcPr>
          <w:p>
            <w:pPr>
              <w:spacing w:after="0" w:line="149" w:lineRule="exact"/>
              <w:rPr>
                <w:sz w:val="20"/>
                <w:szCs w:val="20"/>
                <w:color w:val="auto"/>
              </w:rPr>
            </w:pPr>
            <w:r>
              <w:rPr>
                <w:rFonts w:ascii="Arial" w:cs="Arial" w:eastAsia="Arial" w:hAnsi="Arial"/>
                <w:sz w:val="14"/>
                <w:szCs w:val="14"/>
                <w:color w:val="auto"/>
              </w:rPr>
              <w:t>Other income and expenses, net</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(2,204)</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(393)</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(1,112)</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183.0%</w:t>
            </w:r>
          </w:p>
        </w:tc>
        <w:tc>
          <w:tcPr>
            <w:tcW w:w="22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-49.5%</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865</w:t>
            </w:r>
          </w:p>
        </w:tc>
        <w:tc>
          <w:tcPr>
            <w:tcW w:w="14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-1,688</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-295.1%</w:t>
            </w:r>
          </w:p>
        </w:tc>
        <w:tc>
          <w:tcPr>
            <w:tcW w:w="0" w:type="dxa"/>
            <w:vAlign w:val="bottom"/>
          </w:tcPr>
          <w:p>
            <w:pPr>
              <w:spacing w:after="0"/>
              <w:rPr>
                <w:sz w:val="1"/>
                <w:szCs w:val="1"/>
                <w:color w:val="auto"/>
              </w:rPr>
            </w:pPr>
          </w:p>
        </w:tc>
      </w:tr>
      <w:tr>
        <w:trPr>
          <w:trHeight w:val="149"/>
        </w:trPr>
        <w:tc>
          <w:tcPr>
            <w:tcW w:w="3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Income tax</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(14,263)</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(18,136)</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(16,484)</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-9.1%</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15.6%</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-67,868</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-65,580</w:t>
            </w: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9"/>
        </w:trPr>
        <w:tc>
          <w:tcPr>
            <w:tcW w:w="32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Net income before translation results</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37,036</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40,157</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37,756</w:t>
            </w: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-6.0%</w:t>
            </w:r>
          </w:p>
        </w:tc>
        <w:tc>
          <w:tcPr>
            <w:tcW w:w="22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1.9%</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152,999</w:t>
            </w:r>
          </w:p>
        </w:tc>
        <w:tc>
          <w:tcPr>
            <w:tcW w:w="14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160,694</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5.0%</w:t>
            </w:r>
          </w:p>
        </w:tc>
        <w:tc>
          <w:tcPr>
            <w:tcW w:w="0" w:type="dxa"/>
            <w:vAlign w:val="bottom"/>
          </w:tcPr>
          <w:p>
            <w:pPr>
              <w:spacing w:after="0"/>
              <w:rPr>
                <w:sz w:val="1"/>
                <w:szCs w:val="1"/>
                <w:color w:val="auto"/>
              </w:rPr>
            </w:pPr>
          </w:p>
        </w:tc>
      </w:tr>
      <w:tr>
        <w:trPr>
          <w:trHeight w:val="149"/>
        </w:trPr>
        <w:tc>
          <w:tcPr>
            <w:tcW w:w="3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Translations results</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50</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(82)</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629</w:t>
            </w:r>
          </w:p>
        </w:tc>
        <w:tc>
          <w:tcPr>
            <w:tcW w:w="1260" w:type="dxa"/>
            <w:vAlign w:val="bottom"/>
            <w:gridSpan w:val="3"/>
            <w:shd w:val="clear" w:color="auto" w:fill="CCEEFF"/>
          </w:tcPr>
          <w:p>
            <w:pPr>
              <w:ind w:left="540"/>
              <w:spacing w:after="0" w:line="149" w:lineRule="exact"/>
              <w:rPr>
                <w:sz w:val="20"/>
                <w:szCs w:val="20"/>
                <w:color w:val="auto"/>
              </w:rPr>
            </w:pPr>
            <w:r>
              <w:rPr>
                <w:rFonts w:ascii="Arial" w:cs="Arial" w:eastAsia="Arial" w:hAnsi="Arial"/>
                <w:sz w:val="14"/>
                <w:szCs w:val="14"/>
                <w:color w:val="auto"/>
              </w:rPr>
              <w:t>N/A</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N/A</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364</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1,389</w:t>
            </w: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281.4%</w:t>
            </w:r>
          </w:p>
        </w:tc>
        <w:tc>
          <w:tcPr>
            <w:tcW w:w="0" w:type="dxa"/>
            <w:vAlign w:val="bottom"/>
          </w:tcPr>
          <w:p>
            <w:pPr>
              <w:spacing w:after="0"/>
              <w:rPr>
                <w:sz w:val="1"/>
                <w:szCs w:val="1"/>
                <w:color w:val="auto"/>
              </w:rPr>
            </w:pPr>
          </w:p>
        </w:tc>
      </w:tr>
      <w:tr>
        <w:trPr>
          <w:trHeight w:val="162"/>
        </w:trPr>
        <w:tc>
          <w:tcPr>
            <w:tcW w:w="3200" w:type="dxa"/>
            <w:vAlign w:val="bottom"/>
            <w:gridSpan w:val="2"/>
          </w:tcPr>
          <w:p>
            <w:pPr>
              <w:spacing w:after="0"/>
              <w:rPr>
                <w:sz w:val="20"/>
                <w:szCs w:val="20"/>
                <w:color w:val="auto"/>
              </w:rPr>
            </w:pPr>
            <w:r>
              <w:rPr>
                <w:rFonts w:ascii="Arial" w:cs="Arial" w:eastAsia="Arial" w:hAnsi="Arial"/>
                <w:sz w:val="14"/>
                <w:szCs w:val="14"/>
                <w:b w:val="1"/>
                <w:bCs w:val="1"/>
                <w:color w:val="auto"/>
              </w:rPr>
              <w:t>Net income</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37,086</w:t>
            </w: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40,074</w:t>
            </w: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38,385</w:t>
            </w:r>
          </w:p>
        </w:tc>
        <w:tc>
          <w:tcPr>
            <w:tcW w:w="24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-4.2%</w:t>
            </w:r>
          </w:p>
        </w:tc>
        <w:tc>
          <w:tcPr>
            <w:tcW w:w="22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3.5%</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153,364</w:t>
            </w:r>
          </w:p>
        </w:tc>
        <w:tc>
          <w:tcPr>
            <w:tcW w:w="14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162,084</w:t>
            </w: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rPr>
              <w:t>5.7%</w:t>
            </w:r>
          </w:p>
        </w:tc>
        <w:tc>
          <w:tcPr>
            <w:tcW w:w="0" w:type="dxa"/>
            <w:vAlign w:val="bottom"/>
          </w:tcPr>
          <w:p>
            <w:pPr>
              <w:spacing w:after="0"/>
              <w:rPr>
                <w:sz w:val="1"/>
                <w:szCs w:val="1"/>
                <w:color w:val="auto"/>
              </w:rPr>
            </w:pPr>
          </w:p>
        </w:tc>
      </w:tr>
      <w:tr>
        <w:trPr>
          <w:trHeight w:val="20"/>
        </w:trPr>
        <w:tc>
          <w:tcPr>
            <w:tcW w:w="3200" w:type="dxa"/>
            <w:vAlign w:val="bottom"/>
            <w:gridSpan w:val="2"/>
            <w:vMerge w:val="restart"/>
            <w:shd w:val="clear" w:color="auto" w:fill="CCEEFF"/>
          </w:tcPr>
          <w:p>
            <w:pPr>
              <w:spacing w:after="0" w:line="202" w:lineRule="exact"/>
              <w:rPr>
                <w:sz w:val="20"/>
                <w:szCs w:val="20"/>
                <w:color w:val="auto"/>
              </w:rPr>
            </w:pPr>
            <w:r>
              <w:rPr>
                <w:rFonts w:ascii="Arial" w:cs="Arial" w:eastAsia="Arial" w:hAnsi="Arial"/>
                <w:sz w:val="14"/>
                <w:szCs w:val="14"/>
                <w:b w:val="1"/>
                <w:bCs w:val="1"/>
                <w:color w:val="auto"/>
              </w:rPr>
              <w:t xml:space="preserve">ROAE </w:t>
            </w:r>
            <w:r>
              <w:rPr>
                <w:rFonts w:ascii="Arial" w:cs="Arial" w:eastAsia="Arial" w:hAnsi="Arial"/>
                <w:sz w:val="23"/>
                <w:szCs w:val="23"/>
                <w:b w:val="1"/>
                <w:bCs w:val="1"/>
                <w:color w:val="auto"/>
                <w:vertAlign w:val="superscript"/>
              </w:rPr>
              <w:t>(1)</w:t>
            </w: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00" w:type="dxa"/>
            <w:vAlign w:val="bottom"/>
            <w:gridSpan w:val="2"/>
            <w:vMerge w:val="continue"/>
            <w:shd w:val="clear" w:color="auto" w:fill="CCEEFF"/>
          </w:tcPr>
          <w:p>
            <w:pPr>
              <w:spacing w:after="0"/>
              <w:rPr>
                <w:sz w:val="15"/>
                <w:szCs w:val="15"/>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26.2%</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30.8%</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27.5%</w:t>
            </w:r>
          </w:p>
        </w:tc>
        <w:tc>
          <w:tcPr>
            <w:tcW w:w="8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28.0%</w:t>
            </w:r>
          </w:p>
        </w:tc>
        <w:tc>
          <w:tcPr>
            <w:tcW w:w="1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27.5%</w:t>
            </w: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Net shareholders' equity includes unrealized gains from Prima's investment portfolio.</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Funds under management</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46"/>
        </w:trPr>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Funds under management</w:t>
            </w:r>
          </w:p>
        </w:tc>
        <w:tc>
          <w:tcPr>
            <w:tcW w:w="80" w:type="dxa"/>
            <w:vAlign w:val="bottom"/>
            <w:tcBorders>
              <w:bottom w:val="single" w:sz="8" w:color="CCEEFF"/>
            </w:tcBorders>
          </w:tcPr>
          <w:p>
            <w:pPr>
              <w:spacing w:after="0"/>
              <w:rPr>
                <w:sz w:val="24"/>
                <w:szCs w:val="24"/>
                <w:color w:val="auto"/>
              </w:rPr>
            </w:pP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Sep 15</w:t>
            </w:r>
          </w:p>
        </w:tc>
        <w:tc>
          <w:tcPr>
            <w:tcW w:w="120" w:type="dxa"/>
            <w:vAlign w:val="bottom"/>
            <w:tcBorders>
              <w:bottom w:val="single" w:sz="8" w:color="CCEEFF"/>
            </w:tcBorders>
          </w:tcPr>
          <w:p>
            <w:pPr>
              <w:spacing w:after="0"/>
              <w:rPr>
                <w:sz w:val="24"/>
                <w:szCs w:val="24"/>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 share</w:t>
            </w:r>
          </w:p>
        </w:tc>
        <w:tc>
          <w:tcPr>
            <w:tcW w:w="220" w:type="dxa"/>
            <w:vAlign w:val="bottom"/>
            <w:tcBorders>
              <w:bottom w:val="single" w:sz="8" w:color="CCEEFF"/>
            </w:tcBorders>
          </w:tcPr>
          <w:p>
            <w:pPr>
              <w:spacing w:after="0"/>
              <w:rPr>
                <w:sz w:val="24"/>
                <w:szCs w:val="24"/>
                <w:color w:val="auto"/>
              </w:rPr>
            </w:pPr>
          </w:p>
        </w:tc>
        <w:tc>
          <w:tcPr>
            <w:tcW w:w="8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Dec 15</w:t>
            </w:r>
          </w:p>
        </w:tc>
        <w:tc>
          <w:tcPr>
            <w:tcW w:w="140" w:type="dxa"/>
            <w:vAlign w:val="bottom"/>
            <w:tcBorders>
              <w:bottom w:val="single" w:sz="8" w:color="CCEEFF"/>
            </w:tcBorders>
          </w:tcPr>
          <w:p>
            <w:pPr>
              <w:spacing w:after="0"/>
              <w:rPr>
                <w:sz w:val="24"/>
                <w:szCs w:val="24"/>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 share</w:t>
            </w:r>
          </w:p>
        </w:tc>
        <w:tc>
          <w:tcPr>
            <w:tcW w:w="140" w:type="dxa"/>
            <w:vAlign w:val="bottom"/>
            <w:tcBorders>
              <w:bottom w:val="single" w:sz="8" w:color="CCEEFF"/>
            </w:tcBorders>
          </w:tcPr>
          <w:p>
            <w:pPr>
              <w:spacing w:after="0"/>
              <w:rPr>
                <w:sz w:val="24"/>
                <w:szCs w:val="24"/>
                <w:color w:val="auto"/>
              </w:rPr>
            </w:pPr>
          </w:p>
        </w:tc>
      </w:tr>
      <w:tr>
        <w:trPr>
          <w:trHeight w:val="210"/>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Fund 1</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5,122</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Fund 2</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24,936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67.7%</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26,750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68.0%</w:t>
            </w:r>
          </w:p>
        </w:tc>
      </w:tr>
      <w:tr>
        <w:trPr>
          <w:trHeight w:val="230"/>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Fund 3</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7,200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7,473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w:t>
            </w:r>
          </w:p>
        </w:tc>
      </w:tr>
      <w:tr>
        <w:trPr>
          <w:trHeight w:val="210"/>
        </w:trPr>
        <w:tc>
          <w:tcPr>
            <w:tcW w:w="3880" w:type="dxa"/>
            <w:vAlign w:val="bottom"/>
            <w:gridSpan w:val="2"/>
          </w:tcPr>
          <w:p>
            <w:pPr>
              <w:spacing w:after="0"/>
              <w:rPr>
                <w:sz w:val="20"/>
                <w:szCs w:val="20"/>
                <w:color w:val="auto"/>
              </w:rPr>
            </w:pPr>
            <w:r>
              <w:rPr>
                <w:rFonts w:ascii="Arial" w:cs="Arial" w:eastAsia="Arial" w:hAnsi="Arial"/>
                <w:sz w:val="18"/>
                <w:szCs w:val="18"/>
                <w:color w:val="auto"/>
              </w:rPr>
              <w:t>Total S/. Millions</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36,847</w:t>
            </w:r>
          </w:p>
        </w:tc>
        <w:tc>
          <w:tcPr>
            <w:tcW w:w="12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39,345</w:t>
            </w:r>
          </w:p>
        </w:tc>
        <w:tc>
          <w:tcPr>
            <w:tcW w:w="14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3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gridSpan w:val="3"/>
          </w:tcPr>
          <w:p>
            <w:pPr>
              <w:spacing w:after="0"/>
              <w:rPr>
                <w:sz w:val="20"/>
                <w:szCs w:val="20"/>
                <w:color w:val="auto"/>
              </w:rPr>
            </w:pPr>
            <w:r>
              <w:rPr>
                <w:rFonts w:ascii="Arial" w:cs="Arial" w:eastAsia="Arial" w:hAnsi="Arial"/>
                <w:sz w:val="18"/>
                <w:szCs w:val="18"/>
                <w:b w:val="1"/>
                <w:bCs w:val="1"/>
                <w:i w:val="1"/>
                <w:iCs w:val="1"/>
                <w:color w:val="auto"/>
                <w:w w:val="93"/>
              </w:rPr>
              <w:t>Nominal profitability over the last 12 months</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1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920" w:type="dxa"/>
            <w:vAlign w:val="bottom"/>
            <w:gridSpan w:val="9"/>
          </w:tcPr>
          <w:p>
            <w:pPr>
              <w:jc w:val="right"/>
              <w:ind w:right="380"/>
              <w:spacing w:after="0"/>
              <w:rPr>
                <w:sz w:val="20"/>
                <w:szCs w:val="20"/>
                <w:color w:val="auto"/>
              </w:rPr>
            </w:pPr>
            <w:r>
              <w:rPr>
                <w:rFonts w:ascii="Arial" w:cs="Arial" w:eastAsia="Arial" w:hAnsi="Arial"/>
                <w:sz w:val="18"/>
                <w:szCs w:val="18"/>
                <w:b w:val="1"/>
                <w:bCs w:val="1"/>
                <w:color w:val="auto"/>
                <w:w w:val="92"/>
              </w:rPr>
              <w:t>Sep 15 / Sep 14  Dec 15 / Dec 14</w:t>
            </w: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Fund 1</w:t>
            </w:r>
          </w:p>
        </w:tc>
        <w:tc>
          <w:tcPr>
            <w:tcW w:w="10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Fund 2</w:t>
            </w: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80" w:type="dxa"/>
            <w:vAlign w:val="bottom"/>
            <w:gridSpan w:val="4"/>
          </w:tcPr>
          <w:p>
            <w:pPr>
              <w:jc w:val="right"/>
              <w:ind w:right="80"/>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Fund 3</w:t>
            </w:r>
          </w:p>
        </w:tc>
        <w:tc>
          <w:tcPr>
            <w:tcW w:w="10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720" w:type="dxa"/>
            <w:vAlign w:val="bottom"/>
          </w:tcPr>
          <w:p>
            <w:pPr>
              <w:spacing w:after="0"/>
              <w:rPr>
                <w:sz w:val="20"/>
                <w:szCs w:val="20"/>
                <w:color w:val="auto"/>
              </w:rPr>
            </w:pPr>
            <w:r>
              <w:rPr>
                <w:rFonts w:ascii="Arial" w:cs="Arial" w:eastAsia="Arial" w:hAnsi="Arial"/>
                <w:sz w:val="18"/>
                <w:szCs w:val="18"/>
                <w:b w:val="1"/>
                <w:bCs w:val="1"/>
                <w:i w:val="1"/>
                <w:iCs w:val="1"/>
                <w:color w:val="auto"/>
              </w:rPr>
              <w:t>AFP commissions</w:t>
            </w:r>
          </w:p>
        </w:tc>
        <w:tc>
          <w:tcPr>
            <w:tcW w:w="1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720" w:type="dxa"/>
            <w:vAlign w:val="bottom"/>
          </w:tcPr>
          <w:p>
            <w:pPr>
              <w:spacing w:after="0"/>
              <w:rPr>
                <w:sz w:val="20"/>
                <w:szCs w:val="20"/>
                <w:color w:val="auto"/>
              </w:rPr>
            </w:pPr>
            <w:r>
              <w:rPr>
                <w:rFonts w:ascii="Arial" w:cs="Arial" w:eastAsia="Arial" w:hAnsi="Arial"/>
                <w:sz w:val="18"/>
                <w:szCs w:val="18"/>
                <w:b w:val="1"/>
                <w:bCs w:val="1"/>
                <w:color w:val="auto"/>
              </w:rPr>
              <w:t>Fee based on flow</w:t>
            </w:r>
          </w:p>
        </w:tc>
        <w:tc>
          <w:tcPr>
            <w:tcW w:w="1080" w:type="dxa"/>
            <w:vAlign w:val="bottom"/>
          </w:tcPr>
          <w:p>
            <w:pPr>
              <w:jc w:val="right"/>
              <w:ind w:right="530"/>
              <w:spacing w:after="0"/>
              <w:rPr>
                <w:sz w:val="20"/>
                <w:szCs w:val="20"/>
                <w:color w:val="auto"/>
              </w:rPr>
            </w:pPr>
            <w:r>
              <w:rPr>
                <w:rFonts w:ascii="Arial" w:cs="Arial" w:eastAsia="Arial" w:hAnsi="Arial"/>
                <w:sz w:val="18"/>
                <w:szCs w:val="18"/>
                <w:color w:val="auto"/>
                <w:w w:val="86"/>
              </w:rPr>
              <w:t>1.60%</w:t>
            </w:r>
          </w:p>
        </w:tc>
        <w:tc>
          <w:tcPr>
            <w:tcW w:w="3700" w:type="dxa"/>
            <w:vAlign w:val="bottom"/>
            <w:gridSpan w:val="10"/>
          </w:tcPr>
          <w:p>
            <w:pPr>
              <w:ind w:left="80"/>
              <w:spacing w:after="0"/>
              <w:rPr>
                <w:sz w:val="20"/>
                <w:szCs w:val="20"/>
                <w:color w:val="auto"/>
              </w:rPr>
            </w:pPr>
            <w:r>
              <w:rPr>
                <w:rFonts w:ascii="Arial" w:cs="Arial" w:eastAsia="Arial" w:hAnsi="Arial"/>
                <w:sz w:val="18"/>
                <w:szCs w:val="18"/>
                <w:color w:val="auto"/>
                <w:w w:val="97"/>
              </w:rPr>
              <w:t>Applied to the affiliates' monthly remuneration.</w:t>
            </w: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720" w:type="dxa"/>
            <w:vAlign w:val="bottom"/>
          </w:tcPr>
          <w:p>
            <w:pPr>
              <w:spacing w:after="0"/>
              <w:rPr>
                <w:sz w:val="20"/>
                <w:szCs w:val="20"/>
                <w:color w:val="auto"/>
              </w:rPr>
            </w:pPr>
            <w:r>
              <w:rPr>
                <w:rFonts w:ascii="Arial" w:cs="Arial" w:eastAsia="Arial" w:hAnsi="Arial"/>
                <w:sz w:val="18"/>
                <w:szCs w:val="18"/>
                <w:b w:val="1"/>
                <w:bCs w:val="1"/>
                <w:color w:val="auto"/>
              </w:rPr>
              <w:t>Mixed fee</w:t>
            </w:r>
          </w:p>
        </w:tc>
        <w:tc>
          <w:tcPr>
            <w:tcW w:w="10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Flow</w:t>
            </w:r>
          </w:p>
        </w:tc>
        <w:tc>
          <w:tcPr>
            <w:tcW w:w="1080" w:type="dxa"/>
            <w:vAlign w:val="bottom"/>
          </w:tcPr>
          <w:p>
            <w:pPr>
              <w:jc w:val="right"/>
              <w:ind w:right="530"/>
              <w:spacing w:after="0"/>
              <w:rPr>
                <w:sz w:val="20"/>
                <w:szCs w:val="20"/>
                <w:color w:val="auto"/>
              </w:rPr>
            </w:pPr>
            <w:r>
              <w:rPr>
                <w:rFonts w:ascii="Arial" w:cs="Arial" w:eastAsia="Arial" w:hAnsi="Arial"/>
                <w:sz w:val="18"/>
                <w:szCs w:val="18"/>
                <w:color w:val="auto"/>
                <w:w w:val="86"/>
              </w:rPr>
              <w:t>1.19%</w:t>
            </w:r>
          </w:p>
        </w:tc>
        <w:tc>
          <w:tcPr>
            <w:tcW w:w="7440" w:type="dxa"/>
            <w:vAlign w:val="bottom"/>
            <w:gridSpan w:val="16"/>
          </w:tcPr>
          <w:p>
            <w:pPr>
              <w:ind w:left="80"/>
              <w:spacing w:after="0"/>
              <w:rPr>
                <w:sz w:val="20"/>
                <w:szCs w:val="20"/>
                <w:color w:val="auto"/>
              </w:rPr>
            </w:pPr>
            <w:r>
              <w:rPr>
                <w:rFonts w:ascii="Arial" w:cs="Arial" w:eastAsia="Arial" w:hAnsi="Arial"/>
                <w:sz w:val="18"/>
                <w:szCs w:val="18"/>
                <w:color w:val="auto"/>
              </w:rPr>
              <w:t>Applied to the affiliates' monthly remuneration since February 2015, before it was 1.51%.</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Balance</w:t>
            </w:r>
          </w:p>
        </w:tc>
        <w:tc>
          <w:tcPr>
            <w:tcW w:w="1080" w:type="dxa"/>
            <w:vAlign w:val="bottom"/>
          </w:tcPr>
          <w:p>
            <w:pPr>
              <w:jc w:val="right"/>
              <w:ind w:right="530"/>
              <w:spacing w:after="0"/>
              <w:rPr>
                <w:sz w:val="20"/>
                <w:szCs w:val="20"/>
                <w:color w:val="auto"/>
              </w:rPr>
            </w:pPr>
            <w:r>
              <w:rPr>
                <w:rFonts w:ascii="Arial" w:cs="Arial" w:eastAsia="Arial" w:hAnsi="Arial"/>
                <w:sz w:val="18"/>
                <w:szCs w:val="18"/>
                <w:color w:val="auto"/>
                <w:w w:val="86"/>
              </w:rPr>
              <w:t>1.25%</w:t>
            </w:r>
          </w:p>
        </w:tc>
        <w:tc>
          <w:tcPr>
            <w:tcW w:w="8620" w:type="dxa"/>
            <w:vAlign w:val="bottom"/>
            <w:gridSpan w:val="18"/>
          </w:tcPr>
          <w:p>
            <w:pPr>
              <w:ind w:left="80"/>
              <w:spacing w:after="0"/>
              <w:rPr>
                <w:sz w:val="20"/>
                <w:szCs w:val="20"/>
                <w:color w:val="auto"/>
              </w:rPr>
            </w:pPr>
            <w:r>
              <w:rPr>
                <w:rFonts w:ascii="Arial" w:cs="Arial" w:eastAsia="Arial" w:hAnsi="Arial"/>
                <w:sz w:val="18"/>
                <w:szCs w:val="18"/>
                <w:color w:val="auto"/>
                <w:w w:val="91"/>
              </w:rPr>
              <w:t>Applies annualy to the new balance since February 2013 for new affiliates to the system and beginning on June 2013</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980" w:type="dxa"/>
            <w:vAlign w:val="bottom"/>
            <w:gridSpan w:val="12"/>
          </w:tcPr>
          <w:p>
            <w:pPr>
              <w:ind w:left="80"/>
              <w:spacing w:after="0"/>
              <w:rPr>
                <w:sz w:val="20"/>
                <w:szCs w:val="20"/>
                <w:color w:val="auto"/>
              </w:rPr>
            </w:pPr>
            <w:r>
              <w:rPr>
                <w:rFonts w:ascii="Arial" w:cs="Arial" w:eastAsia="Arial" w:hAnsi="Arial"/>
                <w:sz w:val="18"/>
                <w:szCs w:val="18"/>
                <w:color w:val="auto"/>
              </w:rPr>
              <w:t>for old affiliates who have chosen this commission scheme.</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720" w:type="dxa"/>
            <w:vAlign w:val="bottom"/>
          </w:tcPr>
          <w:p>
            <w:pPr>
              <w:spacing w:after="0"/>
              <w:rPr>
                <w:sz w:val="20"/>
                <w:szCs w:val="20"/>
                <w:color w:val="auto"/>
              </w:rPr>
            </w:pPr>
            <w:r>
              <w:rPr>
                <w:rFonts w:ascii="Arial" w:cs="Arial" w:eastAsia="Arial" w:hAnsi="Arial"/>
                <w:sz w:val="18"/>
                <w:szCs w:val="18"/>
                <w:b w:val="1"/>
                <w:bCs w:val="1"/>
                <w:i w:val="1"/>
                <w:iCs w:val="1"/>
                <w:color w:val="auto"/>
              </w:rPr>
              <w:t>Main indicators</w:t>
            </w:r>
          </w:p>
        </w:tc>
        <w:tc>
          <w:tcPr>
            <w:tcW w:w="1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1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4"/>
          </w:tcPr>
          <w:p>
            <w:pPr>
              <w:ind w:left="280"/>
              <w:spacing w:after="0"/>
              <w:rPr>
                <w:sz w:val="20"/>
                <w:szCs w:val="20"/>
                <w:color w:val="auto"/>
              </w:rPr>
            </w:pPr>
            <w:r>
              <w:rPr>
                <w:rFonts w:ascii="Arial" w:cs="Arial" w:eastAsia="Arial" w:hAnsi="Arial"/>
                <w:sz w:val="18"/>
                <w:szCs w:val="18"/>
                <w:b w:val="1"/>
                <w:bCs w:val="1"/>
                <w:color w:val="auto"/>
              </w:rPr>
              <w:t>Prima</w:t>
            </w:r>
          </w:p>
        </w:tc>
        <w:tc>
          <w:tcPr>
            <w:tcW w:w="122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System</w:t>
            </w:r>
          </w:p>
        </w:tc>
        <w:tc>
          <w:tcPr>
            <w:tcW w:w="1280" w:type="dxa"/>
            <w:vAlign w:val="bottom"/>
            <w:gridSpan w:val="2"/>
          </w:tcPr>
          <w:p>
            <w:pPr>
              <w:ind w:left="180"/>
              <w:spacing w:after="0"/>
              <w:rPr>
                <w:sz w:val="20"/>
                <w:szCs w:val="20"/>
                <w:color w:val="auto"/>
              </w:rPr>
            </w:pPr>
            <w:r>
              <w:rPr>
                <w:rFonts w:ascii="Arial" w:cs="Arial" w:eastAsia="Arial" w:hAnsi="Arial"/>
                <w:sz w:val="18"/>
                <w:szCs w:val="18"/>
                <w:b w:val="1"/>
                <w:bCs w:val="1"/>
                <w:color w:val="auto"/>
              </w:rPr>
              <w:t>% share</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Prima</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System</w:t>
            </w:r>
          </w:p>
        </w:tc>
        <w:tc>
          <w:tcPr>
            <w:tcW w:w="11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 share</w:t>
            </w:r>
          </w:p>
        </w:tc>
        <w:tc>
          <w:tcPr>
            <w:tcW w:w="0" w:type="dxa"/>
            <w:vAlign w:val="bottom"/>
          </w:tcPr>
          <w:p>
            <w:pPr>
              <w:spacing w:after="0"/>
              <w:rPr>
                <w:sz w:val="1"/>
                <w:szCs w:val="1"/>
                <w:color w:val="auto"/>
              </w:rPr>
            </w:pPr>
          </w:p>
        </w:tc>
      </w:tr>
      <w:tr>
        <w:trPr>
          <w:trHeight w:val="234"/>
        </w:trPr>
        <w:tc>
          <w:tcPr>
            <w:tcW w:w="2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7"/>
              </w:rPr>
              <w:t>Main indicators and market share</w:t>
            </w:r>
          </w:p>
        </w:tc>
        <w:tc>
          <w:tcPr>
            <w:tcW w:w="7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8"/>
                <w:szCs w:val="18"/>
                <w:b w:val="1"/>
                <w:bCs w:val="1"/>
                <w:color w:val="auto"/>
              </w:rPr>
              <w:t>3Q15</w:t>
            </w:r>
          </w:p>
        </w:tc>
        <w:tc>
          <w:tcPr>
            <w:tcW w:w="2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b w:val="1"/>
                <w:bCs w:val="1"/>
                <w:color w:val="auto"/>
              </w:rPr>
              <w:t>3Q15</w:t>
            </w:r>
          </w:p>
        </w:tc>
        <w:tc>
          <w:tcPr>
            <w:tcW w:w="22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3Q15</w:t>
            </w:r>
          </w:p>
        </w:tc>
        <w:tc>
          <w:tcPr>
            <w:tcW w:w="26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4Q15</w:t>
            </w:r>
          </w:p>
        </w:tc>
        <w:tc>
          <w:tcPr>
            <w:tcW w:w="2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4Q15</w:t>
            </w:r>
          </w:p>
        </w:tc>
        <w:tc>
          <w:tcPr>
            <w:tcW w:w="22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4Q15</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Affiliates</w:t>
            </w:r>
          </w:p>
        </w:tc>
        <w:tc>
          <w:tcPr>
            <w:tcW w:w="10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1,454,302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5,905,266</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24.6%</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1,454,766</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7"/>
              </w:rPr>
              <w:t>5,963,069</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57"/>
        </w:trPr>
        <w:tc>
          <w:tcPr>
            <w:tcW w:w="1720" w:type="dxa"/>
            <w:vAlign w:val="bottom"/>
          </w:tcPr>
          <w:p>
            <w:pPr>
              <w:spacing w:after="0" w:line="256" w:lineRule="exact"/>
              <w:rPr>
                <w:sz w:val="20"/>
                <w:szCs w:val="20"/>
                <w:color w:val="auto"/>
              </w:rPr>
            </w:pPr>
            <w:r>
              <w:rPr>
                <w:rFonts w:ascii="Arial" w:cs="Arial" w:eastAsia="Arial" w:hAnsi="Arial"/>
                <w:sz w:val="18"/>
                <w:szCs w:val="18"/>
                <w:color w:val="auto"/>
              </w:rPr>
              <w:t xml:space="preserve">New affiliations </w:t>
            </w:r>
            <w:r>
              <w:rPr>
                <w:rFonts w:ascii="Arial" w:cs="Arial" w:eastAsia="Arial" w:hAnsi="Arial"/>
                <w:sz w:val="29"/>
                <w:szCs w:val="29"/>
                <w:color w:val="auto"/>
                <w:vertAlign w:val="superscript"/>
              </w:rPr>
              <w:t>(1)</w:t>
            </w:r>
          </w:p>
        </w:tc>
        <w:tc>
          <w:tcPr>
            <w:tcW w:w="10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700" w:type="dxa"/>
            <w:vAlign w:val="bottom"/>
            <w:gridSpan w:val="6"/>
          </w:tcPr>
          <w:p>
            <w:pPr>
              <w:jc w:val="right"/>
              <w:ind w:right="220"/>
              <w:spacing w:after="0"/>
              <w:rPr>
                <w:sz w:val="20"/>
                <w:szCs w:val="20"/>
                <w:color w:val="auto"/>
              </w:rPr>
            </w:pPr>
            <w:r>
              <w:rPr>
                <w:rFonts w:ascii="Arial" w:cs="Arial" w:eastAsia="Arial" w:hAnsi="Arial"/>
                <w:sz w:val="18"/>
                <w:szCs w:val="18"/>
                <w:color w:val="auto"/>
              </w:rPr>
              <w:t>2</w:t>
            </w: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72,155</w:t>
            </w:r>
          </w:p>
        </w:tc>
        <w:tc>
          <w:tcPr>
            <w:tcW w:w="1280" w:type="dxa"/>
            <w:vAlign w:val="bottom"/>
            <w:gridSpan w:val="2"/>
          </w:tcPr>
          <w:p>
            <w:pPr>
              <w:ind w:left="700"/>
              <w:spacing w:after="0"/>
              <w:rPr>
                <w:sz w:val="20"/>
                <w:szCs w:val="20"/>
                <w:color w:val="auto"/>
              </w:rPr>
            </w:pPr>
            <w:r>
              <w:rPr>
                <w:rFonts w:ascii="Arial" w:cs="Arial" w:eastAsia="Arial" w:hAnsi="Arial"/>
                <w:sz w:val="18"/>
                <w:szCs w:val="18"/>
                <w:color w:val="auto"/>
              </w:rPr>
              <w:t>0.00</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67,664</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3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Funds under management (S/. Millions)</w:t>
            </w:r>
          </w:p>
        </w:tc>
        <w:tc>
          <w:tcPr>
            <w:tcW w:w="1700" w:type="dxa"/>
            <w:vAlign w:val="bottom"/>
            <w:gridSpan w:val="6"/>
            <w:shd w:val="clear" w:color="auto" w:fill="CCEEFF"/>
          </w:tcPr>
          <w:p>
            <w:pPr>
              <w:jc w:val="right"/>
              <w:ind w:right="220"/>
              <w:spacing w:after="0"/>
              <w:rPr>
                <w:sz w:val="20"/>
                <w:szCs w:val="20"/>
                <w:color w:val="auto"/>
              </w:rPr>
            </w:pPr>
            <w:r>
              <w:rPr>
                <w:rFonts w:ascii="Arial" w:cs="Arial" w:eastAsia="Arial" w:hAnsi="Arial"/>
                <w:sz w:val="18"/>
                <w:szCs w:val="18"/>
                <w:color w:val="auto"/>
              </w:rPr>
              <w:t>36,847</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115,817</w:t>
            </w:r>
          </w:p>
        </w:tc>
        <w:tc>
          <w:tcPr>
            <w:tcW w:w="12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31.8%</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39,345</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124,093</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57"/>
        </w:trPr>
        <w:tc>
          <w:tcPr>
            <w:tcW w:w="280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Collections (S/. Millions) </w:t>
            </w:r>
            <w:r>
              <w:rPr>
                <w:rFonts w:ascii="Arial" w:cs="Arial" w:eastAsia="Arial" w:hAnsi="Arial"/>
                <w:sz w:val="29"/>
                <w:szCs w:val="29"/>
                <w:color w:val="auto"/>
                <w:vertAlign w:val="superscript"/>
              </w:rPr>
              <w:t>(1)</w:t>
            </w:r>
          </w:p>
        </w:tc>
        <w:tc>
          <w:tcPr>
            <w:tcW w:w="780" w:type="dxa"/>
            <w:vAlign w:val="bottom"/>
          </w:tcPr>
          <w:p>
            <w:pPr>
              <w:spacing w:after="0"/>
              <w:rPr>
                <w:sz w:val="22"/>
                <w:szCs w:val="22"/>
                <w:color w:val="auto"/>
              </w:rPr>
            </w:pPr>
          </w:p>
        </w:tc>
        <w:tc>
          <w:tcPr>
            <w:tcW w:w="1700" w:type="dxa"/>
            <w:vAlign w:val="bottom"/>
            <w:gridSpan w:val="6"/>
          </w:tcPr>
          <w:p>
            <w:pPr>
              <w:jc w:val="right"/>
              <w:ind w:right="220"/>
              <w:spacing w:after="0"/>
              <w:rPr>
                <w:sz w:val="20"/>
                <w:szCs w:val="20"/>
                <w:color w:val="auto"/>
              </w:rPr>
            </w:pPr>
            <w:r>
              <w:rPr>
                <w:rFonts w:ascii="Arial" w:cs="Arial" w:eastAsia="Arial" w:hAnsi="Arial"/>
                <w:sz w:val="18"/>
                <w:szCs w:val="18"/>
                <w:color w:val="auto"/>
              </w:rPr>
              <w:t>724</w:t>
            </w: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2,227</w:t>
            </w:r>
          </w:p>
        </w:tc>
        <w:tc>
          <w:tcPr>
            <w:tcW w:w="1280" w:type="dxa"/>
            <w:vAlign w:val="bottom"/>
            <w:gridSpan w:val="2"/>
          </w:tcPr>
          <w:p>
            <w:pPr>
              <w:ind w:left="700"/>
              <w:spacing w:after="0"/>
              <w:rPr>
                <w:sz w:val="20"/>
                <w:szCs w:val="20"/>
                <w:color w:val="auto"/>
              </w:rPr>
            </w:pPr>
            <w:r>
              <w:rPr>
                <w:rFonts w:ascii="Arial" w:cs="Arial" w:eastAsia="Arial" w:hAnsi="Arial"/>
                <w:sz w:val="18"/>
                <w:szCs w:val="18"/>
                <w:color w:val="auto"/>
              </w:rPr>
              <w:t>32.5%</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719</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2,258</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16"/>
        </w:trPr>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Voluntary contributions (S/. Millions)</w:t>
            </w:r>
          </w:p>
        </w:tc>
        <w:tc>
          <w:tcPr>
            <w:tcW w:w="780" w:type="dxa"/>
            <w:vAlign w:val="bottom"/>
            <w:shd w:val="clear" w:color="auto" w:fill="CCEEFF"/>
          </w:tcPr>
          <w:p>
            <w:pPr>
              <w:spacing w:after="0"/>
              <w:rPr>
                <w:sz w:val="18"/>
                <w:szCs w:val="18"/>
                <w:color w:val="auto"/>
              </w:rPr>
            </w:pPr>
          </w:p>
        </w:tc>
        <w:tc>
          <w:tcPr>
            <w:tcW w:w="1700" w:type="dxa"/>
            <w:vAlign w:val="bottom"/>
            <w:gridSpan w:val="6"/>
            <w:shd w:val="clear" w:color="auto" w:fill="CCEEFF"/>
          </w:tcPr>
          <w:p>
            <w:pPr>
              <w:jc w:val="right"/>
              <w:ind w:right="220"/>
              <w:spacing w:after="0"/>
              <w:rPr>
                <w:sz w:val="20"/>
                <w:szCs w:val="20"/>
                <w:color w:val="auto"/>
              </w:rPr>
            </w:pPr>
            <w:r>
              <w:rPr>
                <w:rFonts w:ascii="Arial" w:cs="Arial" w:eastAsia="Arial" w:hAnsi="Arial"/>
                <w:sz w:val="18"/>
                <w:szCs w:val="18"/>
                <w:color w:val="auto"/>
              </w:rPr>
              <w:t>255</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585</w:t>
            </w:r>
          </w:p>
        </w:tc>
        <w:tc>
          <w:tcPr>
            <w:tcW w:w="12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43.5%</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256</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602</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42"/>
        </w:trPr>
        <w:tc>
          <w:tcPr>
            <w:tcW w:w="1720" w:type="dxa"/>
            <w:vAlign w:val="bottom"/>
          </w:tcPr>
          <w:p>
            <w:pPr>
              <w:spacing w:after="0" w:line="242" w:lineRule="exact"/>
              <w:rPr>
                <w:sz w:val="20"/>
                <w:szCs w:val="20"/>
                <w:color w:val="auto"/>
              </w:rPr>
            </w:pPr>
            <w:r>
              <w:rPr>
                <w:rFonts w:ascii="Arial" w:cs="Arial" w:eastAsia="Arial" w:hAnsi="Arial"/>
                <w:sz w:val="17"/>
                <w:szCs w:val="17"/>
                <w:color w:val="auto"/>
              </w:rPr>
              <w:t xml:space="preserve">RAM (S/. Millions) </w:t>
            </w:r>
            <w:r>
              <w:rPr>
                <w:rFonts w:ascii="Arial" w:cs="Arial" w:eastAsia="Arial" w:hAnsi="Arial"/>
                <w:sz w:val="28"/>
                <w:szCs w:val="28"/>
                <w:color w:val="auto"/>
                <w:vertAlign w:val="superscript"/>
              </w:rPr>
              <w:t>(2)</w:t>
            </w: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700" w:type="dxa"/>
            <w:vAlign w:val="bottom"/>
            <w:gridSpan w:val="6"/>
          </w:tcPr>
          <w:p>
            <w:pPr>
              <w:jc w:val="right"/>
              <w:ind w:right="220"/>
              <w:spacing w:after="0"/>
              <w:rPr>
                <w:sz w:val="20"/>
                <w:szCs w:val="20"/>
                <w:color w:val="auto"/>
              </w:rPr>
            </w:pPr>
            <w:r>
              <w:rPr>
                <w:rFonts w:ascii="Arial" w:cs="Arial" w:eastAsia="Arial" w:hAnsi="Arial"/>
                <w:sz w:val="18"/>
                <w:szCs w:val="18"/>
                <w:color w:val="auto"/>
              </w:rPr>
              <w:t>2,113</w:t>
            </w: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6,526</w:t>
            </w:r>
          </w:p>
        </w:tc>
        <w:tc>
          <w:tcPr>
            <w:tcW w:w="1280" w:type="dxa"/>
            <w:vAlign w:val="bottom"/>
            <w:gridSpan w:val="2"/>
          </w:tcPr>
          <w:p>
            <w:pPr>
              <w:ind w:left="700"/>
              <w:spacing w:after="0"/>
              <w:rPr>
                <w:sz w:val="20"/>
                <w:szCs w:val="20"/>
                <w:color w:val="auto"/>
              </w:rPr>
            </w:pPr>
            <w:r>
              <w:rPr>
                <w:rFonts w:ascii="Arial" w:cs="Arial" w:eastAsia="Arial" w:hAnsi="Arial"/>
                <w:sz w:val="18"/>
                <w:szCs w:val="18"/>
                <w:color w:val="auto"/>
              </w:rPr>
              <w:t>32.4%</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2,098</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6,630</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r>
              <w:rPr>
                <w:rFonts w:ascii="Arial" w:cs="Arial" w:eastAsia="Arial" w:hAnsi="Arial"/>
                <w:sz w:val="18"/>
                <w:szCs w:val="18"/>
                <w:color w:val="auto"/>
              </w:rPr>
              <w:t>Source: SBS</w:t>
            </w:r>
          </w:p>
        </w:tc>
        <w:tc>
          <w:tcPr>
            <w:tcW w:w="10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Accumulated to the quarter. Prima AFP's new affiliations correspond to fishing workers.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Prima AFP estimate: Average of aggregated income during the last 4 months, excluding special collections and voluntary contribution fees.</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34"/>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11.8  Credicorp</w:t>
            </w: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4660" w:type="dxa"/>
            <w:vAlign w:val="bottom"/>
            <w:gridSpan w:val="8"/>
          </w:tcPr>
          <w:p>
            <w:pPr>
              <w:jc w:val="center"/>
              <w:ind w:right="780"/>
              <w:spacing w:after="0"/>
              <w:rPr>
                <w:sz w:val="20"/>
                <w:szCs w:val="20"/>
                <w:color w:val="auto"/>
              </w:rPr>
            </w:pPr>
            <w:r>
              <w:rPr>
                <w:rFonts w:ascii="Arial" w:cs="Arial" w:eastAsia="Arial" w:hAnsi="Arial"/>
                <w:sz w:val="18"/>
                <w:szCs w:val="18"/>
                <w:b w:val="1"/>
                <w:bCs w:val="1"/>
                <w:color w:val="auto"/>
                <w:w w:val="99"/>
              </w:rPr>
              <w:t>CREDICORP LTD. AND SUBSIDIARIES</w:t>
            </w: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20" w:type="dxa"/>
            <w:vAlign w:val="bottom"/>
            <w:gridSpan w:val="5"/>
          </w:tcPr>
          <w:p>
            <w:pPr>
              <w:jc w:val="center"/>
              <w:spacing w:after="0"/>
              <w:rPr>
                <w:sz w:val="20"/>
                <w:szCs w:val="20"/>
                <w:color w:val="auto"/>
              </w:rPr>
            </w:pPr>
            <w:r>
              <w:rPr>
                <w:rFonts w:ascii="Arial" w:cs="Arial" w:eastAsia="Arial" w:hAnsi="Arial"/>
                <w:sz w:val="18"/>
                <w:szCs w:val="18"/>
                <w:b w:val="1"/>
                <w:bCs w:val="1"/>
                <w:color w:val="auto"/>
                <w:w w:val="99"/>
              </w:rPr>
              <w:t>CONSOLIDATED BALANCE SHEETS</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20" w:type="dxa"/>
            <w:vAlign w:val="bottom"/>
            <w:gridSpan w:val="5"/>
          </w:tcPr>
          <w:p>
            <w:pPr>
              <w:jc w:val="center"/>
              <w:spacing w:after="0"/>
              <w:rPr>
                <w:sz w:val="20"/>
                <w:szCs w:val="20"/>
                <w:color w:val="auto"/>
              </w:rPr>
            </w:pPr>
            <w:r>
              <w:rPr>
                <w:rFonts w:ascii="Arial" w:cs="Arial" w:eastAsia="Arial" w:hAnsi="Arial"/>
                <w:sz w:val="18"/>
                <w:szCs w:val="18"/>
                <w:b w:val="1"/>
                <w:bCs w:val="1"/>
                <w:color w:val="auto"/>
                <w:w w:val="92"/>
              </w:rPr>
              <w:t>(In S/. thousands, IFRS)</w:t>
            </w: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gridSpan w:val="3"/>
          </w:tcPr>
          <w:p>
            <w:pPr>
              <w:jc w:val="center"/>
              <w:ind w:right="540"/>
              <w:spacing w:after="0"/>
              <w:rPr>
                <w:sz w:val="20"/>
                <w:szCs w:val="20"/>
                <w:color w:val="auto"/>
              </w:rPr>
            </w:pPr>
            <w:r>
              <w:rPr>
                <w:rFonts w:ascii="Arial" w:cs="Arial" w:eastAsia="Arial" w:hAnsi="Arial"/>
                <w:sz w:val="18"/>
                <w:szCs w:val="18"/>
                <w:b w:val="1"/>
                <w:bCs w:val="1"/>
                <w:color w:val="auto"/>
                <w:w w:val="95"/>
              </w:rPr>
              <w:t>Quarter</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00" w:type="dxa"/>
            <w:vAlign w:val="bottom"/>
            <w:gridSpan w:val="3"/>
          </w:tcPr>
          <w:p>
            <w:pPr>
              <w:ind w:left="1020"/>
              <w:spacing w:after="0"/>
              <w:rPr>
                <w:sz w:val="20"/>
                <w:szCs w:val="20"/>
                <w:color w:val="auto"/>
              </w:rPr>
            </w:pPr>
            <w:r>
              <w:rPr>
                <w:rFonts w:ascii="Arial" w:cs="Arial" w:eastAsia="Arial" w:hAnsi="Arial"/>
                <w:sz w:val="18"/>
                <w:szCs w:val="18"/>
                <w:b w:val="1"/>
                <w:bCs w:val="1"/>
                <w:color w:val="auto"/>
              </w:rPr>
              <w:t>% change</w:t>
            </w: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4Q14</w:t>
            </w:r>
          </w:p>
        </w:tc>
        <w:tc>
          <w:tcPr>
            <w:tcW w:w="1760" w:type="dxa"/>
            <w:vAlign w:val="bottom"/>
            <w:gridSpan w:val="3"/>
          </w:tcPr>
          <w:p>
            <w:pPr>
              <w:jc w:val="center"/>
              <w:ind w:right="540"/>
              <w:spacing w:after="0"/>
              <w:rPr>
                <w:sz w:val="20"/>
                <w:szCs w:val="20"/>
                <w:color w:val="auto"/>
              </w:rPr>
            </w:pPr>
            <w:r>
              <w:rPr>
                <w:rFonts w:ascii="Arial" w:cs="Arial" w:eastAsia="Arial" w:hAnsi="Arial"/>
                <w:sz w:val="18"/>
                <w:szCs w:val="18"/>
                <w:b w:val="1"/>
                <w:bCs w:val="1"/>
                <w:color w:val="auto"/>
                <w:w w:val="95"/>
              </w:rPr>
              <w:t>3Q15</w:t>
            </w:r>
          </w:p>
        </w:tc>
        <w:tc>
          <w:tcPr>
            <w:tcW w:w="11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4Q15</w:t>
            </w:r>
          </w:p>
        </w:tc>
        <w:tc>
          <w:tcPr>
            <w:tcW w:w="1900" w:type="dxa"/>
            <w:vAlign w:val="bottom"/>
            <w:gridSpan w:val="3"/>
          </w:tcPr>
          <w:p>
            <w:pPr>
              <w:ind w:left="440"/>
              <w:spacing w:after="0"/>
              <w:rPr>
                <w:sz w:val="20"/>
                <w:szCs w:val="20"/>
                <w:color w:val="auto"/>
              </w:rPr>
            </w:pPr>
            <w:r>
              <w:rPr>
                <w:rFonts w:ascii="Arial" w:cs="Arial" w:eastAsia="Arial" w:hAnsi="Arial"/>
                <w:sz w:val="18"/>
                <w:szCs w:val="18"/>
                <w:b w:val="1"/>
                <w:bCs w:val="1"/>
                <w:color w:val="auto"/>
              </w:rPr>
              <w:t>QoQ</w:t>
            </w:r>
          </w:p>
        </w:tc>
        <w:tc>
          <w:tcPr>
            <w:tcW w:w="10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jc w:val="center"/>
              <w:ind w:left="90"/>
              <w:spacing w:after="0"/>
              <w:rPr>
                <w:sz w:val="20"/>
                <w:szCs w:val="20"/>
                <w:color w:val="auto"/>
              </w:rPr>
            </w:pPr>
            <w:r>
              <w:rPr>
                <w:rFonts w:ascii="Arial" w:cs="Arial" w:eastAsia="Arial" w:hAnsi="Arial"/>
                <w:sz w:val="18"/>
                <w:szCs w:val="18"/>
                <w:b w:val="1"/>
                <w:bCs w:val="1"/>
                <w:color w:val="auto"/>
                <w:w w:val="91"/>
              </w:rPr>
              <w:t>ASSETS</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b w:val="1"/>
                <w:bCs w:val="1"/>
                <w:color w:val="auto"/>
              </w:rPr>
              <w:t>Cash and due from banks</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Non-interest bearing</w:t>
            </w:r>
          </w:p>
        </w:tc>
        <w:tc>
          <w:tcPr>
            <w:tcW w:w="1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4,351,596</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3,426,781</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3,821,611</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Interest bearing</w:t>
            </w:r>
          </w:p>
        </w:tc>
        <w:tc>
          <w:tcPr>
            <w:tcW w:w="1760" w:type="dxa"/>
            <w:vAlign w:val="bottom"/>
            <w:gridSpan w:val="3"/>
          </w:tcPr>
          <w:p>
            <w:pPr>
              <w:jc w:val="right"/>
              <w:ind w:right="220"/>
              <w:spacing w:after="0"/>
              <w:rPr>
                <w:sz w:val="20"/>
                <w:szCs w:val="20"/>
                <w:color w:val="auto"/>
              </w:rPr>
            </w:pPr>
            <w:r>
              <w:rPr>
                <w:rFonts w:ascii="Arial" w:cs="Arial" w:eastAsia="Arial" w:hAnsi="Arial"/>
                <w:sz w:val="18"/>
                <w:szCs w:val="18"/>
                <w:color w:val="auto"/>
              </w:rPr>
              <w:t>21,161,164</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27,955,357</w:t>
            </w:r>
          </w:p>
        </w:tc>
        <w:tc>
          <w:tcPr>
            <w:tcW w:w="3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28,650,927</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2.5%</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Total cash and due from banks</w:t>
            </w:r>
          </w:p>
        </w:tc>
        <w:tc>
          <w:tcPr>
            <w:tcW w:w="1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25,512,760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31,382,138</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32,472,538</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3.5%</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27.3%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Trading securities, net</w:t>
            </w:r>
          </w:p>
        </w:tc>
        <w:tc>
          <w:tcPr>
            <w:tcW w:w="1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2,824,442</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2,608,267</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2,673,424</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2.5%</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Loans</w:t>
            </w:r>
          </w:p>
        </w:tc>
        <w:tc>
          <w:tcPr>
            <w:tcW w:w="1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79,889,948</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87,842,690</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90,328,499</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2.8%</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Current</w:t>
            </w:r>
          </w:p>
        </w:tc>
        <w:tc>
          <w:tcPr>
            <w:tcW w:w="1760" w:type="dxa"/>
            <w:vAlign w:val="bottom"/>
            <w:gridSpan w:val="3"/>
          </w:tcPr>
          <w:p>
            <w:pPr>
              <w:jc w:val="right"/>
              <w:ind w:right="220"/>
              <w:spacing w:after="0"/>
              <w:rPr>
                <w:sz w:val="20"/>
                <w:szCs w:val="20"/>
                <w:color w:val="auto"/>
              </w:rPr>
            </w:pPr>
            <w:r>
              <w:rPr>
                <w:rFonts w:ascii="Arial" w:cs="Arial" w:eastAsia="Arial" w:hAnsi="Arial"/>
                <w:sz w:val="18"/>
                <w:szCs w:val="18"/>
                <w:color w:val="auto"/>
              </w:rPr>
              <w:t>77,880,838</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85,586,035</w:t>
            </w:r>
          </w:p>
        </w:tc>
        <w:tc>
          <w:tcPr>
            <w:tcW w:w="3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88,017,645</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2.8%</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Internal overdue loans</w:t>
            </w:r>
          </w:p>
        </w:tc>
        <w:tc>
          <w:tcPr>
            <w:tcW w:w="1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2,009,109</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2,256,655</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2,310,854</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Less - allowance for loan losses</w:t>
            </w:r>
          </w:p>
        </w:tc>
        <w:tc>
          <w:tcPr>
            <w:tcW w:w="1760" w:type="dxa"/>
            <w:vAlign w:val="bottom"/>
            <w:gridSpan w:val="3"/>
          </w:tcPr>
          <w:p>
            <w:pPr>
              <w:jc w:val="right"/>
              <w:ind w:right="160"/>
              <w:spacing w:after="0"/>
              <w:rPr>
                <w:sz w:val="20"/>
                <w:szCs w:val="20"/>
                <w:color w:val="auto"/>
              </w:rPr>
            </w:pPr>
            <w:r>
              <w:rPr>
                <w:rFonts w:ascii="Arial" w:cs="Arial" w:eastAsia="Arial" w:hAnsi="Arial"/>
                <w:sz w:val="18"/>
                <w:szCs w:val="18"/>
                <w:color w:val="auto"/>
              </w:rPr>
              <w:t>(3,308,220)</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(3,674,654)</w:t>
            </w:r>
          </w:p>
        </w:tc>
        <w:tc>
          <w:tcPr>
            <w:tcW w:w="3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(3,840,337)</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4.5%</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Loans, net</w:t>
            </w:r>
          </w:p>
        </w:tc>
        <w:tc>
          <w:tcPr>
            <w:tcW w:w="1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76,581,728</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84,168,036</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86,488,162</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2.8%</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Investments securities available for sale</w:t>
            </w:r>
          </w:p>
        </w:tc>
        <w:tc>
          <w:tcPr>
            <w:tcW w:w="1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15,787,619</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19,152,134</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18,868,752</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b w:val="1"/>
                <w:bCs w:val="1"/>
                <w:color w:val="auto"/>
              </w:rPr>
              <w:t>Investments held to maturity</w:t>
            </w:r>
          </w:p>
        </w:tc>
        <w:tc>
          <w:tcPr>
            <w:tcW w:w="1760" w:type="dxa"/>
            <w:vAlign w:val="bottom"/>
            <w:gridSpan w:val="3"/>
          </w:tcPr>
          <w:p>
            <w:pPr>
              <w:jc w:val="right"/>
              <w:ind w:right="220"/>
              <w:spacing w:after="0"/>
              <w:rPr>
                <w:sz w:val="20"/>
                <w:szCs w:val="20"/>
                <w:color w:val="auto"/>
              </w:rPr>
            </w:pPr>
            <w:r>
              <w:rPr>
                <w:rFonts w:ascii="Arial" w:cs="Arial" w:eastAsia="Arial" w:hAnsi="Arial"/>
                <w:sz w:val="18"/>
                <w:szCs w:val="18"/>
                <w:color w:val="auto"/>
              </w:rPr>
              <w:t>2,669,778</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3,161,475</w:t>
            </w:r>
          </w:p>
        </w:tc>
        <w:tc>
          <w:tcPr>
            <w:tcW w:w="3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3,582,129</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13.3%</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Reinsurance assets</w:t>
            </w:r>
          </w:p>
        </w:tc>
        <w:tc>
          <w:tcPr>
            <w:tcW w:w="1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468,137</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440,615</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457,189</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b w:val="1"/>
                <w:bCs w:val="1"/>
                <w:color w:val="auto"/>
                <w:w w:val="96"/>
              </w:rPr>
              <w:t>Premiums and other policyholder receivables</w:t>
            </w:r>
          </w:p>
        </w:tc>
        <w:tc>
          <w:tcPr>
            <w:tcW w:w="1760" w:type="dxa"/>
            <w:vAlign w:val="bottom"/>
            <w:gridSpan w:val="3"/>
          </w:tcPr>
          <w:p>
            <w:pPr>
              <w:jc w:val="right"/>
              <w:ind w:right="220"/>
              <w:spacing w:after="0"/>
              <w:rPr>
                <w:sz w:val="20"/>
                <w:szCs w:val="20"/>
                <w:color w:val="auto"/>
              </w:rPr>
            </w:pPr>
            <w:r>
              <w:rPr>
                <w:rFonts w:ascii="Arial" w:cs="Arial" w:eastAsia="Arial" w:hAnsi="Arial"/>
                <w:sz w:val="18"/>
                <w:szCs w:val="18"/>
                <w:color w:val="auto"/>
              </w:rPr>
              <w:t>578,297</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599,846</w:t>
            </w:r>
          </w:p>
        </w:tc>
        <w:tc>
          <w:tcPr>
            <w:tcW w:w="3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648,017</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8.0%</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furniture and equipment, net</w:t>
            </w:r>
          </w:p>
        </w:tc>
        <w:tc>
          <w:tcPr>
            <w:tcW w:w="1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2,062,744</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1,854,665</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1,846,571</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b w:val="1"/>
                <w:bCs w:val="1"/>
                <w:color w:val="auto"/>
              </w:rPr>
              <w:t>Due from customers on acceptances</w:t>
            </w:r>
          </w:p>
        </w:tc>
        <w:tc>
          <w:tcPr>
            <w:tcW w:w="1760" w:type="dxa"/>
            <w:vAlign w:val="bottom"/>
            <w:gridSpan w:val="3"/>
          </w:tcPr>
          <w:p>
            <w:pPr>
              <w:jc w:val="right"/>
              <w:ind w:right="220"/>
              <w:spacing w:after="0"/>
              <w:rPr>
                <w:sz w:val="20"/>
                <w:szCs w:val="20"/>
                <w:color w:val="auto"/>
              </w:rPr>
            </w:pPr>
            <w:r>
              <w:rPr>
                <w:rFonts w:ascii="Arial" w:cs="Arial" w:eastAsia="Arial" w:hAnsi="Arial"/>
                <w:sz w:val="18"/>
                <w:szCs w:val="18"/>
                <w:color w:val="auto"/>
              </w:rPr>
              <w:t>167,654</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201,357</w:t>
            </w:r>
          </w:p>
        </w:tc>
        <w:tc>
          <w:tcPr>
            <w:tcW w:w="3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222,496</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10.5%</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760" w:type="dxa"/>
            <w:vAlign w:val="bottom"/>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 xml:space="preserve">Investments in associates </w:t>
            </w:r>
            <w:r>
              <w:rPr>
                <w:rFonts w:ascii="Arial" w:cs="Arial" w:eastAsia="Arial" w:hAnsi="Arial"/>
                <w:sz w:val="29"/>
                <w:szCs w:val="29"/>
                <w:b w:val="1"/>
                <w:bCs w:val="1"/>
                <w:color w:val="auto"/>
                <w:vertAlign w:val="superscript"/>
              </w:rPr>
              <w:t>(1)</w:t>
            </w:r>
          </w:p>
        </w:tc>
        <w:tc>
          <w:tcPr>
            <w:tcW w:w="1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81,274</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614,441</w:t>
            </w:r>
          </w:p>
        </w:tc>
        <w:tc>
          <w:tcPr>
            <w:tcW w:w="3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630,739</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w:t>
            </w:r>
          </w:p>
        </w:tc>
        <w:tc>
          <w:tcPr>
            <w:tcW w:w="3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760" w:type="dxa"/>
            <w:vAlign w:val="bottom"/>
          </w:tcPr>
          <w:p>
            <w:pPr>
              <w:spacing w:after="0" w:line="256" w:lineRule="exact"/>
              <w:rPr>
                <w:sz w:val="20"/>
                <w:szCs w:val="20"/>
                <w:color w:val="auto"/>
              </w:rPr>
            </w:pPr>
            <w:r>
              <w:rPr>
                <w:rFonts w:ascii="Arial" w:cs="Arial" w:eastAsia="Arial" w:hAnsi="Arial"/>
                <w:sz w:val="18"/>
                <w:szCs w:val="18"/>
                <w:b w:val="1"/>
                <w:bCs w:val="1"/>
                <w:color w:val="auto"/>
              </w:rPr>
              <w:t xml:space="preserve">Other assets </w:t>
            </w:r>
            <w:r>
              <w:rPr>
                <w:rFonts w:ascii="Arial" w:cs="Arial" w:eastAsia="Arial" w:hAnsi="Arial"/>
                <w:sz w:val="29"/>
                <w:szCs w:val="29"/>
                <w:b w:val="1"/>
                <w:bCs w:val="1"/>
                <w:color w:val="auto"/>
                <w:vertAlign w:val="superscript"/>
              </w:rPr>
              <w:t>(2)</w:t>
            </w:r>
          </w:p>
        </w:tc>
        <w:tc>
          <w:tcPr>
            <w:tcW w:w="1760" w:type="dxa"/>
            <w:vAlign w:val="bottom"/>
            <w:gridSpan w:val="3"/>
          </w:tcPr>
          <w:p>
            <w:pPr>
              <w:jc w:val="right"/>
              <w:ind w:right="220"/>
              <w:spacing w:after="0"/>
              <w:rPr>
                <w:sz w:val="20"/>
                <w:szCs w:val="20"/>
                <w:color w:val="auto"/>
              </w:rPr>
            </w:pPr>
            <w:r>
              <w:rPr>
                <w:rFonts w:ascii="Arial" w:cs="Arial" w:eastAsia="Arial" w:hAnsi="Arial"/>
                <w:sz w:val="18"/>
                <w:szCs w:val="18"/>
                <w:color w:val="auto"/>
              </w:rPr>
              <w:t>8,716,979</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8,619,706</w:t>
            </w:r>
          </w:p>
        </w:tc>
        <w:tc>
          <w:tcPr>
            <w:tcW w:w="300" w:type="dxa"/>
            <w:vAlign w:val="bottom"/>
          </w:tcPr>
          <w:p>
            <w:pPr>
              <w:spacing w:after="0"/>
              <w:rPr>
                <w:sz w:val="22"/>
                <w:szCs w:val="2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7,811,702</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-9.4%</w:t>
            </w:r>
          </w:p>
        </w:tc>
        <w:tc>
          <w:tcPr>
            <w:tcW w:w="360" w:type="dxa"/>
            <w:vAlign w:val="bottom"/>
          </w:tcPr>
          <w:p>
            <w:pPr>
              <w:spacing w:after="0"/>
              <w:rPr>
                <w:sz w:val="22"/>
                <w:szCs w:val="22"/>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jc w:val="center"/>
              <w:ind w:left="70"/>
              <w:spacing w:after="0"/>
              <w:rPr>
                <w:sz w:val="20"/>
                <w:szCs w:val="20"/>
                <w:color w:val="auto"/>
              </w:rPr>
            </w:pPr>
            <w:r>
              <w:rPr>
                <w:rFonts w:ascii="Arial" w:cs="Arial" w:eastAsia="Arial" w:hAnsi="Arial"/>
                <w:sz w:val="18"/>
                <w:szCs w:val="18"/>
                <w:b w:val="1"/>
                <w:bCs w:val="1"/>
                <w:color w:val="auto"/>
                <w:w w:val="84"/>
              </w:rPr>
              <w:t>Total assets</w:t>
            </w:r>
          </w:p>
        </w:tc>
        <w:tc>
          <w:tcPr>
            <w:tcW w:w="17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135,451,411</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152,802,680</w:t>
            </w:r>
          </w:p>
        </w:tc>
        <w:tc>
          <w:tcPr>
            <w:tcW w:w="3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1"/>
              </w:rPr>
              <w:t>155,701,719</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1.9%</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jc w:val="center"/>
              <w:ind w:left="90"/>
              <w:spacing w:after="0"/>
              <w:rPr>
                <w:sz w:val="20"/>
                <w:szCs w:val="20"/>
                <w:color w:val="auto"/>
              </w:rPr>
            </w:pPr>
            <w:r>
              <w:rPr>
                <w:rFonts w:ascii="Arial" w:cs="Arial" w:eastAsia="Arial" w:hAnsi="Arial"/>
                <w:sz w:val="18"/>
                <w:szCs w:val="18"/>
                <w:b w:val="1"/>
                <w:bCs w:val="1"/>
                <w:color w:val="auto"/>
              </w:rPr>
              <w:t>LIABILITIES AND EQUITY</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Deposits and obligations</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Non-interest bearing</w:t>
            </w:r>
          </w:p>
        </w:tc>
        <w:tc>
          <w:tcPr>
            <w:tcW w:w="1760" w:type="dxa"/>
            <w:vAlign w:val="bottom"/>
            <w:gridSpan w:val="3"/>
          </w:tcPr>
          <w:p>
            <w:pPr>
              <w:jc w:val="right"/>
              <w:ind w:right="220"/>
              <w:spacing w:after="0"/>
              <w:rPr>
                <w:sz w:val="20"/>
                <w:szCs w:val="20"/>
                <w:color w:val="auto"/>
              </w:rPr>
            </w:pPr>
            <w:r>
              <w:rPr>
                <w:rFonts w:ascii="Arial" w:cs="Arial" w:eastAsia="Arial" w:hAnsi="Arial"/>
                <w:sz w:val="18"/>
                <w:szCs w:val="18"/>
                <w:color w:val="auto"/>
              </w:rPr>
              <w:t>20,574,593</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23,240,530</w:t>
            </w:r>
          </w:p>
        </w:tc>
        <w:tc>
          <w:tcPr>
            <w:tcW w:w="3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24,311,350</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4.6%</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bearing</w:t>
            </w:r>
          </w:p>
        </w:tc>
        <w:tc>
          <w:tcPr>
            <w:tcW w:w="1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56,585,901</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63,186,177</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66,281,952</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Arial" w:cs="Arial" w:eastAsia="Arial" w:hAnsi="Arial"/>
                <w:sz w:val="18"/>
                <w:szCs w:val="18"/>
                <w:b w:val="1"/>
                <w:bCs w:val="1"/>
                <w:color w:val="auto"/>
              </w:rPr>
              <w:t>Total deposits and obligations</w:t>
            </w:r>
          </w:p>
        </w:tc>
        <w:tc>
          <w:tcPr>
            <w:tcW w:w="17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77,160,494</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86,426,707</w:t>
            </w:r>
          </w:p>
        </w:tc>
        <w:tc>
          <w:tcPr>
            <w:tcW w:w="3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90,593,302</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4.8%</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17.4%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b w:val="1"/>
                <w:bCs w:val="1"/>
                <w:color w:val="auto"/>
              </w:rPr>
              <w:t>BCRP instruments</w:t>
            </w:r>
          </w:p>
        </w:tc>
        <w:tc>
          <w:tcPr>
            <w:tcW w:w="1760" w:type="dxa"/>
            <w:vAlign w:val="bottom"/>
            <w:gridSpan w:val="3"/>
          </w:tcPr>
          <w:p>
            <w:pPr>
              <w:jc w:val="right"/>
              <w:ind w:right="220"/>
              <w:spacing w:after="0"/>
              <w:rPr>
                <w:sz w:val="20"/>
                <w:szCs w:val="20"/>
                <w:color w:val="auto"/>
              </w:rPr>
            </w:pPr>
            <w:r>
              <w:rPr>
                <w:rFonts w:ascii="Arial" w:cs="Arial" w:eastAsia="Arial" w:hAnsi="Arial"/>
                <w:sz w:val="18"/>
                <w:szCs w:val="18"/>
                <w:color w:val="auto"/>
              </w:rPr>
              <w:t>4,980,531</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11,863,340</w:t>
            </w:r>
          </w:p>
        </w:tc>
        <w:tc>
          <w:tcPr>
            <w:tcW w:w="3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10,612,840</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-10.5%</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Due to banks and correspondents</w:t>
            </w:r>
          </w:p>
        </w:tc>
        <w:tc>
          <w:tcPr>
            <w:tcW w:w="1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11,160,872</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9,737,111</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8,387,517</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b w:val="1"/>
                <w:bCs w:val="1"/>
                <w:color w:val="auto"/>
              </w:rPr>
              <w:t>Bonds and subordinated debt</w:t>
            </w:r>
          </w:p>
        </w:tc>
        <w:tc>
          <w:tcPr>
            <w:tcW w:w="1760" w:type="dxa"/>
            <w:vAlign w:val="bottom"/>
            <w:gridSpan w:val="3"/>
          </w:tcPr>
          <w:p>
            <w:pPr>
              <w:jc w:val="right"/>
              <w:ind w:right="220"/>
              <w:spacing w:after="0"/>
              <w:rPr>
                <w:sz w:val="20"/>
                <w:szCs w:val="20"/>
                <w:color w:val="auto"/>
              </w:rPr>
            </w:pPr>
            <w:r>
              <w:rPr>
                <w:rFonts w:ascii="Arial" w:cs="Arial" w:eastAsia="Arial" w:hAnsi="Arial"/>
                <w:sz w:val="18"/>
                <w:szCs w:val="18"/>
                <w:color w:val="auto"/>
              </w:rPr>
              <w:t>15,096,612</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16,016,573</w:t>
            </w:r>
          </w:p>
        </w:tc>
        <w:tc>
          <w:tcPr>
            <w:tcW w:w="3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16,305,819</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1.8%</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Acceptances outstanding</w:t>
            </w:r>
          </w:p>
        </w:tc>
        <w:tc>
          <w:tcPr>
            <w:tcW w:w="1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167,654</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201,357</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222,496</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b w:val="1"/>
                <w:bCs w:val="1"/>
                <w:color w:val="auto"/>
              </w:rPr>
              <w:t>Reserves for property and casualty claims</w:t>
            </w:r>
          </w:p>
        </w:tc>
        <w:tc>
          <w:tcPr>
            <w:tcW w:w="1760" w:type="dxa"/>
            <w:vAlign w:val="bottom"/>
            <w:gridSpan w:val="3"/>
          </w:tcPr>
          <w:p>
            <w:pPr>
              <w:jc w:val="right"/>
              <w:ind w:right="220"/>
              <w:spacing w:after="0"/>
              <w:rPr>
                <w:sz w:val="20"/>
                <w:szCs w:val="20"/>
                <w:color w:val="auto"/>
              </w:rPr>
            </w:pPr>
            <w:r>
              <w:rPr>
                <w:rFonts w:ascii="Arial" w:cs="Arial" w:eastAsia="Arial" w:hAnsi="Arial"/>
                <w:sz w:val="18"/>
                <w:szCs w:val="18"/>
                <w:color w:val="auto"/>
              </w:rPr>
              <w:t>780,867</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848,435</w:t>
            </w:r>
          </w:p>
        </w:tc>
        <w:tc>
          <w:tcPr>
            <w:tcW w:w="3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879,383</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3.6%</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Reserve for unearned premiums</w:t>
            </w:r>
          </w:p>
        </w:tc>
        <w:tc>
          <w:tcPr>
            <w:tcW w:w="1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4,616,192</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5,161,785</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5,482,244</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b w:val="1"/>
                <w:bCs w:val="1"/>
                <w:color w:val="auto"/>
              </w:rPr>
              <w:t>Reinsurance payable</w:t>
            </w:r>
          </w:p>
        </w:tc>
        <w:tc>
          <w:tcPr>
            <w:tcW w:w="1760" w:type="dxa"/>
            <w:vAlign w:val="bottom"/>
            <w:gridSpan w:val="3"/>
          </w:tcPr>
          <w:p>
            <w:pPr>
              <w:jc w:val="right"/>
              <w:ind w:right="220"/>
              <w:spacing w:after="0"/>
              <w:rPr>
                <w:sz w:val="20"/>
                <w:szCs w:val="20"/>
                <w:color w:val="auto"/>
              </w:rPr>
            </w:pPr>
            <w:r>
              <w:rPr>
                <w:rFonts w:ascii="Arial" w:cs="Arial" w:eastAsia="Arial" w:hAnsi="Arial"/>
                <w:sz w:val="18"/>
                <w:szCs w:val="18"/>
                <w:color w:val="auto"/>
              </w:rPr>
              <w:t>220,910</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364,396</w:t>
            </w:r>
          </w:p>
        </w:tc>
        <w:tc>
          <w:tcPr>
            <w:tcW w:w="3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349,354</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-4.1%</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760" w:type="dxa"/>
            <w:vAlign w:val="bottom"/>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 xml:space="preserve">Other liabilities </w:t>
            </w:r>
            <w:r>
              <w:rPr>
                <w:rFonts w:ascii="Arial" w:cs="Arial" w:eastAsia="Arial" w:hAnsi="Arial"/>
                <w:sz w:val="29"/>
                <w:szCs w:val="29"/>
                <w:b w:val="1"/>
                <w:bCs w:val="1"/>
                <w:color w:val="auto"/>
                <w:vertAlign w:val="superscript"/>
              </w:rPr>
              <w:t>(3)</w:t>
            </w:r>
          </w:p>
        </w:tc>
        <w:tc>
          <w:tcPr>
            <w:tcW w:w="1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6,641,255</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6,434,818</w:t>
            </w:r>
          </w:p>
        </w:tc>
        <w:tc>
          <w:tcPr>
            <w:tcW w:w="3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6,139,012</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w:t>
            </w:r>
          </w:p>
        </w:tc>
        <w:tc>
          <w:tcPr>
            <w:tcW w:w="3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jc w:val="center"/>
              <w:ind w:left="90"/>
              <w:spacing w:after="0"/>
              <w:rPr>
                <w:sz w:val="20"/>
                <w:szCs w:val="20"/>
                <w:color w:val="auto"/>
              </w:rPr>
            </w:pPr>
            <w:r>
              <w:rPr>
                <w:rFonts w:ascii="Arial" w:cs="Arial" w:eastAsia="Arial" w:hAnsi="Arial"/>
                <w:sz w:val="18"/>
                <w:szCs w:val="18"/>
                <w:b w:val="1"/>
                <w:bCs w:val="1"/>
                <w:color w:val="auto"/>
                <w:w w:val="91"/>
              </w:rPr>
              <w:t>Total liabilities</w:t>
            </w:r>
          </w:p>
        </w:tc>
        <w:tc>
          <w:tcPr>
            <w:tcW w:w="17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120,825,387</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137,054,522</w:t>
            </w:r>
          </w:p>
        </w:tc>
        <w:tc>
          <w:tcPr>
            <w:tcW w:w="3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1"/>
              </w:rPr>
              <w:t>138,971,967</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15.0%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b w:val="1"/>
                <w:bCs w:val="1"/>
                <w:color w:val="auto"/>
              </w:rPr>
              <w:t>Net equity</w:t>
            </w:r>
          </w:p>
        </w:tc>
        <w:tc>
          <w:tcPr>
            <w:tcW w:w="17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13,979,455</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15,153,252</w:t>
            </w:r>
          </w:p>
        </w:tc>
        <w:tc>
          <w:tcPr>
            <w:tcW w:w="3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16,128,015</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6.4%</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stock</w:t>
            </w:r>
          </w:p>
        </w:tc>
        <w:tc>
          <w:tcPr>
            <w:tcW w:w="1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1,318,993</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1,318,993</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1,318,993</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Treasury stock</w:t>
            </w:r>
          </w:p>
        </w:tc>
        <w:tc>
          <w:tcPr>
            <w:tcW w:w="1760" w:type="dxa"/>
            <w:vAlign w:val="bottom"/>
            <w:gridSpan w:val="3"/>
          </w:tcPr>
          <w:p>
            <w:pPr>
              <w:jc w:val="right"/>
              <w:ind w:right="160"/>
              <w:spacing w:after="0"/>
              <w:rPr>
                <w:sz w:val="20"/>
                <w:szCs w:val="20"/>
                <w:color w:val="auto"/>
              </w:rPr>
            </w:pPr>
            <w:r>
              <w:rPr>
                <w:rFonts w:ascii="Arial" w:cs="Arial" w:eastAsia="Arial" w:hAnsi="Arial"/>
                <w:sz w:val="18"/>
                <w:szCs w:val="18"/>
                <w:color w:val="auto"/>
              </w:rPr>
              <w:t>(208,184)</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(208,727)</w:t>
            </w:r>
          </w:p>
        </w:tc>
        <w:tc>
          <w:tcPr>
            <w:tcW w:w="3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(208,978)</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surplus</w:t>
            </w:r>
          </w:p>
        </w:tc>
        <w:tc>
          <w:tcPr>
            <w:tcW w:w="1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302,941</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290,073</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284,171</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Reserves</w:t>
            </w:r>
          </w:p>
        </w:tc>
        <w:tc>
          <w:tcPr>
            <w:tcW w:w="1760" w:type="dxa"/>
            <w:vAlign w:val="bottom"/>
            <w:gridSpan w:val="3"/>
          </w:tcPr>
          <w:p>
            <w:pPr>
              <w:jc w:val="right"/>
              <w:ind w:right="220"/>
              <w:spacing w:after="0"/>
              <w:rPr>
                <w:sz w:val="20"/>
                <w:szCs w:val="20"/>
                <w:color w:val="auto"/>
              </w:rPr>
            </w:pPr>
            <w:r>
              <w:rPr>
                <w:rFonts w:ascii="Arial" w:cs="Arial" w:eastAsia="Arial" w:hAnsi="Arial"/>
                <w:sz w:val="18"/>
                <w:szCs w:val="18"/>
                <w:color w:val="auto"/>
              </w:rPr>
              <w:t>9,316,314</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11,127,858</w:t>
            </w:r>
          </w:p>
        </w:tc>
        <w:tc>
          <w:tcPr>
            <w:tcW w:w="3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11,222,405</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0.8%</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Unrealized gains or losses</w:t>
            </w:r>
          </w:p>
        </w:tc>
        <w:tc>
          <w:tcPr>
            <w:tcW w:w="1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789,940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256,730</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421,968</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64.4%</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1760" w:type="dxa"/>
            <w:vAlign w:val="bottom"/>
            <w:gridSpan w:val="3"/>
          </w:tcPr>
          <w:p>
            <w:pPr>
              <w:jc w:val="right"/>
              <w:ind w:right="220"/>
              <w:spacing w:after="0"/>
              <w:rPr>
                <w:sz w:val="20"/>
                <w:szCs w:val="20"/>
                <w:color w:val="auto"/>
              </w:rPr>
            </w:pPr>
            <w:r>
              <w:rPr>
                <w:rFonts w:ascii="Arial" w:cs="Arial" w:eastAsia="Arial" w:hAnsi="Arial"/>
                <w:sz w:val="18"/>
                <w:szCs w:val="18"/>
                <w:color w:val="auto"/>
              </w:rPr>
              <w:t>2,459,451</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2,368,325</w:t>
            </w:r>
          </w:p>
        </w:tc>
        <w:tc>
          <w:tcPr>
            <w:tcW w:w="3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3,089,456</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30.4%</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b w:val="1"/>
                <w:bCs w:val="1"/>
                <w:color w:val="auto"/>
              </w:rPr>
              <w:t>Non-controlling interest</w:t>
            </w:r>
          </w:p>
        </w:tc>
        <w:tc>
          <w:tcPr>
            <w:tcW w:w="17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646,570</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594,906</w:t>
            </w:r>
          </w:p>
        </w:tc>
        <w:tc>
          <w:tcPr>
            <w:tcW w:w="3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601,737</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jc w:val="center"/>
              <w:ind w:left="70"/>
              <w:spacing w:after="0"/>
              <w:rPr>
                <w:sz w:val="20"/>
                <w:szCs w:val="20"/>
                <w:color w:val="auto"/>
              </w:rPr>
            </w:pPr>
            <w:r>
              <w:rPr>
                <w:rFonts w:ascii="Arial" w:cs="Arial" w:eastAsia="Arial" w:hAnsi="Arial"/>
                <w:sz w:val="18"/>
                <w:szCs w:val="18"/>
                <w:b w:val="1"/>
                <w:bCs w:val="1"/>
                <w:color w:val="auto"/>
                <w:w w:val="91"/>
              </w:rPr>
              <w:t>Total equity</w:t>
            </w:r>
          </w:p>
        </w:tc>
        <w:tc>
          <w:tcPr>
            <w:tcW w:w="17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14,626,025</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15,748,158</w:t>
            </w:r>
          </w:p>
        </w:tc>
        <w:tc>
          <w:tcPr>
            <w:tcW w:w="3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16,729,752</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6.2%</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jc w:val="center"/>
              <w:ind w:left="70"/>
              <w:spacing w:after="0"/>
              <w:rPr>
                <w:sz w:val="20"/>
                <w:szCs w:val="20"/>
                <w:color w:val="auto"/>
              </w:rPr>
            </w:pPr>
            <w:r>
              <w:rPr>
                <w:rFonts w:ascii="Arial" w:cs="Arial" w:eastAsia="Arial" w:hAnsi="Arial"/>
                <w:sz w:val="18"/>
                <w:szCs w:val="18"/>
                <w:b w:val="1"/>
                <w:bCs w:val="1"/>
                <w:color w:val="auto"/>
                <w:w w:val="91"/>
              </w:rPr>
              <w:t>Total liabilities and total equity</w:t>
            </w:r>
          </w:p>
        </w:tc>
        <w:tc>
          <w:tcPr>
            <w:tcW w:w="17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135,451,411</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152,802,680</w:t>
            </w:r>
          </w:p>
        </w:tc>
        <w:tc>
          <w:tcPr>
            <w:tcW w:w="3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1"/>
              </w:rPr>
              <w:t>155,701,719</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1.9%</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15.0%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vMerge w:val="continue"/>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Off balance sheet</w:t>
            </w:r>
          </w:p>
        </w:tc>
        <w:tc>
          <w:tcPr>
            <w:tcW w:w="1760" w:type="dxa"/>
            <w:vAlign w:val="bottom"/>
            <w:gridSpan w:val="3"/>
          </w:tcPr>
          <w:p>
            <w:pPr>
              <w:jc w:val="right"/>
              <w:ind w:right="220"/>
              <w:spacing w:after="0"/>
              <w:rPr>
                <w:sz w:val="20"/>
                <w:szCs w:val="20"/>
                <w:color w:val="auto"/>
              </w:rPr>
            </w:pPr>
            <w:r>
              <w:rPr>
                <w:rFonts w:ascii="Arial" w:cs="Arial" w:eastAsia="Arial" w:hAnsi="Arial"/>
                <w:sz w:val="18"/>
                <w:szCs w:val="18"/>
                <w:color w:val="auto"/>
              </w:rPr>
              <w:t>60,364,716</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62,914,042</w:t>
            </w:r>
          </w:p>
        </w:tc>
        <w:tc>
          <w:tcPr>
            <w:tcW w:w="3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71,458,336</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13.6%</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Mainly includes JV between Grupo Pacifico and Banmedica.</w:t>
      </w:r>
    </w:p>
    <w:p>
      <w:pPr>
        <w:spacing w:after="0" w:line="7" w:lineRule="exact"/>
        <w:rPr>
          <w:rFonts w:ascii="Arial" w:cs="Arial" w:eastAsia="Arial" w:hAnsi="Arial"/>
          <w:sz w:val="18"/>
          <w:szCs w:val="18"/>
          <w:color w:val="auto"/>
        </w:rPr>
      </w:pPr>
    </w:p>
    <w:p>
      <w:pPr>
        <w:ind w:left="260" w:hanging="252"/>
        <w:spacing w:after="0"/>
        <w:tabs>
          <w:tab w:leader="none" w:pos="2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Mainly includes receivables, goodwill, tax credit, and others.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Mainly, includes other payable accounts.</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0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CREDICORP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INCOME STATEMENT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S/. thousands, IFRS)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Quarter</w:t>
            </w: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3"/>
          </w:tcPr>
          <w:p>
            <w:pPr>
              <w:ind w:left="620"/>
              <w:spacing w:after="0"/>
              <w:rPr>
                <w:sz w:val="20"/>
                <w:szCs w:val="20"/>
                <w:color w:val="auto"/>
              </w:rPr>
            </w:pPr>
            <w:r>
              <w:rPr>
                <w:rFonts w:ascii="Arial" w:cs="Arial" w:eastAsia="Arial" w:hAnsi="Arial"/>
                <w:sz w:val="14"/>
                <w:szCs w:val="14"/>
                <w:b w:val="1"/>
                <w:bCs w:val="1"/>
                <w:color w:val="auto"/>
                <w:w w:val="94"/>
              </w:rPr>
              <w:t>% change</w:t>
            </w: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3"/>
          </w:tcPr>
          <w:p>
            <w:pPr>
              <w:ind w:left="760"/>
              <w:spacing w:after="0"/>
              <w:rPr>
                <w:sz w:val="20"/>
                <w:szCs w:val="20"/>
                <w:color w:val="auto"/>
              </w:rPr>
            </w:pPr>
            <w:r>
              <w:rPr>
                <w:rFonts w:ascii="Arial" w:cs="Arial" w:eastAsia="Arial" w:hAnsi="Arial"/>
                <w:sz w:val="14"/>
                <w:szCs w:val="14"/>
                <w:b w:val="1"/>
                <w:bCs w:val="1"/>
                <w:color w:val="auto"/>
              </w:rPr>
              <w:t>Year</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4Q14</w:t>
            </w:r>
          </w:p>
        </w:tc>
        <w:tc>
          <w:tcPr>
            <w:tcW w:w="10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3Q15</w:t>
            </w:r>
          </w:p>
        </w:tc>
        <w:tc>
          <w:tcPr>
            <w:tcW w:w="9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4Q15</w:t>
            </w:r>
          </w:p>
        </w:tc>
        <w:tc>
          <w:tcPr>
            <w:tcW w:w="1260" w:type="dxa"/>
            <w:vAlign w:val="bottom"/>
            <w:gridSpan w:val="3"/>
          </w:tcPr>
          <w:p>
            <w:pPr>
              <w:ind w:left="260"/>
              <w:spacing w:after="0"/>
              <w:rPr>
                <w:sz w:val="20"/>
                <w:szCs w:val="20"/>
                <w:color w:val="auto"/>
              </w:rPr>
            </w:pPr>
            <w:r>
              <w:rPr>
                <w:rFonts w:ascii="Arial" w:cs="Arial" w:eastAsia="Arial" w:hAnsi="Arial"/>
                <w:sz w:val="14"/>
                <w:szCs w:val="14"/>
                <w:b w:val="1"/>
                <w:bCs w:val="1"/>
                <w:color w:val="auto"/>
              </w:rPr>
              <w:t>QoQ</w:t>
            </w:r>
          </w:p>
        </w:tc>
        <w:tc>
          <w:tcPr>
            <w:tcW w:w="8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YoY</w:t>
            </w:r>
          </w:p>
        </w:tc>
        <w:tc>
          <w:tcPr>
            <w:tcW w:w="800" w:type="dxa"/>
            <w:vAlign w:val="bottom"/>
          </w:tcPr>
          <w:p>
            <w:pPr>
              <w:jc w:val="right"/>
              <w:ind w:right="188"/>
              <w:spacing w:after="0"/>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w w:val="97"/>
              </w:rPr>
              <w:t>2015 / 2014</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3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Interest income and expense</w:t>
            </w: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ind w:left="160"/>
              <w:spacing w:after="0" w:line="149" w:lineRule="exact"/>
              <w:rPr>
                <w:sz w:val="20"/>
                <w:szCs w:val="20"/>
                <w:color w:val="auto"/>
              </w:rPr>
            </w:pPr>
            <w:r>
              <w:rPr>
                <w:rFonts w:ascii="Arial" w:cs="Arial" w:eastAsia="Arial" w:hAnsi="Arial"/>
                <w:sz w:val="14"/>
                <w:szCs w:val="14"/>
                <w:color w:val="auto"/>
              </w:rPr>
              <w:t>Interest and dividend income</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2,282,651</w:t>
            </w:r>
          </w:p>
        </w:tc>
        <w:tc>
          <w:tcPr>
            <w:tcW w:w="2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2,517,964</w:t>
            </w: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2,670,243</w:t>
            </w:r>
          </w:p>
        </w:tc>
        <w:tc>
          <w:tcPr>
            <w:tcW w:w="20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6.0%</w:t>
            </w:r>
          </w:p>
        </w:tc>
        <w:tc>
          <w:tcPr>
            <w:tcW w:w="22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17.0%</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8,578,665</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10,022,944</w:t>
            </w:r>
          </w:p>
        </w:tc>
        <w:tc>
          <w:tcPr>
            <w:tcW w:w="200" w:type="dxa"/>
            <w:vAlign w:val="bottom"/>
          </w:tcPr>
          <w:p>
            <w:pPr>
              <w:spacing w:after="0"/>
              <w:rPr>
                <w:sz w:val="12"/>
                <w:szCs w:val="12"/>
                <w:color w:val="auto"/>
              </w:rPr>
            </w:pP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Interest expense</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(571,253)</w:t>
            </w: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(651,071)</w:t>
            </w:r>
          </w:p>
        </w:tc>
        <w:tc>
          <w:tcPr>
            <w:tcW w:w="9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(694,803)</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6.7%</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21.6%</w:t>
            </w: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(2,168,859)</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(2,558,049)</w:t>
            </w: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17.94%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Net interest income</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1,711,398</w:t>
            </w:r>
          </w:p>
        </w:tc>
        <w:tc>
          <w:tcPr>
            <w:tcW w:w="8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1,866,893</w:t>
            </w: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1,975,440</w:t>
            </w:r>
          </w:p>
        </w:tc>
        <w:tc>
          <w:tcPr>
            <w:tcW w:w="20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5.8%</w:t>
            </w:r>
          </w:p>
        </w:tc>
        <w:tc>
          <w:tcPr>
            <w:tcW w:w="22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15.4%</w:t>
            </w: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6,409,805</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7,464,895</w:t>
            </w:r>
          </w:p>
        </w:tc>
        <w:tc>
          <w:tcPr>
            <w:tcW w:w="200" w:type="dxa"/>
            <w:vAlign w:val="bottom"/>
          </w:tcPr>
          <w:p>
            <w:pPr>
              <w:spacing w:after="0"/>
              <w:rPr>
                <w:sz w:val="12"/>
                <w:szCs w:val="12"/>
                <w:color w:val="auto"/>
              </w:rPr>
            </w:pP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16.5%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3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b w:val="1"/>
                <w:bCs w:val="1"/>
                <w:color w:val="auto"/>
              </w:rPr>
              <w:t>Net provisions for loan losses</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(437,258)</w:t>
            </w: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(444,425)</w:t>
            </w:r>
          </w:p>
        </w:tc>
        <w:tc>
          <w:tcPr>
            <w:tcW w:w="98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(502,574)</w:t>
            </w: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13.1%</w:t>
            </w:r>
          </w:p>
        </w:tc>
        <w:tc>
          <w:tcPr>
            <w:tcW w:w="22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14.9%</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(1,715,809)</w:t>
            </w:r>
          </w:p>
        </w:tc>
        <w:tc>
          <w:tcPr>
            <w:tcW w:w="10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(1,880,898)</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9.6%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3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b w:val="1"/>
                <w:bCs w:val="1"/>
                <w:color w:val="auto"/>
              </w:rPr>
              <w:t>Non-financial income</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Fee income</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685,363</w:t>
            </w: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650,195</w:t>
            </w: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687,164</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5.7%</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0.3%</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2,521,829</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2,644,191</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ind w:left="160"/>
              <w:spacing w:after="0" w:line="149" w:lineRule="exact"/>
              <w:rPr>
                <w:sz w:val="20"/>
                <w:szCs w:val="20"/>
                <w:color w:val="auto"/>
              </w:rPr>
            </w:pPr>
            <w:r>
              <w:rPr>
                <w:rFonts w:ascii="Arial" w:cs="Arial" w:eastAsia="Arial" w:hAnsi="Arial"/>
                <w:sz w:val="14"/>
                <w:szCs w:val="14"/>
                <w:color w:val="auto"/>
              </w:rPr>
              <w:t>Net gain on foreign exchange transactions</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187,945</w:t>
            </w: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197,902</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207,165</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4.7%</w:t>
            </w:r>
          </w:p>
        </w:tc>
        <w:tc>
          <w:tcPr>
            <w:tcW w:w="22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10.2%</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625,069</w:t>
            </w: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773,798</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Net gain on sales of securities</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(38,271)</w:t>
            </w: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29,200</w:t>
            </w:r>
          </w:p>
        </w:tc>
        <w:tc>
          <w:tcPr>
            <w:tcW w:w="9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(16,816)</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-157.6%</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-56.1%</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212,943</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58,012</w:t>
            </w: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-72.8%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20" w:type="dxa"/>
            <w:vAlign w:val="bottom"/>
          </w:tcPr>
          <w:p>
            <w:pPr>
              <w:ind w:left="160"/>
              <w:spacing w:after="0" w:line="189" w:lineRule="exact"/>
              <w:rPr>
                <w:sz w:val="20"/>
                <w:szCs w:val="20"/>
                <w:color w:val="auto"/>
              </w:rPr>
            </w:pPr>
            <w:r>
              <w:rPr>
                <w:rFonts w:ascii="Arial" w:cs="Arial" w:eastAsia="Arial" w:hAnsi="Arial"/>
                <w:sz w:val="13"/>
                <w:szCs w:val="13"/>
                <w:color w:val="auto"/>
              </w:rPr>
              <w:t xml:space="preserve">Net gain from subsidiaries </w:t>
            </w:r>
            <w:r>
              <w:rPr>
                <w:rFonts w:ascii="Arial" w:cs="Arial" w:eastAsia="Arial" w:hAnsi="Arial"/>
                <w:sz w:val="21"/>
                <w:szCs w:val="21"/>
                <w:color w:val="auto"/>
                <w:vertAlign w:val="superscript"/>
              </w:rPr>
              <w:t>(1)</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3,172</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(2,853)</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-189.9%</w:t>
            </w:r>
          </w:p>
        </w:tc>
        <w:tc>
          <w:tcPr>
            <w:tcW w:w="22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N/A</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146,910</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Other non-financial fincome</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30,883</w:t>
            </w: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35,612</w:t>
            </w: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73,894</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107.5%</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139.3%</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145,368</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188,882</w:t>
            </w: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Total non financial income, net</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865,920</w:t>
            </w: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916,081</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948,554</w:t>
            </w: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3.5%</w:t>
            </w:r>
          </w:p>
        </w:tc>
        <w:tc>
          <w:tcPr>
            <w:tcW w:w="22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9.5%</w:t>
            </w: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3,505,209</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3,811,793</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8.7%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3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b w:val="1"/>
                <w:bCs w:val="1"/>
                <w:color w:val="auto"/>
              </w:rPr>
              <w:t>Insurance premiums and claims</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Net premiums earned</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569,851</w:t>
            </w: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432,777</w:t>
            </w: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436,161</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0.8%</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-23.5%</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2,188,239</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1,700,478</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ind w:left="160"/>
              <w:spacing w:after="0" w:line="149" w:lineRule="exact"/>
              <w:rPr>
                <w:sz w:val="20"/>
                <w:szCs w:val="20"/>
                <w:color w:val="auto"/>
              </w:rPr>
            </w:pPr>
            <w:r>
              <w:rPr>
                <w:rFonts w:ascii="Arial" w:cs="Arial" w:eastAsia="Arial" w:hAnsi="Arial"/>
                <w:sz w:val="14"/>
                <w:szCs w:val="14"/>
                <w:color w:val="auto"/>
              </w:rPr>
              <w:t>Net claims incurred</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(375,056)</w:t>
            </w: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(265,648)</w:t>
            </w:r>
          </w:p>
        </w:tc>
        <w:tc>
          <w:tcPr>
            <w:tcW w:w="9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(278,354)</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4.8%</w:t>
            </w:r>
          </w:p>
        </w:tc>
        <w:tc>
          <w:tcPr>
            <w:tcW w:w="22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-25.8%</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(1,426,733)</w:t>
            </w:r>
          </w:p>
        </w:tc>
        <w:tc>
          <w:tcPr>
            <w:tcW w:w="10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(1,031,659)</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Acquisition cost</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(90,802)</w:t>
            </w: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(41,884)</w:t>
            </w:r>
          </w:p>
        </w:tc>
        <w:tc>
          <w:tcPr>
            <w:tcW w:w="9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(23,415)</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-44.1%</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-74.2%</w:t>
            </w: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(338,608)</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(192,584)</w:t>
            </w: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Total insurance services technical result</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103,992</w:t>
            </w: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125,245</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134,392</w:t>
            </w: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7.3%</w:t>
            </w:r>
          </w:p>
        </w:tc>
        <w:tc>
          <w:tcPr>
            <w:tcW w:w="22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29.2%</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422,898</w:t>
            </w: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476,235</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Gross margin from medical subsidiaries</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23,467</w:t>
            </w:r>
          </w:p>
        </w:tc>
        <w:tc>
          <w:tcPr>
            <w:tcW w:w="8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1260" w:type="dxa"/>
            <w:vAlign w:val="bottom"/>
            <w:gridSpan w:val="3"/>
          </w:tcPr>
          <w:p>
            <w:pPr>
              <w:ind w:left="540"/>
              <w:spacing w:after="0" w:line="149" w:lineRule="exact"/>
              <w:rPr>
                <w:sz w:val="20"/>
                <w:szCs w:val="20"/>
                <w:color w:val="auto"/>
              </w:rPr>
            </w:pPr>
            <w:r>
              <w:rPr>
                <w:rFonts w:ascii="Arial" w:cs="Arial" w:eastAsia="Arial" w:hAnsi="Arial"/>
                <w:sz w:val="14"/>
                <w:szCs w:val="14"/>
                <w:b w:val="1"/>
                <w:bCs w:val="1"/>
                <w:color w:val="auto"/>
              </w:rPr>
              <w:t>N/A</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N/A</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98,232</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N/A</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3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b w:val="1"/>
                <w:bCs w:val="1"/>
                <w:color w:val="auto"/>
              </w:rPr>
              <w:t>Operating expenses</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Salaries and employees benefits</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(680,338)</w:t>
            </w: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(703,985)</w:t>
            </w:r>
          </w:p>
        </w:tc>
        <w:tc>
          <w:tcPr>
            <w:tcW w:w="9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(740,924)</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5.2%</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8.9%</w:t>
            </w: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(2,659,122)</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(2,878,318)</w:t>
            </w: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ind w:left="160"/>
              <w:spacing w:after="0" w:line="149" w:lineRule="exact"/>
              <w:rPr>
                <w:sz w:val="20"/>
                <w:szCs w:val="20"/>
                <w:color w:val="auto"/>
              </w:rPr>
            </w:pPr>
            <w:r>
              <w:rPr>
                <w:rFonts w:ascii="Arial" w:cs="Arial" w:eastAsia="Arial" w:hAnsi="Arial"/>
                <w:sz w:val="14"/>
                <w:szCs w:val="14"/>
                <w:color w:val="auto"/>
              </w:rPr>
              <w:t>Administrative, general and tax expenses</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(566,463)</w:t>
            </w: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(496,163)</w:t>
            </w:r>
          </w:p>
        </w:tc>
        <w:tc>
          <w:tcPr>
            <w:tcW w:w="9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(586,487)</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18.2%</w:t>
            </w:r>
          </w:p>
        </w:tc>
        <w:tc>
          <w:tcPr>
            <w:tcW w:w="22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3.5%</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(1,930,483)</w:t>
            </w:r>
          </w:p>
        </w:tc>
        <w:tc>
          <w:tcPr>
            <w:tcW w:w="10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(1,995,802)</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Depreciation and amortization</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(129,616)</w:t>
            </w: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(111,966)</w:t>
            </w:r>
          </w:p>
        </w:tc>
        <w:tc>
          <w:tcPr>
            <w:tcW w:w="9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(198,318)</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77.1%</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53.0%</w:t>
            </w: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(433,787)</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(529,376)</w:t>
            </w: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ind w:left="160"/>
              <w:spacing w:after="0" w:line="149" w:lineRule="exact"/>
              <w:rPr>
                <w:sz w:val="20"/>
                <w:szCs w:val="20"/>
                <w:color w:val="auto"/>
              </w:rPr>
            </w:pPr>
            <w:r>
              <w:rPr>
                <w:rFonts w:ascii="Arial" w:cs="Arial" w:eastAsia="Arial" w:hAnsi="Arial"/>
                <w:sz w:val="14"/>
                <w:szCs w:val="14"/>
                <w:color w:val="auto"/>
              </w:rPr>
              <w:t>Other expenses</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(148,227)</w:t>
            </w: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(25,688)</w:t>
            </w:r>
          </w:p>
        </w:tc>
        <w:tc>
          <w:tcPr>
            <w:tcW w:w="9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(32,414)</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26.2%</w:t>
            </w:r>
          </w:p>
        </w:tc>
        <w:tc>
          <w:tcPr>
            <w:tcW w:w="22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-78.1%</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(307,796)</w:t>
            </w:r>
          </w:p>
        </w:tc>
        <w:tc>
          <w:tcPr>
            <w:tcW w:w="10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(154,497)</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b w:val="1"/>
                <w:bCs w:val="1"/>
                <w:color w:val="auto"/>
              </w:rPr>
              <w:t>Total expenses</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(1,524,644)</w:t>
            </w: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(1,337,802)</w:t>
            </w:r>
          </w:p>
        </w:tc>
        <w:tc>
          <w:tcPr>
            <w:tcW w:w="9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(1,558,143)</w:t>
            </w: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16.5%</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2.2%</w:t>
            </w: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(5,331,188)</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(5,557,993)</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Operating income</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742,875</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1,125,992</w:t>
            </w:r>
          </w:p>
        </w:tc>
        <w:tc>
          <w:tcPr>
            <w:tcW w:w="2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997,669</w:t>
            </w: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-11.4%</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34.3%</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3,389,147</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4,314,032</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Translation result</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(1,751)</w:t>
            </w: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2,940</w:t>
            </w: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32,733</w:t>
            </w:r>
          </w:p>
        </w:tc>
        <w:tc>
          <w:tcPr>
            <w:tcW w:w="1260" w:type="dxa"/>
            <w:vAlign w:val="bottom"/>
            <w:gridSpan w:val="3"/>
            <w:shd w:val="clear" w:color="auto" w:fill="CCEEFF"/>
          </w:tcPr>
          <w:p>
            <w:pPr>
              <w:ind w:left="540"/>
              <w:spacing w:after="0" w:line="149" w:lineRule="exact"/>
              <w:rPr>
                <w:sz w:val="20"/>
                <w:szCs w:val="20"/>
                <w:color w:val="auto"/>
              </w:rPr>
            </w:pPr>
            <w:r>
              <w:rPr>
                <w:rFonts w:ascii="Arial" w:cs="Arial" w:eastAsia="Arial" w:hAnsi="Arial"/>
                <w:sz w:val="14"/>
                <w:szCs w:val="14"/>
                <w:color w:val="auto"/>
              </w:rPr>
              <w:t>N/A</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N/A</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430</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46,563</w:t>
            </w: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ind w:left="160"/>
              <w:spacing w:after="0" w:line="149" w:lineRule="exact"/>
              <w:rPr>
                <w:sz w:val="20"/>
                <w:szCs w:val="20"/>
                <w:color w:val="auto"/>
              </w:rPr>
            </w:pPr>
            <w:r>
              <w:rPr>
                <w:rFonts w:ascii="Arial" w:cs="Arial" w:eastAsia="Arial" w:hAnsi="Arial"/>
                <w:sz w:val="14"/>
                <w:szCs w:val="14"/>
                <w:color w:val="auto"/>
              </w:rPr>
              <w:t>Income taxes</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(257,220)</w:t>
            </w: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(300,989)</w:t>
            </w:r>
          </w:p>
        </w:tc>
        <w:tc>
          <w:tcPr>
            <w:tcW w:w="9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(297,398)</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w:t>
            </w:r>
          </w:p>
        </w:tc>
        <w:tc>
          <w:tcPr>
            <w:tcW w:w="22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15.6%</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(968,333)</w:t>
            </w:r>
          </w:p>
        </w:tc>
        <w:tc>
          <w:tcPr>
            <w:tcW w:w="10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(1,197,207)</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23.6%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3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483,903</w:t>
            </w: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827,943</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733,004</w:t>
            </w: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-11.5%</w:t>
            </w:r>
          </w:p>
        </w:tc>
        <w:tc>
          <w:tcPr>
            <w:tcW w:w="22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51.5%</w:t>
            </w: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2,421,245</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3,163,388</w:t>
            </w:r>
          </w:p>
        </w:tc>
        <w:tc>
          <w:tcPr>
            <w:tcW w:w="200" w:type="dxa"/>
            <w:vAlign w:val="bottom"/>
          </w:tcPr>
          <w:p>
            <w:pPr>
              <w:spacing w:after="0"/>
              <w:rPr>
                <w:sz w:val="12"/>
                <w:szCs w:val="12"/>
                <w:color w:val="auto"/>
              </w:rPr>
            </w:pP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30.7%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Non-controlling interest</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(11,703)</w:t>
            </w: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20,798</w:t>
            </w: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1,872</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-91.0%</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-116.0%</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33,394</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71,082</w:t>
            </w: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112.9%</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320" w:type="dxa"/>
            <w:vAlign w:val="bottom"/>
          </w:tcPr>
          <w:p>
            <w:pPr>
              <w:spacing w:after="0"/>
              <w:rPr>
                <w:sz w:val="20"/>
                <w:szCs w:val="20"/>
                <w:color w:val="auto"/>
              </w:rPr>
            </w:pPr>
            <w:r>
              <w:rPr>
                <w:rFonts w:ascii="Arial" w:cs="Arial" w:eastAsia="Arial" w:hAnsi="Arial"/>
                <w:sz w:val="14"/>
                <w:szCs w:val="14"/>
                <w:b w:val="1"/>
                <w:bCs w:val="1"/>
                <w:color w:val="auto"/>
              </w:rPr>
              <w:t>Net income attributed to Credicorp</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495,606</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807,145</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731,132</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-9.4%</w:t>
            </w:r>
          </w:p>
        </w:tc>
        <w:tc>
          <w:tcPr>
            <w:tcW w:w="22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47.5%</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2,387,851</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3,092,306</w:t>
            </w:r>
          </w:p>
        </w:tc>
        <w:tc>
          <w:tcPr>
            <w:tcW w:w="20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rPr>
              <w:t>29.5%</w:t>
            </w:r>
          </w:p>
        </w:tc>
        <w:tc>
          <w:tcPr>
            <w:tcW w:w="0" w:type="dxa"/>
            <w:vAlign w:val="bottom"/>
          </w:tcPr>
          <w:p>
            <w:pPr>
              <w:spacing w:after="0"/>
              <w:rPr>
                <w:sz w:val="1"/>
                <w:szCs w:val="1"/>
                <w:color w:val="auto"/>
              </w:rPr>
            </w:pPr>
          </w:p>
        </w:tc>
      </w:tr>
    </w:tbl>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Includes the joint venture between Grupo Pacifico and Banmedica.</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11.9 Table of calculations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Interest Margin (NIM)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Interest Margin on loans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(NIM on loans)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cost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Return on average assets (ROAA)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Return on average equity (ROAE)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jc w:val="center"/>
        <w:ind w:right="4560"/>
        <w:spacing w:after="0"/>
        <w:rPr>
          <w:sz w:val="20"/>
          <w:szCs w:val="20"/>
          <w:color w:val="auto"/>
        </w:rPr>
      </w:pPr>
      <w:r>
        <w:rPr>
          <w:rFonts w:ascii="Arial" w:cs="Arial" w:eastAsia="Arial" w:hAnsi="Arial"/>
          <w:sz w:val="18"/>
          <w:szCs w:val="18"/>
          <w:b w:val="1"/>
          <w:bCs w:val="1"/>
          <w:color w:val="auto"/>
        </w:rPr>
        <w:t xml:space="preserve">Table of calculations </w:t>
      </w:r>
      <w:r>
        <w:rPr>
          <w:rFonts w:ascii="Arial" w:cs="Arial" w:eastAsia="Arial" w:hAnsi="Arial"/>
          <w:sz w:val="30"/>
          <w:szCs w:val="30"/>
          <w:b w:val="1"/>
          <w:bCs w:val="1"/>
          <w:color w:val="auto"/>
          <w:vertAlign w:val="superscript"/>
        </w:rPr>
        <w:t>(1)</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Profitability</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Annualized net interest income/ Average* interest earning assets</w:t>
      </w:r>
    </w:p>
    <w:p>
      <w:pPr>
        <w:spacing w:after="0" w:line="237" w:lineRule="exact"/>
        <w:rPr>
          <w:sz w:val="20"/>
          <w:szCs w:val="20"/>
          <w:color w:val="auto"/>
        </w:rPr>
      </w:pPr>
    </w:p>
    <w:p>
      <w:pPr>
        <w:ind w:right="1880"/>
        <w:spacing w:after="0" w:line="256" w:lineRule="auto"/>
        <w:rPr>
          <w:sz w:val="20"/>
          <w:szCs w:val="20"/>
          <w:color w:val="auto"/>
        </w:rPr>
      </w:pPr>
      <w:r>
        <w:rPr>
          <w:rFonts w:ascii="Arial" w:cs="Arial" w:eastAsia="Arial" w:hAnsi="Arial"/>
          <w:sz w:val="18"/>
          <w:szCs w:val="18"/>
          <w:color w:val="auto"/>
        </w:rPr>
        <w:t>[Interest on loans–(Interest expense x (Average* total loans /Average interest earning assets))] x 4/Average total loans Annualized interest expense / Average* of total liabilities</w:t>
      </w:r>
    </w:p>
    <w:p>
      <w:pPr>
        <w:spacing w:after="0"/>
        <w:rPr>
          <w:sz w:val="20"/>
          <w:szCs w:val="20"/>
          <w:color w:val="auto"/>
        </w:rPr>
      </w:pPr>
      <w:r>
        <w:rPr>
          <w:rFonts w:ascii="Arial" w:cs="Arial" w:eastAsia="Arial" w:hAnsi="Arial"/>
          <w:sz w:val="18"/>
          <w:szCs w:val="18"/>
          <w:color w:val="auto"/>
        </w:rPr>
        <w:t>Annualized net income / Average*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Annualized net income / Average* net equity</w:t>
      </w:r>
    </w:p>
    <w:p>
      <w:pPr>
        <w:spacing w:after="0" w:line="207"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Portfolio quality</w:t>
      </w:r>
    </w:p>
    <w:p>
      <w:pPr>
        <w:spacing w:after="0" w:line="200" w:lineRule="exact"/>
        <w:rPr>
          <w:sz w:val="20"/>
          <w:szCs w:val="20"/>
          <w:color w:val="auto"/>
        </w:rPr>
      </w:pPr>
    </w:p>
    <w:p>
      <w:pPr>
        <w:sectPr>
          <w:pgSz w:w="11900" w:h="16838" w:orient="portrait"/>
          <w:cols w:equalWidth="0" w:num="2">
            <w:col w:w="3860" w:space="720"/>
            <w:col w:w="6840"/>
          </w:cols>
          <w:pgMar w:left="240" w:top="904" w:right="239" w:bottom="1440" w:gutter="0" w:footer="0" w:header="0"/>
        </w:sectPr>
      </w:pPr>
    </w:p>
    <w:p>
      <w:pPr>
        <w:spacing w:after="0" w:line="25" w:lineRule="exact"/>
        <w:rPr>
          <w:sz w:val="20"/>
          <w:szCs w:val="20"/>
          <w:color w:val="auto"/>
        </w:rPr>
      </w:pPr>
    </w:p>
    <w:p>
      <w:pPr>
        <w:spacing w:after="0"/>
        <w:tabs>
          <w:tab w:leader="none" w:pos="4560" w:val="left"/>
        </w:tabs>
        <w:rPr>
          <w:sz w:val="20"/>
          <w:szCs w:val="20"/>
          <w:color w:val="auto"/>
        </w:rPr>
      </w:pPr>
      <w:r>
        <w:rPr>
          <w:rFonts w:ascii="Arial" w:cs="Arial" w:eastAsia="Arial" w:hAnsi="Arial"/>
          <w:sz w:val="18"/>
          <w:szCs w:val="18"/>
          <w:b w:val="1"/>
          <w:bCs w:val="1"/>
          <w:color w:val="auto"/>
        </w:rPr>
        <w:t>Internal overdue ratio</w:t>
      </w:r>
      <w:r>
        <w:rPr>
          <w:sz w:val="20"/>
          <w:szCs w:val="20"/>
          <w:color w:val="auto"/>
        </w:rPr>
        <w:tab/>
      </w:r>
      <w:r>
        <w:rPr>
          <w:rFonts w:ascii="Arial" w:cs="Arial" w:eastAsia="Arial" w:hAnsi="Arial"/>
          <w:sz w:val="16"/>
          <w:szCs w:val="16"/>
          <w:color w:val="auto"/>
        </w:rPr>
        <w:t>Internal overdue loans / Total loans</w:t>
      </w:r>
    </w:p>
    <w:p>
      <w:pPr>
        <w:spacing w:after="0" w:line="27" w:lineRule="exact"/>
        <w:rPr>
          <w:sz w:val="20"/>
          <w:szCs w:val="20"/>
          <w:color w:val="auto"/>
        </w:rPr>
      </w:pPr>
    </w:p>
    <w:p>
      <w:pPr>
        <w:spacing w:after="0"/>
        <w:tabs>
          <w:tab w:leader="none" w:pos="4560" w:val="left"/>
        </w:tabs>
        <w:rPr>
          <w:sz w:val="20"/>
          <w:szCs w:val="20"/>
          <w:color w:val="auto"/>
        </w:rPr>
      </w:pPr>
      <w:r>
        <w:rPr>
          <w:rFonts w:ascii="Arial" w:cs="Arial" w:eastAsia="Arial" w:hAnsi="Arial"/>
          <w:sz w:val="18"/>
          <w:szCs w:val="18"/>
          <w:b w:val="1"/>
          <w:bCs w:val="1"/>
          <w:color w:val="auto"/>
        </w:rPr>
        <w:t>Non – performing loans ratio (NPL ratio)</w:t>
      </w:r>
      <w:r>
        <w:rPr>
          <w:sz w:val="20"/>
          <w:szCs w:val="20"/>
          <w:color w:val="auto"/>
        </w:rPr>
        <w:tab/>
      </w:r>
      <w:r>
        <w:rPr>
          <w:rFonts w:ascii="Arial" w:cs="Arial" w:eastAsia="Arial" w:hAnsi="Arial"/>
          <w:sz w:val="16"/>
          <w:szCs w:val="16"/>
          <w:color w:val="auto"/>
        </w:rPr>
        <w:t>Non-performing loans / Total loans</w:t>
      </w:r>
    </w:p>
    <w:p>
      <w:pPr>
        <w:spacing w:after="0" w:line="9" w:lineRule="exact"/>
        <w:rPr>
          <w:sz w:val="20"/>
          <w:szCs w:val="20"/>
          <w:color w:val="auto"/>
        </w:rPr>
      </w:pPr>
    </w:p>
    <w:p>
      <w:pPr>
        <w:spacing w:after="0"/>
        <w:tabs>
          <w:tab w:leader="none" w:pos="4560" w:val="left"/>
        </w:tabs>
        <w:rPr>
          <w:sz w:val="20"/>
          <w:szCs w:val="20"/>
          <w:color w:val="auto"/>
        </w:rPr>
      </w:pPr>
      <w:r>
        <w:rPr>
          <w:rFonts w:ascii="Arial" w:cs="Arial" w:eastAsia="Arial" w:hAnsi="Arial"/>
          <w:sz w:val="18"/>
          <w:szCs w:val="18"/>
          <w:b w:val="1"/>
          <w:bCs w:val="1"/>
          <w:color w:val="auto"/>
        </w:rPr>
        <w:t>Cove rage ratio of internal overdue loans</w:t>
      </w:r>
      <w:r>
        <w:rPr>
          <w:sz w:val="20"/>
          <w:szCs w:val="20"/>
          <w:color w:val="auto"/>
        </w:rPr>
        <w:tab/>
      </w:r>
      <w:r>
        <w:rPr>
          <w:rFonts w:ascii="Arial" w:cs="Arial" w:eastAsia="Arial" w:hAnsi="Arial"/>
          <w:sz w:val="16"/>
          <w:szCs w:val="16"/>
          <w:color w:val="auto"/>
        </w:rPr>
        <w:t>Allowance for loan losses / Internal overdue loans</w:t>
      </w:r>
    </w:p>
    <w:p>
      <w:pPr>
        <w:spacing w:after="0" w:line="9" w:lineRule="exact"/>
        <w:rPr>
          <w:sz w:val="20"/>
          <w:szCs w:val="20"/>
          <w:color w:val="auto"/>
        </w:rPr>
      </w:pPr>
    </w:p>
    <w:p>
      <w:pPr>
        <w:spacing w:after="0"/>
        <w:tabs>
          <w:tab w:leader="none" w:pos="4560" w:val="left"/>
        </w:tabs>
        <w:rPr>
          <w:sz w:val="20"/>
          <w:szCs w:val="20"/>
          <w:color w:val="auto"/>
        </w:rPr>
      </w:pPr>
      <w:r>
        <w:rPr>
          <w:rFonts w:ascii="Arial" w:cs="Arial" w:eastAsia="Arial" w:hAnsi="Arial"/>
          <w:sz w:val="18"/>
          <w:szCs w:val="18"/>
          <w:b w:val="1"/>
          <w:bCs w:val="1"/>
          <w:color w:val="auto"/>
        </w:rPr>
        <w:t>Cove rage ratio of non – performing loans</w:t>
      </w:r>
      <w:r>
        <w:rPr>
          <w:sz w:val="20"/>
          <w:szCs w:val="20"/>
          <w:color w:val="auto"/>
        </w:rPr>
        <w:tab/>
      </w:r>
      <w:r>
        <w:rPr>
          <w:rFonts w:ascii="Arial" w:cs="Arial" w:eastAsia="Arial" w:hAnsi="Arial"/>
          <w:sz w:val="16"/>
          <w:szCs w:val="16"/>
          <w:color w:val="auto"/>
        </w:rPr>
        <w:t>Allowance for loan losses / Non-performing loans</w:t>
      </w:r>
    </w:p>
    <w:p>
      <w:pPr>
        <w:spacing w:after="0" w:line="207" w:lineRule="exact"/>
        <w:rPr>
          <w:sz w:val="20"/>
          <w:szCs w:val="20"/>
          <w:color w:val="auto"/>
        </w:rPr>
      </w:pPr>
    </w:p>
    <w:p>
      <w:pPr>
        <w:spacing w:after="0"/>
        <w:tabs>
          <w:tab w:leader="none" w:pos="4560" w:val="left"/>
        </w:tabs>
        <w:rPr>
          <w:sz w:val="20"/>
          <w:szCs w:val="20"/>
          <w:color w:val="auto"/>
        </w:rPr>
      </w:pPr>
      <w:r>
        <w:rPr>
          <w:rFonts w:ascii="Arial" w:cs="Arial" w:eastAsia="Arial" w:hAnsi="Arial"/>
          <w:sz w:val="18"/>
          <w:szCs w:val="18"/>
          <w:b w:val="1"/>
          <w:bCs w:val="1"/>
          <w:color w:val="auto"/>
        </w:rPr>
        <w:t>Cost of risk</w:t>
      </w:r>
      <w:r>
        <w:rPr>
          <w:sz w:val="20"/>
          <w:szCs w:val="20"/>
          <w:color w:val="auto"/>
        </w:rPr>
        <w:tab/>
      </w:r>
      <w:r>
        <w:rPr>
          <w:rFonts w:ascii="Arial" w:cs="Arial" w:eastAsia="Arial" w:hAnsi="Arial"/>
          <w:sz w:val="16"/>
          <w:szCs w:val="16"/>
          <w:color w:val="auto"/>
        </w:rPr>
        <w:t>Annualized net provisions for loan losses / Total loans</w:t>
      </w:r>
    </w:p>
    <w:p>
      <w:pPr>
        <w:spacing w:after="0" w:line="27"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Net provisions for loan losses / Net interest income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performance</w:t>
      </w:r>
    </w:p>
    <w:p>
      <w:pPr>
        <w:spacing w:after="0" w:line="225" w:lineRule="exact"/>
        <w:rPr>
          <w:sz w:val="20"/>
          <w:szCs w:val="20"/>
          <w:color w:val="auto"/>
        </w:rPr>
      </w:pPr>
    </w:p>
    <w:p>
      <w:pPr>
        <w:spacing w:after="0"/>
        <w:tabs>
          <w:tab w:leader="none" w:pos="4560" w:val="left"/>
        </w:tabs>
        <w:rPr>
          <w:sz w:val="20"/>
          <w:szCs w:val="20"/>
          <w:color w:val="auto"/>
        </w:rPr>
      </w:pPr>
      <w:r>
        <w:rPr>
          <w:rFonts w:ascii="Arial" w:cs="Arial" w:eastAsia="Arial" w:hAnsi="Arial"/>
          <w:sz w:val="18"/>
          <w:szCs w:val="18"/>
          <w:b w:val="1"/>
          <w:bCs w:val="1"/>
          <w:color w:val="auto"/>
        </w:rPr>
        <w:t>Operating efficiency</w:t>
      </w:r>
      <w:r>
        <w:rPr>
          <w:sz w:val="20"/>
          <w:szCs w:val="20"/>
          <w:color w:val="auto"/>
        </w:rPr>
        <w:tab/>
      </w:r>
      <w:r>
        <w:rPr>
          <w:rFonts w:ascii="Arial" w:cs="Arial" w:eastAsia="Arial" w:hAnsi="Arial"/>
          <w:sz w:val="16"/>
          <w:szCs w:val="16"/>
          <w:color w:val="auto"/>
        </w:rPr>
        <w:t>(Salaries and employee benefits + Administrative expenses + Depreciation and amortization +</w:t>
      </w:r>
    </w:p>
    <w:p>
      <w:pPr>
        <w:spacing w:after="0" w:line="27"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Adquisition cost) / (Net interest income + Fee income + Net gain on foreign exchange</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7"/>
          <w:szCs w:val="17"/>
          <w:color w:val="auto"/>
        </w:rPr>
        <w:t>transactions + Net gain from subsidiaries + Net premiums earned + Gross margin from</w:t>
      </w:r>
    </w:p>
    <w:p>
      <w:pPr>
        <w:spacing w:after="0" w:line="21"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medical services)</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6"/>
          <w:szCs w:val="16"/>
          <w:color w:val="auto"/>
        </w:rPr>
        <w:t>(Salaries and employee benefits + Administrative expenses + Depreciation and amortization) /</w:t>
      </w:r>
    </w:p>
    <w:p>
      <w:pPr>
        <w:spacing w:after="0" w:line="3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Average* total assets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 Adequacy</w:t>
      </w:r>
    </w:p>
    <w:p>
      <w:pPr>
        <w:spacing w:after="0" w:line="225" w:lineRule="exact"/>
        <w:rPr>
          <w:sz w:val="20"/>
          <w:szCs w:val="20"/>
          <w:color w:val="auto"/>
        </w:rPr>
      </w:pPr>
    </w:p>
    <w:p>
      <w:pPr>
        <w:spacing w:after="0"/>
        <w:tabs>
          <w:tab w:leader="none" w:pos="4560" w:val="left"/>
        </w:tabs>
        <w:rPr>
          <w:sz w:val="20"/>
          <w:szCs w:val="20"/>
          <w:color w:val="auto"/>
        </w:rPr>
      </w:pPr>
      <w:r>
        <w:rPr>
          <w:rFonts w:ascii="Arial" w:cs="Arial" w:eastAsia="Arial" w:hAnsi="Arial"/>
          <w:sz w:val="18"/>
          <w:szCs w:val="18"/>
          <w:b w:val="1"/>
          <w:bCs w:val="1"/>
          <w:color w:val="auto"/>
        </w:rPr>
        <w:t>BIS ratio</w:t>
      </w:r>
      <w:r>
        <w:rPr>
          <w:sz w:val="20"/>
          <w:szCs w:val="20"/>
          <w:color w:val="auto"/>
        </w:rPr>
        <w:tab/>
      </w:r>
      <w:r>
        <w:rPr>
          <w:rFonts w:ascii="Arial" w:cs="Arial" w:eastAsia="Arial" w:hAnsi="Arial"/>
          <w:sz w:val="16"/>
          <w:szCs w:val="16"/>
          <w:color w:val="auto"/>
        </w:rPr>
        <w:t>Regulatory Capital / Risk-weighted assets</w:t>
      </w:r>
    </w:p>
    <w:p>
      <w:pPr>
        <w:spacing w:after="0" w:line="27" w:lineRule="exact"/>
        <w:rPr>
          <w:sz w:val="20"/>
          <w:szCs w:val="20"/>
          <w:color w:val="auto"/>
        </w:rPr>
      </w:pPr>
    </w:p>
    <w:p>
      <w:pPr>
        <w:spacing w:after="0"/>
        <w:tabs>
          <w:tab w:leader="none" w:pos="4560" w:val="left"/>
        </w:tabs>
        <w:rPr>
          <w:sz w:val="20"/>
          <w:szCs w:val="20"/>
          <w:color w:val="auto"/>
        </w:rPr>
      </w:pPr>
      <w:r>
        <w:rPr>
          <w:rFonts w:ascii="Arial" w:cs="Arial" w:eastAsia="Arial" w:hAnsi="Arial"/>
          <w:sz w:val="18"/>
          <w:szCs w:val="18"/>
          <w:b w:val="1"/>
          <w:bCs w:val="1"/>
          <w:color w:val="auto"/>
        </w:rPr>
        <w:t>Tier 1 ratio</w:t>
      </w:r>
      <w:r>
        <w:rPr>
          <w:sz w:val="20"/>
          <w:szCs w:val="20"/>
          <w:color w:val="auto"/>
        </w:rPr>
        <w:tab/>
      </w:r>
      <w:r>
        <w:rPr>
          <w:rFonts w:ascii="Arial" w:cs="Arial" w:eastAsia="Arial" w:hAnsi="Arial"/>
          <w:sz w:val="16"/>
          <w:szCs w:val="16"/>
          <w:color w:val="auto"/>
        </w:rPr>
        <w:t>Tier 1 / Risk-weighted assets</w:t>
      </w:r>
    </w:p>
    <w:p>
      <w:pPr>
        <w:spacing w:after="0" w:line="9" w:lineRule="exact"/>
        <w:rPr>
          <w:sz w:val="20"/>
          <w:szCs w:val="20"/>
          <w:color w:val="auto"/>
        </w:rPr>
      </w:pPr>
    </w:p>
    <w:p>
      <w:pPr>
        <w:spacing w:after="0"/>
        <w:tabs>
          <w:tab w:leader="none" w:pos="4560" w:val="left"/>
        </w:tabs>
        <w:rPr>
          <w:sz w:val="20"/>
          <w:szCs w:val="20"/>
          <w:color w:val="auto"/>
        </w:rPr>
      </w:pPr>
      <w:r>
        <w:rPr>
          <w:rFonts w:ascii="Arial" w:cs="Arial" w:eastAsia="Arial" w:hAnsi="Arial"/>
          <w:sz w:val="18"/>
          <w:szCs w:val="18"/>
          <w:b w:val="1"/>
          <w:bCs w:val="1"/>
          <w:color w:val="auto"/>
        </w:rPr>
        <w:t>Common Equity Tier 1 ratio</w:t>
      </w:r>
      <w:r>
        <w:rPr>
          <w:sz w:val="20"/>
          <w:szCs w:val="20"/>
          <w:color w:val="auto"/>
        </w:rPr>
        <w:tab/>
      </w:r>
      <w:r>
        <w:rPr>
          <w:rFonts w:ascii="Arial" w:cs="Arial" w:eastAsia="Arial" w:hAnsi="Arial"/>
          <w:sz w:val="16"/>
          <w:szCs w:val="16"/>
          <w:color w:val="auto"/>
        </w:rPr>
        <w:t>Capital + Reserves – 100% of applicable deductions (investment in subsidiaries, goodwill,</w:t>
      </w:r>
    </w:p>
    <w:p>
      <w:pPr>
        <w:spacing w:after="0" w:line="9" w:lineRule="exact"/>
        <w:rPr>
          <w:sz w:val="20"/>
          <w:szCs w:val="20"/>
          <w:color w:val="auto"/>
        </w:rPr>
      </w:pPr>
    </w:p>
    <w:p>
      <w:pPr>
        <w:ind w:left="4580" w:right="180"/>
        <w:spacing w:after="0" w:line="261" w:lineRule="auto"/>
        <w:rPr>
          <w:sz w:val="20"/>
          <w:szCs w:val="20"/>
          <w:color w:val="auto"/>
        </w:rPr>
      </w:pPr>
      <w:r>
        <w:rPr>
          <w:rFonts w:ascii="Arial" w:cs="Arial" w:eastAsia="Arial" w:hAnsi="Arial"/>
          <w:sz w:val="18"/>
          <w:szCs w:val="18"/>
          <w:color w:val="auto"/>
        </w:rPr>
        <w:t>intangibles and deferred tax that rely on future profitability) + retained earnings + unrealized gains.</w:t>
      </w:r>
    </w:p>
    <w:p>
      <w:pPr>
        <w:spacing w:after="0" w:line="184" w:lineRule="exact"/>
        <w:rPr>
          <w:sz w:val="20"/>
          <w:szCs w:val="20"/>
          <w:color w:val="auto"/>
        </w:rPr>
      </w:pPr>
    </w:p>
    <w:p>
      <w:pPr>
        <w:ind w:right="4880" w:firstLine="8"/>
        <w:spacing w:after="0" w:line="498" w:lineRule="auto"/>
        <w:tabs>
          <w:tab w:leader="none" w:pos="135" w:val="left"/>
        </w:tabs>
        <w:numPr>
          <w:ilvl w:val="0"/>
          <w:numId w:val="80"/>
        </w:numPr>
        <w:rPr>
          <w:rFonts w:ascii="Arial" w:cs="Arial" w:eastAsia="Arial" w:hAnsi="Arial"/>
          <w:sz w:val="18"/>
          <w:szCs w:val="18"/>
          <w:color w:val="auto"/>
        </w:rPr>
      </w:pPr>
      <w:r>
        <w:rPr>
          <w:rFonts w:ascii="Arial" w:cs="Arial" w:eastAsia="Arial" w:hAnsi="Arial"/>
          <w:sz w:val="18"/>
          <w:szCs w:val="18"/>
          <w:color w:val="auto"/>
        </w:rPr>
        <w:t>Averages are determined as the average of period-beginning and period-ending balances. *N/A: Not applicable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Credicorp’s efficiency ratio formula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80" w:type="dxa"/>
            <w:vAlign w:val="bottom"/>
            <w:gridSpan w:val="2"/>
          </w:tcPr>
          <w:p>
            <w:pPr>
              <w:ind w:left="260"/>
              <w:spacing w:after="0"/>
              <w:rPr>
                <w:sz w:val="20"/>
                <w:szCs w:val="20"/>
                <w:color w:val="auto"/>
              </w:rPr>
            </w:pPr>
            <w:r>
              <w:rPr>
                <w:rFonts w:ascii="Arial" w:cs="Arial" w:eastAsia="Arial" w:hAnsi="Arial"/>
                <w:sz w:val="14"/>
                <w:szCs w:val="14"/>
                <w:b w:val="1"/>
                <w:bCs w:val="1"/>
                <w:color w:val="auto"/>
              </w:rPr>
              <w:t>Credicorp</w:t>
            </w: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3"/>
          </w:tcPr>
          <w:p>
            <w:pPr>
              <w:ind w:left="580"/>
              <w:spacing w:after="0"/>
              <w:rPr>
                <w:sz w:val="20"/>
                <w:szCs w:val="20"/>
                <w:color w:val="auto"/>
              </w:rPr>
            </w:pPr>
            <w:r>
              <w:rPr>
                <w:rFonts w:ascii="Arial" w:cs="Arial" w:eastAsia="Arial" w:hAnsi="Arial"/>
                <w:sz w:val="14"/>
                <w:szCs w:val="14"/>
                <w:b w:val="1"/>
                <w:bCs w:val="1"/>
                <w:color w:val="auto"/>
              </w:rPr>
              <w:t>Quarter</w:t>
            </w: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3"/>
          </w:tcPr>
          <w:p>
            <w:pPr>
              <w:ind w:left="760"/>
              <w:spacing w:after="0"/>
              <w:rPr>
                <w:sz w:val="20"/>
                <w:szCs w:val="20"/>
                <w:color w:val="auto"/>
              </w:rPr>
            </w:pPr>
            <w:r>
              <w:rPr>
                <w:rFonts w:ascii="Arial" w:cs="Arial" w:eastAsia="Arial" w:hAnsi="Arial"/>
                <w:sz w:val="14"/>
                <w:szCs w:val="14"/>
                <w:b w:val="1"/>
                <w:bCs w:val="1"/>
                <w:color w:val="auto"/>
              </w:rPr>
              <w:t>Year</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rPr>
              <w:t>- Efficiency ratio -</w:t>
            </w:r>
          </w:p>
        </w:tc>
        <w:tc>
          <w:tcPr>
            <w:tcW w:w="10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1Q14</w:t>
            </w:r>
          </w:p>
        </w:tc>
        <w:tc>
          <w:tcPr>
            <w:tcW w:w="10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2Q14</w:t>
            </w:r>
          </w:p>
        </w:tc>
        <w:tc>
          <w:tcPr>
            <w:tcW w:w="10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3Q14</w:t>
            </w:r>
          </w:p>
        </w:tc>
        <w:tc>
          <w:tcPr>
            <w:tcW w:w="1160" w:type="dxa"/>
            <w:vAlign w:val="bottom"/>
            <w:gridSpan w:val="3"/>
          </w:tcPr>
          <w:p>
            <w:pPr>
              <w:ind w:left="220"/>
              <w:spacing w:after="0"/>
              <w:rPr>
                <w:sz w:val="20"/>
                <w:szCs w:val="20"/>
                <w:color w:val="auto"/>
              </w:rPr>
            </w:pPr>
            <w:r>
              <w:rPr>
                <w:rFonts w:ascii="Arial" w:cs="Arial" w:eastAsia="Arial" w:hAnsi="Arial"/>
                <w:sz w:val="14"/>
                <w:szCs w:val="14"/>
                <w:b w:val="1"/>
                <w:bCs w:val="1"/>
                <w:color w:val="auto"/>
              </w:rPr>
              <w:t>4Q14</w:t>
            </w:r>
          </w:p>
        </w:tc>
        <w:tc>
          <w:tcPr>
            <w:tcW w:w="8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1Q15</w:t>
            </w:r>
          </w:p>
        </w:tc>
        <w:tc>
          <w:tcPr>
            <w:tcW w:w="10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2Q15</w:t>
            </w:r>
          </w:p>
        </w:tc>
        <w:tc>
          <w:tcPr>
            <w:tcW w:w="10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3Q15</w:t>
            </w:r>
          </w:p>
        </w:tc>
        <w:tc>
          <w:tcPr>
            <w:tcW w:w="10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4Q15</w:t>
            </w:r>
          </w:p>
        </w:tc>
        <w:tc>
          <w:tcPr>
            <w:tcW w:w="780" w:type="dxa"/>
            <w:vAlign w:val="bottom"/>
          </w:tcPr>
          <w:p>
            <w:pPr>
              <w:jc w:val="right"/>
              <w:ind w:right="168"/>
              <w:spacing w:after="0"/>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168"/>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4"/>
                <w:szCs w:val="14"/>
                <w:color w:val="auto"/>
              </w:rPr>
            </w:pPr>
          </w:p>
        </w:tc>
      </w:tr>
      <w:tr>
        <w:trPr>
          <w:trHeight w:val="119"/>
        </w:trPr>
        <w:tc>
          <w:tcPr>
            <w:tcW w:w="1160" w:type="dxa"/>
            <w:vAlign w:val="bottom"/>
            <w:tcBorders>
              <w:top w:val="single" w:sz="8" w:color="auto"/>
            </w:tcBorders>
            <w:shd w:val="clear" w:color="auto" w:fill="CCEEFF"/>
          </w:tcPr>
          <w:p>
            <w:pPr>
              <w:spacing w:after="0" w:line="119" w:lineRule="exact"/>
              <w:rPr>
                <w:sz w:val="20"/>
                <w:szCs w:val="20"/>
                <w:color w:val="auto"/>
              </w:rPr>
            </w:pPr>
            <w:r>
              <w:rPr>
                <w:rFonts w:ascii="Arial" w:cs="Arial" w:eastAsia="Arial" w:hAnsi="Arial"/>
                <w:sz w:val="13"/>
                <w:szCs w:val="13"/>
                <w:b w:val="1"/>
                <w:bCs w:val="1"/>
                <w:color w:val="auto"/>
              </w:rPr>
              <w:t>Reported in</w:t>
            </w:r>
          </w:p>
        </w:tc>
        <w:tc>
          <w:tcPr>
            <w:tcW w:w="12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r>
      <w:tr>
        <w:trPr>
          <w:trHeight w:val="158"/>
        </w:trPr>
        <w:tc>
          <w:tcPr>
            <w:tcW w:w="128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b w:val="1"/>
                <w:bCs w:val="1"/>
                <w:color w:val="auto"/>
              </w:rPr>
              <w:t>previous reports</w:t>
            </w:r>
          </w:p>
        </w:tc>
        <w:tc>
          <w:tcPr>
            <w:tcW w:w="8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75"/>
        </w:trPr>
        <w:tc>
          <w:tcPr>
            <w:tcW w:w="11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(1)</w:t>
            </w: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40.8%</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43.9%</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41.5%</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43.3%</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41.4%</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42.3%</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41.7%</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43.7%</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42.4%</w:t>
            </w:r>
          </w:p>
        </w:tc>
        <w:tc>
          <w:tcPr>
            <w:tcW w:w="1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42.3%</w:t>
            </w:r>
          </w:p>
        </w:tc>
      </w:tr>
      <w:tr>
        <w:trPr>
          <w:trHeight w:val="136"/>
        </w:trPr>
        <w:tc>
          <w:tcPr>
            <w:tcW w:w="1280" w:type="dxa"/>
            <w:vAlign w:val="bottom"/>
            <w:gridSpan w:val="2"/>
          </w:tcPr>
          <w:p>
            <w:pPr>
              <w:spacing w:after="0" w:line="136" w:lineRule="exact"/>
              <w:rPr>
                <w:sz w:val="20"/>
                <w:szCs w:val="20"/>
                <w:color w:val="auto"/>
              </w:rPr>
            </w:pPr>
            <w:r>
              <w:rPr>
                <w:rFonts w:ascii="Arial" w:cs="Arial" w:eastAsia="Arial" w:hAnsi="Arial"/>
                <w:sz w:val="14"/>
                <w:szCs w:val="14"/>
                <w:b w:val="1"/>
                <w:bCs w:val="1"/>
                <w:color w:val="auto"/>
              </w:rPr>
              <w:t>New reported</w:t>
            </w: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317"/>
        </w:trPr>
        <w:tc>
          <w:tcPr>
            <w:tcW w:w="128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ratio </w:t>
            </w:r>
            <w:r>
              <w:rPr>
                <w:rFonts w:ascii="Arial" w:cs="Arial" w:eastAsia="Arial" w:hAnsi="Arial"/>
                <w:sz w:val="23"/>
                <w:szCs w:val="23"/>
                <w:b w:val="1"/>
                <w:bCs w:val="1"/>
                <w:color w:val="auto"/>
                <w:vertAlign w:val="superscript"/>
              </w:rPr>
              <w:t>(2)</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43.9%</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46.8%</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44.1%</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46.2%</w:t>
            </w:r>
          </w:p>
        </w:tc>
        <w:tc>
          <w:tcPr>
            <w:tcW w:w="14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41.8%</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44.0%</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43.0%</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44.4%</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45.3%</w:t>
            </w:r>
          </w:p>
        </w:tc>
        <w:tc>
          <w:tcPr>
            <w:tcW w:w="14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43.3%</w:t>
            </w:r>
          </w:p>
        </w:tc>
      </w:tr>
    </w:tbl>
    <w:p>
      <w:pPr>
        <w:spacing w:after="0" w:line="86" w:lineRule="exact"/>
        <w:rPr>
          <w:sz w:val="20"/>
          <w:szCs w:val="20"/>
          <w:color w:val="auto"/>
        </w:rPr>
      </w:pPr>
    </w:p>
    <w:p>
      <w:pPr>
        <w:ind w:firstLine="8"/>
        <w:spacing w:after="0" w:line="258" w:lineRule="auto"/>
        <w:tabs>
          <w:tab w:leader="none" w:pos="264"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(Total expenses - Other expenses) / (Net interest income + Fee income + Gain on foreign exchange transactions + Net premiums earned + Gross margin from medical services)</w:t>
      </w:r>
    </w:p>
    <w:p>
      <w:pPr>
        <w:spacing w:after="0" w:line="1" w:lineRule="exact"/>
        <w:rPr>
          <w:rFonts w:ascii="Arial" w:cs="Arial" w:eastAsia="Arial" w:hAnsi="Arial"/>
          <w:sz w:val="18"/>
          <w:szCs w:val="18"/>
          <w:color w:val="auto"/>
        </w:rPr>
      </w:pPr>
    </w:p>
    <w:p>
      <w:pPr>
        <w:ind w:firstLine="8"/>
        <w:spacing w:after="0" w:line="261" w:lineRule="auto"/>
        <w:tabs>
          <w:tab w:leader="none" w:pos="277"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(Total expenses + Acquisition cost - Other expenses) / (Net interest income + Fee income + Gain on foreign exchange transactions + Net gain from subsidiaries + Net premiums earned + Gross margin from medical services)</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66" w:name="page67"/>
    <w:bookmarkEnd w:id="66"/>
    <w:p>
      <w:pPr>
        <w:jc w:val="center"/>
        <w:ind w:right="-5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February 8</w:t>
      </w:r>
      <w:r>
        <w:rPr>
          <w:rFonts w:ascii="Arial" w:cs="Arial" w:eastAsia="Arial" w:hAnsi="Arial"/>
          <w:sz w:val="30"/>
          <w:szCs w:val="30"/>
          <w:color w:val="auto"/>
          <w:vertAlign w:val="superscript"/>
        </w:rPr>
        <w:t>th</w:t>
      </w:r>
      <w:r>
        <w:rPr>
          <w:rFonts w:ascii="Arial" w:cs="Arial" w:eastAsia="Arial" w:hAnsi="Arial"/>
          <w:sz w:val="18"/>
          <w:szCs w:val="18"/>
          <w:color w:val="auto"/>
        </w:rPr>
        <w:t>, 2016</w:t>
      </w:r>
    </w:p>
    <w:p>
      <w:pPr>
        <w:spacing w:after="0" w:line="12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Miriam Bottger</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Miriam Bottger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289877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820"/>
      </w:cols>
      <w:pgMar w:left="240" w:top="904"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3EA438"/>
    <w:multiLevelType w:val="hybridMultilevel"/>
    <w:lvl w:ilvl="0">
      <w:lvlJc w:val="left"/>
      <w:lvlText w:val="·"/>
      <w:numFmt w:val="bullet"/>
      <w:start w:val="1"/>
    </w:lvl>
  </w:abstractNum>
  <w:abstractNum w:abstractNumId="1">
    <w:nsid w:val="3855585C"/>
    <w:multiLevelType w:val="hybridMultilevel"/>
    <w:lvl w:ilvl="0">
      <w:lvlJc w:val="left"/>
      <w:lvlText w:val="(%1)"/>
      <w:numFmt w:val="decimal"/>
      <w:start w:val="1"/>
    </w:lvl>
  </w:abstractNum>
  <w:abstractNum w:abstractNumId="2">
    <w:nsid w:val="70A64E2A"/>
    <w:multiLevelType w:val="hybridMultilevel"/>
    <w:lvl w:ilvl="0">
      <w:lvlJc w:val="left"/>
      <w:lvlText w:val="(%1)"/>
      <w:numFmt w:val="lowerRoman"/>
      <w:start w:val="1"/>
    </w:lvl>
  </w:abstractNum>
  <w:abstractNum w:abstractNumId="3">
    <w:nsid w:val="6A2342EC"/>
    <w:multiLevelType w:val="hybridMultilevel"/>
    <w:lvl w:ilvl="0">
      <w:lvlJc w:val="left"/>
      <w:lvlText w:val="(%1)"/>
      <w:numFmt w:val="lowerRoman"/>
      <w:start w:val="1"/>
    </w:lvl>
  </w:abstractNum>
  <w:abstractNum w:abstractNumId="4">
    <w:nsid w:val="2A487CB0"/>
    <w:multiLevelType w:val="hybridMultilevel"/>
    <w:lvl w:ilvl="0">
      <w:lvlJc w:val="left"/>
      <w:lvlText w:val="(%1)"/>
      <w:numFmt w:val="decimal"/>
      <w:start w:val="1"/>
    </w:lvl>
  </w:abstractNum>
  <w:abstractNum w:abstractNumId="5">
    <w:nsid w:val="1D4ED43B"/>
    <w:multiLevelType w:val="hybridMultilevel"/>
    <w:lvl w:ilvl="0">
      <w:lvlJc w:val="left"/>
      <w:lvlText w:val="(%1)"/>
      <w:numFmt w:val="decimal"/>
      <w:start w:val="1"/>
    </w:lvl>
  </w:abstractNum>
  <w:abstractNum w:abstractNumId="6">
    <w:nsid w:val="725A06FB"/>
    <w:multiLevelType w:val="hybridMultilevel"/>
    <w:lvl w:ilvl="0">
      <w:lvlJc w:val="left"/>
      <w:lvlText w:val="%1."/>
      <w:numFmt w:val="decimal"/>
      <w:start w:val="1"/>
    </w:lvl>
  </w:abstractNum>
  <w:abstractNum w:abstractNumId="7">
    <w:nsid w:val="2CD89A32"/>
    <w:multiLevelType w:val="hybridMultilevel"/>
    <w:lvl w:ilvl="0">
      <w:lvlJc w:val="left"/>
      <w:lvlText w:val="(%1)"/>
      <w:numFmt w:val="decimal"/>
      <w:start w:val="1"/>
    </w:lvl>
  </w:abstractNum>
  <w:abstractNum w:abstractNumId="8">
    <w:nsid w:val="57E4CCAF"/>
    <w:multiLevelType w:val="hybridMultilevel"/>
    <w:lvl w:ilvl="0">
      <w:lvlJc w:val="left"/>
      <w:lvlText w:val="(%1)"/>
      <w:numFmt w:val="decimal"/>
      <w:start w:val="1"/>
    </w:lvl>
  </w:abstractNum>
  <w:abstractNum w:abstractNumId="9">
    <w:nsid w:val="7A6D8D3C"/>
    <w:multiLevelType w:val="hybridMultilevel"/>
    <w:lvl w:ilvl="0">
      <w:lvlJc w:val="left"/>
      <w:lvlText w:val="(%1)"/>
      <w:numFmt w:val="lowerRoman"/>
      <w:start w:val="1"/>
    </w:lvl>
  </w:abstractNum>
  <w:abstractNum w:abstractNumId="10">
    <w:nsid w:val="4B588F54"/>
    <w:multiLevelType w:val="hybridMultilevel"/>
    <w:lvl w:ilvl="0">
      <w:lvlJc w:val="left"/>
      <w:lvlText w:val="(%1)"/>
      <w:numFmt w:val="lowerRoman"/>
      <w:start w:val="1"/>
    </w:lvl>
  </w:abstractNum>
  <w:abstractNum w:abstractNumId="11">
    <w:nsid w:val="542289EC"/>
    <w:multiLevelType w:val="hybridMultilevel"/>
    <w:lvl w:ilvl="0">
      <w:lvlJc w:val="left"/>
      <w:lvlText w:val="1"/>
      <w:numFmt w:val="bullet"/>
      <w:start w:val="1"/>
    </w:lvl>
  </w:abstractNum>
  <w:abstractNum w:abstractNumId="12">
    <w:nsid w:val="6DE91B18"/>
    <w:multiLevelType w:val="hybridMultilevel"/>
    <w:lvl w:ilvl="0">
      <w:lvlJc w:val="left"/>
      <w:lvlText w:val="(%1)"/>
      <w:numFmt w:val="decimal"/>
      <w:start w:val="1"/>
    </w:lvl>
  </w:abstractNum>
  <w:abstractNum w:abstractNumId="13">
    <w:nsid w:val="38437FDB"/>
    <w:multiLevelType w:val="hybridMultilevel"/>
    <w:lvl w:ilvl="0">
      <w:lvlJc w:val="left"/>
      <w:lvlText w:val="%1."/>
      <w:numFmt w:val="decimal"/>
      <w:start w:val="2"/>
    </w:lvl>
  </w:abstractNum>
  <w:abstractNum w:abstractNumId="14">
    <w:nsid w:val="7644A45C"/>
    <w:multiLevelType w:val="hybridMultilevel"/>
    <w:lvl w:ilvl="0">
      <w:lvlJc w:val="left"/>
      <w:lvlText w:val="(%1)"/>
      <w:numFmt w:val="decimal"/>
      <w:start w:val="1"/>
    </w:lvl>
  </w:abstractNum>
  <w:abstractNum w:abstractNumId="15">
    <w:nsid w:val="32FFF902"/>
    <w:multiLevelType w:val="hybridMultilevel"/>
    <w:lvl w:ilvl="0">
      <w:lvlJc w:val="left"/>
      <w:lvlText w:val="2"/>
      <w:numFmt w:val="bullet"/>
      <w:start w:val="1"/>
    </w:lvl>
  </w:abstractNum>
  <w:abstractNum w:abstractNumId="16">
    <w:nsid w:val="684A481A"/>
    <w:multiLevelType w:val="hybridMultilevel"/>
    <w:lvl w:ilvl="0">
      <w:lvlJc w:val="left"/>
      <w:lvlText w:val="(%1)"/>
      <w:numFmt w:val="decimal"/>
      <w:start w:val="1"/>
    </w:lvl>
  </w:abstractNum>
  <w:abstractNum w:abstractNumId="17">
    <w:nsid w:val="579478FE"/>
    <w:multiLevelType w:val="hybridMultilevel"/>
    <w:lvl w:ilvl="0">
      <w:lvlJc w:val="left"/>
      <w:lvlText w:val="(%1)"/>
      <w:numFmt w:val="decimal"/>
      <w:start w:val="1"/>
    </w:lvl>
  </w:abstractNum>
  <w:abstractNum w:abstractNumId="18">
    <w:nsid w:val="749ABB43"/>
    <w:multiLevelType w:val="hybridMultilevel"/>
    <w:lvl w:ilvl="0">
      <w:lvlJc w:val="left"/>
      <w:lvlText w:val="(%1)"/>
      <w:numFmt w:val="decimal"/>
      <w:start w:val="1"/>
    </w:lvl>
  </w:abstractNum>
  <w:abstractNum w:abstractNumId="19">
    <w:nsid w:val="3DC240FB"/>
    <w:multiLevelType w:val="hybridMultilevel"/>
    <w:lvl w:ilvl="0">
      <w:lvlJc w:val="left"/>
      <w:lvlText w:val="(%1)"/>
      <w:numFmt w:val="decimal"/>
      <w:start w:val="1"/>
    </w:lvl>
  </w:abstractNum>
  <w:abstractNum w:abstractNumId="20">
    <w:nsid w:val="1BA026FA"/>
    <w:multiLevelType w:val="hybridMultilevel"/>
    <w:lvl w:ilvl="0">
      <w:lvlJc w:val="left"/>
      <w:lvlText w:val="(%1)"/>
      <w:numFmt w:val="decimal"/>
      <w:start w:val="1"/>
    </w:lvl>
  </w:abstractNum>
  <w:abstractNum w:abstractNumId="21">
    <w:nsid w:val="79A1DEAA"/>
    <w:multiLevelType w:val="hybridMultilevel"/>
    <w:lvl w:ilvl="0">
      <w:lvlJc w:val="left"/>
      <w:lvlText w:val="%1."/>
      <w:numFmt w:val="decimal"/>
      <w:start w:val="3"/>
    </w:lvl>
  </w:abstractNum>
  <w:abstractNum w:abstractNumId="22">
    <w:nsid w:val="75C6C33A"/>
    <w:multiLevelType w:val="hybridMultilevel"/>
    <w:lvl w:ilvl="0">
      <w:lvlJc w:val="left"/>
      <w:lvlText w:val="(%1)"/>
      <w:numFmt w:val="decimal"/>
      <w:start w:val="1"/>
    </w:lvl>
  </w:abstractNum>
  <w:abstractNum w:abstractNumId="23">
    <w:nsid w:val="12E685FB"/>
    <w:multiLevelType w:val="hybridMultilevel"/>
    <w:lvl w:ilvl="0">
      <w:lvlJc w:val="left"/>
      <w:lvlText w:val="(%1)"/>
      <w:numFmt w:val="lowerRoman"/>
      <w:start w:val="1"/>
    </w:lvl>
  </w:abstractNum>
  <w:abstractNum w:abstractNumId="24">
    <w:nsid w:val="70C6A529"/>
    <w:multiLevelType w:val="hybridMultilevel"/>
    <w:lvl w:ilvl="0">
      <w:lvlJc w:val="left"/>
      <w:lvlText w:val="3"/>
      <w:numFmt w:val="bullet"/>
      <w:start w:val="1"/>
    </w:lvl>
  </w:abstractNum>
  <w:abstractNum w:abstractNumId="25">
    <w:nsid w:val="520EEDD1"/>
    <w:multiLevelType w:val="hybridMultilevel"/>
    <w:lvl w:ilvl="0">
      <w:lvlJc w:val="left"/>
      <w:lvlText w:val="(%1)"/>
      <w:numFmt w:val="lowerRoman"/>
      <w:start w:val="1"/>
    </w:lvl>
  </w:abstractNum>
  <w:abstractNum w:abstractNumId="26">
    <w:nsid w:val="374A3FE6"/>
    <w:multiLevelType w:val="hybridMultilevel"/>
    <w:lvl w:ilvl="0">
      <w:lvlJc w:val="left"/>
      <w:lvlText w:val="(%1)"/>
      <w:numFmt w:val="lowerRoman"/>
      <w:start w:val="2"/>
    </w:lvl>
  </w:abstractNum>
  <w:abstractNum w:abstractNumId="27">
    <w:nsid w:val="4F4EF005"/>
    <w:multiLevelType w:val="hybridMultilevel"/>
    <w:lvl w:ilvl="0">
      <w:lvlJc w:val="left"/>
      <w:lvlText w:val="(%1)"/>
      <w:numFmt w:val="lowerRoman"/>
      <w:start w:val="1"/>
    </w:lvl>
  </w:abstractNum>
  <w:abstractNum w:abstractNumId="28">
    <w:nsid w:val="23F9C13C"/>
    <w:multiLevelType w:val="hybridMultilevel"/>
    <w:lvl w:ilvl="0">
      <w:lvlJc w:val="left"/>
      <w:lvlText w:val="(%1)"/>
      <w:numFmt w:val="lowerRoman"/>
      <w:start w:val="2"/>
    </w:lvl>
  </w:abstractNum>
  <w:abstractNum w:abstractNumId="29">
    <w:nsid w:val="649BB77C"/>
    <w:multiLevelType w:val="hybridMultilevel"/>
    <w:lvl w:ilvl="0">
      <w:lvlJc w:val="left"/>
      <w:lvlText w:val="(%1)"/>
      <w:numFmt w:val="lowerRoman"/>
      <w:start w:val="3"/>
    </w:lvl>
  </w:abstractNum>
  <w:abstractNum w:abstractNumId="30">
    <w:nsid w:val="275AC794"/>
    <w:multiLevelType w:val="hybridMultilevel"/>
    <w:lvl w:ilvl="0">
      <w:lvlJc w:val="left"/>
      <w:lvlText w:val="%1"/>
      <w:numFmt w:val="lowerRoman"/>
      <w:start w:val="1"/>
    </w:lvl>
    <w:lvl w:ilvl="1">
      <w:lvlJc w:val="left"/>
      <w:lvlText w:val="(%2)"/>
      <w:numFmt w:val="decimal"/>
      <w:start w:val="1"/>
    </w:lvl>
  </w:abstractNum>
  <w:abstractNum w:abstractNumId="31">
    <w:nsid w:val="39386575"/>
    <w:multiLevelType w:val="hybridMultilevel"/>
    <w:lvl w:ilvl="0">
      <w:lvlJc w:val="left"/>
      <w:lvlText w:val="(%1)"/>
      <w:numFmt w:val="lowerRoman"/>
      <w:start w:val="4"/>
    </w:lvl>
    <w:lvl w:ilvl="1">
      <w:lvlJc w:val="left"/>
      <w:lvlText w:val="%2"/>
      <w:numFmt w:val="decimal"/>
      <w:start w:val="1"/>
    </w:lvl>
  </w:abstractNum>
  <w:abstractNum w:abstractNumId="32">
    <w:nsid w:val="1CF10FD8"/>
    <w:multiLevelType w:val="hybridMultilevel"/>
    <w:lvl w:ilvl="0">
      <w:lvlJc w:val="left"/>
      <w:lvlText w:val="%1"/>
      <w:numFmt w:val="lowerRoman"/>
      <w:start w:val="1"/>
    </w:lvl>
    <w:lvl w:ilvl="1">
      <w:lvlJc w:val="left"/>
      <w:lvlText w:val="(%2)"/>
      <w:numFmt w:val="decimal"/>
      <w:start w:val="1"/>
    </w:lvl>
  </w:abstractNum>
  <w:abstractNum w:abstractNumId="33">
    <w:nsid w:val="180115BE"/>
    <w:multiLevelType w:val="hybridMultilevel"/>
    <w:lvl w:ilvl="0">
      <w:lvlJc w:val="left"/>
      <w:lvlText w:val="(%1)"/>
      <w:numFmt w:val="lowerRoman"/>
      <w:start w:val="5"/>
    </w:lvl>
    <w:lvl w:ilvl="1">
      <w:lvlJc w:val="left"/>
      <w:lvlText w:val="%2"/>
      <w:numFmt w:val="decimal"/>
      <w:start w:val="1"/>
    </w:lvl>
  </w:abstractNum>
  <w:abstractNum w:abstractNumId="34">
    <w:nsid w:val="235BA861"/>
    <w:multiLevelType w:val="hybridMultilevel"/>
    <w:lvl w:ilvl="0">
      <w:lvlJc w:val="left"/>
      <w:lvlText w:val="(%1)"/>
      <w:numFmt w:val="lowerRoman"/>
      <w:start w:val="6"/>
    </w:lvl>
  </w:abstractNum>
  <w:abstractNum w:abstractNumId="35">
    <w:nsid w:val="47398C89"/>
    <w:multiLevelType w:val="hybridMultilevel"/>
    <w:lvl w:ilvl="0">
      <w:lvlJc w:val="left"/>
      <w:lvlText w:val="4"/>
      <w:numFmt w:val="bullet"/>
      <w:start w:val="1"/>
    </w:lvl>
  </w:abstractNum>
  <w:abstractNum w:abstractNumId="36">
    <w:nsid w:val="354FE9F9"/>
    <w:multiLevelType w:val="hybridMultilevel"/>
    <w:lvl w:ilvl="0">
      <w:lvlJc w:val="left"/>
      <w:lvlText w:val="(%1)"/>
      <w:numFmt w:val="lowerRoman"/>
      <w:start w:val="7"/>
    </w:lvl>
  </w:abstractNum>
  <w:abstractNum w:abstractNumId="37">
    <w:nsid w:val="15B5AF5C"/>
    <w:multiLevelType w:val="hybridMultilevel"/>
    <w:lvl w:ilvl="0">
      <w:lvlJc w:val="left"/>
      <w:lvlText w:val="(%1)"/>
      <w:numFmt w:val="lowerRoman"/>
      <w:start w:val="8"/>
    </w:lvl>
  </w:abstractNum>
  <w:abstractNum w:abstractNumId="38">
    <w:nsid w:val="741226BB"/>
    <w:multiLevelType w:val="hybridMultilevel"/>
    <w:lvl w:ilvl="0">
      <w:lvlJc w:val="left"/>
      <w:lvlText w:val="5"/>
      <w:numFmt w:val="bullet"/>
      <w:start w:val="1"/>
    </w:lvl>
  </w:abstractNum>
  <w:abstractNum w:abstractNumId="39">
    <w:nsid w:val="D34B6A8"/>
    <w:multiLevelType w:val="hybridMultilevel"/>
    <w:lvl w:ilvl="0">
      <w:lvlJc w:val="left"/>
      <w:lvlText w:val="%1."/>
      <w:numFmt w:val="decimal"/>
      <w:start w:val="4"/>
    </w:lvl>
  </w:abstractNum>
  <w:abstractNum w:abstractNumId="40">
    <w:nsid w:val="10233C99"/>
    <w:multiLevelType w:val="hybridMultilevel"/>
    <w:lvl w:ilvl="0">
      <w:lvlJc w:val="left"/>
      <w:lvlText w:val="(%1)"/>
      <w:numFmt w:val="decimal"/>
      <w:start w:val="1"/>
    </w:lvl>
  </w:abstractNum>
  <w:abstractNum w:abstractNumId="41">
    <w:nsid w:val="3F6AB60F"/>
    <w:multiLevelType w:val="hybridMultilevel"/>
    <w:lvl w:ilvl="0">
      <w:lvlJc w:val="left"/>
      <w:lvlText w:val="(%1)"/>
      <w:numFmt w:val="lowerRoman"/>
      <w:start w:val="1"/>
    </w:lvl>
  </w:abstractNum>
  <w:abstractNum w:abstractNumId="42">
    <w:nsid w:val="61574095"/>
    <w:multiLevelType w:val="hybridMultilevel"/>
    <w:lvl w:ilvl="0">
      <w:lvlJc w:val="left"/>
      <w:lvlText w:val="(%1)"/>
      <w:numFmt w:val="lowerRoman"/>
      <w:start w:val="1"/>
    </w:lvl>
  </w:abstractNum>
  <w:abstractNum w:abstractNumId="43">
    <w:nsid w:val="7E0C57B1"/>
    <w:multiLevelType w:val="hybridMultilevel"/>
    <w:lvl w:ilvl="0">
      <w:lvlJc w:val="left"/>
      <w:lvlText w:val="6"/>
      <w:numFmt w:val="bullet"/>
      <w:start w:val="1"/>
    </w:lvl>
  </w:abstractNum>
  <w:abstractNum w:abstractNumId="44">
    <w:nsid w:val="77AE35EB"/>
    <w:multiLevelType w:val="hybridMultilevel"/>
    <w:lvl w:ilvl="0">
      <w:lvlJc w:val="left"/>
      <w:lvlText w:val="(%1)"/>
      <w:numFmt w:val="decimal"/>
      <w:start w:val="1"/>
    </w:lvl>
  </w:abstractNum>
  <w:abstractNum w:abstractNumId="45">
    <w:nsid w:val="579BE4F1"/>
    <w:multiLevelType w:val="hybridMultilevel"/>
    <w:lvl w:ilvl="0">
      <w:lvlJc w:val="left"/>
      <w:lvlText w:val="%1."/>
      <w:numFmt w:val="decimal"/>
      <w:start w:val="5"/>
    </w:lvl>
  </w:abstractNum>
  <w:abstractNum w:abstractNumId="46">
    <w:nsid w:val="310C50B3"/>
    <w:multiLevelType w:val="hybridMultilevel"/>
    <w:lvl w:ilvl="0">
      <w:lvlJc w:val="left"/>
      <w:lvlText w:val="(%1)"/>
      <w:numFmt w:val="lowerRoman"/>
      <w:start w:val="1"/>
    </w:lvl>
  </w:abstractNum>
  <w:abstractNum w:abstractNumId="47">
    <w:nsid w:val="5FF87E05"/>
    <w:multiLevelType w:val="hybridMultilevel"/>
    <w:lvl w:ilvl="0">
      <w:lvlJc w:val="left"/>
      <w:lvlText w:val="(%1)"/>
      <w:numFmt w:val="decimal"/>
      <w:start w:val="1"/>
    </w:lvl>
  </w:abstractNum>
  <w:abstractNum w:abstractNumId="48">
    <w:nsid w:val="2F305DEF"/>
    <w:multiLevelType w:val="hybridMultilevel"/>
    <w:lvl w:ilvl="0">
      <w:lvlJc w:val="left"/>
      <w:lvlText w:val="(%1)"/>
      <w:numFmt w:val="lowerRoman"/>
      <w:start w:val="1"/>
    </w:lvl>
  </w:abstractNum>
  <w:abstractNum w:abstractNumId="49">
    <w:nsid w:val="25A70BF7"/>
    <w:multiLevelType w:val="hybridMultilevel"/>
    <w:lvl w:ilvl="0">
      <w:lvlJc w:val="left"/>
      <w:lvlText w:val="(%1)"/>
      <w:numFmt w:val="lowerRoman"/>
      <w:start w:val="1"/>
    </w:lvl>
  </w:abstractNum>
  <w:abstractNum w:abstractNumId="50">
    <w:nsid w:val="1DBABF00"/>
    <w:multiLevelType w:val="hybridMultilevel"/>
    <w:lvl w:ilvl="0">
      <w:lvlJc w:val="left"/>
      <w:lvlText w:val="%1."/>
      <w:numFmt w:val="decimal"/>
      <w:start w:val="6"/>
    </w:lvl>
  </w:abstractNum>
  <w:abstractNum w:abstractNumId="51">
    <w:nsid w:val="4AD084E9"/>
    <w:multiLevelType w:val="hybridMultilevel"/>
    <w:lvl w:ilvl="0">
      <w:lvlJc w:val="left"/>
      <w:lvlText w:val="7"/>
      <w:numFmt w:val="bullet"/>
      <w:start w:val="1"/>
    </w:lvl>
  </w:abstractNum>
  <w:abstractNum w:abstractNumId="52">
    <w:nsid w:val="1F48EAA1"/>
    <w:multiLevelType w:val="hybridMultilevel"/>
    <w:lvl w:ilvl="0">
      <w:lvlJc w:val="left"/>
      <w:lvlText w:val="8"/>
      <w:numFmt w:val="bullet"/>
      <w:start w:val="1"/>
    </w:lvl>
  </w:abstractNum>
  <w:abstractNum w:abstractNumId="53">
    <w:nsid w:val="1381823A"/>
    <w:multiLevelType w:val="hybridMultilevel"/>
    <w:lvl w:ilvl="0">
      <w:lvlJc w:val="left"/>
      <w:lvlText w:val="%1."/>
      <w:numFmt w:val="decimal"/>
      <w:start w:val="7"/>
    </w:lvl>
  </w:abstractNum>
  <w:abstractNum w:abstractNumId="54">
    <w:nsid w:val="5DB70AE5"/>
    <w:multiLevelType w:val="hybridMultilevel"/>
    <w:lvl w:ilvl="0">
      <w:lvlJc w:val="left"/>
      <w:lvlText w:val="(%1)"/>
      <w:numFmt w:val="decimal"/>
      <w:start w:val="1"/>
    </w:lvl>
  </w:abstractNum>
  <w:abstractNum w:abstractNumId="55">
    <w:nsid w:val="100F8FCA"/>
    <w:multiLevelType w:val="hybridMultilevel"/>
    <w:lvl w:ilvl="0">
      <w:lvlJc w:val="left"/>
      <w:lvlText w:val="(%1)"/>
      <w:numFmt w:val="lowerRoman"/>
      <w:start w:val="1"/>
    </w:lvl>
  </w:abstractNum>
  <w:abstractNum w:abstractNumId="56">
    <w:nsid w:val="6590700B"/>
    <w:multiLevelType w:val="hybridMultilevel"/>
    <w:lvl w:ilvl="0">
      <w:lvlJc w:val="left"/>
      <w:lvlText w:val="9"/>
      <w:numFmt w:val="bullet"/>
      <w:start w:val="1"/>
    </w:lvl>
  </w:abstractNum>
  <w:abstractNum w:abstractNumId="57">
    <w:nsid w:val="15014ACB"/>
    <w:multiLevelType w:val="hybridMultilevel"/>
    <w:lvl w:ilvl="0">
      <w:lvlJc w:val="left"/>
      <w:lvlText w:val="(%1)"/>
      <w:numFmt w:val="decimal"/>
      <w:start w:val="1"/>
    </w:lvl>
  </w:abstractNum>
  <w:abstractNum w:abstractNumId="58">
    <w:nsid w:val="5F5E7FD0"/>
    <w:multiLevelType w:val="hybridMultilevel"/>
    <w:lvl w:ilvl="0">
      <w:lvlJc w:val="left"/>
      <w:lvlText w:val="(%1)"/>
      <w:numFmt w:val="lowerRoman"/>
      <w:start w:val="1"/>
    </w:lvl>
  </w:abstractNum>
  <w:abstractNum w:abstractNumId="59">
    <w:nsid w:val="98A3148"/>
    <w:multiLevelType w:val="hybridMultilevel"/>
    <w:lvl w:ilvl="0">
      <w:lvlJc w:val="left"/>
      <w:lvlText w:val="(%1)"/>
      <w:numFmt w:val="decimal"/>
      <w:start w:val="1"/>
    </w:lvl>
  </w:abstractNum>
  <w:abstractNum w:abstractNumId="60">
    <w:nsid w:val="799D0247"/>
    <w:multiLevelType w:val="hybridMultilevel"/>
    <w:lvl w:ilvl="0">
      <w:lvlJc w:val="left"/>
      <w:lvlText w:val="(%1)"/>
      <w:numFmt w:val="lowerRoman"/>
      <w:start w:val="1"/>
    </w:lvl>
  </w:abstractNum>
  <w:abstractNum w:abstractNumId="61">
    <w:nsid w:val="6B94764"/>
    <w:multiLevelType w:val="hybridMultilevel"/>
    <w:lvl w:ilvl="0">
      <w:lvlJc w:val="left"/>
      <w:lvlText w:val="(%1)"/>
      <w:numFmt w:val="lowerRoman"/>
      <w:start w:val="2"/>
    </w:lvl>
  </w:abstractNum>
  <w:abstractNum w:abstractNumId="62">
    <w:nsid w:val="42C296BD"/>
    <w:multiLevelType w:val="hybridMultilevel"/>
    <w:lvl w:ilvl="0">
      <w:lvlJc w:val="left"/>
      <w:lvlText w:val="(%1)"/>
      <w:numFmt w:val="lowerRoman"/>
      <w:start w:val="1"/>
    </w:lvl>
  </w:abstractNum>
  <w:abstractNum w:abstractNumId="63">
    <w:nsid w:val="168E121F"/>
    <w:multiLevelType w:val="hybridMultilevel"/>
    <w:lvl w:ilvl="0">
      <w:lvlJc w:val="left"/>
      <w:lvlText w:val="(%1)"/>
      <w:numFmt w:val="lowerRoman"/>
      <w:start w:val="1"/>
    </w:lvl>
  </w:abstractNum>
  <w:abstractNum w:abstractNumId="64">
    <w:nsid w:val="1EBA5D23"/>
    <w:multiLevelType w:val="hybridMultilevel"/>
    <w:lvl w:ilvl="0">
      <w:lvlJc w:val="left"/>
      <w:lvlText w:val="(%1)"/>
      <w:numFmt w:val="decimal"/>
      <w:start w:val="1"/>
    </w:lvl>
  </w:abstractNum>
  <w:abstractNum w:abstractNumId="65">
    <w:nsid w:val="661E3F1E"/>
    <w:multiLevelType w:val="hybridMultilevel"/>
    <w:lvl w:ilvl="0">
      <w:lvlJc w:val="left"/>
      <w:lvlText w:val="(%1)"/>
      <w:numFmt w:val="decimal"/>
      <w:start w:val="1"/>
    </w:lvl>
  </w:abstractNum>
  <w:abstractNum w:abstractNumId="66">
    <w:nsid w:val="5DC79EA8"/>
    <w:multiLevelType w:val="hybridMultilevel"/>
    <w:lvl w:ilvl="0">
      <w:lvlJc w:val="left"/>
      <w:lvlText w:val="(%1)"/>
      <w:numFmt w:val="decimal"/>
      <w:start w:val="1"/>
    </w:lvl>
  </w:abstractNum>
  <w:abstractNum w:abstractNumId="67">
    <w:nsid w:val="540A471C"/>
    <w:multiLevelType w:val="hybridMultilevel"/>
    <w:lvl w:ilvl="0">
      <w:lvlJc w:val="left"/>
      <w:lvlText w:val="%1."/>
      <w:numFmt w:val="decimal"/>
      <w:start w:val="9"/>
    </w:lvl>
  </w:abstractNum>
  <w:abstractNum w:abstractNumId="68">
    <w:nsid w:val="7BD3EE7B"/>
    <w:multiLevelType w:val="hybridMultilevel"/>
    <w:lvl w:ilvl="0">
      <w:lvlJc w:val="left"/>
      <w:lvlText w:val="(%1)"/>
      <w:numFmt w:val="decimal"/>
      <w:start w:val="1"/>
    </w:lvl>
  </w:abstractNum>
  <w:abstractNum w:abstractNumId="69">
    <w:nsid w:val="51D9C564"/>
    <w:multiLevelType w:val="hybridMultilevel"/>
    <w:lvl w:ilvl="0">
      <w:lvlJc w:val="left"/>
      <w:lvlText w:val="%1)"/>
      <w:numFmt w:val="lowerRoman"/>
      <w:start w:val="1"/>
    </w:lvl>
  </w:abstractNum>
  <w:abstractNum w:abstractNumId="70">
    <w:nsid w:val="613EFDC5"/>
    <w:multiLevelType w:val="hybridMultilevel"/>
    <w:lvl w:ilvl="0">
      <w:lvlJc w:val="left"/>
      <w:lvlText w:val="%1."/>
      <w:numFmt w:val="decimal"/>
      <w:start w:val="10"/>
    </w:lvl>
  </w:abstractNum>
  <w:abstractNum w:abstractNumId="71">
    <w:nsid w:val="BF72B14"/>
    <w:multiLevelType w:val="hybridMultilevel"/>
    <w:lvl w:ilvl="0">
      <w:lvlJc w:val="left"/>
      <w:lvlText w:val="%1."/>
      <w:numFmt w:val="decimal"/>
      <w:start w:val="11"/>
    </w:lvl>
  </w:abstractNum>
  <w:abstractNum w:abstractNumId="72">
    <w:nsid w:val="11447B73"/>
    <w:multiLevelType w:val="hybridMultilevel"/>
    <w:lvl w:ilvl="0">
      <w:lvlJc w:val="left"/>
      <w:lvlText w:val="(%1)"/>
      <w:numFmt w:val="decimal"/>
      <w:start w:val="1"/>
    </w:lvl>
  </w:abstractNum>
  <w:abstractNum w:abstractNumId="73">
    <w:nsid w:val="42963E5A"/>
    <w:multiLevelType w:val="hybridMultilevel"/>
    <w:lvl w:ilvl="0">
      <w:lvlJc w:val="left"/>
      <w:lvlText w:val="(%1)"/>
      <w:numFmt w:val="decimal"/>
      <w:start w:val="1"/>
    </w:lvl>
  </w:abstractNum>
  <w:abstractNum w:abstractNumId="74">
    <w:nsid w:val="A0382C5"/>
    <w:multiLevelType w:val="hybridMultilevel"/>
    <w:lvl w:ilvl="0">
      <w:lvlJc w:val="left"/>
      <w:lvlText w:val="(%1)"/>
      <w:numFmt w:val="decimal"/>
      <w:start w:val="1"/>
    </w:lvl>
  </w:abstractNum>
  <w:abstractNum w:abstractNumId="75">
    <w:nsid w:val="8F2B15E"/>
    <w:multiLevelType w:val="hybridMultilevel"/>
    <w:lvl w:ilvl="0">
      <w:lvlJc w:val="left"/>
      <w:lvlText w:val="(%1)"/>
      <w:numFmt w:val="decimal"/>
      <w:start w:val="1"/>
    </w:lvl>
  </w:abstractNum>
  <w:abstractNum w:abstractNumId="76">
    <w:nsid w:val="1A32234B"/>
    <w:multiLevelType w:val="hybridMultilevel"/>
    <w:lvl w:ilvl="0">
      <w:lvlJc w:val="left"/>
      <w:lvlText w:val="%1)"/>
      <w:numFmt w:val="lowerRoman"/>
      <w:start w:val="1"/>
    </w:lvl>
  </w:abstractNum>
  <w:abstractNum w:abstractNumId="77">
    <w:nsid w:val="3B0FD379"/>
    <w:multiLevelType w:val="hybridMultilevel"/>
    <w:lvl w:ilvl="0">
      <w:lvlJc w:val="left"/>
      <w:lvlText w:val="(%1)"/>
      <w:numFmt w:val="decimal"/>
      <w:start w:val="1"/>
    </w:lvl>
  </w:abstractNum>
  <w:abstractNum w:abstractNumId="78">
    <w:nsid w:val="68EB2F63"/>
    <w:multiLevelType w:val="hybridMultilevel"/>
    <w:lvl w:ilvl="0">
      <w:lvlJc w:val="left"/>
      <w:lvlText w:val="(%1)"/>
      <w:numFmt w:val="decimal"/>
      <w:start w:val="1"/>
    </w:lvl>
  </w:abstractNum>
  <w:abstractNum w:abstractNumId="79">
    <w:nsid w:val="4962813B"/>
    <w:multiLevelType w:val="hybridMultilevel"/>
    <w:lvl w:ilvl="0">
      <w:lvlJc w:val="left"/>
      <w:lvlText w:val="*"/>
      <w:numFmt w:val="bullet"/>
      <w:start w:val="1"/>
    </w:lvl>
  </w:abstractNum>
  <w:abstractNum w:abstractNumId="80">
    <w:nsid w:val="60B6DF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2019-12-06T08:38:26Z</dcterms:created>
  <dcterms:modified xsi:type="dcterms:W3CDTF">2019-12-06T08:38:26Z</dcterms:modified>
</cp:coreProperties>
</file>