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2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286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80" w:type="dxa"/>
            <w:vAlign w:val="bottom"/>
            <w:gridSpan w:val="2"/>
            <w:vMerge w:val="restart"/>
          </w:tcPr>
          <w:p>
            <w:pPr>
              <w:spacing w:after="0"/>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Romero Valdez Manuel</w:t>
              </w:r>
            </w:hyperlink>
          </w:p>
        </w:tc>
        <w:tc>
          <w:tcPr>
            <w:tcW w:w="74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280" w:type="dxa"/>
            <w:vAlign w:val="bottom"/>
            <w:tcBorders>
              <w:bottom w:val="single" w:sz="8" w:color="0000EE"/>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tcPr>
          <w:p>
            <w:pPr>
              <w:spacing w:after="0" w:line="250" w:lineRule="exact"/>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Enrique</w:t>
              </w:r>
            </w:hyperlink>
          </w:p>
        </w:tc>
        <w:tc>
          <w:tcPr>
            <w:tcW w:w="2260" w:type="dxa"/>
            <w:vAlign w:val="bottom"/>
            <w:gridSpan w:val="2"/>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03/31/2026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CREDICORP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BAP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CALLE CENTENARIO 156</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LA MOLINA</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LIMA</w:t>
            </w:r>
          </w:p>
        </w:tc>
        <w:tc>
          <w:tcPr>
            <w:tcW w:w="8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R5</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15026</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35"/>
              <w:spacing w:after="0"/>
              <w:rPr>
                <w:sz w:val="20"/>
                <w:szCs w:val="20"/>
                <w:color w:val="auto"/>
              </w:rPr>
            </w:pPr>
            <w:r>
              <w:rPr>
                <w:rFonts w:ascii="Times New Roman" w:cs="Times New Roman" w:eastAsia="Times New Roman" w:hAnsi="Times New Roman"/>
                <w:sz w:val="20"/>
                <w:szCs w:val="20"/>
                <w:color w:val="0000FF"/>
                <w:w w:val="97"/>
              </w:rPr>
              <w:t>2,943,868</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Through High Inter Projects,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8"/>
              </w:rPr>
              <w:t>corp.</w:t>
            </w:r>
          </w:p>
        </w:tc>
        <w:tc>
          <w:tcPr>
            <w:tcW w:w="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35"/>
              <w:spacing w:after="0"/>
              <w:rPr>
                <w:sz w:val="20"/>
                <w:szCs w:val="20"/>
                <w:color w:val="auto"/>
              </w:rPr>
            </w:pPr>
            <w:r>
              <w:rPr>
                <w:rFonts w:ascii="Times New Roman" w:cs="Times New Roman" w:eastAsia="Times New Roman" w:hAnsi="Times New Roman"/>
                <w:sz w:val="20"/>
                <w:szCs w:val="20"/>
                <w:color w:val="0000FF"/>
                <w:w w:val="97"/>
              </w:rPr>
              <w:t>5,547,276</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Through Rittenhouse Capital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1"/>
              </w:rPr>
              <w:t>LTD.</w:t>
            </w:r>
          </w:p>
        </w:tc>
        <w:tc>
          <w:tcPr>
            <w:tcW w:w="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55"/>
              <w:spacing w:after="0"/>
              <w:rPr>
                <w:sz w:val="20"/>
                <w:szCs w:val="20"/>
                <w:color w:val="auto"/>
              </w:rPr>
            </w:pPr>
            <w:r>
              <w:rPr>
                <w:rFonts w:ascii="Times New Roman" w:cs="Times New Roman" w:eastAsia="Times New Roman" w:hAnsi="Times New Roman"/>
                <w:sz w:val="20"/>
                <w:szCs w:val="20"/>
                <w:color w:val="0000FF"/>
                <w:w w:val="98"/>
              </w:rPr>
              <w:t>158,000</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Through Inversiones Piuranas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S.A.</w:t>
            </w:r>
          </w:p>
        </w:tc>
        <w:tc>
          <w:tcPr>
            <w:tcW w:w="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420" w:type="dxa"/>
            <w:vAlign w:val="bottom"/>
          </w:tcPr>
          <w:p>
            <w:pPr>
              <w:spacing w:after="0"/>
              <w:rPr>
                <w:sz w:val="7"/>
                <w:szCs w:val="7"/>
                <w:color w:val="auto"/>
              </w:rPr>
            </w:pPr>
          </w:p>
        </w:tc>
        <w:tc>
          <w:tcPr>
            <w:tcW w:w="86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right="100"/>
        <w:spacing w:after="0" w:line="244" w:lineRule="auto"/>
        <w:rPr>
          <w:sz w:val="20"/>
          <w:szCs w:val="20"/>
          <w:color w:val="auto"/>
        </w:rPr>
      </w:pPr>
      <w:r>
        <w:rPr>
          <w:rFonts w:ascii="Times New Roman" w:cs="Times New Roman" w:eastAsia="Times New Roman" w:hAnsi="Times New Roman"/>
          <w:sz w:val="15"/>
          <w:szCs w:val="15"/>
          <w:color w:val="008000"/>
        </w:rPr>
        <w:t>Indicates Common Shares of the Issuer that are beneficially owned by High lnter Projects, Corp. or Rittenhouse Capital Ltd., as applicable. Mr. Romero's interest in these Common Shares as reported in this Form appears larger than his actual economic interest because the Common Shares are held through these entities, in which Mr. Romero holds only a minority ownership interest. While Mr. Romero does not have any ownership interest in Inversiones Piuranas S.A., he is President of the Board.</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Manuel Enrique Romero</w:t>
            </w:r>
          </w:p>
        </w:tc>
        <w:tc>
          <w:tcPr>
            <w:tcW w:w="2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Valdez</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8352" TargetMode="External"/><Relationship Id="rId11" Type="http://schemas.openxmlformats.org/officeDocument/2006/relationships/hyperlink" Target="http://www.sec.gov/cgi-bin/browse-edgar?action=getcompany&amp;CIK=00010012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2026-04-16T13:22:06Z</dcterms:created>
  <dcterms:modified xsi:type="dcterms:W3CDTF">2026-04-16T13:22:06Z</dcterms:modified>
</cp:coreProperties>
</file>