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260350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SCHEDULE 13G</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(Rule 13d-102)</w:t>
      </w:r>
    </w:p>
    <w:p>
      <w:pPr>
        <w:spacing w:after="0" w:line="202"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Credicorp Ltd.</w:t>
      </w:r>
    </w:p>
    <w:p>
      <w:pPr>
        <w:spacing w:after="0" w:line="34"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of Issuer)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Common Shares</w:t>
      </w:r>
    </w:p>
    <w:p>
      <w:pPr>
        <w:spacing w:after="0" w:line="27"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G2519Y108</w:t>
      </w:r>
    </w:p>
    <w:p>
      <w:pPr>
        <w:spacing w:after="0" w:line="27" w:lineRule="exact"/>
        <w:rPr>
          <w:sz w:val="24"/>
          <w:szCs w:val="24"/>
          <w:color w:val="auto"/>
        </w:rPr>
      </w:pPr>
    </w:p>
    <w:p>
      <w:pPr>
        <w:ind w:left="2320"/>
        <w:spacing w:after="0"/>
        <w:rPr>
          <w:sz w:val="20"/>
          <w:szCs w:val="20"/>
          <w:color w:val="auto"/>
        </w:rPr>
      </w:pPr>
      <w:r>
        <w:rPr>
          <w:rFonts w:ascii="Arial" w:cs="Arial" w:eastAsia="Arial" w:hAnsi="Arial"/>
          <w:sz w:val="18"/>
          <w:szCs w:val="18"/>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(CUSIP Number)</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N/A</w:t>
      </w:r>
    </w:p>
    <w:p>
      <w:pPr>
        <w:spacing w:after="0" w:line="27" w:lineRule="exact"/>
        <w:rPr>
          <w:sz w:val="24"/>
          <w:szCs w:val="24"/>
          <w:color w:val="auto"/>
        </w:rPr>
      </w:pPr>
    </w:p>
    <w:p>
      <w:pPr>
        <w:ind w:left="2200"/>
        <w:spacing w:after="0"/>
        <w:rPr>
          <w:sz w:val="20"/>
          <w:szCs w:val="20"/>
          <w:color w:val="auto"/>
        </w:rPr>
      </w:pPr>
      <w:r>
        <w:rPr>
          <w:rFonts w:ascii="Arial" w:cs="Arial" w:eastAsia="Arial" w:hAnsi="Arial"/>
          <w:sz w:val="18"/>
          <w:szCs w:val="18"/>
          <w:b w:val="1"/>
          <w:bCs w:val="1"/>
          <w:color w:val="auto"/>
        </w:rPr>
        <w: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(Date of Event Which Requires Filing of this Statement)</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Check the appropriate box to designate the rule pursuant to which this Schedule is filed:</w:t>
      </w:r>
    </w:p>
    <w:p>
      <w:pPr>
        <w:spacing w:after="0" w:line="225" w:lineRule="exact"/>
        <w:rPr>
          <w:sz w:val="24"/>
          <w:szCs w:val="24"/>
          <w:color w:val="auto"/>
        </w:rPr>
      </w:pPr>
    </w:p>
    <w:p>
      <w:pPr>
        <w:ind w:left="5320" w:hanging="260"/>
        <w:spacing w:after="0"/>
        <w:tabs>
          <w:tab w:leader="none" w:pos="5320"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Rule 13d-1(b)</w:t>
      </w:r>
    </w:p>
    <w:p>
      <w:pPr>
        <w:spacing w:after="0" w:line="225" w:lineRule="exact"/>
        <w:rPr>
          <w:rFonts w:ascii="MS PGothic" w:cs="MS PGothic" w:eastAsia="MS PGothic" w:hAnsi="MS PGothic"/>
          <w:sz w:val="18"/>
          <w:szCs w:val="18"/>
          <w:color w:val="auto"/>
        </w:rPr>
      </w:pPr>
    </w:p>
    <w:p>
      <w:pPr>
        <w:jc w:val="both"/>
        <w:ind w:left="5100" w:right="5060" w:hanging="29"/>
        <w:spacing w:after="0" w:line="566" w:lineRule="auto"/>
        <w:tabs>
          <w:tab w:leader="none" w:pos="5326" w:val="left"/>
        </w:tabs>
        <w:numPr>
          <w:ilvl w:val="2"/>
          <w:numId w:val="1"/>
        </w:numPr>
        <w:rPr>
          <w:rFonts w:ascii="MS PGothic" w:cs="MS PGothic" w:eastAsia="MS PGothic" w:hAnsi="MS PGothic"/>
          <w:sz w:val="16"/>
          <w:szCs w:val="16"/>
          <w:color w:val="auto"/>
        </w:rPr>
      </w:pPr>
      <w:r>
        <w:rPr>
          <w:rFonts w:ascii="Arial" w:cs="Arial" w:eastAsia="Arial" w:hAnsi="Arial"/>
          <w:sz w:val="16"/>
          <w:szCs w:val="16"/>
          <w:b w:val="1"/>
          <w:bCs w:val="1"/>
          <w:color w:val="auto"/>
        </w:rPr>
        <w:t>Rule 13d-1(c) x Rule 13d-1(d)</w:t>
      </w:r>
    </w:p>
    <w:p>
      <w:pPr>
        <w:ind w:right="20" w:firstLine="648"/>
        <w:spacing w:after="0" w:line="277" w:lineRule="auto"/>
        <w:rPr>
          <w:rFonts w:ascii="MS PGothic" w:cs="MS PGothic" w:eastAsia="MS PGothic" w:hAnsi="MS PGothic"/>
          <w:sz w:val="16"/>
          <w:szCs w:val="16"/>
          <w:color w:val="auto"/>
        </w:rPr>
      </w:pPr>
      <w:r>
        <w:rPr>
          <w:rFonts w:ascii="Arial" w:cs="Arial" w:eastAsia="Arial" w:hAnsi="Arial"/>
          <w:sz w:val="18"/>
          <w:szCs w:val="18"/>
          <w:color w:val="auto"/>
        </w:rPr>
        <w:t>* 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 xml:space="preserve">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w:t>
      </w:r>
      <w:r>
        <w:rPr>
          <w:rFonts w:ascii="Arial" w:cs="Arial" w:eastAsia="Arial" w:hAnsi="Arial"/>
          <w:sz w:val="18"/>
          <w:szCs w:val="18"/>
          <w:i w:val="1"/>
          <w:iCs w:val="1"/>
          <w:color w:val="auto"/>
        </w:rPr>
        <w:t xml:space="preserve">see </w:t>
      </w:r>
      <w:r>
        <w:rPr>
          <w:rFonts w:ascii="Arial" w:cs="Arial" w:eastAsia="Arial" w:hAnsi="Arial"/>
          <w:sz w:val="18"/>
          <w:szCs w:val="18"/>
          <w:color w:val="auto"/>
        </w:rPr>
        <w:t>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158750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175895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492760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702" w:right="239" w:bottom="1440" w:gutter="0" w:footer="0" w:header="0"/>
        </w:sectPr>
      </w:pPr>
    </w:p>
    <w:bookmarkStart w:id="1" w:name="page2"/>
    <w:bookmarkEnd w:id="1"/>
    <w:p>
      <w:pPr>
        <w:spacing w:after="0"/>
        <w:rPr>
          <w:sz w:val="20"/>
          <w:szCs w:val="20"/>
          <w:color w:val="auto"/>
        </w:rPr>
      </w:pPr>
      <w:r>
        <w:rPr>
          <w:rFonts w:ascii="Arial" w:cs="Arial" w:eastAsia="Arial" w:hAnsi="Arial"/>
          <w:sz w:val="18"/>
          <w:szCs w:val="18"/>
          <w:color w:val="auto"/>
        </w:rPr>
        <w:t>CUSIP No. G2519Y108</w:t>
      </w:r>
    </w:p>
    <w:p>
      <w:pPr>
        <w:spacing w:after="0" w:line="239" w:lineRule="exact"/>
        <w:rPr>
          <w:sz w:val="20"/>
          <w:szCs w:val="20"/>
          <w:color w:val="auto"/>
        </w:rPr>
      </w:pPr>
    </w:p>
    <w:p>
      <w:pPr>
        <w:ind w:left="880" w:hanging="543"/>
        <w:spacing w:after="0"/>
        <w:tabs>
          <w:tab w:leader="none" w:pos="880" w:val="left"/>
        </w:tabs>
        <w:numPr>
          <w:ilvl w:val="0"/>
          <w:numId w:val="2"/>
        </w:numPr>
        <w:rPr>
          <w:rFonts w:ascii="Arial" w:cs="Arial" w:eastAsia="Arial" w:hAnsi="Arial"/>
          <w:sz w:val="18"/>
          <w:szCs w:val="18"/>
          <w:color w:val="auto"/>
        </w:rPr>
      </w:pPr>
      <w:r>
        <w:rPr>
          <w:rFonts w:ascii="Arial" w:cs="Arial" w:eastAsia="Arial" w:hAnsi="Arial"/>
          <w:sz w:val="18"/>
          <w:szCs w:val="18"/>
          <w:color w:val="auto"/>
        </w:rPr>
        <w:t>Names of Reporting Persons/I.R.S. Identification Nos. of Above Persons (Entities Only)</w:t>
      </w:r>
    </w:p>
    <w:p>
      <w:pPr>
        <w:spacing w:after="0" w:line="221"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Atlantic Security Holding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-401955</wp:posOffset>
            </wp:positionV>
            <wp:extent cx="7254875" cy="505142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4875" cy="5051425"/>
                    </a:xfrm>
                    <a:prstGeom prst="rect">
                      <a:avLst/>
                    </a:prstGeom>
                    <a:noFill/>
                  </pic:spPr>
                </pic:pic>
              </a:graphicData>
            </a:graphic>
          </wp:anchor>
        </w:drawing>
      </w:r>
    </w:p>
    <w:p>
      <w:pPr>
        <w:spacing w:after="0" w:line="223" w:lineRule="exact"/>
        <w:rPr>
          <w:sz w:val="20"/>
          <w:szCs w:val="20"/>
          <w:color w:val="auto"/>
        </w:rPr>
      </w:pPr>
    </w:p>
    <w:p>
      <w:pPr>
        <w:ind w:left="880" w:hanging="566"/>
        <w:spacing w:after="0"/>
        <w:tabs>
          <w:tab w:leader="none" w:pos="8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18" w:lineRule="exact"/>
        <w:rPr>
          <w:sz w:val="20"/>
          <w:szCs w:val="20"/>
          <w:color w:val="auto"/>
        </w:rPr>
      </w:pPr>
    </w:p>
    <w:p>
      <w:pPr>
        <w:ind w:left="10600"/>
        <w:spacing w:after="0" w:line="207" w:lineRule="exact"/>
        <w:rPr>
          <w:sz w:val="20"/>
          <w:szCs w:val="20"/>
          <w:color w:val="auto"/>
        </w:rPr>
      </w:pPr>
      <w:r>
        <w:rPr>
          <w:rFonts w:ascii="Arial" w:cs="Arial" w:eastAsia="Arial" w:hAnsi="Arial"/>
          <w:sz w:val="18"/>
          <w:szCs w:val="18"/>
          <w:color w:val="auto"/>
        </w:rPr>
        <w:t xml:space="preserve">(a) : </w:t>
      </w:r>
      <w:r>
        <w:rPr>
          <w:rFonts w:ascii="MS PGothic" w:cs="MS PGothic" w:eastAsia="MS PGothic" w:hAnsi="MS PGothic"/>
          <w:sz w:val="18"/>
          <w:szCs w:val="18"/>
          <w:color w:val="auto"/>
        </w:rPr>
        <w:t>☐</w:t>
      </w:r>
    </w:p>
    <w:p>
      <w:pPr>
        <w:spacing w:after="0" w:line="9" w:lineRule="exact"/>
        <w:rPr>
          <w:sz w:val="20"/>
          <w:szCs w:val="20"/>
          <w:color w:val="auto"/>
        </w:rPr>
      </w:pPr>
    </w:p>
    <w:p>
      <w:pPr>
        <w:ind w:left="10580"/>
        <w:spacing w:after="0" w:line="207" w:lineRule="exact"/>
        <w:rPr>
          <w:sz w:val="20"/>
          <w:szCs w:val="20"/>
          <w:color w:val="auto"/>
        </w:rPr>
      </w:pPr>
      <w:r>
        <w:rPr>
          <w:rFonts w:ascii="Arial" w:cs="Arial" w:eastAsia="Arial" w:hAnsi="Arial"/>
          <w:sz w:val="18"/>
          <w:szCs w:val="18"/>
          <w:color w:val="auto"/>
        </w:rPr>
        <w:t xml:space="preserve">(b) : </w:t>
      </w:r>
      <w:r>
        <w:rPr>
          <w:rFonts w:ascii="MS PGothic" w:cs="MS PGothic" w:eastAsia="MS PGothic" w:hAnsi="MS PGothic"/>
          <w:sz w:val="18"/>
          <w:szCs w:val="18"/>
          <w:color w:val="auto"/>
        </w:rPr>
        <w:t>☐</w:t>
      </w:r>
    </w:p>
    <w:p>
      <w:pPr>
        <w:spacing w:after="0" w:line="229" w:lineRule="exact"/>
        <w:rPr>
          <w:sz w:val="20"/>
          <w:szCs w:val="20"/>
          <w:color w:val="auto"/>
        </w:rPr>
      </w:pPr>
    </w:p>
    <w:p>
      <w:pPr>
        <w:ind w:left="880" w:hanging="566"/>
        <w:spacing w:after="0"/>
        <w:tabs>
          <w:tab w:leader="none" w:pos="880" w:val="left"/>
        </w:tabs>
        <w:numPr>
          <w:ilvl w:val="0"/>
          <w:numId w:val="4"/>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39" w:lineRule="exact"/>
        <w:rPr>
          <w:sz w:val="20"/>
          <w:szCs w:val="20"/>
          <w:color w:val="auto"/>
        </w:rPr>
      </w:pPr>
    </w:p>
    <w:p>
      <w:pPr>
        <w:ind w:left="880" w:hanging="566"/>
        <w:spacing w:after="0"/>
        <w:tabs>
          <w:tab w:leader="none" w:pos="880" w:val="left"/>
        </w:tabs>
        <w:numPr>
          <w:ilvl w:val="0"/>
          <w:numId w:val="5"/>
        </w:numPr>
        <w:rPr>
          <w:rFonts w:ascii="Arial" w:cs="Arial" w:eastAsia="Arial" w:hAnsi="Arial"/>
          <w:sz w:val="18"/>
          <w:szCs w:val="18"/>
          <w:color w:val="auto"/>
        </w:rPr>
      </w:pPr>
      <w:r>
        <w:rPr>
          <w:rFonts w:ascii="Arial" w:cs="Arial" w:eastAsia="Arial" w:hAnsi="Arial"/>
          <w:sz w:val="18"/>
          <w:szCs w:val="18"/>
          <w:color w:val="auto"/>
        </w:rPr>
        <w:t>Citizenship or Place of Organization</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Cayman Islands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520" w:type="dxa"/>
            <w:vAlign w:val="bottom"/>
            <w:tcBorders>
              <w:top w:val="single" w:sz="8" w:color="auto"/>
              <w:right w:val="single" w:sz="8" w:color="auto"/>
            </w:tcBorders>
          </w:tcPr>
          <w:p>
            <w:pPr>
              <w:spacing w:after="0"/>
              <w:rPr>
                <w:sz w:val="18"/>
                <w:szCs w:val="18"/>
                <w:color w:val="auto"/>
              </w:rPr>
            </w:pPr>
          </w:p>
        </w:tc>
        <w:tc>
          <w:tcPr>
            <w:tcW w:w="680" w:type="dxa"/>
            <w:vAlign w:val="bottom"/>
            <w:tcBorders>
              <w:top w:val="single" w:sz="8" w:color="auto"/>
              <w:right w:val="single" w:sz="8" w:color="auto"/>
            </w:tcBorders>
          </w:tcPr>
          <w:p>
            <w:pPr>
              <w:jc w:val="right"/>
              <w:ind w:right="210"/>
              <w:spacing w:after="0"/>
              <w:rPr>
                <w:sz w:val="20"/>
                <w:szCs w:val="20"/>
                <w:color w:val="auto"/>
              </w:rPr>
            </w:pPr>
            <w:r>
              <w:rPr>
                <w:rFonts w:ascii="Arial" w:cs="Arial" w:eastAsia="Arial" w:hAnsi="Arial"/>
                <w:sz w:val="18"/>
                <w:szCs w:val="18"/>
                <w:color w:val="auto"/>
              </w:rPr>
              <w:t>5</w:t>
            </w:r>
          </w:p>
        </w:tc>
        <w:tc>
          <w:tcPr>
            <w:tcW w:w="9240" w:type="dxa"/>
            <w:vAlign w:val="bottom"/>
            <w:tcBorders>
              <w:top w:val="single" w:sz="8" w:color="auto"/>
            </w:tcBorders>
          </w:tcPr>
          <w:p>
            <w:pPr>
              <w:ind w:left="180"/>
              <w:spacing w:after="0"/>
              <w:rPr>
                <w:sz w:val="20"/>
                <w:szCs w:val="20"/>
                <w:color w:val="auto"/>
              </w:rPr>
            </w:pPr>
            <w:r>
              <w:rPr>
                <w:rFonts w:ascii="Arial" w:cs="Arial" w:eastAsia="Arial" w:hAnsi="Arial"/>
                <w:sz w:val="18"/>
                <w:szCs w:val="18"/>
                <w:color w:val="auto"/>
              </w:rPr>
              <w:t>Sole Voting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NUMBER OF</w:t>
            </w:r>
          </w:p>
        </w:tc>
        <w:tc>
          <w:tcPr>
            <w:tcW w:w="680" w:type="dxa"/>
            <w:vAlign w:val="bottom"/>
            <w:tcBorders>
              <w:right w:val="single" w:sz="8" w:color="auto"/>
            </w:tcBorders>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b w:val="1"/>
                <w:bCs w:val="1"/>
                <w:color w:val="auto"/>
              </w:rPr>
              <w:t>14,620,846</w:t>
            </w:r>
          </w:p>
        </w:tc>
        <w:tc>
          <w:tcPr>
            <w:tcW w:w="0" w:type="dxa"/>
            <w:vAlign w:val="bottom"/>
          </w:tcPr>
          <w:p>
            <w:pPr>
              <w:spacing w:after="0"/>
              <w:rPr>
                <w:sz w:val="1"/>
                <w:szCs w:val="1"/>
                <w:color w:val="auto"/>
              </w:rPr>
            </w:pPr>
          </w:p>
        </w:tc>
      </w:tr>
      <w:tr>
        <w:trPr>
          <w:trHeight w:val="234"/>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5"/>
              </w:rPr>
              <w:t>SHARES</w:t>
            </w:r>
          </w:p>
        </w:tc>
        <w:tc>
          <w:tcPr>
            <w:tcW w:w="680" w:type="dxa"/>
            <w:vAlign w:val="bottom"/>
            <w:tcBorders>
              <w:bottom w:val="single" w:sz="8" w:color="auto"/>
              <w:right w:val="single" w:sz="8" w:color="auto"/>
            </w:tcBorders>
          </w:tcPr>
          <w:p>
            <w:pPr>
              <w:spacing w:after="0"/>
              <w:rPr>
                <w:sz w:val="20"/>
                <w:szCs w:val="20"/>
                <w:color w:val="auto"/>
              </w:rPr>
            </w:pPr>
          </w:p>
        </w:tc>
        <w:tc>
          <w:tcPr>
            <w:tcW w:w="924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1520" w:type="dxa"/>
            <w:vAlign w:val="bottom"/>
            <w:tcBorders>
              <w:right w:val="single" w:sz="8" w:color="auto"/>
            </w:tcBorders>
          </w:tcPr>
          <w:p>
            <w:pPr>
              <w:jc w:val="center"/>
              <w:spacing w:after="0" w:line="178" w:lineRule="exact"/>
              <w:rPr>
                <w:sz w:val="20"/>
                <w:szCs w:val="20"/>
                <w:color w:val="auto"/>
              </w:rPr>
            </w:pPr>
            <w:r>
              <w:rPr>
                <w:rFonts w:ascii="Arial" w:cs="Arial" w:eastAsia="Arial" w:hAnsi="Arial"/>
                <w:sz w:val="18"/>
                <w:szCs w:val="18"/>
                <w:b w:val="1"/>
                <w:bCs w:val="1"/>
                <w:color w:val="auto"/>
              </w:rPr>
              <w:t>BENEFICIALLY</w:t>
            </w:r>
          </w:p>
        </w:tc>
        <w:tc>
          <w:tcPr>
            <w:tcW w:w="680" w:type="dxa"/>
            <w:vAlign w:val="bottom"/>
            <w:tcBorders>
              <w:right w:val="single" w:sz="8" w:color="auto"/>
            </w:tcBorders>
          </w:tcPr>
          <w:p>
            <w:pPr>
              <w:jc w:val="right"/>
              <w:ind w:right="210"/>
              <w:spacing w:after="0" w:line="178" w:lineRule="exact"/>
              <w:rPr>
                <w:sz w:val="20"/>
                <w:szCs w:val="20"/>
                <w:color w:val="auto"/>
              </w:rPr>
            </w:pPr>
            <w:r>
              <w:rPr>
                <w:rFonts w:ascii="Arial" w:cs="Arial" w:eastAsia="Arial" w:hAnsi="Arial"/>
                <w:sz w:val="18"/>
                <w:szCs w:val="18"/>
                <w:color w:val="auto"/>
              </w:rPr>
              <w:t>6</w:t>
            </w:r>
          </w:p>
        </w:tc>
        <w:tc>
          <w:tcPr>
            <w:tcW w:w="9240" w:type="dxa"/>
            <w:vAlign w:val="bottom"/>
          </w:tcPr>
          <w:p>
            <w:pPr>
              <w:ind w:left="180"/>
              <w:spacing w:after="0" w:line="178" w:lineRule="exact"/>
              <w:rPr>
                <w:sz w:val="20"/>
                <w:szCs w:val="20"/>
                <w:color w:val="auto"/>
              </w:rPr>
            </w:pPr>
            <w:r>
              <w:rPr>
                <w:rFonts w:ascii="Arial" w:cs="Arial" w:eastAsia="Arial" w:hAnsi="Arial"/>
                <w:sz w:val="18"/>
                <w:szCs w:val="18"/>
                <w:color w:val="auto"/>
              </w:rPr>
              <w:t>Shared Voting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OWNED BY</w:t>
            </w:r>
          </w:p>
        </w:tc>
        <w:tc>
          <w:tcPr>
            <w:tcW w:w="680" w:type="dxa"/>
            <w:vAlign w:val="bottom"/>
            <w:tcBorders>
              <w:right w:val="single" w:sz="8" w:color="auto"/>
            </w:tcBorders>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b w:val="1"/>
                <w:bCs w:val="1"/>
                <w:color w:val="auto"/>
              </w:rPr>
              <w:t>1,972,990</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rPr>
              <w:t>EACH</w:t>
            </w:r>
          </w:p>
        </w:tc>
        <w:tc>
          <w:tcPr>
            <w:tcW w:w="680" w:type="dxa"/>
            <w:vAlign w:val="bottom"/>
            <w:tcBorders>
              <w:right w:val="single" w:sz="8" w:color="auto"/>
            </w:tcBorders>
          </w:tcPr>
          <w:p>
            <w:pPr>
              <w:spacing w:after="0"/>
              <w:rPr>
                <w:sz w:val="18"/>
                <w:szCs w:val="18"/>
                <w:color w:val="auto"/>
              </w:rPr>
            </w:pPr>
          </w:p>
        </w:tc>
        <w:tc>
          <w:tcPr>
            <w:tcW w:w="9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2"/>
        </w:trPr>
        <w:tc>
          <w:tcPr>
            <w:tcW w:w="1520" w:type="dxa"/>
            <w:vAlign w:val="bottom"/>
            <w:tcBorders>
              <w:right w:val="single" w:sz="8" w:color="auto"/>
            </w:tcBorders>
            <w:vMerge w:val="restart"/>
          </w:tcPr>
          <w:p>
            <w:pPr>
              <w:jc w:val="center"/>
              <w:spacing w:after="0"/>
              <w:rPr>
                <w:sz w:val="20"/>
                <w:szCs w:val="20"/>
                <w:color w:val="auto"/>
              </w:rPr>
            </w:pPr>
            <w:r>
              <w:rPr>
                <w:rFonts w:ascii="Arial" w:cs="Arial" w:eastAsia="Arial" w:hAnsi="Arial"/>
                <w:sz w:val="18"/>
                <w:szCs w:val="18"/>
                <w:b w:val="1"/>
                <w:bCs w:val="1"/>
                <w:color w:val="auto"/>
              </w:rPr>
              <w:t>REPORTING</w:t>
            </w:r>
          </w:p>
        </w:tc>
        <w:tc>
          <w:tcPr>
            <w:tcW w:w="68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4"/>
        </w:trPr>
        <w:tc>
          <w:tcPr>
            <w:tcW w:w="1520" w:type="dxa"/>
            <w:vAlign w:val="bottom"/>
            <w:tcBorders>
              <w:right w:val="single" w:sz="8" w:color="auto"/>
            </w:tcBorders>
            <w:vMerge w:val="continue"/>
          </w:tcPr>
          <w:p>
            <w:pPr>
              <w:spacing w:after="0"/>
              <w:rPr>
                <w:sz w:val="14"/>
                <w:szCs w:val="14"/>
                <w:color w:val="auto"/>
              </w:rPr>
            </w:pPr>
          </w:p>
        </w:tc>
        <w:tc>
          <w:tcPr>
            <w:tcW w:w="680" w:type="dxa"/>
            <w:vAlign w:val="bottom"/>
            <w:tcBorders>
              <w:right w:val="single" w:sz="8" w:color="auto"/>
            </w:tcBorders>
          </w:tcPr>
          <w:p>
            <w:pPr>
              <w:jc w:val="right"/>
              <w:ind w:right="210"/>
              <w:spacing w:after="0" w:line="164" w:lineRule="exact"/>
              <w:rPr>
                <w:sz w:val="20"/>
                <w:szCs w:val="20"/>
                <w:color w:val="auto"/>
              </w:rPr>
            </w:pPr>
            <w:r>
              <w:rPr>
                <w:rFonts w:ascii="Arial" w:cs="Arial" w:eastAsia="Arial" w:hAnsi="Arial"/>
                <w:sz w:val="18"/>
                <w:szCs w:val="18"/>
                <w:color w:val="auto"/>
              </w:rPr>
              <w:t>7</w:t>
            </w:r>
          </w:p>
        </w:tc>
        <w:tc>
          <w:tcPr>
            <w:tcW w:w="9240" w:type="dxa"/>
            <w:vAlign w:val="bottom"/>
          </w:tcPr>
          <w:p>
            <w:pPr>
              <w:ind w:left="180"/>
              <w:spacing w:after="0" w:line="164" w:lineRule="exact"/>
              <w:rPr>
                <w:sz w:val="20"/>
                <w:szCs w:val="20"/>
                <w:color w:val="auto"/>
              </w:rPr>
            </w:pPr>
            <w:r>
              <w:rPr>
                <w:rFonts w:ascii="Arial" w:cs="Arial" w:eastAsia="Arial" w:hAnsi="Arial"/>
                <w:sz w:val="18"/>
                <w:szCs w:val="18"/>
                <w:color w:val="auto"/>
              </w:rPr>
              <w:t>Sole Dispositive Power</w:t>
            </w:r>
          </w:p>
        </w:tc>
        <w:tc>
          <w:tcPr>
            <w:tcW w:w="0" w:type="dxa"/>
            <w:vAlign w:val="bottom"/>
          </w:tcPr>
          <w:p>
            <w:pPr>
              <w:spacing w:after="0"/>
              <w:rPr>
                <w:sz w:val="1"/>
                <w:szCs w:val="1"/>
                <w:color w:val="auto"/>
              </w:rPr>
            </w:pPr>
          </w:p>
        </w:tc>
      </w:tr>
      <w:tr>
        <w:trPr>
          <w:trHeight w:val="216"/>
        </w:trPr>
        <w:tc>
          <w:tcPr>
            <w:tcW w:w="1520" w:type="dxa"/>
            <w:vAlign w:val="bottom"/>
            <w:tcBorders>
              <w:right w:val="single" w:sz="8" w:color="auto"/>
            </w:tcBorders>
          </w:tcPr>
          <w:p>
            <w:pPr>
              <w:jc w:val="center"/>
              <w:spacing w:after="0"/>
              <w:rPr>
                <w:sz w:val="20"/>
                <w:szCs w:val="20"/>
                <w:color w:val="auto"/>
              </w:rPr>
            </w:pPr>
            <w:r>
              <w:rPr>
                <w:rFonts w:ascii="Arial" w:cs="Arial" w:eastAsia="Arial" w:hAnsi="Arial"/>
                <w:sz w:val="18"/>
                <w:szCs w:val="18"/>
                <w:b w:val="1"/>
                <w:bCs w:val="1"/>
                <w:color w:val="auto"/>
                <w:w w:val="94"/>
              </w:rPr>
              <w:t>PERSON</w:t>
            </w:r>
          </w:p>
        </w:tc>
        <w:tc>
          <w:tcPr>
            <w:tcW w:w="680" w:type="dxa"/>
            <w:vAlign w:val="bottom"/>
            <w:tcBorders>
              <w:right w:val="single" w:sz="8" w:color="auto"/>
            </w:tcBorders>
          </w:tcPr>
          <w:p>
            <w:pPr>
              <w:spacing w:after="0"/>
              <w:rPr>
                <w:sz w:val="18"/>
                <w:szCs w:val="18"/>
                <w:color w:val="auto"/>
              </w:rPr>
            </w:pPr>
          </w:p>
        </w:tc>
        <w:tc>
          <w:tcPr>
            <w:tcW w:w="9240" w:type="dxa"/>
            <w:vAlign w:val="bottom"/>
          </w:tcPr>
          <w:p>
            <w:pPr>
              <w:ind w:left="180"/>
              <w:spacing w:after="0"/>
              <w:rPr>
                <w:sz w:val="20"/>
                <w:szCs w:val="20"/>
                <w:color w:val="auto"/>
              </w:rPr>
            </w:pPr>
            <w:r>
              <w:rPr>
                <w:rFonts w:ascii="Arial" w:cs="Arial" w:eastAsia="Arial" w:hAnsi="Arial"/>
                <w:sz w:val="18"/>
                <w:szCs w:val="18"/>
                <w:b w:val="1"/>
                <w:bCs w:val="1"/>
                <w:color w:val="auto"/>
              </w:rPr>
              <w:t>14,620,846</w:t>
            </w:r>
          </w:p>
        </w:tc>
        <w:tc>
          <w:tcPr>
            <w:tcW w:w="0" w:type="dxa"/>
            <w:vAlign w:val="bottom"/>
          </w:tcPr>
          <w:p>
            <w:pPr>
              <w:spacing w:after="0"/>
              <w:rPr>
                <w:sz w:val="1"/>
                <w:szCs w:val="1"/>
                <w:color w:val="auto"/>
              </w:rPr>
            </w:pPr>
          </w:p>
        </w:tc>
      </w:tr>
      <w:tr>
        <w:trPr>
          <w:trHeight w:val="234"/>
        </w:trPr>
        <w:tc>
          <w:tcPr>
            <w:tcW w:w="1520" w:type="dxa"/>
            <w:vAlign w:val="bottom"/>
            <w:tcBorders>
              <w:right w:val="single" w:sz="8" w:color="auto"/>
            </w:tcBorders>
          </w:tcPr>
          <w:p>
            <w:pPr>
              <w:ind w:left="460"/>
              <w:spacing w:after="0"/>
              <w:rPr>
                <w:sz w:val="20"/>
                <w:szCs w:val="20"/>
                <w:color w:val="auto"/>
              </w:rPr>
            </w:pPr>
            <w:r>
              <w:rPr>
                <w:rFonts w:ascii="Arial" w:cs="Arial" w:eastAsia="Arial" w:hAnsi="Arial"/>
                <w:sz w:val="18"/>
                <w:szCs w:val="18"/>
                <w:b w:val="1"/>
                <w:bCs w:val="1"/>
                <w:color w:val="auto"/>
              </w:rPr>
              <w:t>WITH</w:t>
            </w:r>
          </w:p>
        </w:tc>
        <w:tc>
          <w:tcPr>
            <w:tcW w:w="680" w:type="dxa"/>
            <w:vAlign w:val="bottom"/>
            <w:tcBorders>
              <w:right w:val="single" w:sz="8" w:color="auto"/>
            </w:tcBorders>
          </w:tcPr>
          <w:p>
            <w:pPr>
              <w:spacing w:after="0"/>
              <w:rPr>
                <w:sz w:val="20"/>
                <w:szCs w:val="20"/>
                <w:color w:val="auto"/>
              </w:rPr>
            </w:pPr>
          </w:p>
        </w:tc>
        <w:tc>
          <w:tcPr>
            <w:tcW w:w="9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1520" w:type="dxa"/>
            <w:vAlign w:val="bottom"/>
            <w:tcBorders>
              <w:right w:val="single" w:sz="8" w:color="auto"/>
            </w:tcBorders>
          </w:tcPr>
          <w:p>
            <w:pPr>
              <w:spacing w:after="0"/>
              <w:rPr>
                <w:sz w:val="2"/>
                <w:szCs w:val="2"/>
                <w:color w:val="auto"/>
              </w:rPr>
            </w:pPr>
          </w:p>
        </w:tc>
        <w:tc>
          <w:tcPr>
            <w:tcW w:w="680" w:type="dxa"/>
            <w:vAlign w:val="bottom"/>
            <w:tcBorders>
              <w:bottom w:val="single" w:sz="8" w:color="auto"/>
              <w:right w:val="single" w:sz="8" w:color="auto"/>
            </w:tcBorders>
          </w:tcPr>
          <w:p>
            <w:pPr>
              <w:spacing w:after="0"/>
              <w:rPr>
                <w:sz w:val="2"/>
                <w:szCs w:val="2"/>
                <w:color w:val="auto"/>
              </w:rPr>
            </w:pPr>
          </w:p>
        </w:tc>
        <w:tc>
          <w:tcPr>
            <w:tcW w:w="9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1"/>
        </w:trPr>
        <w:tc>
          <w:tcPr>
            <w:tcW w:w="1520" w:type="dxa"/>
            <w:vAlign w:val="bottom"/>
            <w:tcBorders>
              <w:right w:val="single" w:sz="8" w:color="auto"/>
            </w:tcBorders>
          </w:tcPr>
          <w:p>
            <w:pPr>
              <w:spacing w:after="0"/>
              <w:rPr>
                <w:sz w:val="16"/>
                <w:szCs w:val="16"/>
                <w:color w:val="auto"/>
              </w:rPr>
            </w:pPr>
          </w:p>
        </w:tc>
        <w:tc>
          <w:tcPr>
            <w:tcW w:w="680" w:type="dxa"/>
            <w:vAlign w:val="bottom"/>
            <w:tcBorders>
              <w:right w:val="single" w:sz="8" w:color="auto"/>
            </w:tcBorders>
          </w:tcPr>
          <w:p>
            <w:pPr>
              <w:jc w:val="right"/>
              <w:ind w:right="210"/>
              <w:spacing w:after="0" w:line="191" w:lineRule="exact"/>
              <w:rPr>
                <w:sz w:val="20"/>
                <w:szCs w:val="20"/>
                <w:color w:val="auto"/>
              </w:rPr>
            </w:pPr>
            <w:r>
              <w:rPr>
                <w:rFonts w:ascii="Arial" w:cs="Arial" w:eastAsia="Arial" w:hAnsi="Arial"/>
                <w:sz w:val="18"/>
                <w:szCs w:val="18"/>
                <w:color w:val="auto"/>
              </w:rPr>
              <w:t>8</w:t>
            </w:r>
          </w:p>
        </w:tc>
        <w:tc>
          <w:tcPr>
            <w:tcW w:w="9240" w:type="dxa"/>
            <w:vAlign w:val="bottom"/>
          </w:tcPr>
          <w:p>
            <w:pPr>
              <w:ind w:left="180"/>
              <w:spacing w:after="0" w:line="191" w:lineRule="exact"/>
              <w:rPr>
                <w:sz w:val="20"/>
                <w:szCs w:val="20"/>
                <w:color w:val="auto"/>
              </w:rPr>
            </w:pPr>
            <w:r>
              <w:rPr>
                <w:rFonts w:ascii="Arial" w:cs="Arial" w:eastAsia="Arial" w:hAnsi="Arial"/>
                <w:sz w:val="18"/>
                <w:szCs w:val="18"/>
                <w:color w:val="auto"/>
              </w:rPr>
              <w:t>Shared Dispositive Power</w:t>
            </w:r>
          </w:p>
        </w:tc>
        <w:tc>
          <w:tcPr>
            <w:tcW w:w="0" w:type="dxa"/>
            <w:vAlign w:val="bottom"/>
          </w:tcPr>
          <w:p>
            <w:pPr>
              <w:spacing w:after="0"/>
              <w:rPr>
                <w:sz w:val="1"/>
                <w:szCs w:val="1"/>
                <w:color w:val="auto"/>
              </w:rPr>
            </w:pPr>
          </w:p>
        </w:tc>
      </w:tr>
      <w:tr>
        <w:trPr>
          <w:trHeight w:val="234"/>
        </w:trPr>
        <w:tc>
          <w:tcPr>
            <w:tcW w:w="1520" w:type="dxa"/>
            <w:vAlign w:val="bottom"/>
            <w:tcBorders>
              <w:right w:val="single" w:sz="8" w:color="auto"/>
            </w:tcBorders>
          </w:tcPr>
          <w:p>
            <w:pPr>
              <w:spacing w:after="0"/>
              <w:rPr>
                <w:sz w:val="20"/>
                <w:szCs w:val="20"/>
                <w:color w:val="auto"/>
              </w:rPr>
            </w:pPr>
          </w:p>
        </w:tc>
        <w:tc>
          <w:tcPr>
            <w:tcW w:w="680" w:type="dxa"/>
            <w:vAlign w:val="bottom"/>
            <w:tcBorders>
              <w:right w:val="single" w:sz="8" w:color="auto"/>
            </w:tcBorders>
          </w:tcPr>
          <w:p>
            <w:pPr>
              <w:spacing w:after="0"/>
              <w:rPr>
                <w:sz w:val="20"/>
                <w:szCs w:val="20"/>
                <w:color w:val="auto"/>
              </w:rPr>
            </w:pPr>
          </w:p>
        </w:tc>
        <w:tc>
          <w:tcPr>
            <w:tcW w:w="9240" w:type="dxa"/>
            <w:vAlign w:val="bottom"/>
          </w:tcPr>
          <w:p>
            <w:pPr>
              <w:ind w:left="180"/>
              <w:spacing w:after="0"/>
              <w:rPr>
                <w:sz w:val="20"/>
                <w:szCs w:val="20"/>
                <w:color w:val="auto"/>
              </w:rPr>
            </w:pPr>
            <w:r>
              <w:rPr>
                <w:rFonts w:ascii="Arial" w:cs="Arial" w:eastAsia="Arial" w:hAnsi="Arial"/>
                <w:sz w:val="18"/>
                <w:szCs w:val="18"/>
                <w:b w:val="1"/>
                <w:bCs w:val="1"/>
                <w:color w:val="auto"/>
              </w:rPr>
              <w:t>1,972,990</w:t>
            </w:r>
          </w:p>
        </w:tc>
        <w:tc>
          <w:tcPr>
            <w:tcW w:w="0" w:type="dxa"/>
            <w:vAlign w:val="bottom"/>
          </w:tcPr>
          <w:p>
            <w:pPr>
              <w:spacing w:after="0"/>
              <w:rPr>
                <w:sz w:val="1"/>
                <w:szCs w:val="1"/>
                <w:color w:val="auto"/>
              </w:rPr>
            </w:pPr>
          </w:p>
        </w:tc>
      </w:tr>
      <w:tr>
        <w:trPr>
          <w:trHeight w:val="216"/>
        </w:trPr>
        <w:tc>
          <w:tcPr>
            <w:tcW w:w="1520" w:type="dxa"/>
            <w:vAlign w:val="bottom"/>
            <w:tcBorders>
              <w:bottom w:val="single" w:sz="8" w:color="auto"/>
              <w:right w:val="single" w:sz="8" w:color="auto"/>
            </w:tcBorders>
          </w:tcPr>
          <w:p>
            <w:pPr>
              <w:spacing w:after="0"/>
              <w:rPr>
                <w:sz w:val="18"/>
                <w:szCs w:val="18"/>
                <w:color w:val="auto"/>
              </w:rPr>
            </w:pPr>
          </w:p>
        </w:tc>
        <w:tc>
          <w:tcPr>
            <w:tcW w:w="680" w:type="dxa"/>
            <w:vAlign w:val="bottom"/>
            <w:tcBorders>
              <w:bottom w:val="single" w:sz="8" w:color="auto"/>
              <w:right w:val="single" w:sz="8" w:color="auto"/>
            </w:tcBorders>
          </w:tcPr>
          <w:p>
            <w:pPr>
              <w:spacing w:after="0"/>
              <w:rPr>
                <w:sz w:val="18"/>
                <w:szCs w:val="18"/>
                <w:color w:val="auto"/>
              </w:rPr>
            </w:pPr>
          </w:p>
        </w:tc>
        <w:tc>
          <w:tcPr>
            <w:tcW w:w="924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bl>
    <w:p>
      <w:pPr>
        <w:ind w:left="880" w:hanging="566"/>
        <w:spacing w:after="0"/>
        <w:tabs>
          <w:tab w:leader="none" w:pos="880" w:val="left"/>
        </w:tabs>
        <w:numPr>
          <w:ilvl w:val="0"/>
          <w:numId w:val="6"/>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w:t>
      </w:r>
    </w:p>
    <w:p>
      <w:pPr>
        <w:spacing w:after="0" w:line="9"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16,593,836</w:t>
      </w:r>
    </w:p>
    <w:p>
      <w:pPr>
        <w:spacing w:after="0" w:line="224" w:lineRule="exact"/>
        <w:rPr>
          <w:sz w:val="20"/>
          <w:szCs w:val="20"/>
          <w:color w:val="auto"/>
        </w:rPr>
      </w:pPr>
    </w:p>
    <w:p>
      <w:pPr>
        <w:ind w:left="880" w:hanging="611"/>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Check if the Aggregate Amount in Row (9) Excludes Certain Shares</w:t>
      </w:r>
    </w:p>
    <w:p>
      <w:pPr>
        <w:spacing w:after="0" w:line="238" w:lineRule="exact"/>
        <w:rPr>
          <w:rFonts w:ascii="Arial" w:cs="Arial" w:eastAsia="Arial" w:hAnsi="Arial"/>
          <w:sz w:val="18"/>
          <w:szCs w:val="18"/>
          <w:color w:val="auto"/>
        </w:rPr>
      </w:pPr>
    </w:p>
    <w:p>
      <w:pPr>
        <w:ind w:left="880" w:hanging="608"/>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Percent of Class Represented by Amount in Row (9)</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17.6%</w:t>
      </w:r>
    </w:p>
    <w:p>
      <w:pPr>
        <w:spacing w:after="0" w:line="224" w:lineRule="exact"/>
        <w:rPr>
          <w:rFonts w:ascii="Arial" w:cs="Arial" w:eastAsia="Arial" w:hAnsi="Arial"/>
          <w:sz w:val="18"/>
          <w:szCs w:val="18"/>
          <w:color w:val="auto"/>
        </w:rPr>
      </w:pPr>
    </w:p>
    <w:p>
      <w:pPr>
        <w:ind w:left="880" w:hanging="611"/>
        <w:spacing w:after="0"/>
        <w:tabs>
          <w:tab w:leader="none" w:pos="880" w:val="left"/>
        </w:tabs>
        <w:numPr>
          <w:ilvl w:val="0"/>
          <w:numId w:val="7"/>
        </w:numPr>
        <w:rPr>
          <w:rFonts w:ascii="Arial" w:cs="Arial" w:eastAsia="Arial" w:hAnsi="Arial"/>
          <w:sz w:val="18"/>
          <w:szCs w:val="18"/>
          <w:color w:val="auto"/>
        </w:rPr>
      </w:pPr>
      <w:r>
        <w:rPr>
          <w:rFonts w:ascii="Arial" w:cs="Arial" w:eastAsia="Arial" w:hAnsi="Arial"/>
          <w:sz w:val="18"/>
          <w:szCs w:val="18"/>
          <w:color w:val="auto"/>
        </w:rPr>
        <w:t xml:space="preserve">Type of Reporting Person </w:t>
      </w:r>
      <w:r>
        <w:rPr>
          <w:rFonts w:ascii="Arial" w:cs="Arial" w:eastAsia="Arial" w:hAnsi="Arial"/>
          <w:sz w:val="18"/>
          <w:szCs w:val="18"/>
          <w:i w:val="1"/>
          <w:iCs w:val="1"/>
          <w:color w:val="auto"/>
        </w:rPr>
        <w:t>(See</w:t>
      </w:r>
      <w:r>
        <w:rPr>
          <w:rFonts w:ascii="Arial" w:cs="Arial" w:eastAsia="Arial" w:hAnsi="Arial"/>
          <w:sz w:val="18"/>
          <w:szCs w:val="18"/>
          <w:color w:val="auto"/>
        </w:rPr>
        <w:t xml:space="preserve"> Instructions)</w:t>
      </w:r>
    </w:p>
    <w:p>
      <w:pPr>
        <w:spacing w:after="0" w:line="23" w:lineRule="exact"/>
        <w:rPr>
          <w:rFonts w:ascii="Arial" w:cs="Arial" w:eastAsia="Arial" w:hAnsi="Arial"/>
          <w:sz w:val="18"/>
          <w:szCs w:val="18"/>
          <w:color w:val="auto"/>
        </w:rPr>
      </w:pPr>
    </w:p>
    <w:p>
      <w:pPr>
        <w:ind w:left="880"/>
        <w:spacing w:after="0"/>
        <w:rPr>
          <w:rFonts w:ascii="Arial" w:cs="Arial" w:eastAsia="Arial" w:hAnsi="Arial"/>
          <w:sz w:val="18"/>
          <w:szCs w:val="18"/>
          <w:color w:val="auto"/>
        </w:rPr>
      </w:pPr>
      <w:r>
        <w:rPr>
          <w:rFonts w:ascii="Arial" w:cs="Arial" w:eastAsia="Arial" w:hAnsi="Arial"/>
          <w:sz w:val="18"/>
          <w:szCs w:val="18"/>
          <w:b w:val="1"/>
          <w:bCs w:val="1"/>
          <w:color w:val="auto"/>
        </w:rPr>
        <w:t>CO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40"/>
          </w:cols>
          <w:pgMar w:left="240" w:top="908" w:right="219" w:bottom="1440" w:gutter="0" w:footer="0" w:header="0"/>
        </w:sectPr>
      </w:pPr>
    </w:p>
    <w:bookmarkStart w:id="2" w:name="page3"/>
    <w:bookmarkEnd w:id="2"/>
    <w:p>
      <w:pPr>
        <w:spacing w:after="0" w:line="4" w:lineRule="exact"/>
        <w:rPr>
          <w:sz w:val="20"/>
          <w:szCs w:val="20"/>
          <w:color w:val="auto"/>
        </w:rPr>
      </w:pPr>
    </w:p>
    <w:p>
      <w:pPr>
        <w:spacing w:after="0"/>
        <w:rPr>
          <w:sz w:val="20"/>
          <w:szCs w:val="20"/>
          <w:color w:val="auto"/>
        </w:rPr>
      </w:pPr>
      <w:r>
        <w:rPr>
          <w:rFonts w:ascii="Arial" w:cs="Arial" w:eastAsia="Arial" w:hAnsi="Arial"/>
          <w:sz w:val="16"/>
          <w:szCs w:val="16"/>
          <w:color w:val="auto"/>
        </w:rPr>
        <w:t>Item 1(a).</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Name of Issuer</w:t>
      </w:r>
      <w:r>
        <w:rPr>
          <w:rFonts w:ascii="Arial" w:cs="Arial" w:eastAsia="Arial" w:hAnsi="Arial"/>
          <w:sz w:val="16"/>
          <w:szCs w:val="16"/>
          <w:b w:val="1"/>
          <w:bCs w:val="1"/>
          <w:color w:val="auto"/>
        </w:rPr>
        <w:t>:</w:t>
      </w:r>
    </w:p>
    <w:p>
      <w:pPr>
        <w:spacing w:after="0" w:line="204" w:lineRule="exact"/>
        <w:rPr>
          <w:sz w:val="20"/>
          <w:szCs w:val="20"/>
          <w:color w:val="auto"/>
        </w:rPr>
      </w:pPr>
    </w:p>
    <w:p>
      <w:pPr>
        <w:sectPr>
          <w:pgSz w:w="11900" w:h="16838" w:orient="portrait"/>
          <w:cols w:equalWidth="0" w:num="2">
            <w:col w:w="720" w:space="580"/>
            <w:col w:w="10120"/>
          </w:cols>
          <w:pgMar w:left="240" w:top="904" w:right="239" w:bottom="1440" w:gutter="0" w:footer="0" w:header="0"/>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Credicorp Ltd.</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1(b).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of Issuer’s Principal Executive Offices:</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Credicorp Ltd</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c/o Banco de Crédito del Perú</w:t>
      </w:r>
    </w:p>
    <w:p>
      <w:pPr>
        <w:spacing w:after="0" w:line="32"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Centenario N° 156</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Las Laderas de Melgarejo</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La Molina</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Lima 12 Perú</w:t>
      </w:r>
    </w:p>
    <w:p>
      <w:pPr>
        <w:sectPr>
          <w:pgSz w:w="11900" w:h="16838" w:orient="portrait"/>
          <w:cols w:equalWidth="0" w:num="1">
            <w:col w:w="11420"/>
          </w:cols>
          <w:pgMar w:left="240" w:top="904" w:right="239" w:bottom="1440" w:gutter="0" w:footer="0" w:header="0"/>
          <w:type w:val="continuous"/>
        </w:sectPr>
      </w:pPr>
    </w:p>
    <w:p>
      <w:pPr>
        <w:spacing w:after="0" w:line="211" w:lineRule="exact"/>
        <w:rPr>
          <w:sz w:val="20"/>
          <w:szCs w:val="20"/>
          <w:color w:val="auto"/>
        </w:rPr>
      </w:pPr>
    </w:p>
    <w:p>
      <w:pPr>
        <w:spacing w:after="0"/>
        <w:rPr>
          <w:sz w:val="20"/>
          <w:szCs w:val="20"/>
          <w:color w:val="auto"/>
        </w:rPr>
      </w:pPr>
      <w:r>
        <w:rPr>
          <w:rFonts w:ascii="Arial" w:cs="Arial" w:eastAsia="Arial" w:hAnsi="Arial"/>
          <w:sz w:val="16"/>
          <w:szCs w:val="16"/>
          <w:color w:val="auto"/>
        </w:rPr>
        <w:t>Item 2(a).</w:t>
      </w:r>
    </w:p>
    <w:p>
      <w:pPr>
        <w:spacing w:after="0" w:line="20" w:lineRule="exact"/>
        <w:rPr>
          <w:sz w:val="20"/>
          <w:szCs w:val="20"/>
          <w:color w:val="auto"/>
        </w:rPr>
      </w:pPr>
      <w:r>
        <w:rPr>
          <w:sz w:val="20"/>
          <w:szCs w:val="20"/>
          <w:color w:val="auto"/>
        </w:rPr>
        <w:br w:type="column"/>
      </w:r>
    </w:p>
    <w:p>
      <w:pPr>
        <w:spacing w:after="0" w:line="191" w:lineRule="exact"/>
        <w:rPr>
          <w:sz w:val="20"/>
          <w:szCs w:val="20"/>
          <w:color w:val="auto"/>
        </w:rPr>
      </w:pPr>
    </w:p>
    <w:p>
      <w:pPr>
        <w:spacing w:after="0"/>
        <w:rPr>
          <w:sz w:val="20"/>
          <w:szCs w:val="20"/>
          <w:color w:val="auto"/>
        </w:rPr>
      </w:pPr>
      <w:r>
        <w:rPr>
          <w:rFonts w:ascii="Arial" w:cs="Arial" w:eastAsia="Arial" w:hAnsi="Arial"/>
          <w:sz w:val="16"/>
          <w:szCs w:val="16"/>
          <w:color w:val="auto"/>
        </w:rPr>
        <w:t>Name of Persons Filing:</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Atlantic Security Holding Corp</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2(b).</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Address of Principal Business Office or if None, Residence:</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8"/>
          <w:szCs w:val="18"/>
          <w:b w:val="1"/>
          <w:bCs w:val="1"/>
          <w:color w:val="auto"/>
        </w:rPr>
        <w:t>Atlantic Security Holding Corp</w:t>
      </w:r>
    </w:p>
    <w:p>
      <w:pPr>
        <w:spacing w:after="0" w:line="27" w:lineRule="exact"/>
        <w:rPr>
          <w:sz w:val="20"/>
          <w:szCs w:val="20"/>
          <w:color w:val="auto"/>
        </w:rPr>
      </w:pPr>
    </w:p>
    <w:p>
      <w:pPr>
        <w:ind w:left="1300"/>
        <w:spacing w:after="0"/>
        <w:rPr>
          <w:sz w:val="20"/>
          <w:szCs w:val="20"/>
          <w:color w:val="auto"/>
        </w:rPr>
      </w:pPr>
      <w:r>
        <w:rPr>
          <w:rFonts w:ascii="Arial" w:cs="Arial" w:eastAsia="Arial" w:hAnsi="Arial"/>
          <w:sz w:val="17"/>
          <w:szCs w:val="17"/>
          <w:b w:val="1"/>
          <w:bCs w:val="1"/>
          <w:color w:val="auto"/>
        </w:rPr>
        <w:t>Ugland House, South Church St., KY1-1104</w:t>
      </w:r>
    </w:p>
    <w:p>
      <w:pPr>
        <w:spacing w:after="0" w:line="21"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George Town, Grand Cayman, Cayman Islands</w:t>
      </w:r>
    </w:p>
    <w:p>
      <w:pPr>
        <w:sectPr>
          <w:pgSz w:w="11900" w:h="16838" w:orient="portrait"/>
          <w:cols w:equalWidth="0" w:num="1">
            <w:col w:w="11420"/>
          </w:cols>
          <w:pgMar w:left="240" w:top="904" w:right="239" w:bottom="1440" w:gutter="0" w:footer="0" w:header="0"/>
          <w:type w:val="continuous"/>
        </w:sect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Item 2(c).</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spacing w:after="0"/>
        <w:rPr>
          <w:sz w:val="20"/>
          <w:szCs w:val="20"/>
          <w:color w:val="auto"/>
        </w:rPr>
      </w:pPr>
      <w:r>
        <w:rPr>
          <w:rFonts w:ascii="Arial" w:cs="Arial" w:eastAsia="Arial" w:hAnsi="Arial"/>
          <w:sz w:val="17"/>
          <w:szCs w:val="17"/>
          <w:color w:val="auto"/>
        </w:rPr>
        <w:t>Citizenship:</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33" w:lineRule="exact"/>
        <w:rPr>
          <w:sz w:val="20"/>
          <w:szCs w:val="20"/>
          <w:color w:val="auto"/>
        </w:rPr>
      </w:pPr>
    </w:p>
    <w:p>
      <w:pPr>
        <w:ind w:left="1300"/>
        <w:spacing w:after="0"/>
        <w:rPr>
          <w:sz w:val="20"/>
          <w:szCs w:val="20"/>
          <w:color w:val="auto"/>
        </w:rPr>
      </w:pPr>
      <w:r>
        <w:rPr>
          <w:rFonts w:ascii="Arial" w:cs="Arial" w:eastAsia="Arial" w:hAnsi="Arial"/>
          <w:sz w:val="15"/>
          <w:szCs w:val="15"/>
          <w:b w:val="1"/>
          <w:bCs w:val="1"/>
          <w:color w:val="auto"/>
        </w:rPr>
        <w:t>See Item 4 on Page 2</w:t>
      </w:r>
    </w:p>
    <w:p>
      <w:pPr>
        <w:sectPr>
          <w:pgSz w:w="11900" w:h="16838" w:orient="portrait"/>
          <w:cols w:equalWidth="0" w:num="1">
            <w:col w:w="11420"/>
          </w:cols>
          <w:pgMar w:left="240" w:top="904" w:right="239" w:bottom="1440" w:gutter="0" w:footer="0" w:header="0"/>
          <w:type w:val="continuous"/>
        </w:sectPr>
      </w:pPr>
    </w:p>
    <w:p>
      <w:pPr>
        <w:spacing w:after="0" w:line="264" w:lineRule="exact"/>
        <w:rPr>
          <w:sz w:val="20"/>
          <w:szCs w:val="20"/>
          <w:color w:val="auto"/>
        </w:rPr>
      </w:pPr>
    </w:p>
    <w:p>
      <w:pPr>
        <w:spacing w:after="0"/>
        <w:rPr>
          <w:sz w:val="20"/>
          <w:szCs w:val="20"/>
          <w:color w:val="auto"/>
        </w:rPr>
      </w:pPr>
      <w:r>
        <w:rPr>
          <w:rFonts w:ascii="Arial" w:cs="Arial" w:eastAsia="Arial" w:hAnsi="Arial"/>
          <w:sz w:val="16"/>
          <w:szCs w:val="16"/>
          <w:color w:val="auto"/>
        </w:rPr>
        <w:t>Item 2(d).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spacing w:after="0"/>
        <w:rPr>
          <w:sz w:val="20"/>
          <w:szCs w:val="20"/>
          <w:color w:val="auto"/>
        </w:rPr>
      </w:pPr>
      <w:r>
        <w:rPr>
          <w:rFonts w:ascii="Arial" w:cs="Arial" w:eastAsia="Arial" w:hAnsi="Arial"/>
          <w:sz w:val="16"/>
          <w:szCs w:val="16"/>
          <w:color w:val="auto"/>
        </w:rPr>
        <w:t>Title of Class of Securities:</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Common Shares</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2(e).</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Cusip Number:</w:t>
      </w:r>
    </w:p>
    <w:p>
      <w:pPr>
        <w:spacing w:after="0" w:line="200" w:lineRule="exact"/>
        <w:rPr>
          <w:sz w:val="20"/>
          <w:szCs w:val="20"/>
          <w:color w:val="auto"/>
        </w:rPr>
      </w:pPr>
    </w:p>
    <w:p>
      <w:pPr>
        <w:sectPr>
          <w:pgSz w:w="11900" w:h="16838" w:orient="portrait"/>
          <w:cols w:equalWidth="0" w:num="2">
            <w:col w:w="720" w:space="58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G2519Y 10 8</w:t>
      </w:r>
    </w:p>
    <w:p>
      <w:pPr>
        <w:sectPr>
          <w:pgSz w:w="11900" w:h="16838" w:orient="portrait"/>
          <w:cols w:equalWidth="0" w:num="1">
            <w:col w:w="11420"/>
          </w:cols>
          <w:pgMar w:left="240" w:top="904" w:right="239" w:bottom="1440" w:gutter="0" w:footer="0" w:header="0"/>
          <w:type w:val="continuous"/>
        </w:sectPr>
      </w:pPr>
    </w:p>
    <w:p>
      <w:pPr>
        <w:spacing w:after="0" w:line="252" w:lineRule="exact"/>
        <w:rPr>
          <w:sz w:val="20"/>
          <w:szCs w:val="20"/>
          <w:color w:val="auto"/>
        </w:rPr>
      </w:pPr>
    </w:p>
    <w:p>
      <w:pPr>
        <w:spacing w:after="0"/>
        <w:rPr>
          <w:sz w:val="20"/>
          <w:szCs w:val="20"/>
          <w:color w:val="auto"/>
        </w:rPr>
      </w:pPr>
      <w:r>
        <w:rPr>
          <w:rFonts w:ascii="Arial" w:cs="Arial" w:eastAsia="Arial" w:hAnsi="Arial"/>
          <w:sz w:val="16"/>
          <w:szCs w:val="16"/>
          <w:color w:val="auto"/>
        </w:rPr>
        <w:t>Item 3.</w:t>
      </w:r>
    </w:p>
    <w:p>
      <w:pPr>
        <w:spacing w:after="0" w:line="20" w:lineRule="exact"/>
        <w:rPr>
          <w:sz w:val="20"/>
          <w:szCs w:val="20"/>
          <w:color w:val="auto"/>
        </w:rPr>
      </w:pPr>
      <w:r>
        <w:rPr>
          <w:sz w:val="20"/>
          <w:szCs w:val="20"/>
          <w:color w:val="auto"/>
        </w:rPr>
        <w:br w:type="column"/>
      </w:r>
    </w:p>
    <w:p>
      <w:pPr>
        <w:spacing w:after="0" w:line="232" w:lineRule="exact"/>
        <w:rPr>
          <w:sz w:val="20"/>
          <w:szCs w:val="20"/>
          <w:color w:val="auto"/>
        </w:rPr>
      </w:pPr>
    </w:p>
    <w:p>
      <w:pPr>
        <w:spacing w:after="0"/>
        <w:rPr>
          <w:sz w:val="20"/>
          <w:szCs w:val="20"/>
          <w:color w:val="auto"/>
        </w:rPr>
      </w:pPr>
      <w:r>
        <w:rPr>
          <w:rFonts w:ascii="Arial" w:cs="Arial" w:eastAsia="Arial" w:hAnsi="Arial"/>
          <w:sz w:val="16"/>
          <w:szCs w:val="16"/>
          <w:color w:val="auto"/>
        </w:rPr>
        <w:t>If this statement is filed pursuant to Rules 13d-1(b), or 13d-2(b), check whether the person filing is a:</w:t>
      </w:r>
    </w:p>
    <w:p>
      <w:pPr>
        <w:spacing w:after="0" w:line="200" w:lineRule="exact"/>
        <w:rPr>
          <w:sz w:val="20"/>
          <w:szCs w:val="20"/>
          <w:color w:val="auto"/>
        </w:rPr>
      </w:pPr>
    </w:p>
    <w:p>
      <w:pPr>
        <w:sectPr>
          <w:pgSz w:w="11900" w:h="16838" w:orient="portrait"/>
          <w:cols w:equalWidth="0" w:num="2">
            <w:col w:w="580" w:space="720"/>
            <w:col w:w="10120"/>
          </w:cols>
          <w:pgMar w:left="240" w:top="904" w:right="239" w:bottom="1440" w:gutter="0" w:footer="0" w:header="0"/>
          <w:type w:val="continuous"/>
        </w:sectPr>
      </w:pPr>
    </w:p>
    <w:p>
      <w:pPr>
        <w:spacing w:after="0" w:line="44" w:lineRule="exact"/>
        <w:rPr>
          <w:sz w:val="20"/>
          <w:szCs w:val="20"/>
          <w:color w:val="auto"/>
        </w:rPr>
      </w:pPr>
    </w:p>
    <w:p>
      <w:pPr>
        <w:ind w:left="1300"/>
        <w:spacing w:after="0"/>
        <w:rPr>
          <w:sz w:val="20"/>
          <w:szCs w:val="20"/>
          <w:color w:val="auto"/>
        </w:rPr>
      </w:pPr>
      <w:r>
        <w:rPr>
          <w:rFonts w:ascii="Arial" w:cs="Arial" w:eastAsia="Arial" w:hAnsi="Arial"/>
          <w:sz w:val="16"/>
          <w:szCs w:val="16"/>
          <w:b w:val="1"/>
          <w:bCs w:val="1"/>
          <w:color w:val="auto"/>
        </w:rPr>
        <w:t>Not Applicable.</w:t>
      </w:r>
    </w:p>
    <w:p>
      <w:pPr>
        <w:sectPr>
          <w:pgSz w:w="11900" w:h="16838" w:orient="portrait"/>
          <w:cols w:equalWidth="0" w:num="1">
            <w:col w:w="11420"/>
          </w:cols>
          <w:pgMar w:left="240" w:top="904" w:right="239" w:bottom="1440" w:gutter="0" w:footer="0" w:header="0"/>
          <w:type w:val="continuous"/>
        </w:sectPr>
      </w:pPr>
    </w:p>
    <w:p>
      <w:pPr>
        <w:spacing w:after="0" w:line="220" w:lineRule="exact"/>
        <w:rPr>
          <w:sz w:val="20"/>
          <w:szCs w:val="20"/>
          <w:color w:val="auto"/>
        </w:rPr>
      </w:pPr>
    </w:p>
    <w:tbl>
      <w:tblPr>
        <w:tblLayout w:type="fixed"/>
        <w:tblInd w:w="1440" w:type="dxa"/>
        <w:tblCellMar>
          <w:top w:w="0" w:type="dxa"/>
          <w:left w:w="0" w:type="dxa"/>
          <w:bottom w:w="0" w:type="dxa"/>
          <w:right w:w="0" w:type="dxa"/>
        </w:tblCellMar>
      </w:tblPr>
      <w:tr>
        <w:trPr>
          <w:trHeight w:val="283"/>
        </w:trPr>
        <w:tc>
          <w:tcPr>
            <w:tcW w:w="880" w:type="dxa"/>
            <w:vAlign w:val="bottom"/>
          </w:tcPr>
          <w:p>
            <w:pPr>
              <w:spacing w:after="0"/>
              <w:rPr>
                <w:sz w:val="20"/>
                <w:szCs w:val="20"/>
                <w:color w:val="auto"/>
              </w:rPr>
            </w:pPr>
            <w:r>
              <w:rPr>
                <w:rFonts w:ascii="Arial" w:cs="Arial" w:eastAsia="Arial" w:hAnsi="Arial"/>
                <w:sz w:val="18"/>
                <w:szCs w:val="18"/>
                <w:color w:val="auto"/>
              </w:rPr>
              <w:t>(a)</w:t>
            </w:r>
          </w:p>
        </w:tc>
        <w:tc>
          <w:tcPr>
            <w:tcW w:w="1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5780" w:type="dxa"/>
            <w:vAlign w:val="bottom"/>
          </w:tcPr>
          <w:p>
            <w:pPr>
              <w:ind w:left="200"/>
              <w:spacing w:after="0"/>
              <w:rPr>
                <w:sz w:val="20"/>
                <w:szCs w:val="20"/>
                <w:color w:val="auto"/>
              </w:rPr>
            </w:pPr>
            <w:r>
              <w:rPr>
                <w:rFonts w:ascii="Arial" w:cs="Arial" w:eastAsia="Arial" w:hAnsi="Arial"/>
                <w:sz w:val="18"/>
                <w:szCs w:val="18"/>
                <w:color w:val="auto"/>
                <w:w w:val="98"/>
              </w:rPr>
              <w:t>Broker or dealer registered under Section 15 of the Act (15 U.S.C. 78o)</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(b)</w:t>
            </w:r>
          </w:p>
        </w:tc>
        <w:tc>
          <w:tcPr>
            <w:tcW w:w="1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5780" w:type="dxa"/>
            <w:vAlign w:val="bottom"/>
          </w:tcPr>
          <w:p>
            <w:pPr>
              <w:ind w:left="200"/>
              <w:spacing w:after="0"/>
              <w:rPr>
                <w:sz w:val="20"/>
                <w:szCs w:val="20"/>
                <w:color w:val="auto"/>
              </w:rPr>
            </w:pPr>
            <w:r>
              <w:rPr>
                <w:rFonts w:ascii="Arial" w:cs="Arial" w:eastAsia="Arial" w:hAnsi="Arial"/>
                <w:sz w:val="18"/>
                <w:szCs w:val="18"/>
                <w:color w:val="auto"/>
              </w:rPr>
              <w:t>Bank as defined in Section 3(a)(6) of the Act (15 U.S.C. 78c)</w:t>
            </w:r>
          </w:p>
        </w:tc>
      </w:tr>
      <w:tr>
        <w:trPr>
          <w:trHeight w:val="432"/>
        </w:trPr>
        <w:tc>
          <w:tcPr>
            <w:tcW w:w="880" w:type="dxa"/>
            <w:vAlign w:val="bottom"/>
          </w:tcPr>
          <w:p>
            <w:pPr>
              <w:spacing w:after="0"/>
              <w:rPr>
                <w:sz w:val="20"/>
                <w:szCs w:val="20"/>
                <w:color w:val="auto"/>
              </w:rPr>
            </w:pPr>
            <w:r>
              <w:rPr>
                <w:rFonts w:ascii="Arial" w:cs="Arial" w:eastAsia="Arial" w:hAnsi="Arial"/>
                <w:sz w:val="18"/>
                <w:szCs w:val="18"/>
                <w:color w:val="auto"/>
              </w:rPr>
              <w:t>(c)</w:t>
            </w:r>
          </w:p>
        </w:tc>
        <w:tc>
          <w:tcPr>
            <w:tcW w:w="1020" w:type="dxa"/>
            <w:vAlign w:val="bottom"/>
          </w:tcPr>
          <w:p>
            <w:pPr>
              <w:ind w:left="660"/>
              <w:spacing w:after="0" w:line="181" w:lineRule="exact"/>
              <w:rPr>
                <w:sz w:val="20"/>
                <w:szCs w:val="20"/>
                <w:color w:val="auto"/>
              </w:rPr>
            </w:pPr>
            <w:r>
              <w:rPr>
                <w:rFonts w:ascii="MS PGothic" w:cs="MS PGothic" w:eastAsia="MS PGothic" w:hAnsi="MS PGothic"/>
                <w:sz w:val="18"/>
                <w:szCs w:val="18"/>
                <w:color w:val="auto"/>
              </w:rPr>
              <w:t>☐</w:t>
            </w:r>
          </w:p>
        </w:tc>
        <w:tc>
          <w:tcPr>
            <w:tcW w:w="5780" w:type="dxa"/>
            <w:vAlign w:val="bottom"/>
          </w:tcPr>
          <w:p>
            <w:pPr>
              <w:ind w:left="200"/>
              <w:spacing w:after="0"/>
              <w:rPr>
                <w:sz w:val="20"/>
                <w:szCs w:val="20"/>
                <w:color w:val="auto"/>
              </w:rPr>
            </w:pPr>
            <w:r>
              <w:rPr>
                <w:rFonts w:ascii="Arial" w:cs="Arial" w:eastAsia="Arial" w:hAnsi="Arial"/>
                <w:sz w:val="18"/>
                <w:szCs w:val="18"/>
                <w:color w:val="auto"/>
                <w:w w:val="90"/>
              </w:rPr>
              <w:t>Insurance Company as defined in Section 3(a)(19) of the Act (15 U.S.C. 78c)</w:t>
            </w:r>
          </w:p>
        </w:tc>
      </w:tr>
    </w:tbl>
    <w:p>
      <w:pPr>
        <w:spacing w:after="0" w:line="149" w:lineRule="exact"/>
        <w:rPr>
          <w:sz w:val="20"/>
          <w:szCs w:val="20"/>
          <w:color w:val="auto"/>
        </w:rPr>
      </w:pPr>
    </w:p>
    <w:p>
      <w:pPr>
        <w:ind w:left="2980" w:hanging="1546"/>
        <w:spacing w:after="0" w:line="207" w:lineRule="exact"/>
        <w:tabs>
          <w:tab w:leader="none" w:pos="2980" w:val="left"/>
        </w:tabs>
        <w:numPr>
          <w:ilvl w:val="0"/>
          <w:numId w:val="8"/>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Investment company registered under Section 8 of the Investment Company Act of 1940 (15 U.S.C. 80a-8)</w:t>
      </w:r>
    </w:p>
    <w:p>
      <w:pPr>
        <w:spacing w:after="0" w:line="225" w:lineRule="exact"/>
        <w:rPr>
          <w:sz w:val="20"/>
          <w:szCs w:val="20"/>
          <w:color w:val="auto"/>
        </w:rPr>
      </w:pPr>
    </w:p>
    <w:p>
      <w:pPr>
        <w:ind w:left="2980" w:hanging="1546"/>
        <w:spacing w:after="0" w:line="207" w:lineRule="exact"/>
        <w:tabs>
          <w:tab w:leader="none" w:pos="2980" w:val="left"/>
        </w:tabs>
        <w:numPr>
          <w:ilvl w:val="0"/>
          <w:numId w:val="9"/>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investment adviser in accordance with §240.13d-1(b)(1)(ii)(E)</w:t>
      </w:r>
    </w:p>
    <w:p>
      <w:pPr>
        <w:spacing w:after="0" w:line="225" w:lineRule="exact"/>
        <w:rPr>
          <w:sz w:val="20"/>
          <w:szCs w:val="20"/>
          <w:color w:val="auto"/>
        </w:rPr>
      </w:pPr>
    </w:p>
    <w:p>
      <w:pPr>
        <w:ind w:left="2980" w:hanging="1546"/>
        <w:spacing w:after="0" w:line="207" w:lineRule="exact"/>
        <w:tabs>
          <w:tab w:leader="none" w:pos="2980" w:val="left"/>
        </w:tabs>
        <w:numPr>
          <w:ilvl w:val="0"/>
          <w:numId w:val="10"/>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An employee benefit plan or endowment fund in accordance with §240.13d-1(b)(1)(ii)(F)</w:t>
      </w:r>
    </w:p>
    <w:p>
      <w:pPr>
        <w:spacing w:after="0" w:line="225" w:lineRule="exact"/>
        <w:rPr>
          <w:sz w:val="20"/>
          <w:szCs w:val="20"/>
          <w:color w:val="auto"/>
        </w:rPr>
      </w:pPr>
    </w:p>
    <w:p>
      <w:pPr>
        <w:ind w:left="2980" w:hanging="1546"/>
        <w:spacing w:after="0" w:line="207" w:lineRule="exact"/>
        <w:tabs>
          <w:tab w:leader="none" w:pos="2980" w:val="left"/>
        </w:tabs>
        <w:numPr>
          <w:ilvl w:val="0"/>
          <w:numId w:val="11"/>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parent holding company or control person in accordance with §240.13d-1(b)(ii)(G)</w:t>
      </w:r>
    </w:p>
    <w:p>
      <w:pPr>
        <w:spacing w:after="0" w:line="225" w:lineRule="exact"/>
        <w:rPr>
          <w:sz w:val="20"/>
          <w:szCs w:val="20"/>
          <w:color w:val="auto"/>
        </w:rPr>
      </w:pPr>
    </w:p>
    <w:p>
      <w:pPr>
        <w:ind w:left="2980" w:hanging="1546"/>
        <w:spacing w:after="0" w:line="207" w:lineRule="exact"/>
        <w:tabs>
          <w:tab w:leader="none" w:pos="298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associations as defined in Section 3(b) of the Federal Deposit Insurance Act</w:t>
      </w:r>
    </w:p>
    <w:p>
      <w:pPr>
        <w:spacing w:after="0" w:line="225" w:lineRule="exact"/>
        <w:rPr>
          <w:sz w:val="20"/>
          <w:szCs w:val="20"/>
          <w:color w:val="auto"/>
        </w:rPr>
      </w:pPr>
    </w:p>
    <w:p>
      <w:pPr>
        <w:ind w:left="3540" w:hanging="2106"/>
        <w:spacing w:after="0" w:line="223" w:lineRule="exact"/>
        <w:tabs>
          <w:tab w:leader="none" w:pos="2973"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A church plan that is excluded from the definition of an investment company under section 3(c)(14) of the Investment Company Act of 1940 (15 U.S.C. 80a-3)</w:t>
      </w:r>
    </w:p>
    <w:p>
      <w:pPr>
        <w:spacing w:after="0" w:line="203" w:lineRule="exact"/>
        <w:rPr>
          <w:sz w:val="20"/>
          <w:szCs w:val="20"/>
          <w:color w:val="auto"/>
        </w:rPr>
      </w:pPr>
    </w:p>
    <w:p>
      <w:pPr>
        <w:ind w:left="3540" w:right="4260" w:hanging="2106"/>
        <w:spacing w:after="0" w:line="439" w:lineRule="exact"/>
        <w:tabs>
          <w:tab w:leader="none" w:pos="1445" w:val="left"/>
        </w:tabs>
        <w:numPr>
          <w:ilvl w:val="0"/>
          <w:numId w:val="14"/>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Group, in accordance with §240.13d-1(b)(1)(ii)(J) Page 3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20955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type w:val="continuous"/>
        </w:sectPr>
      </w:pPr>
    </w:p>
    <w:bookmarkStart w:id="3" w:name="page4"/>
    <w:bookmarkEnd w:id="3"/>
    <w:p>
      <w:pPr>
        <w:spacing w:after="0"/>
        <w:tabs>
          <w:tab w:leader="none" w:pos="128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460" w:right="7980" w:hanging="804"/>
        <w:spacing w:after="0" w:line="563" w:lineRule="auto"/>
        <w:tabs>
          <w:tab w:leader="none" w:pos="1314" w:val="left"/>
        </w:tabs>
        <w:numPr>
          <w:ilvl w:val="0"/>
          <w:numId w:val="15"/>
        </w:numPr>
        <w:rPr>
          <w:rFonts w:ascii="Arial" w:cs="Arial" w:eastAsia="Arial" w:hAnsi="Arial"/>
          <w:sz w:val="16"/>
          <w:szCs w:val="16"/>
          <w:color w:val="auto"/>
        </w:rPr>
      </w:pPr>
      <w:r>
        <w:rPr>
          <w:rFonts w:ascii="Arial" w:cs="Arial" w:eastAsia="Arial" w:hAnsi="Arial"/>
          <w:sz w:val="16"/>
          <w:szCs w:val="16"/>
          <w:color w:val="auto"/>
        </w:rPr>
        <w:t>Amount Beneficially Owned: See Item 9 on Page 2</w:t>
      </w:r>
    </w:p>
    <w:p>
      <w:pPr>
        <w:spacing w:after="0" w:line="1" w:lineRule="exact"/>
        <w:rPr>
          <w:rFonts w:ascii="Arial" w:cs="Arial" w:eastAsia="Arial" w:hAnsi="Arial"/>
          <w:sz w:val="16"/>
          <w:szCs w:val="16"/>
          <w:color w:val="auto"/>
        </w:rPr>
      </w:pPr>
    </w:p>
    <w:p>
      <w:pPr>
        <w:ind w:left="1300" w:hanging="644"/>
        <w:spacing w:after="0"/>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Percent of Class:</w:t>
      </w:r>
    </w:p>
    <w:p>
      <w:pPr>
        <w:spacing w:after="0" w:line="225"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See Item 11 on Page 2</w:t>
      </w:r>
    </w:p>
    <w:p>
      <w:pPr>
        <w:spacing w:after="0" w:line="225" w:lineRule="exact"/>
        <w:rPr>
          <w:sz w:val="20"/>
          <w:szCs w:val="20"/>
          <w:color w:val="auto"/>
        </w:rPr>
      </w:pPr>
    </w:p>
    <w:p>
      <w:pPr>
        <w:ind w:left="1300" w:hanging="644"/>
        <w:spacing w:after="0"/>
        <w:tabs>
          <w:tab w:leader="none" w:pos="1300" w:val="left"/>
        </w:tabs>
        <w:numPr>
          <w:ilvl w:val="0"/>
          <w:numId w:val="16"/>
        </w:numPr>
        <w:rPr>
          <w:rFonts w:ascii="Arial" w:cs="Arial" w:eastAsia="Arial" w:hAnsi="Arial"/>
          <w:sz w:val="18"/>
          <w:szCs w:val="18"/>
          <w:color w:val="auto"/>
        </w:rPr>
      </w:pPr>
      <w:r>
        <w:rPr>
          <w:rFonts w:ascii="Arial" w:cs="Arial" w:eastAsia="Arial" w:hAnsi="Arial"/>
          <w:sz w:val="18"/>
          <w:szCs w:val="18"/>
          <w:color w:val="auto"/>
        </w:rPr>
        <w:t>Number of shares as to which such person has:</w:t>
      </w:r>
    </w:p>
    <w:p>
      <w:pPr>
        <w:spacing w:after="0" w:line="225" w:lineRule="exact"/>
        <w:rPr>
          <w:rFonts w:ascii="Arial" w:cs="Arial" w:eastAsia="Arial" w:hAnsi="Arial"/>
          <w:sz w:val="18"/>
          <w:szCs w:val="18"/>
          <w:color w:val="auto"/>
        </w:rPr>
      </w:pPr>
    </w:p>
    <w:p>
      <w:pPr>
        <w:ind w:left="2100" w:right="6600" w:hanging="795"/>
        <w:spacing w:after="0" w:line="501" w:lineRule="auto"/>
        <w:tabs>
          <w:tab w:leader="none" w:pos="1954" w:val="left"/>
        </w:tabs>
        <w:numPr>
          <w:ilvl w:val="1"/>
          <w:numId w:val="16"/>
        </w:numPr>
        <w:rPr>
          <w:rFonts w:ascii="Arial" w:cs="Arial" w:eastAsia="Arial" w:hAnsi="Arial"/>
          <w:sz w:val="18"/>
          <w:szCs w:val="18"/>
          <w:color w:val="auto"/>
        </w:rPr>
      </w:pPr>
      <w:r>
        <w:rPr>
          <w:rFonts w:ascii="Arial" w:cs="Arial" w:eastAsia="Arial" w:hAnsi="Arial"/>
          <w:sz w:val="18"/>
          <w:szCs w:val="18"/>
          <w:color w:val="auto"/>
        </w:rPr>
        <w:t>Sole power to vote or to direct the vote: See Item 5 on Page 2</w:t>
      </w:r>
    </w:p>
    <w:p>
      <w:pPr>
        <w:ind w:left="1960" w:hanging="655"/>
        <w:spacing w:after="0"/>
        <w:tabs>
          <w:tab w:leader="none" w:pos="1960" w:val="left"/>
        </w:tabs>
        <w:numPr>
          <w:ilvl w:val="1"/>
          <w:numId w:val="16"/>
        </w:numPr>
        <w:rPr>
          <w:rFonts w:ascii="Arial" w:cs="Arial" w:eastAsia="Arial" w:hAnsi="Arial"/>
          <w:sz w:val="18"/>
          <w:szCs w:val="18"/>
          <w:color w:val="auto"/>
        </w:rPr>
      </w:pPr>
      <w:r>
        <w:rPr>
          <w:rFonts w:ascii="Arial" w:cs="Arial" w:eastAsia="Arial" w:hAnsi="Arial"/>
          <w:sz w:val="18"/>
          <w:szCs w:val="18"/>
          <w:color w:val="auto"/>
        </w:rPr>
        <w:t>Shared power to vote or to direct the vote:</w:t>
      </w:r>
    </w:p>
    <w:p>
      <w:pPr>
        <w:spacing w:after="0" w:line="225" w:lineRule="exact"/>
        <w:rPr>
          <w:sz w:val="20"/>
          <w:szCs w:val="20"/>
          <w:color w:val="auto"/>
        </w:rPr>
      </w:pPr>
    </w:p>
    <w:p>
      <w:pPr>
        <w:ind w:left="2100"/>
        <w:spacing w:after="0"/>
        <w:rPr>
          <w:sz w:val="20"/>
          <w:szCs w:val="20"/>
          <w:color w:val="auto"/>
        </w:rPr>
      </w:pPr>
      <w:r>
        <w:rPr>
          <w:rFonts w:ascii="Arial" w:cs="Arial" w:eastAsia="Arial" w:hAnsi="Arial"/>
          <w:sz w:val="18"/>
          <w:szCs w:val="18"/>
          <w:color w:val="auto"/>
        </w:rPr>
        <w:t>See Item 6 on Page 2.</w:t>
      </w:r>
    </w:p>
    <w:p>
      <w:pPr>
        <w:spacing w:after="0" w:line="225" w:lineRule="exact"/>
        <w:rPr>
          <w:sz w:val="20"/>
          <w:szCs w:val="20"/>
          <w:color w:val="auto"/>
        </w:rPr>
      </w:pPr>
    </w:p>
    <w:p>
      <w:pPr>
        <w:jc w:val="both"/>
        <w:ind w:left="1960"/>
        <w:spacing w:after="0" w:line="253" w:lineRule="auto"/>
        <w:rPr>
          <w:sz w:val="20"/>
          <w:szCs w:val="20"/>
          <w:color w:val="auto"/>
        </w:rPr>
      </w:pPr>
      <w:r>
        <w:rPr>
          <w:rFonts w:ascii="Arial" w:cs="Arial" w:eastAsia="Arial" w:hAnsi="Arial"/>
          <w:sz w:val="18"/>
          <w:szCs w:val="18"/>
          <w:color w:val="auto"/>
        </w:rPr>
        <w:t>The information in Items 6, 8, 9 and 11 above include 1,972,990 shares held by ASHC’s subsidiary, Atlantic Security Bank (ASB). These 1,972,990 shares are held by ASB on behalf of clients as part of the Private Banking Services that ASB provides, and which shares are purchased or sold based on client instruction. Clients can decide at any time to exercise their voting power in any Shareholders’ Meeting, but generally grant a revocable voting proxy to directors or officers of Credicorp for purposes of the Annual Shareholders Meeting. These shares are held by ASB on behalf of clients, which clients have the power to vote and dispose of the shares. ASHC disclaims beneficial ownership of the shares. The filing of this Schedule 13G by ASHC should not be construed as an admission that ASHC is, for purposes of Section 13(d) or 13(g) of the Securities Exchange Act of 1934, as amended (the “Exchange Act”), the beneficial owner of the 1,972,990 Credicorp shares held by ASB on behalf of clients and included in this Schedule 13G.</w:t>
      </w: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4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4" w:right="23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0"/>
        </w:trPr>
        <w:tc>
          <w:tcPr>
            <w:tcW w:w="960" w:type="dxa"/>
            <w:vAlign w:val="bottom"/>
          </w:tcPr>
          <w:p>
            <w:pPr>
              <w:spacing w:after="0"/>
              <w:rPr>
                <w:sz w:val="20"/>
                <w:szCs w:val="20"/>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(iii)</w:t>
            </w:r>
          </w:p>
        </w:tc>
        <w:tc>
          <w:tcPr>
            <w:tcW w:w="9660" w:type="dxa"/>
            <w:vAlign w:val="bottom"/>
          </w:tcPr>
          <w:p>
            <w:pPr>
              <w:ind w:left="200"/>
              <w:spacing w:after="0"/>
              <w:rPr>
                <w:sz w:val="20"/>
                <w:szCs w:val="20"/>
                <w:color w:val="auto"/>
              </w:rPr>
            </w:pPr>
            <w:r>
              <w:rPr>
                <w:rFonts w:ascii="Arial" w:cs="Arial" w:eastAsia="Arial" w:hAnsi="Arial"/>
                <w:sz w:val="18"/>
                <w:szCs w:val="18"/>
                <w:color w:val="auto"/>
              </w:rPr>
              <w:t>Sole power to dispose or to direct the disposition of:</w:t>
            </w:r>
          </w:p>
        </w:tc>
      </w:tr>
      <w:tr>
        <w:trPr>
          <w:trHeight w:val="432"/>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See Item 7 on Page 2</w:t>
            </w:r>
          </w:p>
        </w:tc>
      </w:tr>
      <w:tr>
        <w:trPr>
          <w:trHeight w:val="432"/>
        </w:trPr>
        <w:tc>
          <w:tcPr>
            <w:tcW w:w="960" w:type="dxa"/>
            <w:vAlign w:val="bottom"/>
          </w:tcPr>
          <w:p>
            <w:pPr>
              <w:spacing w:after="0"/>
              <w:rPr>
                <w:sz w:val="24"/>
                <w:szCs w:val="24"/>
                <w:color w:val="auto"/>
              </w:rPr>
            </w:pPr>
          </w:p>
        </w:tc>
        <w:tc>
          <w:tcPr>
            <w:tcW w:w="800" w:type="dxa"/>
            <w:vAlign w:val="bottom"/>
          </w:tcPr>
          <w:p>
            <w:pPr>
              <w:ind w:left="340"/>
              <w:spacing w:after="0"/>
              <w:rPr>
                <w:sz w:val="20"/>
                <w:szCs w:val="20"/>
                <w:color w:val="auto"/>
              </w:rPr>
            </w:pPr>
            <w:r>
              <w:rPr>
                <w:rFonts w:ascii="Arial" w:cs="Arial" w:eastAsia="Arial" w:hAnsi="Arial"/>
                <w:sz w:val="18"/>
                <w:szCs w:val="18"/>
                <w:color w:val="auto"/>
              </w:rPr>
              <w:t>(iv)</w:t>
            </w:r>
          </w:p>
        </w:tc>
        <w:tc>
          <w:tcPr>
            <w:tcW w:w="9660" w:type="dxa"/>
            <w:vAlign w:val="bottom"/>
          </w:tcPr>
          <w:p>
            <w:pPr>
              <w:ind w:left="200"/>
              <w:spacing w:after="0"/>
              <w:rPr>
                <w:sz w:val="20"/>
                <w:szCs w:val="20"/>
                <w:color w:val="auto"/>
              </w:rPr>
            </w:pPr>
            <w:r>
              <w:rPr>
                <w:rFonts w:ascii="Arial" w:cs="Arial" w:eastAsia="Arial" w:hAnsi="Arial"/>
                <w:sz w:val="18"/>
                <w:szCs w:val="18"/>
                <w:color w:val="auto"/>
              </w:rPr>
              <w:t>Shared power to dispose or to direct the disposition of:</w:t>
            </w:r>
          </w:p>
        </w:tc>
      </w:tr>
      <w:tr>
        <w:trPr>
          <w:trHeight w:val="432"/>
        </w:trPr>
        <w:tc>
          <w:tcPr>
            <w:tcW w:w="9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9660" w:type="dxa"/>
            <w:vAlign w:val="bottom"/>
          </w:tcPr>
          <w:p>
            <w:pPr>
              <w:ind w:left="340"/>
              <w:spacing w:after="0"/>
              <w:rPr>
                <w:sz w:val="20"/>
                <w:szCs w:val="20"/>
                <w:color w:val="auto"/>
              </w:rPr>
            </w:pPr>
            <w:r>
              <w:rPr>
                <w:rFonts w:ascii="Arial" w:cs="Arial" w:eastAsia="Arial" w:hAnsi="Arial"/>
                <w:sz w:val="18"/>
                <w:szCs w:val="18"/>
                <w:color w:val="auto"/>
              </w:rPr>
              <w:t>See Item 8 on Page 2</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5.</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Five Percent or Less of a Class</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6.</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Ownership of More than Five Percent on Behalf of Another Person</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See the explanation under Item 4(c)(ii), above.</w:t>
            </w:r>
          </w:p>
        </w:tc>
      </w:tr>
      <w:tr>
        <w:trPr>
          <w:trHeight w:val="418"/>
        </w:trPr>
        <w:tc>
          <w:tcPr>
            <w:tcW w:w="960" w:type="dxa"/>
            <w:vAlign w:val="bottom"/>
          </w:tcPr>
          <w:p>
            <w:pPr>
              <w:spacing w:after="0"/>
              <w:rPr>
                <w:sz w:val="20"/>
                <w:szCs w:val="20"/>
                <w:color w:val="auto"/>
              </w:rPr>
            </w:pPr>
            <w:r>
              <w:rPr>
                <w:rFonts w:ascii="Arial" w:cs="Arial" w:eastAsia="Arial" w:hAnsi="Arial"/>
                <w:sz w:val="18"/>
                <w:szCs w:val="18"/>
                <w:color w:val="auto"/>
              </w:rPr>
              <w:t>Item 7.</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w w:val="96"/>
              </w:rPr>
              <w:t>Identification and Classification of the Subsidiary which Acquired the Security Being Reported on by the Parent Holding Company or</w:t>
            </w:r>
          </w:p>
        </w:tc>
      </w:tr>
      <w:tr>
        <w:trPr>
          <w:trHeight w:val="230"/>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Control Person</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See the explanation under Item 4(c)(ii), above.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8.</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Identification and Classification of Members of the Group</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9.</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Notice of Dissolution of Group</w:t>
            </w:r>
          </w:p>
        </w:tc>
      </w:tr>
      <w:tr>
        <w:trPr>
          <w:trHeight w:val="432"/>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Not Applicable</w:t>
            </w:r>
          </w:p>
        </w:tc>
      </w:tr>
      <w:tr>
        <w:trPr>
          <w:trHeight w:val="432"/>
        </w:trPr>
        <w:tc>
          <w:tcPr>
            <w:tcW w:w="960" w:type="dxa"/>
            <w:vAlign w:val="bottom"/>
          </w:tcPr>
          <w:p>
            <w:pPr>
              <w:spacing w:after="0"/>
              <w:rPr>
                <w:sz w:val="20"/>
                <w:szCs w:val="20"/>
                <w:color w:val="auto"/>
              </w:rPr>
            </w:pPr>
            <w:r>
              <w:rPr>
                <w:rFonts w:ascii="Arial" w:cs="Arial" w:eastAsia="Arial" w:hAnsi="Arial"/>
                <w:sz w:val="18"/>
                <w:szCs w:val="18"/>
                <w:color w:val="auto"/>
              </w:rPr>
              <w:t>Item 10.</w:t>
            </w:r>
          </w:p>
        </w:tc>
        <w:tc>
          <w:tcPr>
            <w:tcW w:w="10460" w:type="dxa"/>
            <w:vAlign w:val="bottom"/>
            <w:gridSpan w:val="2"/>
          </w:tcPr>
          <w:p>
            <w:pPr>
              <w:ind w:left="340"/>
              <w:spacing w:after="0"/>
              <w:rPr>
                <w:sz w:val="20"/>
                <w:szCs w:val="20"/>
                <w:color w:val="auto"/>
              </w:rPr>
            </w:pPr>
            <w:r>
              <w:rPr>
                <w:rFonts w:ascii="Arial" w:cs="Arial" w:eastAsia="Arial" w:hAnsi="Arial"/>
                <w:sz w:val="18"/>
                <w:szCs w:val="18"/>
                <w:color w:val="auto"/>
              </w:rPr>
              <w:t>Certification</w:t>
            </w:r>
          </w:p>
        </w:tc>
      </w:tr>
      <w:tr>
        <w:trPr>
          <w:trHeight w:val="414"/>
        </w:trPr>
        <w:tc>
          <w:tcPr>
            <w:tcW w:w="960" w:type="dxa"/>
            <w:vAlign w:val="bottom"/>
          </w:tcPr>
          <w:p>
            <w:pPr>
              <w:spacing w:after="0"/>
              <w:rPr>
                <w:sz w:val="24"/>
                <w:szCs w:val="24"/>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1"/>
              </w:rPr>
              <w:t>By signing below, I certify that, to the best of my knowledge and belief, the securities referred to above were not acquired and are</w:t>
            </w:r>
          </w:p>
        </w:tc>
      </w:tr>
      <w:tr>
        <w:trPr>
          <w:trHeight w:val="216"/>
        </w:trPr>
        <w:tc>
          <w:tcPr>
            <w:tcW w:w="960" w:type="dxa"/>
            <w:vAlign w:val="bottom"/>
          </w:tcPr>
          <w:p>
            <w:pPr>
              <w:spacing w:after="0"/>
              <w:rPr>
                <w:sz w:val="18"/>
                <w:szCs w:val="18"/>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w w:val="93"/>
              </w:rPr>
              <w:t>not held for the purpose of or with the effect of changing or influencing the control of the issuer of the securities and were not</w:t>
            </w:r>
          </w:p>
        </w:tc>
      </w:tr>
      <w:tr>
        <w:trPr>
          <w:trHeight w:val="234"/>
        </w:trPr>
        <w:tc>
          <w:tcPr>
            <w:tcW w:w="960" w:type="dxa"/>
            <w:vAlign w:val="bottom"/>
          </w:tcPr>
          <w:p>
            <w:pPr>
              <w:spacing w:after="0"/>
              <w:rPr>
                <w:sz w:val="20"/>
                <w:szCs w:val="20"/>
                <w:color w:val="auto"/>
              </w:rPr>
            </w:pPr>
          </w:p>
        </w:tc>
        <w:tc>
          <w:tcPr>
            <w:tcW w:w="10460" w:type="dxa"/>
            <w:vAlign w:val="bottom"/>
            <w:gridSpan w:val="2"/>
          </w:tcPr>
          <w:p>
            <w:pPr>
              <w:ind w:left="340"/>
              <w:spacing w:after="0"/>
              <w:rPr>
                <w:sz w:val="20"/>
                <w:szCs w:val="20"/>
                <w:color w:val="auto"/>
              </w:rPr>
            </w:pPr>
            <w:r>
              <w:rPr>
                <w:rFonts w:ascii="Arial" w:cs="Arial" w:eastAsia="Arial" w:hAnsi="Arial"/>
                <w:sz w:val="18"/>
                <w:szCs w:val="18"/>
                <w:b w:val="1"/>
                <w:bCs w:val="1"/>
                <w:color w:val="auto"/>
              </w:rPr>
              <w:t>acquired and are not held in connection with or as a participant in any transaction having that purpose or effect.</w:t>
            </w:r>
          </w:p>
        </w:tc>
      </w:tr>
    </w:tbl>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Page 5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08"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February 4, 2020</w:t>
      </w:r>
    </w:p>
    <w:p>
      <w:pPr>
        <w:spacing w:after="0" w:line="23" w:lineRule="exact"/>
        <w:rPr>
          <w:sz w:val="20"/>
          <w:szCs w:val="20"/>
          <w:color w:val="auto"/>
        </w:rPr>
      </w:pPr>
    </w:p>
    <w:p>
      <w:pPr>
        <w:ind w:left="4580"/>
        <w:spacing w:after="0"/>
        <w:rPr>
          <w:sz w:val="20"/>
          <w:szCs w:val="20"/>
          <w:color w:val="auto"/>
        </w:rPr>
      </w:pPr>
      <w:r>
        <w:rPr>
          <w:rFonts w:ascii="Arial" w:cs="Arial" w:eastAsia="Arial" w:hAnsi="Arial"/>
          <w:sz w:val="18"/>
          <w:szCs w:val="18"/>
          <w:color w:val="auto"/>
        </w:rPr>
        <w:t>(Date)</w:t>
      </w: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420" w:type="dxa"/>
            <w:vAlign w:val="bottom"/>
            <w:gridSpan w:val="3"/>
          </w:tcPr>
          <w:p>
            <w:pPr>
              <w:ind w:left="4580"/>
              <w:spacing w:after="0"/>
              <w:rPr>
                <w:sz w:val="20"/>
                <w:szCs w:val="20"/>
                <w:color w:val="auto"/>
              </w:rPr>
            </w:pPr>
            <w:r>
              <w:rPr>
                <w:rFonts w:ascii="Arial" w:cs="Arial" w:eastAsia="Arial" w:hAnsi="Arial"/>
                <w:sz w:val="18"/>
                <w:szCs w:val="18"/>
                <w:color w:val="auto"/>
              </w:rPr>
              <w:t>Atlantic Security Holding Corp</w:t>
            </w:r>
          </w:p>
        </w:tc>
        <w:tc>
          <w:tcPr>
            <w:tcW w:w="88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92"/>
        </w:trPr>
        <w:tc>
          <w:tcPr>
            <w:tcW w:w="7420" w:type="dxa"/>
            <w:vAlign w:val="bottom"/>
            <w:gridSpan w:val="3"/>
          </w:tcPr>
          <w:p>
            <w:pPr>
              <w:ind w:left="4580"/>
              <w:spacing w:after="0"/>
              <w:rPr>
                <w:sz w:val="20"/>
                <w:szCs w:val="20"/>
                <w:color w:val="auto"/>
              </w:rPr>
            </w:pPr>
            <w:r>
              <w:rPr>
                <w:rFonts w:ascii="Arial" w:cs="Arial" w:eastAsia="Arial" w:hAnsi="Arial"/>
                <w:sz w:val="18"/>
                <w:szCs w:val="18"/>
                <w:color w:val="auto"/>
              </w:rPr>
              <w:t>By: /s/ Juan Inchaustegui</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rPr>
              <w:t>By: /s/ Luis Eduardo Rodríguez</w:t>
            </w:r>
          </w:p>
        </w:tc>
      </w:tr>
      <w:tr>
        <w:trPr>
          <w:trHeight w:val="20"/>
        </w:trPr>
        <w:tc>
          <w:tcPr>
            <w:tcW w:w="4900" w:type="dxa"/>
            <w:vAlign w:val="bottom"/>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0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r>
      <w:tr>
        <w:trPr>
          <w:trHeight w:val="438"/>
        </w:trPr>
        <w:tc>
          <w:tcPr>
            <w:tcW w:w="7420" w:type="dxa"/>
            <w:vAlign w:val="bottom"/>
            <w:gridSpan w:val="3"/>
          </w:tcPr>
          <w:p>
            <w:pPr>
              <w:ind w:left="4580"/>
              <w:spacing w:after="0"/>
              <w:rPr>
                <w:sz w:val="20"/>
                <w:szCs w:val="20"/>
                <w:color w:val="auto"/>
              </w:rPr>
            </w:pPr>
            <w:r>
              <w:rPr>
                <w:rFonts w:ascii="Arial" w:cs="Arial" w:eastAsia="Arial" w:hAnsi="Arial"/>
                <w:sz w:val="18"/>
                <w:szCs w:val="18"/>
                <w:color w:val="auto"/>
              </w:rPr>
              <w:t>Name: Juan Inchaustegui</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rPr>
              <w:t>Name: Luis Eduardo Rodríguez</w:t>
            </w:r>
          </w:p>
        </w:tc>
      </w:tr>
      <w:tr>
        <w:trPr>
          <w:trHeight w:val="230"/>
        </w:trPr>
        <w:tc>
          <w:tcPr>
            <w:tcW w:w="7420" w:type="dxa"/>
            <w:vAlign w:val="bottom"/>
            <w:gridSpan w:val="3"/>
          </w:tcPr>
          <w:p>
            <w:pPr>
              <w:ind w:left="4580"/>
              <w:spacing w:after="0"/>
              <w:rPr>
                <w:sz w:val="20"/>
                <w:szCs w:val="20"/>
                <w:color w:val="auto"/>
              </w:rPr>
            </w:pPr>
            <w:r>
              <w:rPr>
                <w:rFonts w:ascii="Arial" w:cs="Arial" w:eastAsia="Arial" w:hAnsi="Arial"/>
                <w:sz w:val="18"/>
                <w:szCs w:val="18"/>
                <w:color w:val="auto"/>
              </w:rPr>
              <w:t>Title: Attorney-In-Fact</w:t>
            </w:r>
          </w:p>
        </w:tc>
        <w:tc>
          <w:tcPr>
            <w:tcW w:w="4000" w:type="dxa"/>
            <w:vAlign w:val="bottom"/>
            <w:gridSpan w:val="3"/>
          </w:tcPr>
          <w:p>
            <w:pPr>
              <w:ind w:left="580"/>
              <w:spacing w:after="0"/>
              <w:rPr>
                <w:sz w:val="20"/>
                <w:szCs w:val="20"/>
                <w:color w:val="auto"/>
              </w:rPr>
            </w:pPr>
            <w:r>
              <w:rPr>
                <w:rFonts w:ascii="Arial" w:cs="Arial" w:eastAsia="Arial" w:hAnsi="Arial"/>
                <w:sz w:val="18"/>
                <w:szCs w:val="18"/>
                <w:color w:val="auto"/>
              </w:rPr>
              <w:t>Title: Attorney-In-Fact</w:t>
            </w:r>
          </w:p>
        </w:tc>
      </w:tr>
      <w:tr>
        <w:trPr>
          <w:trHeight w:val="648"/>
        </w:trPr>
        <w:tc>
          <w:tcPr>
            <w:tcW w:w="4900" w:type="dxa"/>
            <w:vAlign w:val="bottom"/>
            <w:tcBorders>
              <w:bottom w:val="single" w:sz="8" w:color="auto"/>
            </w:tcBorders>
          </w:tcPr>
          <w:p>
            <w:pPr>
              <w:spacing w:after="0"/>
              <w:rPr>
                <w:sz w:val="24"/>
                <w:szCs w:val="24"/>
                <w:color w:val="auto"/>
              </w:rPr>
            </w:pPr>
          </w:p>
        </w:tc>
        <w:tc>
          <w:tcPr>
            <w:tcW w:w="2520" w:type="dxa"/>
            <w:vAlign w:val="bottom"/>
            <w:tcBorders>
              <w:bottom w:val="single" w:sz="8" w:color="auto"/>
            </w:tcBorders>
            <w:gridSpan w:val="2"/>
          </w:tcPr>
          <w:p>
            <w:pPr>
              <w:ind w:left="180"/>
              <w:spacing w:after="0"/>
              <w:rPr>
                <w:sz w:val="20"/>
                <w:szCs w:val="20"/>
                <w:color w:val="auto"/>
              </w:rPr>
            </w:pPr>
            <w:r>
              <w:rPr>
                <w:rFonts w:ascii="Arial" w:cs="Arial" w:eastAsia="Arial" w:hAnsi="Arial"/>
                <w:sz w:val="18"/>
                <w:szCs w:val="18"/>
                <w:color w:val="auto"/>
              </w:rPr>
              <w:t>Page 6 of 6 Pages</w:t>
            </w:r>
          </w:p>
        </w:tc>
        <w:tc>
          <w:tcPr>
            <w:tcW w:w="8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420"/>
      </w:cols>
      <w:pgMar w:left="240" w:top="90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1">
    <w:nsid w:val="5BD062C2"/>
    <w:multiLevelType w:val="hybridMultilevel"/>
    <w:lvl w:ilvl="0">
      <w:lvlJc w:val="left"/>
      <w:lvlText w:val="1"/>
      <w:numFmt w:val="bullet"/>
      <w:start w:val="1"/>
    </w:lvl>
  </w:abstractNum>
  <w:abstractNum w:abstractNumId="2">
    <w:nsid w:val="12200854"/>
    <w:multiLevelType w:val="hybridMultilevel"/>
    <w:lvl w:ilvl="0">
      <w:lvlJc w:val="left"/>
      <w:lvlText w:val="2"/>
      <w:numFmt w:val="bullet"/>
      <w:start w:val="1"/>
    </w:lvl>
  </w:abstractNum>
  <w:abstractNum w:abstractNumId="3">
    <w:nsid w:val="4DB127F8"/>
    <w:multiLevelType w:val="hybridMultilevel"/>
    <w:lvl w:ilvl="0">
      <w:lvlJc w:val="left"/>
      <w:lvlText w:val="3"/>
      <w:numFmt w:val="bullet"/>
      <w:start w:val="1"/>
    </w:lvl>
  </w:abstractNum>
  <w:abstractNum w:abstractNumId="4">
    <w:nsid w:val="216231B"/>
    <w:multiLevelType w:val="hybridMultilevel"/>
    <w:lvl w:ilvl="0">
      <w:lvlJc w:val="left"/>
      <w:lvlText w:val="4"/>
      <w:numFmt w:val="bullet"/>
      <w:start w:val="1"/>
    </w:lvl>
  </w:abstractNum>
  <w:abstractNum w:abstractNumId="5">
    <w:nsid w:val="1F16E9E8"/>
    <w:multiLevelType w:val="hybridMultilevel"/>
    <w:lvl w:ilvl="0">
      <w:lvlJc w:val="left"/>
      <w:lvlText w:val="9"/>
      <w:numFmt w:val="bullet"/>
      <w:start w:val="1"/>
    </w:lvl>
  </w:abstractNum>
  <w:abstractNum w:abstractNumId="6">
    <w:nsid w:val="1190CDE7"/>
    <w:multiLevelType w:val="hybridMultilevel"/>
    <w:lvl w:ilvl="0">
      <w:lvlJc w:val="left"/>
      <w:lvlText w:val="%1"/>
      <w:numFmt w:val="decimal"/>
      <w:start w:val="10"/>
    </w:lvl>
  </w:abstractNum>
  <w:abstractNum w:abstractNumId="7">
    <w:nsid w:val="66EF438D"/>
    <w:multiLevelType w:val="hybridMultilevel"/>
    <w:lvl w:ilvl="0">
      <w:lvlJc w:val="left"/>
      <w:lvlText w:val="(%1)"/>
      <w:numFmt w:val="lowerLetter"/>
      <w:start w:val="4"/>
    </w:lvl>
  </w:abstractNum>
  <w:abstractNum w:abstractNumId="8">
    <w:nsid w:val="140E0F76"/>
    <w:multiLevelType w:val="hybridMultilevel"/>
    <w:lvl w:ilvl="0">
      <w:lvlJc w:val="left"/>
      <w:lvlText w:val="(%1)"/>
      <w:numFmt w:val="lowerLetter"/>
      <w:start w:val="5"/>
    </w:lvl>
  </w:abstractNum>
  <w:abstractNum w:abstractNumId="9">
    <w:nsid w:val="3352255A"/>
    <w:multiLevelType w:val="hybridMultilevel"/>
    <w:lvl w:ilvl="0">
      <w:lvlJc w:val="left"/>
      <w:lvlText w:val="(%1)"/>
      <w:numFmt w:val="lowerLetter"/>
      <w:start w:val="6"/>
    </w:lvl>
  </w:abstractNum>
  <w:abstractNum w:abstractNumId="10">
    <w:nsid w:val="109CF92E"/>
    <w:multiLevelType w:val="hybridMultilevel"/>
    <w:lvl w:ilvl="0">
      <w:lvlJc w:val="left"/>
      <w:lvlText w:val="(%1)"/>
      <w:numFmt w:val="lowerLetter"/>
      <w:start w:val="7"/>
    </w:lvl>
  </w:abstractNum>
  <w:abstractNum w:abstractNumId="11">
    <w:nsid w:val="DED7263"/>
    <w:multiLevelType w:val="hybridMultilevel"/>
    <w:lvl w:ilvl="0">
      <w:lvlJc w:val="left"/>
      <w:lvlText w:val="(%1)"/>
      <w:numFmt w:val="lowerLetter"/>
      <w:start w:val="8"/>
    </w:lvl>
  </w:abstractNum>
  <w:abstractNum w:abstractNumId="12">
    <w:nsid w:val="7FDCC233"/>
    <w:multiLevelType w:val="hybridMultilevel"/>
    <w:lvl w:ilvl="0">
      <w:lvlJc w:val="left"/>
      <w:lvlText w:val="(%1)"/>
      <w:numFmt w:val="lowerRoman"/>
      <w:start w:val="1"/>
    </w:lvl>
  </w:abstractNum>
  <w:abstractNum w:abstractNumId="13">
    <w:nsid w:val="1BEFD79F"/>
    <w:multiLevelType w:val="hybridMultilevel"/>
    <w:lvl w:ilvl="0">
      <w:lvlJc w:val="left"/>
      <w:lvlText w:val="(%1)"/>
      <w:numFmt w:val="lowerLetter"/>
      <w:start w:val="10"/>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Letter"/>
      <w:start w:val="3"/>
    </w:lvl>
    <w:lvl w:ilvl="1">
      <w:lvlJc w:val="left"/>
      <w:lvlText w:val="(%2)"/>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2020-02-04T15:40:47Z</dcterms:created>
  <dcterms:modified xsi:type="dcterms:W3CDTF">2020-02-04T15:40:47Z</dcterms:modified>
</cp:coreProperties>
</file>