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Credicorp Ltd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G2519Y108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31st December 2011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420" w:right="7779" w:firstLine="9"/>
        <w:spacing w:after="0" w:line="547" w:lineRule="auto"/>
        <w:tabs>
          <w:tab w:leader="none" w:pos="105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9"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both"/>
        <w:ind w:right="283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4"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G2519Y108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Baillie Gifford &amp; Co (Scottish partnership)</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w:t>
      </w:r>
    </w:p>
    <w:p>
      <w:pPr>
        <w:spacing w:after="0" w:line="16" w:lineRule="exact"/>
        <w:rPr>
          <w:rFonts w:ascii="Courier New" w:cs="Courier New" w:eastAsia="Courier New" w:hAnsi="Courier New"/>
          <w:sz w:val="16"/>
          <w:szCs w:val="16"/>
          <w:color w:val="auto"/>
        </w:rPr>
      </w:pPr>
    </w:p>
    <w:p>
      <w:pPr>
        <w:ind w:left="320" w:hanging="312"/>
        <w:spacing w:after="0" w:line="238"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320" w:hanging="312"/>
        <w:spacing w:after="0" w:line="238"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SCOTLAND UK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c>
          <w:tcPr>
            <w:tcW w:w="2840" w:type="dxa"/>
            <w:vAlign w:val="bottom"/>
          </w:tcPr>
          <w:p>
            <w:pPr>
              <w:ind w:left="220"/>
              <w:spacing w:after="0"/>
              <w:rPr>
                <w:sz w:val="20"/>
                <w:szCs w:val="20"/>
                <w:color w:val="auto"/>
              </w:rPr>
            </w:pPr>
            <w:r>
              <w:rPr>
                <w:rFonts w:ascii="Courier New" w:cs="Courier New" w:eastAsia="Courier New" w:hAnsi="Courier New"/>
                <w:sz w:val="18"/>
                <w:szCs w:val="18"/>
                <w:color w:val="auto"/>
              </w:rPr>
              <w:t>2429287</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59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by</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59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4332309</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9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w:t>
            </w:r>
          </w:p>
        </w:tc>
      </w:tr>
    </w:tbl>
    <w:p>
      <w:pPr>
        <w:sectPr>
          <w:pgSz w:w="11900" w:h="16855" w:orient="portrait"/>
          <w:cols w:equalWidth="0" w:num="1">
            <w:col w:w="10219"/>
          </w:cols>
          <w:pgMar w:left="240" w:top="244" w:right="1440" w:bottom="0" w:gutter="0" w:footer="0" w:header="0"/>
        </w:sectPr>
      </w:pPr>
    </w:p>
    <w:bookmarkStart w:id="1" w:name="page2"/>
    <w:bookmarkEnd w:id="1"/>
    <w:p>
      <w:pPr>
        <w:ind w:left="2120" w:hanging="321"/>
        <w:spacing w:after="0"/>
        <w:tabs>
          <w:tab w:leader="none" w:pos="2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w:t>
      </w:r>
    </w:p>
    <w:p>
      <w:pPr>
        <w:spacing w:after="0" w:line="223" w:lineRule="exact"/>
        <w:rPr>
          <w:rFonts w:ascii="Courier New" w:cs="Courier New" w:eastAsia="Courier New" w:hAnsi="Courier New"/>
          <w:sz w:val="18"/>
          <w:szCs w:val="18"/>
          <w:color w:val="auto"/>
        </w:rPr>
      </w:pPr>
    </w:p>
    <w:p>
      <w:pPr>
        <w:ind w:left="5380" w:right="2739" w:hanging="5372"/>
        <w:spacing w:after="0" w:line="290" w:lineRule="auto"/>
        <w:tabs>
          <w:tab w:leader="none" w:pos="32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4332309 common stock</w:t>
      </w:r>
    </w:p>
    <w:p>
      <w:pPr>
        <w:spacing w:after="0" w:line="169" w:lineRule="exact"/>
        <w:rPr>
          <w:rFonts w:ascii="Courier New" w:cs="Courier New" w:eastAsia="Courier New" w:hAnsi="Courier New"/>
          <w:sz w:val="16"/>
          <w:szCs w:val="16"/>
          <w:color w:val="auto"/>
        </w:rPr>
      </w:pPr>
    </w:p>
    <w:p>
      <w:pPr>
        <w:ind w:left="320" w:right="3039" w:hanging="312"/>
        <w:spacing w:after="0" w:line="235" w:lineRule="auto"/>
        <w:tabs>
          <w:tab w:leader="none" w:pos="42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20" w:type="dxa"/>
            <w:vAlign w:val="bottom"/>
          </w:tcPr>
          <w:p>
            <w:pPr>
              <w:spacing w:after="0"/>
              <w:rPr>
                <w:sz w:val="20"/>
                <w:szCs w:val="20"/>
                <w:color w:val="auto"/>
              </w:rPr>
            </w:pPr>
            <w:r>
              <w:rPr>
                <w:rFonts w:ascii="Courier New" w:cs="Courier New" w:eastAsia="Courier New" w:hAnsi="Courier New"/>
                <w:sz w:val="18"/>
                <w:szCs w:val="18"/>
                <w:color w:val="auto"/>
              </w:rPr>
              <w:t>11. Percent of Class Represented by Amount in Row (9)</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5.43 %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18" w:lineRule="exact"/>
        <w:rPr>
          <w:sz w:val="20"/>
          <w:szCs w:val="20"/>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(a) Name of Issuer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Credicorp.</w:t>
      </w:r>
    </w:p>
    <w:p>
      <w:pPr>
        <w:spacing w:after="0" w:line="200" w:lineRule="exact"/>
        <w:rPr>
          <w:sz w:val="20"/>
          <w:szCs w:val="20"/>
          <w:color w:val="auto"/>
        </w:rPr>
      </w:pPr>
    </w:p>
    <w:p>
      <w:pPr>
        <w:sectPr>
          <w:pgSz w:w="11900" w:h="16838" w:orient="portrait"/>
          <w:cols w:equalWidth="0" w:num="2">
            <w:col w:w="4240" w:space="720"/>
            <w:col w:w="5259"/>
          </w:cols>
          <w:pgMar w:left="240" w:top="136" w:right="1440" w:bottom="0" w:gutter="0" w:footer="0" w:header="0"/>
          <w:type w:val="continuous"/>
        </w:sectPr>
      </w:pPr>
    </w:p>
    <w:p>
      <w:pPr>
        <w:spacing w:after="0" w:line="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7"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156 Calle Centenario</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La Molina</w:t>
      </w:r>
    </w:p>
    <w:p>
      <w:pPr>
        <w:ind w:left="4960"/>
        <w:spacing w:after="0" w:line="238" w:lineRule="auto"/>
        <w:rPr>
          <w:sz w:val="20"/>
          <w:szCs w:val="20"/>
          <w:color w:val="auto"/>
        </w:rPr>
      </w:pPr>
      <w:r>
        <w:rPr>
          <w:rFonts w:ascii="Courier New" w:cs="Courier New" w:eastAsia="Courier New" w:hAnsi="Courier New"/>
          <w:sz w:val="18"/>
          <w:szCs w:val="18"/>
          <w:color w:val="auto"/>
        </w:rPr>
        <w:t>Lima 12</w:t>
      </w:r>
    </w:p>
    <w:p>
      <w:pPr>
        <w:ind w:left="4960"/>
        <w:spacing w:after="0"/>
        <w:rPr>
          <w:sz w:val="20"/>
          <w:szCs w:val="20"/>
          <w:color w:val="auto"/>
        </w:rPr>
      </w:pPr>
      <w:r>
        <w:rPr>
          <w:rFonts w:ascii="Courier New" w:cs="Courier New" w:eastAsia="Courier New" w:hAnsi="Courier New"/>
          <w:sz w:val="18"/>
          <w:szCs w:val="18"/>
          <w:color w:val="auto"/>
        </w:rPr>
        <w:t>Peru</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(a) Name of Person Filing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Baillie Gifford &amp; Co</w:t>
      </w:r>
    </w:p>
    <w:p>
      <w:pPr>
        <w:spacing w:after="0" w:line="200" w:lineRule="exact"/>
        <w:rPr>
          <w:sz w:val="20"/>
          <w:szCs w:val="20"/>
          <w:color w:val="auto"/>
        </w:rPr>
      </w:pPr>
    </w:p>
    <w:p>
      <w:pPr>
        <w:sectPr>
          <w:pgSz w:w="11900" w:h="16838" w:orient="portrait"/>
          <w:cols w:equalWidth="0" w:num="2">
            <w:col w:w="4240" w:space="720"/>
            <w:col w:w="5259"/>
          </w:cols>
          <w:pgMar w:left="240" w:top="136"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(b) Address of Principal Business Office or, if none, Residence</w:t>
      </w:r>
    </w:p>
    <w:p>
      <w:pPr>
        <w:spacing w:after="0" w:line="218"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Calton Square</w:t>
      </w:r>
    </w:p>
    <w:p>
      <w:pPr>
        <w:ind w:left="4960"/>
        <w:spacing w:after="0" w:line="238" w:lineRule="auto"/>
        <w:rPr>
          <w:sz w:val="20"/>
          <w:szCs w:val="20"/>
          <w:color w:val="auto"/>
        </w:rPr>
      </w:pPr>
      <w:r>
        <w:rPr>
          <w:rFonts w:ascii="Courier New" w:cs="Courier New" w:eastAsia="Courier New" w:hAnsi="Courier New"/>
          <w:sz w:val="18"/>
          <w:szCs w:val="18"/>
          <w:color w:val="auto"/>
        </w:rPr>
        <w:t>1 Greenside Row</w:t>
      </w:r>
    </w:p>
    <w:p>
      <w:pPr>
        <w:ind w:left="4960"/>
        <w:spacing w:after="0"/>
        <w:rPr>
          <w:sz w:val="20"/>
          <w:szCs w:val="20"/>
          <w:color w:val="auto"/>
        </w:rPr>
      </w:pPr>
      <w:r>
        <w:rPr>
          <w:rFonts w:ascii="Courier New" w:cs="Courier New" w:eastAsia="Courier New" w:hAnsi="Courier New"/>
          <w:sz w:val="18"/>
          <w:szCs w:val="18"/>
          <w:color w:val="auto"/>
        </w:rPr>
        <w:t>Edinburgh EH1 3AN</w:t>
      </w:r>
    </w:p>
    <w:p>
      <w:pPr>
        <w:ind w:left="4960"/>
        <w:spacing w:after="0" w:line="237" w:lineRule="auto"/>
        <w:rPr>
          <w:sz w:val="20"/>
          <w:szCs w:val="20"/>
          <w:color w:val="auto"/>
        </w:rPr>
      </w:pPr>
      <w:r>
        <w:rPr>
          <w:rFonts w:ascii="Courier New" w:cs="Courier New" w:eastAsia="Courier New" w:hAnsi="Courier New"/>
          <w:sz w:val="18"/>
          <w:szCs w:val="18"/>
          <w:color w:val="auto"/>
        </w:rPr>
        <w:t>Scotland</w:t>
      </w:r>
    </w:p>
    <w:p>
      <w:pPr>
        <w:ind w:left="4960"/>
        <w:spacing w:after="0" w:line="238" w:lineRule="auto"/>
        <w:rPr>
          <w:sz w:val="20"/>
          <w:szCs w:val="20"/>
          <w:color w:val="auto"/>
        </w:rPr>
      </w:pPr>
      <w:r>
        <w:rPr>
          <w:rFonts w:ascii="Courier New" w:cs="Courier New" w:eastAsia="Courier New" w:hAnsi="Courier New"/>
          <w:sz w:val="18"/>
          <w:szCs w:val="18"/>
          <w:color w:val="auto"/>
        </w:rPr>
        <w:t>UK</w:t>
      </w:r>
    </w:p>
    <w:p>
      <w:pPr>
        <w:sectPr>
          <w:pgSz w:w="11900" w:h="16838" w:orient="portrait"/>
          <w:cols w:equalWidth="0" w:num="1">
            <w:col w:w="10219"/>
          </w:cols>
          <w:pgMar w:left="240" w:top="136" w:right="1440" w:bottom="0" w:gutter="0" w:footer="0" w:header="0"/>
          <w:type w:val="continuous"/>
        </w:sectPr>
      </w:pP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(c) Citizenship</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Scotland UK</w:t>
      </w:r>
    </w:p>
    <w:p>
      <w:pPr>
        <w:spacing w:after="0" w:line="200" w:lineRule="exact"/>
        <w:rPr>
          <w:sz w:val="20"/>
          <w:szCs w:val="20"/>
          <w:color w:val="auto"/>
        </w:rPr>
      </w:pPr>
    </w:p>
    <w:p>
      <w:pPr>
        <w:sectPr>
          <w:pgSz w:w="11900" w:h="16838" w:orient="portrait"/>
          <w:cols w:equalWidth="0" w:num="2">
            <w:col w:w="4240" w:space="720"/>
            <w:col w:w="5259"/>
          </w:cols>
          <w:pgMar w:left="240" w:top="136"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(d) 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200" w:lineRule="exact"/>
        <w:rPr>
          <w:sz w:val="20"/>
          <w:szCs w:val="20"/>
          <w:color w:val="auto"/>
        </w:rPr>
      </w:pPr>
    </w:p>
    <w:p>
      <w:pPr>
        <w:sectPr>
          <w:pgSz w:w="11900" w:h="16838" w:orient="portrait"/>
          <w:cols w:equalWidth="0" w:num="2">
            <w:col w:w="4240" w:space="720"/>
            <w:col w:w="5259"/>
          </w:cols>
          <w:pgMar w:left="240" w:top="136"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 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G2519Y108</w:t>
      </w:r>
    </w:p>
    <w:p>
      <w:pPr>
        <w:spacing w:after="0" w:line="200" w:lineRule="exact"/>
        <w:rPr>
          <w:sz w:val="20"/>
          <w:szCs w:val="20"/>
          <w:color w:val="auto"/>
        </w:rPr>
      </w:pPr>
    </w:p>
    <w:p>
      <w:pPr>
        <w:sectPr>
          <w:pgSz w:w="11900" w:h="16838" w:orient="portrait"/>
          <w:cols w:equalWidth="0" w:num="2">
            <w:col w:w="4240" w:space="720"/>
            <w:col w:w="5259"/>
          </w:cols>
          <w:pgMar w:left="240" w:top="136" w:right="1440" w:bottom="0" w:gutter="0" w:footer="0" w:header="0"/>
          <w:type w:val="continuous"/>
        </w:sectPr>
      </w:pPr>
    </w:p>
    <w:p>
      <w:pPr>
        <w:spacing w:after="0" w:line="24"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240.13d-1(b) or 240.13d-2(b) or (c), check whether the person filing is a:</w:t>
      </w:r>
    </w:p>
    <w:p>
      <w:pPr>
        <w:spacing w:after="0" w:line="208" w:lineRule="exact"/>
        <w:rPr>
          <w:sz w:val="20"/>
          <w:szCs w:val="20"/>
          <w:color w:val="auto"/>
        </w:rPr>
      </w:pPr>
    </w:p>
    <w:p>
      <w:pPr>
        <w:ind w:left="640" w:right="3679" w:hanging="632"/>
        <w:spacing w:after="0" w:line="235" w:lineRule="auto"/>
        <w:tabs>
          <w:tab w:leader="none" w:pos="74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 as defined in section 3(a)(6) of the Act (15 U.S.C. 78c).</w:t>
      </w:r>
    </w:p>
    <w:p>
      <w:pPr>
        <w:spacing w:after="0" w:line="223" w:lineRule="exact"/>
        <w:rPr>
          <w:rFonts w:ascii="Courier New" w:cs="Courier New" w:eastAsia="Courier New" w:hAnsi="Courier New"/>
          <w:sz w:val="16"/>
          <w:szCs w:val="16"/>
          <w:color w:val="auto"/>
        </w:rPr>
      </w:pPr>
    </w:p>
    <w:p>
      <w:pPr>
        <w:ind w:left="640" w:right="3259" w:hanging="632"/>
        <w:spacing w:after="0" w:line="235" w:lineRule="auto"/>
        <w:tabs>
          <w:tab w:leader="none" w:pos="74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740" w:right="2839" w:hanging="732"/>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 (15 U.S.C 80a-8).</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 240.13d-</w:t>
      </w:r>
    </w:p>
    <w:p>
      <w:pPr>
        <w:ind w:left="740"/>
        <w:spacing w:after="0" w:line="238" w:lineRule="auto"/>
        <w:rPr>
          <w:sz w:val="20"/>
          <w:szCs w:val="20"/>
          <w:color w:val="auto"/>
        </w:rPr>
      </w:pPr>
      <w:r>
        <w:rPr>
          <w:rFonts w:ascii="Courier New" w:cs="Courier New" w:eastAsia="Courier New" w:hAnsi="Courier New"/>
          <w:sz w:val="18"/>
          <w:szCs w:val="18"/>
          <w:color w:val="auto"/>
        </w:rPr>
        <w:t>1(b)(1)(ii)(E)</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740" w:right="3039" w:hanging="732"/>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 or endowment fund in accordance with 240.13d-1(b)(1)(ii)(F)</w:t>
      </w:r>
    </w:p>
    <w:p>
      <w:pPr>
        <w:spacing w:after="0" w:line="208" w:lineRule="exact"/>
        <w:rPr>
          <w:rFonts w:ascii="Courier New" w:cs="Courier New" w:eastAsia="Courier New" w:hAnsi="Courier New"/>
          <w:sz w:val="18"/>
          <w:szCs w:val="18"/>
          <w:color w:val="auto"/>
        </w:rPr>
      </w:pPr>
    </w:p>
    <w:p>
      <w:pPr>
        <w:ind w:left="740" w:right="3039" w:hanging="732"/>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240.13d-1(b) (1)(ii)(G)</w:t>
      </w:r>
    </w:p>
    <w:p>
      <w:pPr>
        <w:spacing w:after="0" w:line="208" w:lineRule="exact"/>
        <w:rPr>
          <w:rFonts w:ascii="Courier New" w:cs="Courier New" w:eastAsia="Courier New" w:hAnsi="Courier New"/>
          <w:sz w:val="18"/>
          <w:szCs w:val="18"/>
          <w:color w:val="auto"/>
        </w:rPr>
      </w:pPr>
    </w:p>
    <w:p>
      <w:pPr>
        <w:ind w:left="740" w:right="2739" w:hanging="732"/>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740" w:right="3259" w:hanging="732"/>
        <w:spacing w:after="0" w:line="236"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in accordance with rule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see row (9) on page 2.</w:t>
      </w:r>
    </w:p>
    <w:p>
      <w:pPr>
        <w:spacing w:after="0" w:line="201" w:lineRule="exact"/>
        <w:rPr>
          <w:sz w:val="20"/>
          <w:szCs w:val="20"/>
          <w:color w:val="auto"/>
        </w:rPr>
      </w:pPr>
    </w:p>
    <w:p>
      <w:pPr>
        <w:spacing w:after="0"/>
        <w:tabs>
          <w:tab w:leader="none" w:pos="620" w:val="left"/>
          <w:tab w:leader="none" w:pos="3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see row (11) on page 2.</w:t>
      </w:r>
    </w:p>
    <w:p>
      <w:pPr>
        <w:spacing w:after="0" w:line="201"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4" w:lineRule="exact"/>
        <w:rPr>
          <w:sz w:val="20"/>
          <w:szCs w:val="20"/>
          <w:color w:val="auto"/>
        </w:rPr>
      </w:pPr>
    </w:p>
    <w:p>
      <w:pPr>
        <w:ind w:left="640" w:right="5359" w:hanging="632"/>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row (5) on page 2.</w:t>
      </w:r>
    </w:p>
    <w:p>
      <w:pPr>
        <w:spacing w:after="0" w:line="5" w:lineRule="exact"/>
        <w:rPr>
          <w:rFonts w:ascii="Courier New" w:cs="Courier New" w:eastAsia="Courier New" w:hAnsi="Courier New"/>
          <w:sz w:val="18"/>
          <w:szCs w:val="18"/>
          <w:color w:val="auto"/>
        </w:rPr>
      </w:pPr>
    </w:p>
    <w:p>
      <w:pPr>
        <w:ind w:left="640" w:right="5159" w:hanging="632"/>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row (6) on page 2</w:t>
      </w:r>
    </w:p>
    <w:p>
      <w:pPr>
        <w:spacing w:after="0" w:line="5" w:lineRule="exact"/>
        <w:rPr>
          <w:rFonts w:ascii="Courier New" w:cs="Courier New" w:eastAsia="Courier New" w:hAnsi="Courier New"/>
          <w:sz w:val="18"/>
          <w:szCs w:val="18"/>
          <w:color w:val="auto"/>
        </w:rPr>
      </w:pPr>
    </w:p>
    <w:p>
      <w:pPr>
        <w:ind w:left="640" w:right="3999" w:hanging="632"/>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row (7) on page 2</w:t>
      </w:r>
    </w:p>
    <w:p>
      <w:pPr>
        <w:spacing w:after="0" w:line="5" w:lineRule="exact"/>
        <w:rPr>
          <w:rFonts w:ascii="Courier New" w:cs="Courier New" w:eastAsia="Courier New" w:hAnsi="Courier New"/>
          <w:sz w:val="18"/>
          <w:szCs w:val="18"/>
          <w:color w:val="auto"/>
        </w:rPr>
      </w:pPr>
    </w:p>
    <w:p>
      <w:pPr>
        <w:ind w:left="640" w:right="3779" w:hanging="632"/>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row (8) on page 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24"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Securities reported on this Schedule 13G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w:t>
      </w:r>
    </w:p>
    <w:p>
      <w:pPr>
        <w:spacing w:after="0" w:line="200" w:lineRule="exact"/>
        <w:rPr>
          <w:sz w:val="20"/>
          <w:szCs w:val="20"/>
          <w:color w:val="auto"/>
        </w:rPr>
      </w:pPr>
    </w:p>
    <w:p>
      <w:pPr>
        <w:spacing w:after="0" w:line="214"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By signing below I certify that, to the best of my knowledge and belief:</w:t>
      </w:r>
    </w:p>
    <w:p>
      <w:pPr>
        <w:spacing w:after="0"/>
        <w:rPr>
          <w:sz w:val="20"/>
          <w:szCs w:val="20"/>
          <w:color w:val="auto"/>
        </w:rPr>
      </w:pPr>
      <w:r>
        <w:rPr>
          <w:rFonts w:ascii="Courier New" w:cs="Courier New" w:eastAsia="Courier New" w:hAnsi="Courier New"/>
          <w:sz w:val="18"/>
          <w:szCs w:val="18"/>
          <w:color w:val="auto"/>
        </w:rPr>
        <w:t>- the securities referred to above were acquired and are held in</w:t>
      </w:r>
    </w:p>
    <w:p>
      <w:pPr>
        <w:spacing w:after="0" w:line="4"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the ordinary course of business and were not acquired and are not held for the purpose of or with the effect of changing or influencing the</w:t>
      </w:r>
    </w:p>
    <w:p>
      <w:pPr>
        <w:sectPr>
          <w:pgSz w:w="11900" w:h="16838" w:orient="portrait"/>
          <w:cols w:equalWidth="0" w:num="1">
            <w:col w:w="10219"/>
          </w:cols>
          <w:pgMar w:left="240" w:top="142" w:right="1440" w:bottom="0" w:gutter="0" w:footer="0" w:header="0"/>
        </w:sectPr>
      </w:pPr>
    </w:p>
    <w:bookmarkStart w:id="3" w:name="page4"/>
    <w:bookmarkEnd w:id="3"/>
    <w:p>
      <w:pPr>
        <w:ind w:right="2939"/>
        <w:spacing w:after="0" w:line="236" w:lineRule="auto"/>
        <w:rPr>
          <w:sz w:val="20"/>
          <w:szCs w:val="20"/>
          <w:color w:val="auto"/>
        </w:rPr>
      </w:pPr>
      <w:r>
        <w:rPr>
          <w:rFonts w:ascii="Courier New" w:cs="Courier New" w:eastAsia="Courier New" w:hAnsi="Courier New"/>
          <w:sz w:val="18"/>
          <w:szCs w:val="18"/>
          <w:color w:val="auto"/>
        </w:rPr>
        <w:t>control of the issuer of the securities and were not acquired and are not held in connection with or as a participant in any transaction having that purpose or effect.</w:t>
      </w:r>
    </w:p>
    <w:p>
      <w:pPr>
        <w:spacing w:after="0" w:line="6" w:lineRule="exact"/>
        <w:rPr>
          <w:sz w:val="20"/>
          <w:szCs w:val="20"/>
          <w:color w:val="auto"/>
        </w:rPr>
      </w:pPr>
    </w:p>
    <w:p>
      <w:pPr>
        <w:ind w:right="3039" w:firstLine="8"/>
        <w:spacing w:after="0" w:line="236" w:lineRule="auto"/>
        <w:tabs>
          <w:tab w:leader="none" w:pos="21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foreign regulatory scheme applicable to investment advisers is substantially comparable to the functionally equivalent U.S. institution(s).</w:t>
      </w:r>
    </w:p>
    <w:p>
      <w:pPr>
        <w:spacing w:after="0" w:line="6" w:lineRule="exact"/>
        <w:rPr>
          <w:rFonts w:ascii="Courier New" w:cs="Courier New" w:eastAsia="Courier New" w:hAnsi="Courier New"/>
          <w:sz w:val="18"/>
          <w:szCs w:val="18"/>
          <w:color w:val="auto"/>
        </w:rPr>
      </w:pPr>
    </w:p>
    <w:p>
      <w:pPr>
        <w:ind w:right="34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 also undertake to furnish the Commission staff, upon request, information that would otherwise be disclosed in a Schedule 13D.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enquiry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January 2012</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Angus Macdonald</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Angus Macdonald</w:t>
      </w:r>
    </w:p>
    <w:p>
      <w:pPr>
        <w:spacing w:after="0" w:line="238" w:lineRule="auto"/>
        <w:rPr>
          <w:sz w:val="20"/>
          <w:szCs w:val="20"/>
          <w:color w:val="auto"/>
        </w:rPr>
      </w:pPr>
      <w:r>
        <w:rPr>
          <w:rFonts w:ascii="Courier New" w:cs="Courier New" w:eastAsia="Courier New" w:hAnsi="Courier New"/>
          <w:sz w:val="18"/>
          <w:szCs w:val="18"/>
          <w:color w:val="auto"/>
        </w:rPr>
        <w:t>Head of Legal - Baillie Gifford &amp; Co</w:t>
      </w:r>
    </w:p>
    <w:p>
      <w:pPr>
        <w:spacing w:after="0"/>
        <w:rPr>
          <w:sz w:val="20"/>
          <w:szCs w:val="20"/>
          <w:color w:val="auto"/>
        </w:rPr>
      </w:pPr>
      <w:r>
        <w:rPr>
          <w:rFonts w:ascii="Courier New" w:cs="Courier New" w:eastAsia="Courier New" w:hAnsi="Courier New"/>
          <w:sz w:val="18"/>
          <w:szCs w:val="18"/>
          <w:color w:val="auto"/>
        </w:rPr>
        <w:t>_______________________________________</w:t>
      </w:r>
    </w:p>
    <w:p>
      <w:pPr>
        <w:spacing w:after="0" w:line="237"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original statement shall be signed by each person on</w:t>
      </w:r>
    </w:p>
    <w:p>
      <w:pPr>
        <w:spacing w:after="0" w:line="4"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Schedules filed in paper format shall include a signed original</w:t>
      </w:r>
    </w:p>
    <w:p>
      <w:pPr>
        <w:spacing w:after="0" w:line="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and five copies of the schedule,including all exhibits. See rule 240.13d-7 for other parties for whom copies are to be sent.</w:t>
      </w:r>
    </w:p>
    <w:p>
      <w:pPr>
        <w:spacing w:after="0" w:line="208"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1"/>
    </w:lvl>
    <w:lvl w:ilvl="1">
      <w:lvlJc w:val="left"/>
      <w:lvlText w:val="%2."/>
      <w:numFmt w:val="decimal"/>
      <w:start w:val="8"/>
    </w:lvl>
  </w:abstractNum>
  <w:abstractNum w:abstractNumId="3">
    <w:nsid w:val="41B71EFB"/>
    <w:multiLevelType w:val="hybridMultilevel"/>
    <w:lvl w:ilvl="0">
      <w:lvlJc w:val="left"/>
      <w:lvlText w:val="%1."/>
      <w:numFmt w:val="decimal"/>
      <w:start w:val="9"/>
    </w:lvl>
    <w:lvl w:ilvl="1">
      <w:lvlJc w:val="left"/>
      <w:lvlText w:val="%2"/>
      <w:numFmt w:val="decimal"/>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6"/>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2019-12-09T11:11:08Z</dcterms:created>
  <dcterms:modified xsi:type="dcterms:W3CDTF">2019-12-09T11:11:08Z</dcterms:modified>
</cp:coreProperties>
</file>