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January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377825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5260340</wp:posOffset>
            </wp:positionH>
            <wp:positionV relativeFrom="page">
              <wp:posOffset>183515</wp:posOffset>
            </wp:positionV>
            <wp:extent cx="214376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43760" cy="6172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January 28,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article 28 of the Capital Markets Law and CONASEV Resolution for Material Events and Reserved Information and Other Communications number 107-2002-EF/94.10, as modified by CONASEV Resolution number 009-2003-EF/94.10, Credicorp Ltd. complies with notifying you of the following Material Event:</w:t>
      </w:r>
    </w:p>
    <w:p>
      <w:pPr>
        <w:spacing w:after="0" w:line="208" w:lineRule="exact"/>
        <w:rPr>
          <w:sz w:val="20"/>
          <w:szCs w:val="20"/>
          <w:color w:val="auto"/>
        </w:rPr>
      </w:pPr>
    </w:p>
    <w:p>
      <w:pPr>
        <w:jc w:val="both"/>
        <w:ind w:firstLine="8"/>
        <w:spacing w:after="0" w:line="264" w:lineRule="auto"/>
        <w:tabs>
          <w:tab w:leader="none" w:pos="19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 session held on January 28, 2009, Credicorp’s Board of Directors agreed to set the date for the Annual General Shareholder’s meeting for Thursday, March 26, 2009, at 12:00 am, at the main offices of Banco de Credito del Peru, located at 156 Calle Centenario, Laderas de Melgarejo, in La Molina, Lima, Peru to attend to the following matters:</w:t>
      </w:r>
    </w:p>
    <w:p>
      <w:pPr>
        <w:spacing w:after="0" w:line="208"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consideration and approval of the company’s Annual Report for the year ended on December 31, 2008.</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consideration and approval of the company’s consolidated financial statements and External Auditors’ report for the year ended December 31, 2008.</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has established that those shareholders who are officially registered as shareholders of the company on February 13, 2009 (“Record Date”) will be entitled to attend and vote in the above mentioned shareholder’s meeting.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company’s By-laws, if a quorum is not met in the first instance, the meeting will be postponed until April 01, 2009 at the same place and time.</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Please note that in Credicorp’s letter dated January 12, 2009, a request was made for exemption of the requirement to submit, as of this date, copy of the audited financial statements and of the annual report, according to the Regulation for Material Events and Reserved Information and Other Communications, given that our company is registered in Bermuda, and its shares are listed in the New York Stock Exchange (NYSE), and together with The Bank of New York Mellon, which is Credicorp’s stock transfer agent, a Record Date is determined to attend and vote in the Annual General Shareholder’s meeting, with a long lead time, considering that a letter and PROXY material is to be sent to each shareholder approximately 30 days before the meeting.</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2008 Annual Report and the independent Auditors Report and Opinion will be approved by the Board prior to being considered at the Annual General Shareholders meeting, at which time said documents will be presented to the CONASEV in accordance with the regulations for Material Events and Reserved Information and Other Communications.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Fernando Palao</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Fernando Palao</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january 28, 2008</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Guillermo Castillo</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99" w:lineRule="exact"/>
        <w:rPr>
          <w:sz w:val="20"/>
          <w:szCs w:val="20"/>
          <w:color w:val="auto"/>
        </w:rPr>
      </w:pPr>
    </w:p>
    <w:p>
      <w:pPr>
        <w:jc w:val="both"/>
        <w:ind w:right="460"/>
        <w:spacing w:after="0" w:line="307" w:lineRule="auto"/>
        <w:rPr>
          <w:sz w:val="20"/>
          <w:szCs w:val="20"/>
          <w:color w:val="auto"/>
        </w:rPr>
      </w:pPr>
      <w:r>
        <w:rPr>
          <w:rFonts w:ascii="Arial" w:cs="Arial" w:eastAsia="Arial" w:hAnsi="Arial"/>
          <w:sz w:val="15"/>
          <w:szCs w:val="15"/>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2019-12-10T13:36:21Z</dcterms:created>
  <dcterms:modified xsi:type="dcterms:W3CDTF">2019-12-10T13:36:21Z</dcterms:modified>
</cp:coreProperties>
</file>