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September,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September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tab/>
        <w:t>Credicorp Ltd. – Report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behalf of Credicorp Ltd. (the "Company"), I hereby notify you of the following Material Event on the Company's Report on Form 6-K (the "Form 6-K").</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attached Material Event (“Hecho de Importancia”) is being furnished to the Securities and Exchange Commission pursuant to Rule 13a-16 and Form 6-K under the Securities Exchange Act of 1934, as amended.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Report contains a copy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of Material Event, submitted to CONASEV and the “Bolsa de Valores de Lima” on September 30, 2003.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Please direct any questions or comments you may have regarding this filing to the undersigned at 156 Calle Centenario, La Molina, Lima – 12 Peru.</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Credicorp Ltd.</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Guillermo Castillo</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Authorized Representative</w:t>
      </w:r>
    </w:p>
    <w:p>
      <w:pPr>
        <w:sectPr>
          <w:pgSz w:w="11900" w:h="16838" w:orient="portrait"/>
          <w:cols w:equalWidth="0" w:num="1">
            <w:col w:w="11420"/>
          </w:cols>
          <w:pgMar w:left="240" w:top="1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September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article 28 of the Capital Markets Law and CONASEV resolution number 107-2002-EF/94.10, as amended by resolution number 009-2003-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EF/94.10, Credicorp Ltd. complies with notifying you of the following Material Event: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Credicorp Ltd. in an meeting held on September 29, 2003, approved unanimously the First Issue of Corporate Bonds of CREDICORP LTD. For an amount of up to US$ 40'000,000.00 (FORTY MILLION AND 00/100 AMERICAN DOLLARS) which will be placed in the Peruvian capital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general terms and conditions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Name:</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First Issue of Corporate Bonds - CREDICORP</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Type of security</w:t>
            </w:r>
          </w:p>
        </w:tc>
        <w:tc>
          <w:tcPr>
            <w:tcW w:w="2600" w:type="dxa"/>
            <w:vAlign w:val="bottom"/>
          </w:tcPr>
          <w:p>
            <w:pPr>
              <w:ind w:left="540"/>
              <w:spacing w:after="0"/>
              <w:rPr>
                <w:sz w:val="20"/>
                <w:szCs w:val="20"/>
                <w:color w:val="auto"/>
              </w:rPr>
            </w:pPr>
            <w:r>
              <w:rPr>
                <w:rFonts w:ascii="Arial" w:cs="Arial" w:eastAsia="Arial" w:hAnsi="Arial"/>
                <w:sz w:val="18"/>
                <w:szCs w:val="18"/>
                <w:color w:val="auto"/>
              </w:rPr>
              <w:t>Corporate Bonds</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Currency</w:t>
            </w:r>
          </w:p>
        </w:tc>
        <w:tc>
          <w:tcPr>
            <w:tcW w:w="2600" w:type="dxa"/>
            <w:vAlign w:val="bottom"/>
          </w:tcPr>
          <w:p>
            <w:pPr>
              <w:ind w:left="540"/>
              <w:spacing w:after="0"/>
              <w:rPr>
                <w:sz w:val="20"/>
                <w:szCs w:val="20"/>
                <w:color w:val="auto"/>
              </w:rPr>
            </w:pPr>
            <w:r>
              <w:rPr>
                <w:rFonts w:ascii="Arial" w:cs="Arial" w:eastAsia="Arial" w:hAnsi="Arial"/>
                <w:sz w:val="18"/>
                <w:szCs w:val="18"/>
                <w:color w:val="auto"/>
              </w:rPr>
              <w:t>American Dollars</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Number of bonds</w:t>
            </w:r>
          </w:p>
        </w:tc>
        <w:tc>
          <w:tcPr>
            <w:tcW w:w="2600" w:type="dxa"/>
            <w:vAlign w:val="bottom"/>
          </w:tcPr>
          <w:p>
            <w:pPr>
              <w:ind w:left="540"/>
              <w:spacing w:after="0"/>
              <w:rPr>
                <w:sz w:val="20"/>
                <w:szCs w:val="20"/>
                <w:color w:val="auto"/>
              </w:rPr>
            </w:pPr>
            <w:r>
              <w:rPr>
                <w:rFonts w:ascii="Arial" w:cs="Arial" w:eastAsia="Arial" w:hAnsi="Arial"/>
                <w:sz w:val="18"/>
                <w:szCs w:val="18"/>
                <w:color w:val="auto"/>
              </w:rPr>
              <w:t>Up to 40,000</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Face value</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Initial face value US$1,000.00 each.</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Issue amount</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Up to US$ 40'000,000.00 (forty million and 00/100 American Dollars)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Term</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For the period from the issue date up to May 30, 2007.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Type of offer</w:t>
            </w:r>
          </w:p>
        </w:tc>
        <w:tc>
          <w:tcPr>
            <w:tcW w:w="2600" w:type="dxa"/>
            <w:vAlign w:val="bottom"/>
          </w:tcPr>
          <w:p>
            <w:pPr>
              <w:ind w:left="540"/>
              <w:spacing w:after="0"/>
              <w:rPr>
                <w:sz w:val="20"/>
                <w:szCs w:val="20"/>
                <w:color w:val="auto"/>
              </w:rPr>
            </w:pPr>
            <w:r>
              <w:rPr>
                <w:rFonts w:ascii="Arial" w:cs="Arial" w:eastAsia="Arial" w:hAnsi="Arial"/>
                <w:sz w:val="18"/>
                <w:szCs w:val="18"/>
                <w:color w:val="auto"/>
              </w:rPr>
              <w:t>Public</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Price</w:t>
            </w:r>
          </w:p>
        </w:tc>
        <w:tc>
          <w:tcPr>
            <w:tcW w:w="2600" w:type="dxa"/>
            <w:vAlign w:val="bottom"/>
          </w:tcPr>
          <w:p>
            <w:pPr>
              <w:ind w:left="540"/>
              <w:spacing w:after="0"/>
              <w:rPr>
                <w:sz w:val="20"/>
                <w:szCs w:val="20"/>
                <w:color w:val="auto"/>
              </w:rPr>
            </w:pPr>
            <w:r>
              <w:rPr>
                <w:rFonts w:ascii="Arial" w:cs="Arial" w:eastAsia="Arial" w:hAnsi="Arial"/>
                <w:sz w:val="18"/>
                <w:szCs w:val="18"/>
                <w:color w:val="auto"/>
              </w:rPr>
              <w:t>Par value</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Interest rate</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Nominal annual rate detarmined according to the procedure detailed in the Prospectus.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Coupon</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w w:val="88"/>
              </w:rPr>
              <w:t>Interest amount paid on the outstanding balance. Coupons are annual, paid on due dates, except for the first coupon which will be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w w:val="94"/>
              </w:rPr>
              <w:t>for the actual number of days from the issue date until May 30, 2004. The Prospectus has details on the calculation of the</w:t>
            </w:r>
          </w:p>
        </w:tc>
        <w:tc>
          <w:tcPr>
            <w:tcW w:w="0" w:type="dxa"/>
            <w:vAlign w:val="bottom"/>
          </w:tcPr>
          <w:p>
            <w:pPr>
              <w:spacing w:after="0"/>
              <w:rPr>
                <w:sz w:val="1"/>
                <w:szCs w:val="1"/>
                <w:color w:val="auto"/>
              </w:rPr>
            </w:pPr>
          </w:p>
        </w:tc>
      </w:tr>
      <w:tr>
        <w:trPr>
          <w:trHeight w:val="222"/>
        </w:trPr>
        <w:tc>
          <w:tcPr>
            <w:tcW w:w="1760" w:type="dxa"/>
            <w:vAlign w:val="bottom"/>
            <w:vMerge w:val="restart"/>
          </w:tcPr>
          <w:p>
            <w:pPr>
              <w:spacing w:after="0"/>
              <w:rPr>
                <w:sz w:val="20"/>
                <w:szCs w:val="20"/>
                <w:color w:val="auto"/>
              </w:rPr>
            </w:pPr>
            <w:r>
              <w:rPr>
                <w:rFonts w:ascii="Arial" w:cs="Arial" w:eastAsia="Arial" w:hAnsi="Arial"/>
                <w:sz w:val="18"/>
                <w:szCs w:val="18"/>
                <w:color w:val="auto"/>
              </w:rPr>
              <w:t>Amortization of</w:t>
            </w:r>
          </w:p>
        </w:tc>
        <w:tc>
          <w:tcPr>
            <w:tcW w:w="2600" w:type="dxa"/>
            <w:vAlign w:val="bottom"/>
          </w:tcPr>
          <w:p>
            <w:pPr>
              <w:ind w:left="540"/>
              <w:spacing w:after="0"/>
              <w:rPr>
                <w:sz w:val="20"/>
                <w:szCs w:val="20"/>
                <w:color w:val="auto"/>
              </w:rPr>
            </w:pPr>
            <w:r>
              <w:rPr>
                <w:rFonts w:ascii="Arial" w:cs="Arial" w:eastAsia="Arial" w:hAnsi="Arial"/>
                <w:sz w:val="18"/>
                <w:szCs w:val="18"/>
                <w:color w:val="auto"/>
              </w:rPr>
              <w:t>coupons.</w:t>
            </w:r>
          </w:p>
        </w:tc>
        <w:tc>
          <w:tcPr>
            <w:tcW w:w="7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6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Principal</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The principal will be re-paid in four installments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Due dates and</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Due dates and redemption date are: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Redemption date</w:t>
            </w:r>
          </w:p>
        </w:tc>
        <w:tc>
          <w:tcPr>
            <w:tcW w:w="2600" w:type="dxa"/>
            <w:vAlign w:val="bottom"/>
          </w:tcPr>
          <w:p>
            <w:pPr>
              <w:ind w:left="540"/>
              <w:spacing w:after="0"/>
              <w:rPr>
                <w:sz w:val="20"/>
                <w:szCs w:val="20"/>
                <w:color w:val="auto"/>
              </w:rPr>
            </w:pPr>
            <w:r>
              <w:rPr>
                <w:rFonts w:ascii="Arial" w:cs="Arial" w:eastAsia="Arial" w:hAnsi="Arial"/>
                <w:sz w:val="18"/>
                <w:szCs w:val="18"/>
                <w:color w:val="auto"/>
              </w:rPr>
              <w:t>Due date 1</w:t>
            </w:r>
          </w:p>
        </w:tc>
        <w:tc>
          <w:tcPr>
            <w:tcW w:w="7060" w:type="dxa"/>
            <w:vAlign w:val="bottom"/>
          </w:tcPr>
          <w:p>
            <w:pPr>
              <w:ind w:left="220"/>
              <w:spacing w:after="0"/>
              <w:rPr>
                <w:sz w:val="20"/>
                <w:szCs w:val="20"/>
                <w:color w:val="auto"/>
              </w:rPr>
            </w:pPr>
            <w:r>
              <w:rPr>
                <w:rFonts w:ascii="Arial" w:cs="Arial" w:eastAsia="Arial" w:hAnsi="Arial"/>
                <w:sz w:val="18"/>
                <w:szCs w:val="18"/>
                <w:color w:val="auto"/>
              </w:rPr>
              <w:t>30-May-2004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00" w:type="dxa"/>
            <w:vAlign w:val="bottom"/>
          </w:tcPr>
          <w:p>
            <w:pPr>
              <w:ind w:left="540"/>
              <w:spacing w:after="0"/>
              <w:rPr>
                <w:sz w:val="20"/>
                <w:szCs w:val="20"/>
                <w:color w:val="auto"/>
              </w:rPr>
            </w:pPr>
            <w:r>
              <w:rPr>
                <w:rFonts w:ascii="Arial" w:cs="Arial" w:eastAsia="Arial" w:hAnsi="Arial"/>
                <w:sz w:val="18"/>
                <w:szCs w:val="18"/>
                <w:color w:val="auto"/>
              </w:rPr>
              <w:t>Due date 2</w:t>
            </w:r>
          </w:p>
        </w:tc>
        <w:tc>
          <w:tcPr>
            <w:tcW w:w="7060" w:type="dxa"/>
            <w:vAlign w:val="bottom"/>
          </w:tcPr>
          <w:p>
            <w:pPr>
              <w:ind w:left="220"/>
              <w:spacing w:after="0"/>
              <w:rPr>
                <w:sz w:val="20"/>
                <w:szCs w:val="20"/>
                <w:color w:val="auto"/>
              </w:rPr>
            </w:pPr>
            <w:r>
              <w:rPr>
                <w:rFonts w:ascii="Arial" w:cs="Arial" w:eastAsia="Arial" w:hAnsi="Arial"/>
                <w:sz w:val="18"/>
                <w:szCs w:val="18"/>
                <w:color w:val="auto"/>
              </w:rPr>
              <w:t>30-May-2005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00" w:type="dxa"/>
            <w:vAlign w:val="bottom"/>
          </w:tcPr>
          <w:p>
            <w:pPr>
              <w:ind w:left="540"/>
              <w:spacing w:after="0"/>
              <w:rPr>
                <w:sz w:val="20"/>
                <w:szCs w:val="20"/>
                <w:color w:val="auto"/>
              </w:rPr>
            </w:pPr>
            <w:r>
              <w:rPr>
                <w:rFonts w:ascii="Arial" w:cs="Arial" w:eastAsia="Arial" w:hAnsi="Arial"/>
                <w:sz w:val="18"/>
                <w:szCs w:val="18"/>
                <w:color w:val="auto"/>
              </w:rPr>
              <w:t>Due date 3</w:t>
            </w:r>
          </w:p>
        </w:tc>
        <w:tc>
          <w:tcPr>
            <w:tcW w:w="7060" w:type="dxa"/>
            <w:vAlign w:val="bottom"/>
          </w:tcPr>
          <w:p>
            <w:pPr>
              <w:ind w:left="220"/>
              <w:spacing w:after="0"/>
              <w:rPr>
                <w:sz w:val="20"/>
                <w:szCs w:val="20"/>
                <w:color w:val="auto"/>
              </w:rPr>
            </w:pPr>
            <w:r>
              <w:rPr>
                <w:rFonts w:ascii="Arial" w:cs="Arial" w:eastAsia="Arial" w:hAnsi="Arial"/>
                <w:sz w:val="18"/>
                <w:szCs w:val="18"/>
                <w:color w:val="auto"/>
              </w:rPr>
              <w:t>30-May-2006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00" w:type="dxa"/>
            <w:vAlign w:val="bottom"/>
          </w:tcPr>
          <w:p>
            <w:pPr>
              <w:ind w:left="540"/>
              <w:spacing w:after="0"/>
              <w:rPr>
                <w:sz w:val="20"/>
                <w:szCs w:val="20"/>
                <w:color w:val="auto"/>
              </w:rPr>
            </w:pPr>
            <w:r>
              <w:rPr>
                <w:rFonts w:ascii="Arial" w:cs="Arial" w:eastAsia="Arial" w:hAnsi="Arial"/>
                <w:sz w:val="18"/>
                <w:szCs w:val="18"/>
                <w:color w:val="auto"/>
              </w:rPr>
              <w:t>Due date 4 and</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00" w:type="dxa"/>
            <w:vAlign w:val="bottom"/>
          </w:tcPr>
          <w:p>
            <w:pPr>
              <w:ind w:left="540"/>
              <w:spacing w:after="0"/>
              <w:rPr>
                <w:sz w:val="20"/>
                <w:szCs w:val="20"/>
                <w:color w:val="auto"/>
              </w:rPr>
            </w:pPr>
            <w:r>
              <w:rPr>
                <w:rFonts w:ascii="Arial" w:cs="Arial" w:eastAsia="Arial" w:hAnsi="Arial"/>
                <w:sz w:val="18"/>
                <w:szCs w:val="18"/>
                <w:color w:val="auto"/>
              </w:rPr>
              <w:t>Redemption date</w:t>
            </w:r>
          </w:p>
        </w:tc>
        <w:tc>
          <w:tcPr>
            <w:tcW w:w="7060" w:type="dxa"/>
            <w:vAlign w:val="bottom"/>
          </w:tcPr>
          <w:p>
            <w:pPr>
              <w:ind w:left="220"/>
              <w:spacing w:after="0"/>
              <w:rPr>
                <w:sz w:val="20"/>
                <w:szCs w:val="20"/>
                <w:color w:val="auto"/>
              </w:rPr>
            </w:pPr>
            <w:r>
              <w:rPr>
                <w:rFonts w:ascii="Arial" w:cs="Arial" w:eastAsia="Arial" w:hAnsi="Arial"/>
                <w:sz w:val="18"/>
                <w:szCs w:val="18"/>
                <w:color w:val="auto"/>
              </w:rPr>
              <w:t>30-May-2007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Guarantees</w:t>
            </w:r>
          </w:p>
        </w:tc>
        <w:tc>
          <w:tcPr>
            <w:tcW w:w="9660" w:type="dxa"/>
            <w:vAlign w:val="bottom"/>
            <w:gridSpan w:val="2"/>
          </w:tcPr>
          <w:p>
            <w:pPr>
              <w:ind w:left="540"/>
              <w:spacing w:after="0"/>
              <w:rPr>
                <w:sz w:val="20"/>
                <w:szCs w:val="20"/>
                <w:color w:val="auto"/>
              </w:rPr>
            </w:pPr>
            <w:r>
              <w:rPr>
                <w:rFonts w:ascii="Arial" w:cs="Arial" w:eastAsia="Arial" w:hAnsi="Arial"/>
                <w:sz w:val="18"/>
                <w:szCs w:val="18"/>
                <w:color w:val="auto"/>
              </w:rPr>
              <w:t>Generic guaranteed by Credicorp's equity</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Structurer</w:t>
            </w:r>
          </w:p>
        </w:tc>
        <w:tc>
          <w:tcPr>
            <w:tcW w:w="2600" w:type="dxa"/>
            <w:vAlign w:val="bottom"/>
          </w:tcPr>
          <w:p>
            <w:pPr>
              <w:ind w:left="540"/>
              <w:spacing w:after="0"/>
              <w:rPr>
                <w:sz w:val="20"/>
                <w:szCs w:val="20"/>
                <w:color w:val="auto"/>
              </w:rPr>
            </w:pPr>
            <w:r>
              <w:rPr>
                <w:rFonts w:ascii="Arial" w:cs="Arial" w:eastAsia="Arial" w:hAnsi="Arial"/>
                <w:sz w:val="18"/>
                <w:szCs w:val="18"/>
                <w:color w:val="auto"/>
                <w:w w:val="96"/>
              </w:rPr>
              <w:t>Banco de Credito del Peru</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Broker</w:t>
            </w:r>
          </w:p>
        </w:tc>
        <w:tc>
          <w:tcPr>
            <w:tcW w:w="2600" w:type="dxa"/>
            <w:vAlign w:val="bottom"/>
          </w:tcPr>
          <w:p>
            <w:pPr>
              <w:ind w:left="540"/>
              <w:spacing w:after="0"/>
              <w:rPr>
                <w:sz w:val="20"/>
                <w:szCs w:val="20"/>
                <w:color w:val="auto"/>
              </w:rPr>
            </w:pPr>
            <w:r>
              <w:rPr>
                <w:rFonts w:ascii="Arial" w:cs="Arial" w:eastAsia="Arial" w:hAnsi="Arial"/>
                <w:sz w:val="18"/>
                <w:szCs w:val="18"/>
                <w:color w:val="auto"/>
              </w:rPr>
              <w:t>Credibolsa S.A.</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Representative</w:t>
            </w:r>
          </w:p>
        </w:tc>
        <w:tc>
          <w:tcPr>
            <w:tcW w:w="260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of bond holders</w:t>
            </w:r>
          </w:p>
        </w:tc>
        <w:tc>
          <w:tcPr>
            <w:tcW w:w="2600" w:type="dxa"/>
            <w:vAlign w:val="bottom"/>
          </w:tcPr>
          <w:p>
            <w:pPr>
              <w:ind w:left="540"/>
              <w:spacing w:after="0"/>
              <w:rPr>
                <w:sz w:val="20"/>
                <w:szCs w:val="20"/>
                <w:color w:val="auto"/>
              </w:rPr>
            </w:pPr>
            <w:r>
              <w:rPr>
                <w:rFonts w:ascii="Arial" w:cs="Arial" w:eastAsia="Arial" w:hAnsi="Arial"/>
                <w:sz w:val="18"/>
                <w:szCs w:val="18"/>
                <w:color w:val="auto"/>
              </w:rPr>
              <w:t>Banco Sudamericano</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Use of proceeds</w:t>
            </w:r>
          </w:p>
        </w:tc>
        <w:tc>
          <w:tcPr>
            <w:tcW w:w="2600" w:type="dxa"/>
            <w:vAlign w:val="bottom"/>
          </w:tcPr>
          <w:p>
            <w:pPr>
              <w:ind w:left="540"/>
              <w:spacing w:after="0"/>
              <w:rPr>
                <w:sz w:val="20"/>
                <w:szCs w:val="20"/>
                <w:color w:val="auto"/>
              </w:rPr>
            </w:pPr>
            <w:r>
              <w:rPr>
                <w:rFonts w:ascii="Arial" w:cs="Arial" w:eastAsia="Arial" w:hAnsi="Arial"/>
                <w:sz w:val="18"/>
                <w:szCs w:val="18"/>
                <w:color w:val="auto"/>
              </w:rPr>
              <w:t>To restructure obligations</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Price</w:t>
            </w:r>
          </w:p>
        </w:tc>
        <w:tc>
          <w:tcPr>
            <w:tcW w:w="2600" w:type="dxa"/>
            <w:vAlign w:val="bottom"/>
          </w:tcPr>
          <w:p>
            <w:pPr>
              <w:ind w:left="540"/>
              <w:spacing w:after="0"/>
              <w:rPr>
                <w:sz w:val="20"/>
                <w:szCs w:val="20"/>
                <w:color w:val="auto"/>
              </w:rPr>
            </w:pPr>
            <w:r>
              <w:rPr>
                <w:rFonts w:ascii="Arial" w:cs="Arial" w:eastAsia="Arial" w:hAnsi="Arial"/>
                <w:sz w:val="18"/>
                <w:szCs w:val="18"/>
                <w:color w:val="auto"/>
              </w:rPr>
              <w:t>Par value</w:t>
            </w:r>
          </w:p>
        </w:tc>
        <w:tc>
          <w:tcPr>
            <w:tcW w:w="7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José Hung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1">
            <w:col w:w="11420"/>
          </w:cols>
          <w:pgMar w:left="240" w:top="1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September 30, 2003</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2019-12-14T06:51:17Z</dcterms:created>
  <dcterms:modified xsi:type="dcterms:W3CDTF">2019-12-14T06:51:17Z</dcterms:modified>
</cp:coreProperties>
</file>