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31"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-286385</wp:posOffset>
            </wp:positionH>
            <wp:positionV relativeFrom="paragraph">
              <wp:posOffset>228600</wp:posOffset>
            </wp:positionV>
            <wp:extent cx="72637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3"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56"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Report of Foreign Private Issuer</w:t>
      </w:r>
    </w:p>
    <w:p>
      <w:pPr>
        <w:spacing w:after="0" w:line="27"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Pursuant to Rule 13a-16 or 15d-16 of the</w:t>
      </w:r>
    </w:p>
    <w:p>
      <w:pPr>
        <w:spacing w:after="0" w:line="9"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Securities Exchange Act of 1934</w:t>
      </w:r>
    </w:p>
    <w:p>
      <w:pPr>
        <w:spacing w:after="0" w:line="230"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For the month November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-286385</wp:posOffset>
            </wp:positionH>
            <wp:positionV relativeFrom="paragraph">
              <wp:posOffset>243205</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5"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CREDICORP LTD.</w:t>
      </w:r>
    </w:p>
    <w:p>
      <w:pPr>
        <w:spacing w:after="0" w:line="31"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30"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Clarendon House</w:t>
      </w:r>
    </w:p>
    <w:p>
      <w:pPr>
        <w:spacing w:after="0" w:line="31"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Church Street</w:t>
      </w:r>
    </w:p>
    <w:p>
      <w:pPr>
        <w:spacing w:after="0" w:line="9"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Hamilton HM 11 Bermuda</w:t>
      </w:r>
    </w:p>
    <w:p>
      <w:pPr>
        <w:spacing w:after="0" w:line="9"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34" w:lineRule="exact"/>
        <w:rPr>
          <w:sz w:val="24"/>
          <w:szCs w:val="24"/>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252"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Form 20-F x Form 40-F o</w:t>
      </w:r>
    </w:p>
    <w:p>
      <w:pPr>
        <w:spacing w:after="0" w:line="252" w:lineRule="exact"/>
        <w:rPr>
          <w:sz w:val="24"/>
          <w:szCs w:val="24"/>
          <w:color w:val="auto"/>
        </w:rPr>
      </w:pPr>
    </w:p>
    <w:p>
      <w:pPr>
        <w:jc w:val="center"/>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89"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Yes o No 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-288290</wp:posOffset>
            </wp:positionH>
            <wp:positionV relativeFrom="paragraph">
              <wp:posOffset>426720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700" w:top="468" w:right="59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5371465</wp:posOffset>
            </wp:positionH>
            <wp:positionV relativeFrom="page">
              <wp:posOffset>337820</wp:posOffset>
            </wp:positionV>
            <wp:extent cx="2032635" cy="600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2032635" cy="600075"/>
                    </a:xfrm>
                    <a:prstGeom prst="rect">
                      <a:avLst/>
                    </a:prstGeom>
                    <a:noFill/>
                  </pic:spPr>
                </pic:pic>
              </a:graphicData>
            </a:graphic>
          </wp:anchor>
        </w:drawing>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16, 2011</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SUPERINTENDENCIA DEL MERCADO DE VALORES - SMV</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 MATERIAL EVENT</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Sirs: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accordance with CONASEV Resolution for Material Events, Reserved Information and Other Communications N° 107-2002-EF/94.10, as modified by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CONASEV Resolution N° 009-2003-EF/94.10, Credicorp Ltd. complies with notifying you of the following Material Event:</w:t>
      </w:r>
    </w:p>
    <w:p>
      <w:pPr>
        <w:spacing w:after="0" w:line="2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Credicorp’s subsidiary Atlantic Security Bank (ASB) has been sued in U.S. Bankruptcy Court Southern District of New York, by the trustee overseeing the liquidation of Bernard L. Madoff Investment Securities LLC (Madoff) for an amount of approximately US$120 million, which corresponds to the funds that ASB managed in Atlantic US Blue Chip Fund and that were redeemed between the end of 2004 and the beginning of 2005 from Fairfield Sentry Limited (Fairfield), a feeder fund that invested in Madoff.</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ASB points out that the lawsuit received considers only the amounts withdrawn, without taking into account the amount invested in Fairfield. Furthermore, ASB indicates that after redeeming those funds from Fairfield, the amount were re-invested in Madoff through another vehicle that represented a loss in the funds that ASB managed on behalf of its clients for approximately US$ 78 million as of December, 2008.</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ASB is discussing with its lawyers the scope of this claim, and shall take timely action to defend the case.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Mario Ferrari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Market Representative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569595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 w:name="page3"/>
    <w:bookmarkEnd w:id="2"/>
    <w:p>
      <w:pPr>
        <w:jc w:val="center"/>
        <w:ind w:right="-65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6"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Date: November 16, 2011</w:t>
      </w:r>
    </w:p>
    <w:p>
      <w:pPr>
        <w:spacing w:after="0" w:line="200" w:lineRule="exact"/>
        <w:rPr>
          <w:sz w:val="20"/>
          <w:szCs w:val="20"/>
          <w:color w:val="auto"/>
        </w:rPr>
      </w:pPr>
    </w:p>
    <w:p>
      <w:pPr>
        <w:spacing w:after="0" w:line="268"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CREDICORP LTD.</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By: /s/ Mario Ferrari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26035</wp:posOffset>
            </wp:positionV>
            <wp:extent cx="252984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2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b w:val="1"/>
          <w:bCs w:val="1"/>
          <w:color w:val="auto"/>
        </w:rPr>
        <w:t>Mario Ferrari</w:t>
      </w:r>
    </w:p>
    <w:p>
      <w:pPr>
        <w:spacing w:after="0" w:line="31"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415290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sectPr>
      <w:pgSz w:w="11900" w:h="16838" w:orient="portrait"/>
      <w:cols w:equalWidth="0" w:num="1">
        <w:col w:w="10780"/>
      </w:cols>
      <w:pgMar w:left="240" w:top="509" w:right="8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2019-12-14T06:54:28Z</dcterms:created>
  <dcterms:modified xsi:type="dcterms:W3CDTF">2019-12-14T06:54:28Z</dcterms:modified>
</cp:coreProperties>
</file>